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_Toc253404768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_Toc253404769 \h </w:instrText>
      </w:r>
      <w:r>
        <w:fldChar w:fldCharType="separate"/>
      </w:r>
      <w:r>
        <w:t>1</w:t>
      </w:r>
      <w:r>
        <w:fldChar w:fldCharType="end"/>
      </w:r>
    </w:p>
    <w:p>
      <w:pPr>
        <w:pStyle w:val="TOC8"/>
        <w:rPr>
          <w:sz w:val="24"/>
          <w:szCs w:val="24"/>
        </w:rPr>
      </w:pPr>
      <w:r>
        <w:rPr>
          <w:szCs w:val="24"/>
        </w:rPr>
        <w:t>2A.</w:t>
      </w:r>
      <w:r>
        <w:rPr>
          <w:szCs w:val="24"/>
        </w:rPr>
        <w:tab/>
        <w:t>Terms used</w:t>
      </w:r>
      <w:r>
        <w:tab/>
      </w:r>
      <w:r>
        <w:fldChar w:fldCharType="begin"/>
      </w:r>
      <w:r>
        <w:instrText xml:space="preserve"> PAGEREF _Toc253404770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_Toc253404771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_Toc253404772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_Toc253404773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_Toc253404774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_Toc253404775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_Toc253404776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_Toc253404777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 — Goldfields region</w:t>
      </w:r>
    </w:p>
    <w:p>
      <w:pPr>
        <w:pStyle w:val="TOC8"/>
        <w:rPr>
          <w:sz w:val="24"/>
          <w:szCs w:val="24"/>
        </w:rPr>
      </w:pPr>
      <w:r>
        <w:rPr>
          <w:szCs w:val="22"/>
        </w:rPr>
        <w:tab/>
        <w:t>Brief description</w:t>
      </w:r>
      <w:r>
        <w:tab/>
      </w:r>
      <w:r>
        <w:fldChar w:fldCharType="begin"/>
      </w:r>
      <w:r>
        <w:instrText xml:space="preserve"> PAGEREF _Toc253404780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_Toc253404781 \h </w:instrText>
      </w:r>
      <w:r>
        <w:fldChar w:fldCharType="separate"/>
      </w:r>
      <w:r>
        <w:t>5</w:t>
      </w:r>
      <w:r>
        <w:fldChar w:fldCharType="end"/>
      </w:r>
    </w:p>
    <w:p>
      <w:pPr>
        <w:pStyle w:val="TOC4"/>
        <w:tabs>
          <w:tab w:val="right" w:leader="dot" w:pos="7086"/>
        </w:tabs>
        <w:rPr>
          <w:b w:val="0"/>
          <w:sz w:val="24"/>
          <w:szCs w:val="24"/>
        </w:rPr>
      </w:pPr>
      <w:r>
        <w:rPr>
          <w:szCs w:val="24"/>
        </w:rPr>
        <w:t>Division 2 — Kalbarri region</w:t>
      </w:r>
    </w:p>
    <w:p>
      <w:pPr>
        <w:pStyle w:val="TOC8"/>
        <w:rPr>
          <w:sz w:val="24"/>
          <w:szCs w:val="24"/>
        </w:rPr>
      </w:pPr>
      <w:r>
        <w:rPr>
          <w:szCs w:val="22"/>
        </w:rPr>
        <w:tab/>
        <w:t>Brief description</w:t>
      </w:r>
      <w:r>
        <w:tab/>
      </w:r>
      <w:r>
        <w:fldChar w:fldCharType="begin"/>
      </w:r>
      <w:r>
        <w:instrText xml:space="preserve"> PAGEREF _Toc253404783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_Toc253404784 \h </w:instrText>
      </w:r>
      <w:r>
        <w:fldChar w:fldCharType="separate"/>
      </w:r>
      <w:r>
        <w:t>7</w:t>
      </w:r>
      <w:r>
        <w:fldChar w:fldCharType="end"/>
      </w:r>
    </w:p>
    <w:p>
      <w:pPr>
        <w:pStyle w:val="TOC4"/>
        <w:tabs>
          <w:tab w:val="right" w:leader="dot" w:pos="7086"/>
        </w:tabs>
        <w:rPr>
          <w:b w:val="0"/>
          <w:sz w:val="24"/>
          <w:szCs w:val="24"/>
        </w:rPr>
      </w:pPr>
      <w:r>
        <w:rPr>
          <w:szCs w:val="24"/>
        </w:rPr>
        <w:t>Division 3 — Kimberley region</w:t>
      </w:r>
    </w:p>
    <w:p>
      <w:pPr>
        <w:pStyle w:val="TOC8"/>
        <w:rPr>
          <w:sz w:val="24"/>
          <w:szCs w:val="24"/>
        </w:rPr>
      </w:pPr>
      <w:r>
        <w:rPr>
          <w:szCs w:val="22"/>
        </w:rPr>
        <w:tab/>
        <w:t>Brief description</w:t>
      </w:r>
      <w:r>
        <w:tab/>
      </w:r>
      <w:r>
        <w:fldChar w:fldCharType="begin"/>
      </w:r>
      <w:r>
        <w:instrText xml:space="preserve"> PAGEREF _Toc253404786 \h </w:instrText>
      </w:r>
      <w:r>
        <w:fldChar w:fldCharType="separate"/>
      </w:r>
      <w:r>
        <w:t>9</w:t>
      </w:r>
      <w:r>
        <w:fldChar w:fldCharType="end"/>
      </w:r>
    </w:p>
    <w:p>
      <w:pPr>
        <w:pStyle w:val="TOC8"/>
        <w:rPr>
          <w:sz w:val="24"/>
          <w:szCs w:val="24"/>
        </w:rPr>
      </w:pPr>
      <w:r>
        <w:rPr>
          <w:szCs w:val="22"/>
        </w:rPr>
        <w:tab/>
        <w:t>Major towns</w:t>
      </w:r>
      <w:r>
        <w:tab/>
      </w:r>
      <w:r>
        <w:fldChar w:fldCharType="begin"/>
      </w:r>
      <w:r>
        <w:instrText xml:space="preserve"> PAGEREF _Toc253404787 \h </w:instrText>
      </w:r>
      <w:r>
        <w:fldChar w:fldCharType="separate"/>
      </w:r>
      <w:r>
        <w:t>9</w:t>
      </w:r>
      <w:r>
        <w:fldChar w:fldCharType="end"/>
      </w:r>
    </w:p>
    <w:p>
      <w:pPr>
        <w:pStyle w:val="TOC4"/>
        <w:tabs>
          <w:tab w:val="right" w:leader="dot" w:pos="7086"/>
        </w:tabs>
        <w:rPr>
          <w:b w:val="0"/>
          <w:sz w:val="24"/>
          <w:szCs w:val="24"/>
        </w:rPr>
      </w:pPr>
      <w:r>
        <w:rPr>
          <w:szCs w:val="24"/>
        </w:rPr>
        <w:t>Division 4 — Mid</w:t>
      </w:r>
      <w:r>
        <w:rPr>
          <w:szCs w:val="24"/>
        </w:rPr>
        <w:noBreakHyphen/>
        <w:t>west region</w:t>
      </w:r>
    </w:p>
    <w:p>
      <w:pPr>
        <w:pStyle w:val="TOC8"/>
        <w:rPr>
          <w:sz w:val="24"/>
          <w:szCs w:val="24"/>
        </w:rPr>
      </w:pPr>
      <w:r>
        <w:rPr>
          <w:szCs w:val="22"/>
        </w:rPr>
        <w:tab/>
        <w:t>Brief description</w:t>
      </w:r>
      <w:r>
        <w:tab/>
      </w:r>
      <w:r>
        <w:fldChar w:fldCharType="begin"/>
      </w:r>
      <w:r>
        <w:instrText xml:space="preserve"> PAGEREF _Toc253404789 \h </w:instrText>
      </w:r>
      <w:r>
        <w:fldChar w:fldCharType="separate"/>
      </w:r>
      <w:r>
        <w:t>11</w:t>
      </w:r>
      <w:r>
        <w:fldChar w:fldCharType="end"/>
      </w:r>
    </w:p>
    <w:p>
      <w:pPr>
        <w:pStyle w:val="TOC8"/>
        <w:rPr>
          <w:sz w:val="24"/>
          <w:szCs w:val="24"/>
        </w:rPr>
      </w:pPr>
      <w:r>
        <w:rPr>
          <w:szCs w:val="22"/>
        </w:rPr>
        <w:tab/>
        <w:t>Major towns/cities</w:t>
      </w:r>
      <w:r>
        <w:tab/>
      </w:r>
      <w:r>
        <w:fldChar w:fldCharType="begin"/>
      </w:r>
      <w:r>
        <w:instrText xml:space="preserve"> PAGEREF _Toc253404790 \h </w:instrText>
      </w:r>
      <w:r>
        <w:fldChar w:fldCharType="separate"/>
      </w:r>
      <w:r>
        <w:t>11</w:t>
      </w:r>
      <w:r>
        <w:fldChar w:fldCharType="end"/>
      </w:r>
    </w:p>
    <w:p>
      <w:pPr>
        <w:pStyle w:val="TOC4"/>
        <w:tabs>
          <w:tab w:val="right" w:leader="dot" w:pos="7086"/>
        </w:tabs>
        <w:rPr>
          <w:b w:val="0"/>
          <w:sz w:val="24"/>
          <w:szCs w:val="24"/>
        </w:rPr>
      </w:pPr>
      <w:r>
        <w:rPr>
          <w:szCs w:val="24"/>
        </w:rPr>
        <w:t>Division 5 — Pilbara region</w:t>
      </w:r>
    </w:p>
    <w:p>
      <w:pPr>
        <w:pStyle w:val="TOC8"/>
        <w:rPr>
          <w:sz w:val="24"/>
          <w:szCs w:val="24"/>
        </w:rPr>
      </w:pPr>
      <w:r>
        <w:rPr>
          <w:szCs w:val="22"/>
        </w:rPr>
        <w:tab/>
        <w:t>Brief description</w:t>
      </w:r>
      <w:r>
        <w:tab/>
      </w:r>
      <w:r>
        <w:fldChar w:fldCharType="begin"/>
      </w:r>
      <w:r>
        <w:instrText xml:space="preserve"> PAGEREF _Toc253404792 \h </w:instrText>
      </w:r>
      <w:r>
        <w:fldChar w:fldCharType="separate"/>
      </w:r>
      <w:r>
        <w:t>13</w:t>
      </w:r>
      <w:r>
        <w:fldChar w:fldCharType="end"/>
      </w:r>
    </w:p>
    <w:p>
      <w:pPr>
        <w:pStyle w:val="TOC8"/>
        <w:rPr>
          <w:sz w:val="24"/>
          <w:szCs w:val="24"/>
        </w:rPr>
      </w:pPr>
      <w:r>
        <w:rPr>
          <w:szCs w:val="22"/>
        </w:rPr>
        <w:tab/>
        <w:t>Major towns</w:t>
      </w:r>
      <w:r>
        <w:tab/>
      </w:r>
      <w:r>
        <w:fldChar w:fldCharType="begin"/>
      </w:r>
      <w:r>
        <w:instrText xml:space="preserve"> PAGEREF _Toc253404793 \h </w:instrText>
      </w:r>
      <w:r>
        <w:fldChar w:fldCharType="separate"/>
      </w:r>
      <w:r>
        <w:t>13</w:t>
      </w:r>
      <w:r>
        <w:fldChar w:fldCharType="end"/>
      </w:r>
    </w:p>
    <w:p>
      <w:pPr>
        <w:pStyle w:val="TOC4"/>
        <w:tabs>
          <w:tab w:val="right" w:leader="dot" w:pos="7086"/>
        </w:tabs>
        <w:rPr>
          <w:b w:val="0"/>
          <w:sz w:val="24"/>
          <w:szCs w:val="24"/>
        </w:rPr>
      </w:pPr>
      <w:r>
        <w:rPr>
          <w:szCs w:val="24"/>
        </w:rPr>
        <w:t>Division 6 — 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_Toc253404795 \h </w:instrText>
      </w:r>
      <w:r>
        <w:fldChar w:fldCharType="separate"/>
      </w:r>
      <w:r>
        <w:t>15</w:t>
      </w:r>
      <w:r>
        <w:fldChar w:fldCharType="end"/>
      </w:r>
    </w:p>
    <w:p>
      <w:pPr>
        <w:pStyle w:val="TOC8"/>
        <w:rPr>
          <w:sz w:val="24"/>
          <w:szCs w:val="24"/>
        </w:rPr>
      </w:pPr>
      <w:r>
        <w:rPr>
          <w:szCs w:val="22"/>
        </w:rPr>
        <w:tab/>
        <w:t>Major towns/cities</w:t>
      </w:r>
      <w:r>
        <w:tab/>
      </w:r>
      <w:r>
        <w:fldChar w:fldCharType="begin"/>
      </w:r>
      <w:r>
        <w:instrText xml:space="preserve"> PAGEREF _Toc253404796 \h </w:instrText>
      </w:r>
      <w:r>
        <w:fldChar w:fldCharType="separate"/>
      </w:r>
      <w:r>
        <w:t>15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_Toc253404800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253404768"/>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25340476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253404770"/>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253404771"/>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253404772"/>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253404773"/>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253404774"/>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253404775"/>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253404776"/>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253404777"/>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pPr>
      <w:r>
        <w:t>[</w:t>
      </w:r>
      <w:r>
        <w:rPr>
          <w:b/>
          <w:bCs/>
        </w:rPr>
        <w:t>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253404778"/>
      <w:bookmarkStart w:id="72" w:name="_Toc140635263"/>
      <w:bookmarkStart w:id="73"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bookmarkEnd w:id="71"/>
    </w:p>
    <w:p>
      <w:pPr>
        <w:pStyle w:val="yShoulderClause"/>
      </w:pPr>
      <w:r>
        <w:t>[r. 3]</w:t>
      </w:r>
    </w:p>
    <w:p>
      <w:pPr>
        <w:pStyle w:val="yFootnoteheading"/>
      </w:pPr>
      <w:r>
        <w:tab/>
        <w:t>[Heading inserted in Gazette 21 Dec 2007 p. 6330.]</w:t>
      </w:r>
    </w:p>
    <w:p>
      <w:pPr>
        <w:pStyle w:val="yHeading3"/>
      </w:pPr>
      <w:bookmarkStart w:id="74" w:name="_Toc253404779"/>
      <w:r>
        <w:rPr>
          <w:rStyle w:val="CharSDivNo"/>
        </w:rPr>
        <w:t>Division 1</w:t>
      </w:r>
      <w:r>
        <w:t> — </w:t>
      </w:r>
      <w:r>
        <w:rPr>
          <w:rStyle w:val="CharSDivText"/>
        </w:rPr>
        <w:t>Goldfields region</w:t>
      </w:r>
      <w:bookmarkEnd w:id="74"/>
    </w:p>
    <w:p>
      <w:pPr>
        <w:pStyle w:val="yFootnoteheading"/>
      </w:pPr>
      <w:r>
        <w:tab/>
        <w:t>[Heading inserted in Gazette 9 Feb 2010 p. 272.]</w:t>
      </w:r>
    </w:p>
    <w:p>
      <w:pPr>
        <w:pStyle w:val="yHeading5"/>
      </w:pPr>
      <w:bookmarkStart w:id="75" w:name="_Toc253404780"/>
      <w:r>
        <w:tab/>
        <w:t>Brief description</w:t>
      </w:r>
      <w:bookmarkEnd w:id="75"/>
    </w:p>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76" w:name="_Toc253404781"/>
      <w:r>
        <w:tab/>
        <w:t>Major towns</w:t>
      </w:r>
      <w:bookmarkEnd w:id="76"/>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$1.59/km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$5.60</w:t>
            </w:r>
          </w:p>
        </w:tc>
        <w:tc>
          <w:tcPr>
            <w:tcW w:w="1551" w:type="dxa"/>
          </w:tcPr>
          <w:p>
            <w:pPr>
              <w:pStyle w:val="yTableNAm"/>
            </w:pPr>
          </w:p>
          <w:p>
            <w:pPr>
              <w:pStyle w:val="yTableNAm"/>
            </w:pPr>
            <w:r>
              <w:br/>
            </w:r>
          </w:p>
          <w:p>
            <w:pPr>
              <w:pStyle w:val="yTableNAm"/>
            </w:pPr>
            <w:r>
              <w:br/>
            </w:r>
          </w:p>
          <w:p>
            <w:pPr>
              <w:pStyle w:val="yTableNAm"/>
            </w:pPr>
            <w:r>
              <w:br/>
              <w:t>$1.59/km</w:t>
            </w:r>
          </w:p>
        </w:tc>
        <w:tc>
          <w:tcPr>
            <w:tcW w:w="1426" w:type="dxa"/>
          </w:tcPr>
          <w:p>
            <w:pPr>
              <w:pStyle w:val="yTableNAm"/>
            </w:pPr>
          </w:p>
          <w:p>
            <w:pPr>
              <w:pStyle w:val="yTableNAm"/>
            </w:pPr>
            <w:r>
              <w:br/>
            </w:r>
          </w:p>
          <w:p>
            <w:pPr>
              <w:pStyle w:val="yTableNAm"/>
            </w:pPr>
            <w:r>
              <w:br/>
            </w:r>
          </w:p>
          <w:p>
            <w:pPr>
              <w:pStyle w:val="yTableNAm"/>
            </w:pPr>
            <w:r>
              <w:b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$2.30/km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$1.03/km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$1.51/km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section"/>
      </w:pPr>
      <w:r>
        <w:tab/>
        <w:t>[Division 1 inserted in Gazette 9 Feb 2010 p. 272-4; amended in Gazette 11 Feb 2011 p. 508-9.]</w:t>
      </w:r>
    </w:p>
    <w:p>
      <w:pPr>
        <w:pStyle w:val="yHeading3"/>
      </w:pPr>
      <w:bookmarkStart w:id="77" w:name="_Toc253404782"/>
      <w:r>
        <w:rPr>
          <w:rStyle w:val="CharSDivNo"/>
        </w:rPr>
        <w:t>Division 2</w:t>
      </w:r>
      <w:r>
        <w:t> — </w:t>
      </w:r>
      <w:r>
        <w:rPr>
          <w:rStyle w:val="CharSDivText"/>
        </w:rPr>
        <w:t>Kalbarri region</w:t>
      </w:r>
      <w:bookmarkEnd w:id="77"/>
    </w:p>
    <w:p>
      <w:pPr>
        <w:pStyle w:val="yFootnoteheading"/>
      </w:pPr>
      <w:r>
        <w:tab/>
        <w:t>[Heading inserted in Gazette 9 Feb 2010 p. 274.]</w:t>
      </w:r>
    </w:p>
    <w:p>
      <w:pPr>
        <w:pStyle w:val="yHeading5"/>
      </w:pPr>
      <w:bookmarkStart w:id="78" w:name="_Toc253404783"/>
      <w:r>
        <w:tab/>
        <w:t>Brief description</w:t>
      </w:r>
      <w:bookmarkEnd w:id="78"/>
    </w:p>
    <w:p>
      <w:pPr>
        <w:pStyle w:val="ySubsection"/>
      </w:pPr>
      <w:r>
        <w:tab/>
      </w:r>
      <w:r>
        <w:tab/>
        <w:t>The town of Kalbarri and its immediate environs (see map).</w:t>
      </w:r>
    </w:p>
    <w:p>
      <w:pPr>
        <w:pStyle w:val="yHeading5"/>
      </w:pPr>
      <w:bookmarkStart w:id="79" w:name="_Toc253404784"/>
      <w:r>
        <w:tab/>
        <w:t>Town</w:t>
      </w:r>
      <w:bookmarkEnd w:id="79"/>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$1.58/km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$5.60</w:t>
            </w:r>
          </w:p>
        </w:tc>
        <w:tc>
          <w:tcPr>
            <w:tcW w:w="1551" w:type="dxa"/>
          </w:tcPr>
          <w:p>
            <w:pPr>
              <w:pStyle w:val="yTableNAm"/>
            </w:pPr>
          </w:p>
          <w:p>
            <w:pPr>
              <w:pStyle w:val="yTableNAm"/>
            </w:pPr>
            <w:r>
              <w:br/>
            </w:r>
          </w:p>
          <w:p>
            <w:pPr>
              <w:pStyle w:val="yTableNAm"/>
            </w:pPr>
            <w:r>
              <w:br/>
            </w:r>
          </w:p>
          <w:p>
            <w:pPr>
              <w:pStyle w:val="yTableNAm"/>
            </w:pPr>
            <w:r>
              <w:br/>
              <w:t>$1.58/km</w:t>
            </w:r>
          </w:p>
        </w:tc>
        <w:tc>
          <w:tcPr>
            <w:tcW w:w="1426" w:type="dxa"/>
          </w:tcPr>
          <w:p>
            <w:pPr>
              <w:pStyle w:val="yTableNAm"/>
            </w:pPr>
          </w:p>
          <w:p>
            <w:pPr>
              <w:pStyle w:val="yTableNAm"/>
            </w:pPr>
            <w:r>
              <w:br/>
            </w:r>
          </w:p>
          <w:p>
            <w:pPr>
              <w:pStyle w:val="yTableNAm"/>
            </w:pPr>
            <w:r>
              <w:br/>
            </w:r>
          </w:p>
          <w:p>
            <w:pPr>
              <w:pStyle w:val="yTableNAm"/>
            </w:pPr>
            <w:r>
              <w:b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$2.33/km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$1.43/km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heading"/>
      </w:pPr>
      <w:r>
        <w:tab/>
        <w:t>[Division 2 inserted in Gazette 9 Feb 2010 p. 274-5; amended in Gazette 11 Feb 2011 p. 509-10.]</w:t>
      </w:r>
    </w:p>
    <w:p>
      <w:pPr>
        <w:pStyle w:val="yHeading3"/>
      </w:pPr>
      <w:bookmarkStart w:id="80" w:name="_Toc253404785"/>
      <w:r>
        <w:rPr>
          <w:rStyle w:val="CharSDivNo"/>
        </w:rPr>
        <w:t>Division 3</w:t>
      </w:r>
      <w:r>
        <w:t> — </w:t>
      </w:r>
      <w:r>
        <w:rPr>
          <w:rStyle w:val="CharSDivText"/>
        </w:rPr>
        <w:t>Kimberley region</w:t>
      </w:r>
      <w:bookmarkEnd w:id="80"/>
    </w:p>
    <w:p>
      <w:pPr>
        <w:pStyle w:val="yFootnoteheading"/>
      </w:pPr>
      <w:r>
        <w:tab/>
        <w:t>[Heading inserted in Gazette 9 Feb 2010 p. 275.]</w:t>
      </w:r>
    </w:p>
    <w:p>
      <w:pPr>
        <w:pStyle w:val="yHeading5"/>
      </w:pPr>
      <w:bookmarkStart w:id="81" w:name="_Toc253404786"/>
      <w:r>
        <w:tab/>
        <w:t>Brief description</w:t>
      </w:r>
      <w:bookmarkEnd w:id="81"/>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82" w:name="_Toc253404787"/>
      <w:r>
        <w:tab/>
        <w:t>Major towns</w:t>
      </w:r>
      <w:bookmarkEnd w:id="82"/>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$2.05/km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$5.60</w:t>
            </w:r>
          </w:p>
        </w:tc>
        <w:tc>
          <w:tcPr>
            <w:tcW w:w="1551" w:type="dxa"/>
          </w:tcPr>
          <w:p>
            <w:pPr>
              <w:pStyle w:val="yTableNAm"/>
            </w:pPr>
          </w:p>
          <w:p>
            <w:pPr>
              <w:pStyle w:val="yTableNAm"/>
            </w:pPr>
            <w:r>
              <w:br/>
            </w:r>
          </w:p>
          <w:p>
            <w:pPr>
              <w:pStyle w:val="yTableNAm"/>
            </w:pPr>
            <w:r>
              <w:br/>
            </w:r>
          </w:p>
          <w:p>
            <w:pPr>
              <w:pStyle w:val="yTableNAm"/>
            </w:pPr>
            <w:r>
              <w:br/>
              <w:t>$2.05/km</w:t>
            </w:r>
          </w:p>
        </w:tc>
        <w:tc>
          <w:tcPr>
            <w:tcW w:w="1426" w:type="dxa"/>
          </w:tcPr>
          <w:p>
            <w:pPr>
              <w:pStyle w:val="yTableNAm"/>
            </w:pPr>
          </w:p>
          <w:p>
            <w:pPr>
              <w:pStyle w:val="yTableNAm"/>
            </w:pPr>
            <w:r>
              <w:br/>
            </w:r>
          </w:p>
          <w:p>
            <w:pPr>
              <w:pStyle w:val="yTableNAm"/>
            </w:pPr>
            <w:r>
              <w:br/>
            </w:r>
          </w:p>
          <w:p>
            <w:pPr>
              <w:pStyle w:val="yTableNAm"/>
            </w:pPr>
            <w:r>
              <w:b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$3.02/km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$1.74/km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heading"/>
      </w:pPr>
      <w:r>
        <w:tab/>
        <w:t>[Division 3 inserted in Gazette 9 Feb 2010 p. 275-7; amended in Gazette 11 Feb 2011 p. 511-12.]</w:t>
      </w:r>
    </w:p>
    <w:p>
      <w:pPr>
        <w:pStyle w:val="yHeading3"/>
      </w:pPr>
      <w:bookmarkStart w:id="83" w:name="_Toc253404788"/>
      <w:r>
        <w:rPr>
          <w:rStyle w:val="CharSDivNo"/>
        </w:rPr>
        <w:t>Division 4</w:t>
      </w:r>
      <w:r>
        <w:t> — </w:t>
      </w:r>
      <w:r>
        <w:rPr>
          <w:rStyle w:val="CharSDivText"/>
        </w:rPr>
        <w:t>Mid</w:t>
      </w:r>
      <w:r>
        <w:rPr>
          <w:rStyle w:val="CharSDivText"/>
        </w:rPr>
        <w:noBreakHyphen/>
        <w:t>west region</w:t>
      </w:r>
      <w:bookmarkEnd w:id="83"/>
    </w:p>
    <w:p>
      <w:pPr>
        <w:pStyle w:val="yFootnoteheading"/>
      </w:pPr>
      <w:r>
        <w:tab/>
        <w:t>[Heading inserted in Gazette 9 Feb 2010 p. 277.]</w:t>
      </w:r>
    </w:p>
    <w:p>
      <w:pPr>
        <w:pStyle w:val="yHeading5"/>
      </w:pPr>
      <w:bookmarkStart w:id="84" w:name="_Toc253404789"/>
      <w:r>
        <w:tab/>
        <w:t>Brief description</w:t>
      </w:r>
      <w:bookmarkEnd w:id="84"/>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85" w:name="_Toc253404790"/>
      <w:r>
        <w:tab/>
        <w:t>Major towns/cities</w:t>
      </w:r>
      <w:bookmarkEnd w:id="85"/>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Division 2 gives a separate rate for Kalbarri</w:t>
      </w:r>
      <w:r>
        <w:t>.</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$1.55/km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r>
              <w:br/>
            </w:r>
          </w:p>
          <w:p>
            <w:pPr>
              <w:pStyle w:val="yTableNAm"/>
            </w:pPr>
            <w:r>
              <w:t>$5.60</w:t>
            </w:r>
          </w:p>
        </w:tc>
        <w:tc>
          <w:tcPr>
            <w:tcW w:w="1551" w:type="dxa"/>
          </w:tcPr>
          <w:p>
            <w:pPr>
              <w:pStyle w:val="yTableNAm"/>
            </w:pPr>
          </w:p>
          <w:p>
            <w:pPr>
              <w:pStyle w:val="yTableNAm"/>
            </w:pPr>
            <w:r>
              <w:br/>
            </w:r>
          </w:p>
          <w:p>
            <w:pPr>
              <w:pStyle w:val="yTableNAm"/>
            </w:pPr>
            <w:r>
              <w:br/>
            </w:r>
            <w:r>
              <w:br/>
            </w:r>
          </w:p>
          <w:p>
            <w:pPr>
              <w:pStyle w:val="yTableNAm"/>
            </w:pPr>
            <w:r>
              <w:t>$1.55/km</w:t>
            </w:r>
          </w:p>
        </w:tc>
        <w:tc>
          <w:tcPr>
            <w:tcW w:w="1426" w:type="dxa"/>
          </w:tcPr>
          <w:p>
            <w:pPr>
              <w:pStyle w:val="yTableNAm"/>
            </w:pPr>
          </w:p>
          <w:p>
            <w:pPr>
              <w:pStyle w:val="yTableNAm"/>
            </w:pPr>
            <w:r>
              <w:br/>
            </w:r>
          </w:p>
          <w:p>
            <w:pPr>
              <w:pStyle w:val="yTableNAm"/>
            </w:pPr>
            <w:r>
              <w:br/>
            </w:r>
            <w:r>
              <w:br/>
            </w:r>
          </w:p>
          <w:p>
            <w:pPr>
              <w:pStyle w:val="yTableNAm"/>
            </w:pPr>
            <w: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$2.32/km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$1.43/km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heading"/>
      </w:pPr>
      <w:r>
        <w:tab/>
        <w:t>[Division 4 inserted in Gazette 9 Feb 2010 p. 277-8; amended in Gazette 11 Feb 2011 p. 512-13.]</w:t>
      </w:r>
    </w:p>
    <w:p>
      <w:pPr>
        <w:pStyle w:val="yHeading3"/>
      </w:pPr>
      <w:bookmarkStart w:id="86" w:name="_Toc253404791"/>
      <w:r>
        <w:rPr>
          <w:rStyle w:val="CharSDivNo"/>
        </w:rPr>
        <w:t>Division 5</w:t>
      </w:r>
      <w:r>
        <w:t> — </w:t>
      </w:r>
      <w:r>
        <w:rPr>
          <w:rStyle w:val="CharSDivText"/>
        </w:rPr>
        <w:t>Pilbara region</w:t>
      </w:r>
      <w:bookmarkEnd w:id="86"/>
    </w:p>
    <w:p>
      <w:pPr>
        <w:pStyle w:val="yFootnoteheading"/>
      </w:pPr>
      <w:r>
        <w:tab/>
        <w:t>[Heading inserted in Gazette 9 Feb 2010 p. 278.]</w:t>
      </w:r>
    </w:p>
    <w:p>
      <w:pPr>
        <w:pStyle w:val="yHeading5"/>
      </w:pPr>
      <w:bookmarkStart w:id="87" w:name="_Toc253404792"/>
      <w:r>
        <w:tab/>
        <w:t>Brief description</w:t>
      </w:r>
      <w:bookmarkEnd w:id="87"/>
    </w:p>
    <w:p>
      <w:pPr>
        <w:pStyle w:val="ySubsection"/>
      </w:pPr>
      <w:r>
        <w:tab/>
      </w:r>
      <w:r>
        <w:tab/>
        <w:t>Includes all towns south of the Kimberley region border to a line extending east</w:t>
      </w:r>
      <w:r>
        <w:noBreakHyphen/>
        <w:t>west across the State, above Cue (see map).</w:t>
      </w:r>
    </w:p>
    <w:p>
      <w:pPr>
        <w:pStyle w:val="yHeading5"/>
      </w:pPr>
      <w:bookmarkStart w:id="88" w:name="_Toc253404793"/>
      <w:r>
        <w:tab/>
        <w:t>Major towns</w:t>
      </w:r>
      <w:bookmarkEnd w:id="88"/>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pPr>
      <w:r>
        <w:tab/>
      </w:r>
      <w:r>
        <w:sym w:font="Symbol" w:char="F0B7"/>
      </w:r>
      <w:r>
        <w:tab/>
        <w:t>Exmouth — (Shire of Exmouth)</w:t>
      </w:r>
    </w:p>
    <w:p>
      <w:pPr>
        <w:pStyle w:val="yIndenta"/>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$2.09/km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$5.60</w:t>
            </w:r>
          </w:p>
        </w:tc>
        <w:tc>
          <w:tcPr>
            <w:tcW w:w="1551" w:type="dxa"/>
          </w:tcPr>
          <w:p>
            <w:pPr>
              <w:pStyle w:val="yTableNAm"/>
            </w:pPr>
          </w:p>
          <w:p>
            <w:pPr>
              <w:pStyle w:val="yTableNAm"/>
            </w:pPr>
            <w:r>
              <w:br/>
            </w:r>
          </w:p>
          <w:p>
            <w:pPr>
              <w:pStyle w:val="yTableNAm"/>
            </w:pPr>
            <w:r>
              <w:br/>
            </w:r>
          </w:p>
          <w:p>
            <w:pPr>
              <w:pStyle w:val="yTableNAm"/>
            </w:pPr>
            <w:r>
              <w:br/>
              <w:t>$2.09/km</w:t>
            </w:r>
          </w:p>
        </w:tc>
        <w:tc>
          <w:tcPr>
            <w:tcW w:w="1426" w:type="dxa"/>
          </w:tcPr>
          <w:p>
            <w:pPr>
              <w:pStyle w:val="yTableNAm"/>
            </w:pPr>
          </w:p>
          <w:p>
            <w:pPr>
              <w:pStyle w:val="yTableNAm"/>
            </w:pPr>
            <w:r>
              <w:br/>
            </w:r>
          </w:p>
          <w:p>
            <w:pPr>
              <w:pStyle w:val="yTableNAm"/>
            </w:pPr>
            <w:r>
              <w:br/>
            </w:r>
          </w:p>
          <w:p>
            <w:pPr>
              <w:pStyle w:val="yTableNAm"/>
            </w:pPr>
            <w:r>
              <w:b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$3.08/km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$1.13/km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$1.71/km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heading"/>
      </w:pPr>
      <w:r>
        <w:tab/>
        <w:t>[Division 5 inserted in Gazette 9 Feb 2010 p. 278-9; amended in Gazette 11 Feb 2011 p. 513-14.]</w:t>
      </w:r>
    </w:p>
    <w:p>
      <w:pPr>
        <w:pStyle w:val="yHeading3"/>
      </w:pPr>
      <w:bookmarkStart w:id="89" w:name="_Toc253404794"/>
      <w:r>
        <w:rPr>
          <w:rStyle w:val="CharSDivNo"/>
        </w:rPr>
        <w:t>Division 6</w:t>
      </w:r>
      <w:r>
        <w:t> — </w:t>
      </w:r>
      <w:r>
        <w:rPr>
          <w:rStyle w:val="CharSDivText"/>
        </w:rPr>
        <w:t>South</w:t>
      </w:r>
      <w:r>
        <w:rPr>
          <w:rStyle w:val="CharSDivText"/>
        </w:rPr>
        <w:noBreakHyphen/>
        <w:t>west region</w:t>
      </w:r>
      <w:bookmarkEnd w:id="89"/>
    </w:p>
    <w:p>
      <w:pPr>
        <w:pStyle w:val="yFootnoteheading"/>
      </w:pPr>
      <w:r>
        <w:tab/>
        <w:t>[Heading inserted in Gazette 9 Feb 2010 p. 280.]</w:t>
      </w:r>
    </w:p>
    <w:p>
      <w:pPr>
        <w:pStyle w:val="yHeading5"/>
      </w:pPr>
      <w:bookmarkStart w:id="90" w:name="_Toc253404795"/>
      <w:r>
        <w:tab/>
        <w:t>Brief description</w:t>
      </w:r>
      <w:bookmarkEnd w:id="90"/>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91" w:name="_Toc253404796"/>
      <w:r>
        <w:tab/>
        <w:t>Major towns/cities</w:t>
      </w:r>
      <w:bookmarkEnd w:id="91"/>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263"/>
              </w:tabs>
              <w:ind w:left="263" w:hanging="263"/>
            </w:pPr>
            <w:r>
              <w:tab/>
              <w:t>Monday to Friday 6 a.m. to 6 p.m.</w:t>
            </w:r>
          </w:p>
        </w:tc>
        <w:tc>
          <w:tcPr>
            <w:tcW w:w="1134" w:type="dxa"/>
            <w:tcBorders>
              <w:top w:val="single" w:sz="4" w:space="0" w:color="auto"/>
              <w:left w:val="nil"/>
            </w:tcBorders>
          </w:tcPr>
          <w:p>
            <w:pPr>
              <w:pStyle w:val="yTableNAm"/>
            </w:pPr>
          </w:p>
          <w:p>
            <w:pPr>
              <w:pStyle w:val="yTableNAm"/>
            </w:pPr>
            <w:r>
              <w:br/>
              <w:t>$3.80</w:t>
            </w:r>
          </w:p>
        </w:tc>
        <w:tc>
          <w:tcPr>
            <w:tcW w:w="1551" w:type="dxa"/>
            <w:tcBorders>
              <w:top w:val="single" w:sz="4" w:space="0" w:color="auto"/>
            </w:tcBorders>
          </w:tcPr>
          <w:p>
            <w:pPr>
              <w:pStyle w:val="yTableNAm"/>
            </w:pPr>
          </w:p>
          <w:p>
            <w:pPr>
              <w:pStyle w:val="yTableNAm"/>
            </w:pPr>
            <w:r>
              <w:br/>
              <w:t>$1.55/km</w:t>
            </w:r>
          </w:p>
        </w:tc>
        <w:tc>
          <w:tcPr>
            <w:tcW w:w="1426" w:type="dxa"/>
            <w:tcBorders>
              <w:top w:val="single" w:sz="4" w:space="0" w:color="auto"/>
            </w:tcBorders>
          </w:tcPr>
          <w:p>
            <w:pPr>
              <w:pStyle w:val="yTableNAm"/>
            </w:pPr>
          </w:p>
          <w:p>
            <w:pPr>
              <w:pStyle w:val="yTableNAm"/>
            </w:pPr>
            <w:r>
              <w:br/>
              <w:t>$44.60/hour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263"/>
              </w:tabs>
              <w:ind w:left="263" w:hanging="263"/>
            </w:pPr>
            <w:r>
              <w:tab/>
              <w:t>Monday to Friday 6 p.m. to 6 a.m.</w:t>
            </w:r>
          </w:p>
          <w:p>
            <w:pPr>
              <w:pStyle w:val="yTableNAm"/>
              <w:tabs>
                <w:tab w:val="clear" w:pos="567"/>
                <w:tab w:val="left" w:pos="263"/>
              </w:tabs>
              <w:ind w:left="263" w:hanging="263"/>
            </w:pPr>
            <w:r>
              <w:tab/>
              <w:t>Friday 6 p.m. to Monday 6 a.m.</w:t>
            </w:r>
          </w:p>
          <w:p>
            <w:pPr>
              <w:pStyle w:val="yTableNAm"/>
              <w:tabs>
                <w:tab w:val="clear" w:pos="567"/>
                <w:tab w:val="left" w:pos="263"/>
              </w:tabs>
              <w:ind w:left="263" w:hanging="263"/>
            </w:pPr>
            <w:r>
              <w:tab/>
              <w:t>All day Public Holidays</w:t>
            </w:r>
          </w:p>
        </w:tc>
        <w:tc>
          <w:tcPr>
            <w:tcW w:w="1134" w:type="dxa"/>
            <w:tcBorders>
              <w:left w:val="nil"/>
            </w:tcBorders>
          </w:tcPr>
          <w:p>
            <w:pPr>
              <w:pStyle w:val="yTableNAm"/>
            </w:pPr>
          </w:p>
          <w:p>
            <w:pPr>
              <w:pStyle w:val="yTableNAm"/>
            </w:pPr>
            <w:r>
              <w:br/>
            </w:r>
          </w:p>
          <w:p>
            <w:pPr>
              <w:pStyle w:val="yTableNAm"/>
            </w:pPr>
            <w:r>
              <w:br/>
            </w:r>
          </w:p>
          <w:p>
            <w:pPr>
              <w:pStyle w:val="yTableNAm"/>
            </w:pPr>
            <w:r>
              <w:br/>
              <w:t>$5.60</w:t>
            </w:r>
          </w:p>
        </w:tc>
        <w:tc>
          <w:tcPr>
            <w:tcW w:w="1551" w:type="dxa"/>
          </w:tcPr>
          <w:p>
            <w:pPr>
              <w:pStyle w:val="yTableNAm"/>
            </w:pPr>
          </w:p>
          <w:p>
            <w:pPr>
              <w:pStyle w:val="yTableNAm"/>
            </w:pPr>
            <w:r>
              <w:br/>
            </w:r>
          </w:p>
          <w:p>
            <w:pPr>
              <w:pStyle w:val="yTableNAm"/>
            </w:pPr>
            <w:r>
              <w:br/>
            </w:r>
          </w:p>
          <w:p>
            <w:pPr>
              <w:pStyle w:val="yTableNAm"/>
            </w:pPr>
            <w:r>
              <w:br/>
              <w:t>$1.55/km</w:t>
            </w:r>
          </w:p>
        </w:tc>
        <w:tc>
          <w:tcPr>
            <w:tcW w:w="1426" w:type="dxa"/>
          </w:tcPr>
          <w:p>
            <w:pPr>
              <w:pStyle w:val="yTableNAm"/>
            </w:pPr>
          </w:p>
          <w:p>
            <w:pPr>
              <w:pStyle w:val="yTableNAm"/>
            </w:pPr>
            <w:r>
              <w:br/>
            </w:r>
          </w:p>
          <w:p>
            <w:pPr>
              <w:pStyle w:val="yTableNAm"/>
            </w:pPr>
            <w:r>
              <w:br/>
            </w:r>
          </w:p>
          <w:p>
            <w:pPr>
              <w:pStyle w:val="yTableNAm"/>
            </w:pPr>
            <w:r>
              <w:br/>
              <w:t>$44.60/hour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263"/>
              </w:tabs>
              <w:ind w:left="263" w:hanging="263"/>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br/>
              <w:t>$5.60</w:t>
            </w:r>
          </w:p>
        </w:tc>
        <w:tc>
          <w:tcPr>
            <w:tcW w:w="1551" w:type="dxa"/>
            <w:tcBorders>
              <w:bottom w:val="single" w:sz="4" w:space="0" w:color="auto"/>
            </w:tcBorders>
          </w:tcPr>
          <w:p>
            <w:pPr>
              <w:pStyle w:val="yTableNAm"/>
            </w:pPr>
          </w:p>
          <w:p>
            <w:pPr>
              <w:pStyle w:val="yTableNAm"/>
            </w:pPr>
            <w:r>
              <w:br/>
            </w:r>
            <w:r>
              <w:br/>
            </w:r>
            <w:r>
              <w:br/>
            </w:r>
            <w:r>
              <w:br/>
            </w:r>
            <w:r>
              <w:br/>
            </w:r>
            <w:r>
              <w:br/>
              <w:t>$2.33/km</w:t>
            </w:r>
          </w:p>
        </w:tc>
        <w:tc>
          <w:tcPr>
            <w:tcW w:w="1426" w:type="dxa"/>
            <w:tcBorders>
              <w:bottom w:val="single" w:sz="4" w:space="0" w:color="auto"/>
            </w:tcBorders>
          </w:tcPr>
          <w:p>
            <w:pPr>
              <w:pStyle w:val="yTableNAm"/>
            </w:pPr>
          </w:p>
          <w:p>
            <w:pPr>
              <w:pStyle w:val="yTableNAm"/>
            </w:pPr>
            <w:r>
              <w:br/>
            </w:r>
            <w:r>
              <w:br/>
            </w:r>
            <w:r>
              <w:br/>
            </w:r>
            <w:r>
              <w:br/>
            </w:r>
            <w:r>
              <w:br/>
            </w:r>
            <w:r>
              <w:br/>
              <w:t>$69.10/hour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$0.95/km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t>$1.43/km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c>
          <w:tcPr>
            <w:tcW w:w="4820" w:type="dxa"/>
          </w:tcPr>
          <w:p>
            <w:pPr>
              <w:pStyle w:val="yTableNAm"/>
              <w:rPr>
                <w:b/>
              </w:rPr>
            </w:pPr>
            <w:r>
              <w:rPr>
                <w:b/>
              </w:rPr>
              <w:t>Cleaning</w:t>
            </w:r>
          </w:p>
          <w:p>
            <w:pPr>
              <w:pStyle w:val="yTableNAm"/>
              <w:tabs>
                <w:tab w:val="clear" w:pos="567"/>
                <w:tab w:val="left" w:pos="263"/>
              </w:tabs>
              <w:ind w:left="263" w:hanging="263"/>
            </w:pPr>
            <w:r>
              <w:tab/>
              <w:t>(when soiled during hiring — for time required to clean)</w:t>
            </w:r>
          </w:p>
        </w:tc>
        <w:tc>
          <w:tcPr>
            <w:tcW w:w="1417" w:type="dxa"/>
          </w:tcPr>
          <w:p>
            <w:pPr>
              <w:pStyle w:val="yTableNAm"/>
            </w:pPr>
          </w:p>
          <w:p>
            <w:pPr>
              <w:pStyle w:val="yTableNAm"/>
            </w:pPr>
            <w:r>
              <w:br/>
              <w:t>$44.60/hour</w:t>
            </w:r>
          </w:p>
        </w:tc>
      </w:tr>
      <w:tr>
        <w:tc>
          <w:tcPr>
            <w:tcW w:w="4820" w:type="dxa"/>
          </w:tcPr>
          <w:p>
            <w:pPr>
              <w:pStyle w:val="yTableNAm"/>
              <w:rPr>
                <w:b/>
              </w:rPr>
            </w:pPr>
            <w:r>
              <w:rPr>
                <w:b/>
              </w:rPr>
              <w:t>Call out fee</w:t>
            </w:r>
          </w:p>
        </w:tc>
        <w:tc>
          <w:tcPr>
            <w:tcW w:w="1417" w:type="dxa"/>
          </w:tcPr>
          <w:p>
            <w:pPr>
              <w:pStyle w:val="yTableNAm"/>
            </w:pPr>
            <w:r>
              <w:t>$1.50</w:t>
            </w:r>
          </w:p>
        </w:tc>
      </w:tr>
      <w:tr>
        <w:trPr>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263"/>
              </w:tabs>
              <w:ind w:left="263" w:hanging="263"/>
            </w:pPr>
            <w:r>
              <w:tab/>
              <w:t>Between midnight Friday to 5 a.m. Saturday or midnight Saturday to 5 a.m. Sunday</w:t>
            </w:r>
          </w:p>
        </w:tc>
        <w:tc>
          <w:tcPr>
            <w:tcW w:w="1417" w:type="dxa"/>
          </w:tcPr>
          <w:p>
            <w:pPr>
              <w:pStyle w:val="yTableNAm"/>
            </w:pPr>
          </w:p>
          <w:p>
            <w:pPr>
              <w:pStyle w:val="yTableNAm"/>
            </w:pPr>
            <w:r>
              <w:br/>
              <w:t>$2.00</w:t>
            </w:r>
          </w:p>
        </w:tc>
      </w:tr>
      <w:tr>
        <w:tc>
          <w:tcPr>
            <w:tcW w:w="4820" w:type="dxa"/>
          </w:tcPr>
          <w:p>
            <w:pPr>
              <w:pStyle w:val="yTableNAm"/>
            </w:pPr>
            <w:r>
              <w:t>Christmas Day —</w:t>
            </w:r>
          </w:p>
          <w:p>
            <w:pPr>
              <w:pStyle w:val="yTableNAm"/>
              <w:tabs>
                <w:tab w:val="clear" w:pos="567"/>
                <w:tab w:val="left" w:pos="263"/>
              </w:tabs>
              <w:ind w:left="263" w:hanging="263"/>
            </w:pPr>
            <w:r>
              <w:tab/>
              <w:t>midnight to midnight</w:t>
            </w:r>
          </w:p>
        </w:tc>
        <w:tc>
          <w:tcPr>
            <w:tcW w:w="1417" w:type="dxa"/>
          </w:tcPr>
          <w:p>
            <w:pPr>
              <w:pStyle w:val="yTableNAm"/>
            </w:pPr>
          </w:p>
          <w:p>
            <w:pPr>
              <w:pStyle w:val="yTableNAm"/>
            </w:pPr>
            <w:r>
              <w:t>$4.65</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263"/>
              </w:tabs>
              <w:ind w:left="263" w:hanging="263"/>
            </w:pPr>
            <w:r>
              <w:tab/>
              <w:t>6 p.m. New Year’s Eve to 6 a.m. New Year’s Day</w:t>
            </w:r>
          </w:p>
        </w:tc>
        <w:tc>
          <w:tcPr>
            <w:tcW w:w="1417" w:type="dxa"/>
            <w:tcBorders>
              <w:bottom w:val="single" w:sz="4" w:space="0" w:color="auto"/>
            </w:tcBorders>
          </w:tcPr>
          <w:p>
            <w:pPr>
              <w:pStyle w:val="yTableNAm"/>
            </w:pPr>
          </w:p>
          <w:p>
            <w:pPr>
              <w:pStyle w:val="yTableNAm"/>
            </w:pPr>
            <w:r>
              <w:br/>
              <w:t>$5.20</w:t>
            </w:r>
          </w:p>
        </w:tc>
      </w:tr>
    </w:tbl>
    <w:p>
      <w:pPr>
        <w:pStyle w:val="yFootnoteheading"/>
      </w:pPr>
      <w:r>
        <w:tab/>
        <w:t>[Division 6 inserted in Gazette 9 Feb 2010 p. 280-1; amended in Gazette 11 Feb 2011 p. 514-15.]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5725" cy="512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92" w:name="_Toc185925046"/>
      <w:bookmarkStart w:id="93" w:name="_Toc205264019"/>
      <w:bookmarkStart w:id="94" w:name="_Toc205268148"/>
      <w:bookmarkStart w:id="95" w:name="_Toc217356698"/>
      <w:bookmarkStart w:id="96" w:name="_Toc219092341"/>
      <w:bookmarkStart w:id="97" w:name="_Toc219093006"/>
      <w:bookmarkStart w:id="98" w:name="_Toc221421995"/>
      <w:bookmarkStart w:id="99" w:name="_Toc221443537"/>
      <w:bookmarkStart w:id="100" w:name="_Toc221936238"/>
      <w:bookmarkStart w:id="101" w:name="_Toc253404797"/>
      <w:r>
        <w:rPr>
          <w:rStyle w:val="CharSchNo"/>
        </w:rPr>
        <w:t>Schedule 2</w:t>
      </w:r>
      <w:r>
        <w:rPr>
          <w:rStyle w:val="CharSDivNo"/>
        </w:rPr>
        <w:t> </w:t>
      </w:r>
      <w:r>
        <w:t>—</w:t>
      </w:r>
      <w:r>
        <w:rPr>
          <w:rStyle w:val="CharSDivText"/>
        </w:rPr>
        <w:t> </w:t>
      </w:r>
      <w:r>
        <w:rPr>
          <w:rStyle w:val="CharSchText"/>
        </w:rPr>
        <w:t>Modified penalties</w:t>
      </w:r>
      <w:bookmarkEnd w:id="72"/>
      <w:bookmarkEnd w:id="73"/>
      <w:bookmarkEnd w:id="92"/>
      <w:bookmarkEnd w:id="93"/>
      <w:bookmarkEnd w:id="94"/>
      <w:bookmarkEnd w:id="95"/>
      <w:bookmarkEnd w:id="96"/>
      <w:bookmarkEnd w:id="97"/>
      <w:bookmarkEnd w:id="98"/>
      <w:bookmarkEnd w:id="99"/>
      <w:bookmarkEnd w:id="100"/>
      <w:bookmarkEnd w:id="101"/>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02" w:name="_Toc140635264"/>
      <w:bookmarkStart w:id="103" w:name="_Toc153266594"/>
      <w:bookmarkStart w:id="104" w:name="_Toc185925047"/>
      <w:bookmarkStart w:id="105" w:name="_Toc205264020"/>
      <w:bookmarkStart w:id="106" w:name="_Toc205268149"/>
      <w:bookmarkStart w:id="107" w:name="_Toc217356699"/>
      <w:bookmarkStart w:id="108" w:name="_Toc219092342"/>
      <w:bookmarkStart w:id="109" w:name="_Toc219093007"/>
      <w:bookmarkStart w:id="110" w:name="_Toc221421996"/>
      <w:bookmarkStart w:id="111" w:name="_Toc221443538"/>
      <w:bookmarkStart w:id="112" w:name="_Toc221936239"/>
      <w:bookmarkStart w:id="113" w:name="_Toc253404798"/>
      <w:r>
        <w:rPr>
          <w:rStyle w:val="CharSchNo"/>
        </w:rPr>
        <w:t>Schedule 3</w:t>
      </w:r>
      <w:r>
        <w:rPr>
          <w:rStyle w:val="CharSDivNo"/>
        </w:rPr>
        <w:t> </w:t>
      </w:r>
      <w:r>
        <w:t>—</w:t>
      </w:r>
      <w:r>
        <w:rPr>
          <w:rStyle w:val="CharSDivText"/>
        </w:rPr>
        <w:t> </w:t>
      </w:r>
      <w:r>
        <w:rPr>
          <w:rStyle w:val="CharSchText"/>
        </w:rPr>
        <w:t>Forms</w:t>
      </w:r>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1"/>
          <w:pgSz w:w="11906" w:h="16838" w:code="9"/>
          <w:pgMar w:top="2376" w:right="2405" w:bottom="3542" w:left="2405" w:header="706" w:footer="3380" w:gutter="0"/>
          <w:cols w:space="720"/>
          <w:noEndnote/>
          <w:docGrid w:linePitch="326"/>
        </w:sectPr>
      </w:pPr>
    </w:p>
    <w:p>
      <w:pPr>
        <w:pStyle w:val="nHeading2"/>
      </w:pPr>
      <w:bookmarkStart w:id="114" w:name="_Toc90434964"/>
      <w:bookmarkStart w:id="115" w:name="_Toc93999555"/>
      <w:bookmarkStart w:id="116" w:name="_Toc94065531"/>
      <w:bookmarkStart w:id="117" w:name="_Toc94065555"/>
      <w:bookmarkStart w:id="118" w:name="_Toc121125121"/>
      <w:bookmarkStart w:id="119" w:name="_Toc140570748"/>
      <w:bookmarkStart w:id="120" w:name="_Toc140635265"/>
      <w:bookmarkStart w:id="121" w:name="_Toc153266595"/>
      <w:bookmarkStart w:id="122" w:name="_Toc185925048"/>
      <w:bookmarkStart w:id="123" w:name="_Toc205264021"/>
      <w:bookmarkStart w:id="124" w:name="_Toc205268150"/>
      <w:bookmarkStart w:id="125" w:name="_Toc217356700"/>
      <w:bookmarkStart w:id="126" w:name="_Toc219092343"/>
      <w:bookmarkStart w:id="127" w:name="_Toc219093008"/>
      <w:bookmarkStart w:id="128" w:name="_Toc221421997"/>
      <w:bookmarkStart w:id="129" w:name="_Toc221443539"/>
      <w:bookmarkStart w:id="130" w:name="_Toc221936240"/>
      <w:bookmarkStart w:id="131" w:name="_Toc253404799"/>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bookmarkStart w:id="132" w:name="_Toc28498431"/>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253404800"/>
      <w:bookmarkEnd w:id="132"/>
      <w:r>
        <w:rPr>
          <w:snapToGrid w:val="0"/>
        </w:rP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Borders>
              <w:bottom w:val="single" w:sz="4" w:space="0" w:color="auto"/>
            </w:tcBorders>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Borders>
              <w:bottom w:val="single" w:sz="4" w:space="0" w:color="auto"/>
            </w:tcBorders>
          </w:tcPr>
          <w:p>
            <w:pPr>
              <w:pStyle w:val="nTable"/>
              <w:spacing w:after="40"/>
              <w:rPr>
                <w:sz w:val="19"/>
              </w:rPr>
            </w:pPr>
            <w:r>
              <w:rPr>
                <w:sz w:val="19"/>
              </w:rPr>
              <w:t>11 Feb 2011 p. 508-15</w:t>
            </w:r>
          </w:p>
        </w:tc>
        <w:tc>
          <w:tcPr>
            <w:tcW w:w="2693" w:type="dxa"/>
            <w:tcBorders>
              <w:bottom w:val="single" w:sz="4" w:space="0" w:color="auto"/>
            </w:tcBorders>
          </w:tcPr>
          <w:p>
            <w:pPr>
              <w:pStyle w:val="nTable"/>
              <w:spacing w:after="40"/>
              <w:rPr>
                <w:sz w:val="19"/>
              </w:rPr>
            </w:pPr>
            <w:r>
              <w:rPr>
                <w:sz w:val="19"/>
              </w:rPr>
              <w:t>r. 1 and 2: 11 Feb 2011 (see r. 2(a));</w:t>
            </w:r>
            <w:r>
              <w:rPr>
                <w:sz w:val="19"/>
              </w:rPr>
              <w:br/>
              <w:t>Regulations other than r. 1 and 2: 12 Feb 2011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pPr>
        <w:rPr>
          <w:noProof/>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noProof/>
          <w:sz w:val="28"/>
        </w:rPr>
      </w:pPr>
      <w:bookmarkStart w:id="134" w:name="_Toc219093010"/>
      <w:bookmarkStart w:id="135" w:name="_Toc221421999"/>
      <w:bookmarkStart w:id="136" w:name="_Toc221443541"/>
      <w:bookmarkStart w:id="137" w:name="_Toc221936242"/>
      <w:bookmarkStart w:id="138" w:name="_Toc253404801"/>
      <w:r>
        <w:rPr>
          <w:noProof/>
          <w:sz w:val="28"/>
        </w:rPr>
        <w:t>Defined Terms</w:t>
      </w:r>
      <w:bookmarkEnd w:id="134"/>
      <w:bookmarkEnd w:id="135"/>
      <w:bookmarkEnd w:id="136"/>
      <w:bookmarkEnd w:id="137"/>
      <w:bookmarkEnd w:id="138"/>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139" w:name="DefinedTerms"/>
      <w:bookmarkEnd w:id="139"/>
      <w:r>
        <w:rPr>
          <w:noProof/>
          <w:snapToGrid w:val="0"/>
        </w:rPr>
        <w:t>a 30 km radius</w:t>
      </w:r>
      <w:r>
        <w:rPr>
          <w:noProof/>
          <w:snapToGrid w:val="0"/>
        </w:rPr>
        <w:tab/>
        <w:t>3(4)</w:t>
      </w:r>
    </w:p>
    <w:p>
      <w:pPr>
        <w:pStyle w:val="DefinedTerms"/>
        <w:rPr>
          <w:noProof/>
          <w:snapToGrid w:val="0"/>
        </w:rPr>
      </w:pPr>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rPr>
          <w:noProof/>
          <w:snapToGrid w:val="0"/>
        </w:rPr>
      </w:pPr>
    </w:p>
    <w:p>
      <w:pPr>
        <w:rPr>
          <w:noProof/>
          <w:snapToGrid w:val="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noProof/>
          <w:snapToGrid w:val="0"/>
        </w:rPr>
      </w:pPr>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4868</Words>
  <Characters>25122</Characters>
  <Application>Microsoft Office Word</Application>
  <DocSecurity>0</DocSecurity>
  <Lines>1570</Lines>
  <Paragraphs>833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29157</CharactersWithSpaces>
  <SharedDoc>false</SharedDoc>
  <HLinks>
    <vt:vector size="12" baseType="variant">
      <vt:variant>
        <vt:i4>131085</vt:i4>
      </vt:variant>
      <vt:variant>
        <vt:i4>25750</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1991 - 02-c0-01</dc:title>
  <dc:subject/>
  <dc:creator/>
  <cp:keywords/>
  <dc:description/>
  <cp:lastModifiedBy>svcMRProcess</cp:lastModifiedBy>
  <cp:revision>4</cp:revision>
  <cp:lastPrinted>2009-02-10T03:10:00Z</cp:lastPrinted>
  <dcterms:created xsi:type="dcterms:W3CDTF">2018-09-10T09:14:00Z</dcterms:created>
  <dcterms:modified xsi:type="dcterms:W3CDTF">2018-09-10T09:15:00Z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4376</vt:i4>
  </property>
  <property fmtid="{D5CDD505-2E9C-101B-9397-08002B2CF9AE}" pid="6" name="AsAtDate">
    <vt:lpwstr>12 Feb 2011</vt:lpwstr>
  </property>
  <property fmtid="{D5CDD505-2E9C-101B-9397-08002B2CF9AE}" pid="7" name="Suffix">
    <vt:lpwstr>02-c0-01</vt:lpwstr>
  </property>
  <property fmtid="{D5CDD505-2E9C-101B-9397-08002B2CF9AE}" pid="8" name="ReprintNo">
    <vt:lpwstr>2</vt:lpwstr>
  </property>
</Properties>
</file>