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Aid Commission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Aid Commission (Costs) Rules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Aid Commission (Costs) Rules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_Toc419818225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Interpretation</w:t>
      </w:r>
      <w:r>
        <w:tab/>
      </w:r>
      <w:r>
        <w:fldChar w:fldCharType="begin"/>
      </w:r>
      <w:r>
        <w:instrText xml:space="preserve"> PAGEREF _Toc419818226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Scales of fees</w:t>
      </w:r>
      <w:r>
        <w:tab/>
      </w:r>
      <w:r>
        <w:fldChar w:fldCharType="begin"/>
      </w:r>
      <w:r>
        <w:instrText xml:space="preserve"> PAGEREF _Toc419818227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 of Schedule 1 — assigned practitioners</w:t>
      </w:r>
      <w:r>
        <w:tab/>
      </w:r>
      <w:r>
        <w:fldChar w:fldCharType="begin"/>
      </w:r>
      <w:r>
        <w:instrText xml:space="preserve"> PAGEREF _Toc419818228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Application of Schedule 2</w:t>
      </w:r>
      <w:r>
        <w:tab/>
      </w:r>
      <w:r>
        <w:fldChar w:fldCharType="begin"/>
      </w:r>
      <w:r>
        <w:instrText xml:space="preserve"> PAGEREF _Toc419818229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Application of Schedule 3 — Counsel and Queen’s Counsel fees</w:t>
      </w:r>
      <w:r>
        <w:tab/>
      </w:r>
      <w:r>
        <w:fldChar w:fldCharType="begin"/>
      </w:r>
      <w:r>
        <w:instrText xml:space="preserve"> PAGEREF _Toc419818230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 xml:space="preserve">. </w:t>
      </w:r>
      <w:r>
        <w:rPr>
          <w:snapToGrid w:val="0"/>
        </w:rPr>
        <w:tab/>
        <w:t>Schedule 3 — special circumstances</w:t>
      </w:r>
      <w:r>
        <w:tab/>
      </w:r>
      <w:r>
        <w:fldChar w:fldCharType="begin"/>
      </w:r>
      <w:r>
        <w:instrText xml:space="preserve"> PAGEREF _Toc419818231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Computation of daily rate and hourly rate under Schedule 1 or Schedule 3</w:t>
      </w:r>
      <w:r>
        <w:tab/>
      </w:r>
      <w:r>
        <w:fldChar w:fldCharType="begin"/>
      </w:r>
      <w:r>
        <w:instrText xml:space="preserve"> PAGEREF _Toc419818232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Percentage of fees</w:t>
      </w:r>
      <w:r>
        <w:tab/>
      </w:r>
      <w:r>
        <w:fldChar w:fldCharType="begin"/>
      </w:r>
      <w:r>
        <w:instrText xml:space="preserve"> PAGEREF _Toc419818233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Application of rule 8(a)</w:t>
      </w:r>
      <w:r>
        <w:tab/>
      </w:r>
      <w:r>
        <w:fldChar w:fldCharType="begin"/>
      </w:r>
      <w:r>
        <w:instrText xml:space="preserve"> PAGEREF _Toc419818234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Fees for services in respect of multiple charges or offences</w:t>
      </w:r>
      <w:r>
        <w:tab/>
      </w:r>
      <w:r>
        <w:fldChar w:fldCharType="begin"/>
      </w:r>
      <w:r>
        <w:instrText xml:space="preserve"> PAGEREF _Toc419818235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Fees for services in respect of more than one defendant</w:t>
      </w:r>
      <w:r>
        <w:tab/>
      </w:r>
      <w:r>
        <w:fldChar w:fldCharType="begin"/>
      </w:r>
      <w:r>
        <w:instrText xml:space="preserve"> PAGEREF _Toc419818236 \h </w:instrText>
      </w:r>
      <w:r>
        <w:fldChar w:fldCharType="separate"/>
      </w:r>
      <w:r>
        <w:t>7</w:t>
      </w:r>
      <w:r>
        <w:fldChar w:fldCharType="end"/>
      </w:r>
    </w:p>
    <w:p>
      <w:pPr>
        <w:pStyle w:val="TOC8"/>
        <w:rPr>
          <w:rFonts w:asciiTheme="minorHAnsi" w:eastAsiaTheme="minorEastAsia" w:hAnsiTheme="minorHAnsi" w:cstheme="minorBidi"/>
          <w:szCs w:val="22"/>
        </w:rPr>
      </w:pPr>
      <w:r>
        <w:t>11A</w:t>
      </w:r>
      <w:r>
        <w:rPr>
          <w:snapToGrid w:val="0"/>
        </w:rPr>
        <w:t xml:space="preserve">. </w:t>
      </w:r>
      <w:r>
        <w:rPr>
          <w:snapToGrid w:val="0"/>
        </w:rPr>
        <w:tab/>
        <w:t>Photocopying charges — Schedule 2</w:t>
      </w:r>
      <w:r>
        <w:tab/>
      </w:r>
      <w:r>
        <w:fldChar w:fldCharType="begin"/>
      </w:r>
      <w:r>
        <w:instrText xml:space="preserve"> PAGEREF _Toc419818237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Travelling and waiting time</w:t>
      </w:r>
      <w:r>
        <w:tab/>
      </w:r>
      <w:r>
        <w:fldChar w:fldCharType="begin"/>
      </w:r>
      <w:r>
        <w:instrText xml:space="preserve"> PAGEREF _Toc419818238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Payment for actual time spent travelling or in conference etc.</w:t>
      </w:r>
      <w:r>
        <w:tab/>
      </w:r>
      <w:r>
        <w:fldChar w:fldCharType="begin"/>
      </w:r>
      <w:r>
        <w:instrText xml:space="preserve"> PAGEREF _Toc419818239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Travelling and special country allowances</w:t>
      </w:r>
      <w:r>
        <w:tab/>
      </w:r>
      <w:r>
        <w:fldChar w:fldCharType="begin"/>
      </w:r>
      <w:r>
        <w:instrText xml:space="preserve"> PAGEREF _Toc419818240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Payment for exceptional work</w:t>
      </w:r>
      <w:r>
        <w:tab/>
      </w:r>
      <w:r>
        <w:fldChar w:fldCharType="begin"/>
      </w:r>
      <w:r>
        <w:instrText xml:space="preserve"> PAGEREF _Toc419818241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Agents’ fees</w:t>
      </w:r>
      <w:r>
        <w:tab/>
      </w:r>
      <w:r>
        <w:fldChar w:fldCharType="begin"/>
      </w:r>
      <w:r>
        <w:instrText xml:space="preserve"> PAGEREF _Toc419818242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Court directed conferences</w:t>
      </w:r>
      <w:r>
        <w:tab/>
      </w:r>
      <w:r>
        <w:fldChar w:fldCharType="begin"/>
      </w:r>
      <w:r>
        <w:instrText xml:space="preserve"> PAGEREF _Toc419818243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Reimbursement where costs recovered</w:t>
      </w:r>
      <w:r>
        <w:tab/>
      </w:r>
      <w:r>
        <w:fldChar w:fldCharType="begin"/>
      </w:r>
      <w:r>
        <w:instrText xml:space="preserve"> PAGEREF _Toc419818244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Transitional and savings</w:t>
      </w:r>
      <w:r>
        <w:tab/>
      </w:r>
      <w:r>
        <w:fldChar w:fldCharType="begin"/>
      </w:r>
      <w:r>
        <w:instrText xml:space="preserve"> PAGEREF _Toc419818245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 payable under rule 3(a)</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Fees payable under rule 3(b)</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Fees payable under rule 3(c)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_Toc419818253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Legal Aid Commission Act 1976</w:t>
      </w:r>
    </w:p>
    <w:p>
      <w:pPr>
        <w:pStyle w:val="NameofActReg"/>
      </w:pPr>
      <w:r>
        <w:t>Legal Aid Commission (Costs) Rules 1990</w:t>
      </w:r>
    </w:p>
    <w:p>
      <w:pPr>
        <w:pStyle w:val="Heading5"/>
        <w:rPr>
          <w:snapToGrid w:val="0"/>
        </w:rPr>
      </w:pPr>
      <w:bookmarkStart w:id="3" w:name="_Toc379186475"/>
      <w:bookmarkStart w:id="4" w:name="_Toc419818225"/>
      <w:r>
        <w:rPr>
          <w:rStyle w:val="CharSectno"/>
        </w:rPr>
        <w:t>1</w:t>
      </w:r>
      <w:r>
        <w:rPr>
          <w:snapToGrid w:val="0"/>
        </w:rPr>
        <w:t xml:space="preserve">. </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Legal Aid Commission (Costs) Rules 1990</w:t>
      </w:r>
      <w:r>
        <w:rPr>
          <w:snapToGrid w:val="0"/>
          <w:vertAlign w:val="superscript"/>
        </w:rPr>
        <w:t> 1</w:t>
      </w:r>
      <w:r>
        <w:rPr>
          <w:snapToGrid w:val="0"/>
        </w:rPr>
        <w:t>.</w:t>
      </w:r>
    </w:p>
    <w:p>
      <w:pPr>
        <w:pStyle w:val="Heading5"/>
        <w:rPr>
          <w:snapToGrid w:val="0"/>
        </w:rPr>
      </w:pPr>
      <w:bookmarkStart w:id="5" w:name="_Toc379186476"/>
      <w:bookmarkStart w:id="6" w:name="_Toc419818226"/>
      <w:r>
        <w:rPr>
          <w:rStyle w:val="CharSectno"/>
        </w:rPr>
        <w:t>2</w:t>
      </w:r>
      <w:r>
        <w:rPr>
          <w:snapToGrid w:val="0"/>
        </w:rPr>
        <w:t xml:space="preserve">. </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r>
      <w:r>
        <w:rPr>
          <w:rStyle w:val="CharDefText"/>
        </w:rPr>
        <w:t>approved</w:t>
      </w:r>
      <w:r>
        <w:t xml:space="preserve"> has the meaning assigned to it in section 14(1a) of the Act;</w:t>
      </w:r>
    </w:p>
    <w:p>
      <w:pPr>
        <w:pStyle w:val="Defstart"/>
      </w:pPr>
      <w:r>
        <w:rPr>
          <w:b/>
        </w:rPr>
        <w:tab/>
      </w:r>
      <w:r>
        <w:rPr>
          <w:rStyle w:val="CharDefText"/>
        </w:rPr>
        <w:t>assigned practitioner</w:t>
      </w:r>
      <w:r>
        <w:t xml:space="preserve"> means — </w:t>
      </w:r>
    </w:p>
    <w:p>
      <w:pPr>
        <w:pStyle w:val="Defpara"/>
      </w:pPr>
      <w:r>
        <w:tab/>
        <w:t>(a)</w:t>
      </w:r>
      <w:r>
        <w:tab/>
        <w:t>a private practitioner to whom a grant of legal aid under Part V Division 3 of the Act has been assigned; and</w:t>
      </w:r>
    </w:p>
    <w:p>
      <w:pPr>
        <w:pStyle w:val="Defpara"/>
      </w:pPr>
      <w:r>
        <w:tab/>
        <w:t>(b)</w:t>
      </w:r>
      <w:r>
        <w:tab/>
        <w:t>a practitioner employed by the Commission who, on behalf of the Director, has the conduct of a grant of legal aid assigned to the director;</w:t>
      </w:r>
    </w:p>
    <w:p>
      <w:pPr>
        <w:pStyle w:val="Defstart"/>
      </w:pPr>
      <w:r>
        <w:rPr>
          <w:b/>
        </w:rPr>
        <w:tab/>
      </w:r>
      <w:r>
        <w:rPr>
          <w:rStyle w:val="CharDefText"/>
        </w:rPr>
        <w:t>authorised officer</w:t>
      </w:r>
      <w:r>
        <w:t xml:space="preserve"> means a member of the staff of the Commission authorised by the Director under section 36(2) of the Act to decide applications for legal aid;</w:t>
      </w:r>
    </w:p>
    <w:p>
      <w:pPr>
        <w:pStyle w:val="Defstart"/>
      </w:pPr>
      <w:r>
        <w:rPr>
          <w:b/>
        </w:rPr>
        <w:tab/>
      </w:r>
      <w:r>
        <w:rPr>
          <w:rStyle w:val="CharDefText"/>
        </w:rPr>
        <w:t>committee</w:t>
      </w:r>
      <w:r>
        <w:t xml:space="preserve"> means a legal aid committee or a review committee established under section 24 or section 50 of the Act respectively as the context may require;</w:t>
      </w:r>
    </w:p>
    <w:p>
      <w:pPr>
        <w:pStyle w:val="Defstart"/>
      </w:pPr>
      <w:r>
        <w:rPr>
          <w:b/>
        </w:rPr>
        <w:tab/>
      </w:r>
      <w:r>
        <w:rPr>
          <w:rStyle w:val="CharDefText"/>
        </w:rPr>
        <w:t>folio</w:t>
      </w:r>
      <w:r>
        <w:t xml:space="preserve"> means 100 words;</w:t>
      </w:r>
    </w:p>
    <w:p>
      <w:pPr>
        <w:pStyle w:val="Defstart"/>
      </w:pPr>
      <w:r>
        <w:rPr>
          <w:b/>
        </w:rPr>
        <w:tab/>
      </w:r>
      <w:r>
        <w:rPr>
          <w:rStyle w:val="CharDefText"/>
        </w:rPr>
        <w:t>legal services</w:t>
      </w:r>
      <w:r>
        <w:t xml:space="preserve"> means services performed by a private practitioner or an agent or counsel briefed by the private practitioner by way of legal assistance under Part V Division 3 of the Act;</w:t>
      </w:r>
    </w:p>
    <w:p>
      <w:pPr>
        <w:pStyle w:val="Defstart"/>
      </w:pPr>
      <w:r>
        <w:rPr>
          <w:b/>
        </w:rPr>
        <w:tab/>
      </w:r>
      <w:r>
        <w:rPr>
          <w:rStyle w:val="CharDefText"/>
        </w:rPr>
        <w:t>page</w:t>
      </w:r>
      <w:r>
        <w:t xml:space="preserve"> means where a document is drawn or engrossed 2 or more folios of one and a half spaced typed or printed words or figures amounting to not less than 200 words or figures of originally composed text;</w:t>
      </w:r>
    </w:p>
    <w:p>
      <w:pPr>
        <w:pStyle w:val="Defstart"/>
      </w:pPr>
      <w:r>
        <w:rPr>
          <w:b/>
        </w:rPr>
        <w:tab/>
      </w:r>
      <w:r>
        <w:rPr>
          <w:rStyle w:val="CharDefText"/>
        </w:rPr>
        <w:t>special circumstances</w:t>
      </w:r>
      <w:r>
        <w:t xml:space="preserve"> includes — </w:t>
      </w:r>
    </w:p>
    <w:p>
      <w:pPr>
        <w:pStyle w:val="Defpara"/>
      </w:pPr>
      <w:r>
        <w:tab/>
        <w:t>(a)</w:t>
      </w:r>
      <w:r>
        <w:tab/>
        <w:t>the complexity of the facts;</w:t>
      </w:r>
    </w:p>
    <w:p>
      <w:pPr>
        <w:pStyle w:val="Defpara"/>
      </w:pPr>
      <w:r>
        <w:tab/>
        <w:t>(b)</w:t>
      </w:r>
      <w:r>
        <w:tab/>
        <w:t>the complexity of legal arguments which might reasonably be required; and</w:t>
      </w:r>
    </w:p>
    <w:p>
      <w:pPr>
        <w:pStyle w:val="Defpara"/>
      </w:pPr>
      <w:r>
        <w:tab/>
        <w:t>(c)</w:t>
      </w:r>
      <w:r>
        <w:tab/>
        <w:t>whether or not the legal aid assignment concerns a matter of public importance.</w:t>
      </w:r>
    </w:p>
    <w:p>
      <w:pPr>
        <w:pStyle w:val="Footnotesection"/>
      </w:pPr>
      <w:r>
        <w:tab/>
        <w:t>[Rule 2 amended: Gazette 30 Oct 1992 p. 5332</w:t>
      </w:r>
      <w:r>
        <w:noBreakHyphen/>
        <w:t xml:space="preserve">3.] </w:t>
      </w:r>
    </w:p>
    <w:p>
      <w:pPr>
        <w:pStyle w:val="Heading5"/>
        <w:rPr>
          <w:snapToGrid w:val="0"/>
        </w:rPr>
      </w:pPr>
      <w:bookmarkStart w:id="7" w:name="_Toc379186477"/>
      <w:bookmarkStart w:id="8" w:name="_Toc419818227"/>
      <w:r>
        <w:rPr>
          <w:rStyle w:val="CharSectno"/>
        </w:rPr>
        <w:t>3</w:t>
      </w:r>
      <w:r>
        <w:rPr>
          <w:snapToGrid w:val="0"/>
        </w:rPr>
        <w:t xml:space="preserve">. </w:t>
      </w:r>
      <w:r>
        <w:rPr>
          <w:snapToGrid w:val="0"/>
        </w:rPr>
        <w:tab/>
        <w:t>Scales of fees</w:t>
      </w:r>
      <w:bookmarkEnd w:id="7"/>
      <w:bookmarkEnd w:id="8"/>
      <w:r>
        <w:rPr>
          <w:snapToGrid w:val="0"/>
        </w:rPr>
        <w:t xml:space="preserve"> </w:t>
      </w:r>
    </w:p>
    <w:p>
      <w:pPr>
        <w:pStyle w:val="Subsection"/>
        <w:rPr>
          <w:snapToGrid w:val="0"/>
        </w:rPr>
      </w:pPr>
      <w:r>
        <w:rPr>
          <w:snapToGrid w:val="0"/>
        </w:rPr>
        <w:tab/>
      </w:r>
      <w:r>
        <w:rPr>
          <w:snapToGrid w:val="0"/>
        </w:rPr>
        <w:tab/>
        <w:t>For the purposes of section 14(1)(a)(i) of the Act the scales of fees set out — </w:t>
      </w:r>
    </w:p>
    <w:p>
      <w:pPr>
        <w:pStyle w:val="Indenta"/>
        <w:rPr>
          <w:snapToGrid w:val="0"/>
        </w:rPr>
      </w:pPr>
      <w:r>
        <w:rPr>
          <w:snapToGrid w:val="0"/>
        </w:rPr>
        <w:tab/>
        <w:t>(a)</w:t>
      </w:r>
      <w:r>
        <w:rPr>
          <w:snapToGrid w:val="0"/>
        </w:rPr>
        <w:tab/>
        <w:t>subject to rule 15, in Schedule 1 are payable in the jurisdictions specified in that Schedule;</w:t>
      </w:r>
    </w:p>
    <w:p>
      <w:pPr>
        <w:pStyle w:val="Indenta"/>
        <w:rPr>
          <w:snapToGrid w:val="0"/>
        </w:rPr>
      </w:pPr>
      <w:r>
        <w:rPr>
          <w:snapToGrid w:val="0"/>
        </w:rPr>
        <w:tab/>
        <w:t>(b)</w:t>
      </w:r>
      <w:r>
        <w:rPr>
          <w:snapToGrid w:val="0"/>
        </w:rPr>
        <w:tab/>
        <w:t>in Schedule 2 are payable — </w:t>
      </w:r>
    </w:p>
    <w:p>
      <w:pPr>
        <w:pStyle w:val="Indenti"/>
        <w:rPr>
          <w:snapToGrid w:val="0"/>
        </w:rPr>
      </w:pPr>
      <w:r>
        <w:rPr>
          <w:snapToGrid w:val="0"/>
        </w:rPr>
        <w:tab/>
        <w:t>(i)</w:t>
      </w:r>
      <w:r>
        <w:rPr>
          <w:snapToGrid w:val="0"/>
        </w:rPr>
        <w:tab/>
        <w:t>for services for which no other scale of fees is prescribed and where rule 9(a) does not apply;</w:t>
      </w:r>
    </w:p>
    <w:p>
      <w:pPr>
        <w:pStyle w:val="Indenti"/>
        <w:rPr>
          <w:snapToGrid w:val="0"/>
        </w:rPr>
      </w:pPr>
      <w:r>
        <w:rPr>
          <w:snapToGrid w:val="0"/>
        </w:rPr>
        <w:tab/>
        <w:t>(ii)</w:t>
      </w:r>
      <w:r>
        <w:rPr>
          <w:snapToGrid w:val="0"/>
        </w:rPr>
        <w:tab/>
        <w:t>for services provided before proceedings have commenced; and</w:t>
      </w:r>
    </w:p>
    <w:p>
      <w:pPr>
        <w:pStyle w:val="Indenti"/>
        <w:rPr>
          <w:snapToGrid w:val="0"/>
        </w:rPr>
      </w:pPr>
      <w:r>
        <w:rPr>
          <w:snapToGrid w:val="0"/>
        </w:rPr>
        <w:tab/>
        <w:t>(iii)</w:t>
      </w:r>
      <w:r>
        <w:rPr>
          <w:snapToGrid w:val="0"/>
        </w:rPr>
        <w:tab/>
        <w:t>for services provided by an assigned practitioner where approval is given for the assigned practitioner to instruct counsel or Queen’s Counsel;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subject to rule 6, in Schedule 3 are payable to counsel and Queen’s Counsel instructed as approved for the services specified in that Schedule.</w:t>
      </w:r>
    </w:p>
    <w:p>
      <w:pPr>
        <w:pStyle w:val="Footnotesection"/>
      </w:pPr>
      <w:r>
        <w:tab/>
        <w:t xml:space="preserve">[Rule 3 amended: Gazette 30 Oct 1992 p. 5333.] </w:t>
      </w:r>
    </w:p>
    <w:p>
      <w:pPr>
        <w:pStyle w:val="Heading5"/>
        <w:rPr>
          <w:snapToGrid w:val="0"/>
        </w:rPr>
      </w:pPr>
      <w:bookmarkStart w:id="9" w:name="_Toc379186478"/>
      <w:bookmarkStart w:id="10" w:name="_Toc419818228"/>
      <w:r>
        <w:rPr>
          <w:rStyle w:val="CharSectno"/>
        </w:rPr>
        <w:t>4</w:t>
      </w:r>
      <w:r>
        <w:rPr>
          <w:snapToGrid w:val="0"/>
        </w:rPr>
        <w:t xml:space="preserve">. </w:t>
      </w:r>
      <w:r>
        <w:rPr>
          <w:snapToGrid w:val="0"/>
        </w:rPr>
        <w:tab/>
        <w:t>Application of Schedule 1 — assigned practitioners</w:t>
      </w:r>
      <w:bookmarkEnd w:id="9"/>
      <w:bookmarkEnd w:id="10"/>
      <w:r>
        <w:rPr>
          <w:snapToGrid w:val="0"/>
        </w:rPr>
        <w:t xml:space="preserve"> </w:t>
      </w:r>
    </w:p>
    <w:p>
      <w:pPr>
        <w:pStyle w:val="Subsection"/>
        <w:rPr>
          <w:snapToGrid w:val="0"/>
        </w:rPr>
      </w:pPr>
      <w:r>
        <w:rPr>
          <w:snapToGrid w:val="0"/>
        </w:rPr>
        <w:tab/>
        <w:t>(1)</w:t>
      </w:r>
      <w:r>
        <w:rPr>
          <w:snapToGrid w:val="0"/>
        </w:rPr>
        <w:tab/>
        <w:t>Where the fees set out in Schedule 1 designate a range between a minimum and maximum fee, the fee payable to an assigned practitioner shall be an amount within the range as approved.</w:t>
      </w:r>
    </w:p>
    <w:p>
      <w:pPr>
        <w:pStyle w:val="Subsection"/>
        <w:rPr>
          <w:snapToGrid w:val="0"/>
        </w:rPr>
      </w:pPr>
      <w:r>
        <w:rPr>
          <w:snapToGrid w:val="0"/>
        </w:rPr>
        <w:tab/>
        <w:t>(2)</w:t>
      </w:r>
      <w:r>
        <w:rPr>
          <w:snapToGrid w:val="0"/>
        </w:rPr>
        <w:tab/>
        <w:t>Where the fees set out in Schedule 1 do not designate a range between a minimum and maximum fee, the fee specified is the maximum fee and in determining the fee payable to an assigned practitioner, the Director, an authorised officer or the committee shall consider all relevant factors including — </w:t>
      </w:r>
    </w:p>
    <w:p>
      <w:pPr>
        <w:pStyle w:val="Indenta"/>
        <w:rPr>
          <w:snapToGrid w:val="0"/>
        </w:rPr>
      </w:pPr>
      <w:r>
        <w:rPr>
          <w:snapToGrid w:val="0"/>
        </w:rPr>
        <w:tab/>
        <w:t>(aa)</w:t>
      </w:r>
      <w:r>
        <w:rPr>
          <w:snapToGrid w:val="0"/>
        </w:rPr>
        <w:tab/>
        <w:t xml:space="preserve">rule 9 of the </w:t>
      </w:r>
      <w:r>
        <w:rPr>
          <w:i/>
          <w:snapToGrid w:val="0"/>
        </w:rPr>
        <w:t>Legal Aid Commission Rules 1990</w:t>
      </w:r>
      <w:r>
        <w:rPr>
          <w:snapToGrid w:val="0"/>
        </w:rPr>
        <w:t>;</w:t>
      </w:r>
    </w:p>
    <w:p>
      <w:pPr>
        <w:pStyle w:val="Indenta"/>
        <w:rPr>
          <w:snapToGrid w:val="0"/>
        </w:rPr>
      </w:pPr>
      <w:r>
        <w:rPr>
          <w:snapToGrid w:val="0"/>
        </w:rPr>
        <w:tab/>
        <w:t>(a)</w:t>
      </w:r>
      <w:r>
        <w:rPr>
          <w:snapToGrid w:val="0"/>
        </w:rPr>
        <w:tab/>
        <w:t>time spent in rendering the service;</w:t>
      </w:r>
    </w:p>
    <w:p>
      <w:pPr>
        <w:pStyle w:val="Indenta"/>
        <w:rPr>
          <w:snapToGrid w:val="0"/>
        </w:rPr>
      </w:pPr>
      <w:r>
        <w:rPr>
          <w:snapToGrid w:val="0"/>
        </w:rPr>
        <w:tab/>
        <w:t>(b)</w:t>
      </w:r>
      <w:r>
        <w:rPr>
          <w:snapToGrid w:val="0"/>
        </w:rPr>
        <w:tab/>
        <w:t>the complexity of the service;</w:t>
      </w:r>
    </w:p>
    <w:p>
      <w:pPr>
        <w:pStyle w:val="Indenta"/>
        <w:rPr>
          <w:snapToGrid w:val="0"/>
        </w:rPr>
      </w:pPr>
      <w:r>
        <w:rPr>
          <w:snapToGrid w:val="0"/>
        </w:rPr>
        <w:tab/>
        <w:t>(c)</w:t>
      </w:r>
      <w:r>
        <w:rPr>
          <w:snapToGrid w:val="0"/>
        </w:rPr>
        <w:tab/>
        <w:t>the seniority of the practitioner;</w:t>
      </w:r>
    </w:p>
    <w:p>
      <w:pPr>
        <w:pStyle w:val="Indenta"/>
        <w:rPr>
          <w:snapToGrid w:val="0"/>
        </w:rPr>
      </w:pPr>
      <w:r>
        <w:rPr>
          <w:snapToGrid w:val="0"/>
        </w:rPr>
        <w:tab/>
        <w:t>(d)</w:t>
      </w:r>
      <w:r>
        <w:rPr>
          <w:snapToGrid w:val="0"/>
        </w:rPr>
        <w:tab/>
        <w:t>the jurisdiction in which the service is provided; and</w:t>
      </w:r>
    </w:p>
    <w:p>
      <w:pPr>
        <w:pStyle w:val="Indenta"/>
        <w:rPr>
          <w:snapToGrid w:val="0"/>
        </w:rPr>
      </w:pPr>
      <w:r>
        <w:rPr>
          <w:snapToGrid w:val="0"/>
        </w:rPr>
        <w:tab/>
        <w:t>(e)</w:t>
      </w:r>
      <w:r>
        <w:rPr>
          <w:snapToGrid w:val="0"/>
        </w:rPr>
        <w:tab/>
        <w:t>the number of assisted persons represented by the practitioner at the same time.</w:t>
      </w:r>
    </w:p>
    <w:p>
      <w:pPr>
        <w:pStyle w:val="Footnotesection"/>
      </w:pPr>
      <w:r>
        <w:tab/>
        <w:t xml:space="preserve">[Rule 4 amended: Gazette 30 Oct 1992 p. 5333.] </w:t>
      </w:r>
    </w:p>
    <w:p>
      <w:pPr>
        <w:pStyle w:val="Heading5"/>
        <w:rPr>
          <w:snapToGrid w:val="0"/>
        </w:rPr>
      </w:pPr>
      <w:bookmarkStart w:id="11" w:name="_Toc379186479"/>
      <w:bookmarkStart w:id="12" w:name="_Toc419818229"/>
      <w:r>
        <w:rPr>
          <w:rStyle w:val="CharSectno"/>
        </w:rPr>
        <w:t>5</w:t>
      </w:r>
      <w:r>
        <w:rPr>
          <w:snapToGrid w:val="0"/>
        </w:rPr>
        <w:t xml:space="preserve">. </w:t>
      </w:r>
      <w:r>
        <w:rPr>
          <w:snapToGrid w:val="0"/>
        </w:rPr>
        <w:tab/>
        <w:t>Application of Schedule 2</w:t>
      </w:r>
      <w:bookmarkEnd w:id="11"/>
      <w:bookmarkEnd w:id="12"/>
      <w:r>
        <w:rPr>
          <w:snapToGrid w:val="0"/>
        </w:rPr>
        <w:t xml:space="preserve"> </w:t>
      </w:r>
    </w:p>
    <w:p>
      <w:pPr>
        <w:pStyle w:val="Subsection"/>
        <w:rPr>
          <w:snapToGrid w:val="0"/>
        </w:rPr>
      </w:pPr>
      <w:r>
        <w:rPr>
          <w:snapToGrid w:val="0"/>
        </w:rPr>
        <w:tab/>
      </w:r>
      <w:r>
        <w:rPr>
          <w:snapToGrid w:val="0"/>
        </w:rPr>
        <w:tab/>
        <w:t>The fees set out in Schedule 2 specify the maximum remuneration payable to an assigned practitioner for the services specified in that Schedule and in determining the fee payable to an assigned practitioner the Director, authorised officer and committee shall consider all relevant factors as specified in rule 4(2).</w:t>
      </w:r>
    </w:p>
    <w:p>
      <w:pPr>
        <w:pStyle w:val="Heading5"/>
        <w:rPr>
          <w:snapToGrid w:val="0"/>
        </w:rPr>
      </w:pPr>
      <w:bookmarkStart w:id="13" w:name="_Toc379186480"/>
      <w:bookmarkStart w:id="14" w:name="_Toc419818230"/>
      <w:r>
        <w:rPr>
          <w:rStyle w:val="CharSectno"/>
        </w:rPr>
        <w:t>6</w:t>
      </w:r>
      <w:r>
        <w:rPr>
          <w:snapToGrid w:val="0"/>
        </w:rPr>
        <w:t xml:space="preserve">. </w:t>
      </w:r>
      <w:r>
        <w:rPr>
          <w:snapToGrid w:val="0"/>
        </w:rPr>
        <w:tab/>
        <w:t>Application of Schedule 3 — Counsel and Queen’s Counsel fees</w:t>
      </w:r>
      <w:bookmarkEnd w:id="13"/>
      <w:bookmarkEnd w:id="14"/>
      <w:r>
        <w:rPr>
          <w:snapToGrid w:val="0"/>
        </w:rPr>
        <w:t xml:space="preserve"> </w:t>
      </w:r>
    </w:p>
    <w:p>
      <w:pPr>
        <w:pStyle w:val="Subsection"/>
        <w:rPr>
          <w:snapToGrid w:val="0"/>
        </w:rPr>
      </w:pPr>
      <w:r>
        <w:rPr>
          <w:snapToGrid w:val="0"/>
        </w:rPr>
        <w:tab/>
        <w:t>(1)</w:t>
      </w:r>
      <w:r>
        <w:rPr>
          <w:snapToGrid w:val="0"/>
        </w:rPr>
        <w:tab/>
        <w:t>An assigned practitioner may, without prior approval, instruct counsel, not being Queen’s Counsel, where the total of the assigned practitioner’s fees and those of counsel do not exceed the provisional costing of the legal aid assignment when the brief is delivered to counsel.</w:t>
      </w:r>
    </w:p>
    <w:p>
      <w:pPr>
        <w:pStyle w:val="Subsection"/>
        <w:rPr>
          <w:snapToGrid w:val="0"/>
        </w:rPr>
      </w:pPr>
      <w:r>
        <w:rPr>
          <w:snapToGrid w:val="0"/>
        </w:rPr>
        <w:tab/>
        <w:t>(2)</w:t>
      </w:r>
      <w:r>
        <w:rPr>
          <w:snapToGrid w:val="0"/>
        </w:rPr>
        <w:tab/>
        <w:t>Where approval is given to instruct Queen’s Counsel the fee payable shall be in accordance with item 18 of Schedule 3.</w:t>
      </w:r>
    </w:p>
    <w:p>
      <w:pPr>
        <w:pStyle w:val="Subsection"/>
        <w:rPr>
          <w:snapToGrid w:val="0"/>
        </w:rPr>
      </w:pPr>
      <w:r>
        <w:rPr>
          <w:snapToGrid w:val="0"/>
        </w:rPr>
        <w:tab/>
        <w:t>(3)</w:t>
      </w:r>
      <w:r>
        <w:rPr>
          <w:snapToGrid w:val="0"/>
        </w:rPr>
        <w:tab/>
        <w:t>Where approval is given for counsel to assist Queen’s Counsel, the fee payable to that counsel shall not exceed 75% of the amount payable under Schedule 3 had that counsel appeared without Queen’s Counsel.</w:t>
      </w:r>
    </w:p>
    <w:p>
      <w:pPr>
        <w:pStyle w:val="Subsection"/>
        <w:rPr>
          <w:snapToGrid w:val="0"/>
        </w:rPr>
      </w:pPr>
      <w:r>
        <w:rPr>
          <w:snapToGrid w:val="0"/>
        </w:rPr>
        <w:tab/>
        <w:t>(4)</w:t>
      </w:r>
      <w:r>
        <w:rPr>
          <w:snapToGrid w:val="0"/>
        </w:rPr>
        <w:tab/>
        <w:t>Fees paid to counsel or Queen’s Counsel shall not be treated as disbursements unless — </w:t>
      </w:r>
    </w:p>
    <w:p>
      <w:pPr>
        <w:pStyle w:val="Indenta"/>
        <w:rPr>
          <w:snapToGrid w:val="0"/>
        </w:rPr>
      </w:pPr>
      <w:r>
        <w:rPr>
          <w:snapToGrid w:val="0"/>
        </w:rPr>
        <w:tab/>
        <w:t>(a)</w:t>
      </w:r>
      <w:r>
        <w:rPr>
          <w:snapToGrid w:val="0"/>
        </w:rPr>
        <w:tab/>
        <w:t>incurred by the Director, authorised officer or committee in relation to an action or likely action to which the Commission is a party; or</w:t>
      </w:r>
    </w:p>
    <w:p>
      <w:pPr>
        <w:pStyle w:val="Indenta"/>
        <w:rPr>
          <w:snapToGrid w:val="0"/>
        </w:rPr>
      </w:pPr>
      <w:r>
        <w:rPr>
          <w:snapToGrid w:val="0"/>
        </w:rPr>
        <w:tab/>
        <w:t>(b)</w:t>
      </w:r>
      <w:r>
        <w:rPr>
          <w:snapToGrid w:val="0"/>
        </w:rPr>
        <w:tab/>
        <w:t>matters concerning the interpretation of the Act or rules are involved.</w:t>
      </w:r>
    </w:p>
    <w:p>
      <w:pPr>
        <w:pStyle w:val="Heading5"/>
        <w:rPr>
          <w:snapToGrid w:val="0"/>
        </w:rPr>
      </w:pPr>
      <w:bookmarkStart w:id="15" w:name="_Toc379186481"/>
      <w:bookmarkStart w:id="16" w:name="_Toc419818231"/>
      <w:r>
        <w:rPr>
          <w:rStyle w:val="CharSectno"/>
        </w:rPr>
        <w:t>6A</w:t>
      </w:r>
      <w:r>
        <w:rPr>
          <w:snapToGrid w:val="0"/>
        </w:rPr>
        <w:t xml:space="preserve">. </w:t>
      </w:r>
      <w:r>
        <w:rPr>
          <w:snapToGrid w:val="0"/>
        </w:rPr>
        <w:tab/>
        <w:t>Schedule 3 — special circumstances</w:t>
      </w:r>
      <w:bookmarkEnd w:id="15"/>
      <w:bookmarkEnd w:id="16"/>
      <w:r>
        <w:rPr>
          <w:snapToGrid w:val="0"/>
        </w:rPr>
        <w:t xml:space="preserve"> </w:t>
      </w:r>
    </w:p>
    <w:p>
      <w:pPr>
        <w:pStyle w:val="Subsection"/>
        <w:rPr>
          <w:snapToGrid w:val="0"/>
        </w:rPr>
      </w:pPr>
      <w:r>
        <w:rPr>
          <w:snapToGrid w:val="0"/>
        </w:rPr>
        <w:tab/>
        <w:t>(1)</w:t>
      </w:r>
      <w:r>
        <w:rPr>
          <w:snapToGrid w:val="0"/>
        </w:rPr>
        <w:tab/>
        <w:t>An assigned practitioner may, where he or she can show special circumstances why Schedule 3 should not apply in relation to a legal aid assignment, apply to the Commission for the fees, to be determined by the Director, an authorised person or a committee.</w:t>
      </w:r>
    </w:p>
    <w:p>
      <w:pPr>
        <w:pStyle w:val="Subsection"/>
        <w:rPr>
          <w:snapToGrid w:val="0"/>
        </w:rPr>
      </w:pPr>
      <w:r>
        <w:rPr>
          <w:snapToGrid w:val="0"/>
        </w:rPr>
        <w:tab/>
        <w:t>(2)</w:t>
      </w:r>
      <w:r>
        <w:rPr>
          <w:snapToGrid w:val="0"/>
        </w:rPr>
        <w:tab/>
        <w:t>Where the Director, an authorised person or a committee is satisfied that the assigned Practitioner has shown that the application of Schedule 3 would not be reasonable the Director, an authorised person or committee shall determine the fees.</w:t>
      </w:r>
    </w:p>
    <w:p>
      <w:pPr>
        <w:pStyle w:val="Footnotesection"/>
      </w:pPr>
      <w:r>
        <w:tab/>
        <w:t xml:space="preserve">[Rule 6A inserted: Gazette 30 Oct 1992 p. 5333.] </w:t>
      </w:r>
    </w:p>
    <w:p>
      <w:pPr>
        <w:pStyle w:val="Heading5"/>
        <w:rPr>
          <w:snapToGrid w:val="0"/>
        </w:rPr>
      </w:pPr>
      <w:bookmarkStart w:id="17" w:name="_Toc379186482"/>
      <w:bookmarkStart w:id="18" w:name="_Toc419818232"/>
      <w:r>
        <w:rPr>
          <w:rStyle w:val="CharSectno"/>
        </w:rPr>
        <w:t>7</w:t>
      </w:r>
      <w:r>
        <w:rPr>
          <w:snapToGrid w:val="0"/>
        </w:rPr>
        <w:t xml:space="preserve">. </w:t>
      </w:r>
      <w:r>
        <w:rPr>
          <w:snapToGrid w:val="0"/>
        </w:rPr>
        <w:tab/>
        <w:t>Computation of daily rate and hourly rate under Schedule 1 or Schedule 3</w:t>
      </w:r>
      <w:bookmarkEnd w:id="17"/>
      <w:bookmarkEnd w:id="18"/>
      <w:r>
        <w:rPr>
          <w:snapToGrid w:val="0"/>
        </w:rPr>
        <w:t xml:space="preserve"> </w:t>
      </w:r>
    </w:p>
    <w:p>
      <w:pPr>
        <w:pStyle w:val="Subsection"/>
        <w:spacing w:before="140"/>
        <w:rPr>
          <w:snapToGrid w:val="0"/>
        </w:rPr>
      </w:pPr>
      <w:r>
        <w:rPr>
          <w:snapToGrid w:val="0"/>
        </w:rPr>
        <w:tab/>
        <w:t>(1)</w:t>
      </w:r>
      <w:r>
        <w:rPr>
          <w:snapToGrid w:val="0"/>
        </w:rPr>
        <w:tab/>
        <w:t>Where fees set out in Schedule 1 or Schedule 3 are expressed as being for a day or as a daily rate, an assigned practitioner, counsel or a Queen’s Counsel who attends court for a period of 5 hours is entitled to receive the fee specified in Schedule 1 or Schedule 3 as the case may be for the relevant jurisdiction.</w:t>
      </w:r>
    </w:p>
    <w:p>
      <w:pPr>
        <w:pStyle w:val="Subsection"/>
        <w:spacing w:before="140"/>
        <w:rPr>
          <w:snapToGrid w:val="0"/>
        </w:rPr>
      </w:pPr>
      <w:r>
        <w:rPr>
          <w:snapToGrid w:val="0"/>
        </w:rPr>
        <w:tab/>
        <w:t>(2)</w:t>
      </w:r>
      <w:r>
        <w:rPr>
          <w:snapToGrid w:val="0"/>
        </w:rPr>
        <w:tab/>
        <w:t>A practitioner, counsel or Queen’s Counsel referred to in subrule (1) who attends court — </w:t>
      </w:r>
    </w:p>
    <w:p>
      <w:pPr>
        <w:pStyle w:val="Indenta"/>
        <w:spacing w:before="60"/>
        <w:rPr>
          <w:snapToGrid w:val="0"/>
        </w:rPr>
      </w:pPr>
      <w:r>
        <w:rPr>
          <w:snapToGrid w:val="0"/>
        </w:rPr>
        <w:tab/>
        <w:t>(a)</w:t>
      </w:r>
      <w:r>
        <w:rPr>
          <w:snapToGrid w:val="0"/>
        </w:rPr>
        <w:tab/>
        <w:t>for a period of less than 5 hours; or</w:t>
      </w:r>
    </w:p>
    <w:p>
      <w:pPr>
        <w:pStyle w:val="Indenta"/>
        <w:spacing w:before="60"/>
        <w:rPr>
          <w:snapToGrid w:val="0"/>
        </w:rPr>
      </w:pPr>
      <w:r>
        <w:rPr>
          <w:snapToGrid w:val="0"/>
        </w:rPr>
        <w:tab/>
        <w:t>(b)</w:t>
      </w:r>
      <w:r>
        <w:rPr>
          <w:snapToGrid w:val="0"/>
        </w:rPr>
        <w:tab/>
        <w:t>for a period of more than 5 hours,</w:t>
      </w:r>
    </w:p>
    <w:p>
      <w:pPr>
        <w:pStyle w:val="Subsection"/>
        <w:spacing w:before="80"/>
        <w:rPr>
          <w:snapToGrid w:val="0"/>
        </w:rPr>
      </w:pPr>
      <w:r>
        <w:rPr>
          <w:snapToGrid w:val="0"/>
        </w:rPr>
        <w:tab/>
      </w:r>
      <w:r>
        <w:rPr>
          <w:snapToGrid w:val="0"/>
        </w:rPr>
        <w:tab/>
        <w:t xml:space="preserve">is entitled to receive a </w:t>
      </w:r>
      <w:r>
        <w:rPr>
          <w:i/>
          <w:snapToGrid w:val="0"/>
        </w:rPr>
        <w:t>pro rata</w:t>
      </w:r>
      <w:r>
        <w:rPr>
          <w:snapToGrid w:val="0"/>
        </w:rPr>
        <w:t xml:space="preserve"> fee for every hour or part thereof that the practitioner, counsel or Queen’s Counsel attends court.</w:t>
      </w:r>
    </w:p>
    <w:p>
      <w:pPr>
        <w:pStyle w:val="Subsection"/>
        <w:spacing w:before="140"/>
        <w:rPr>
          <w:snapToGrid w:val="0"/>
        </w:rPr>
      </w:pPr>
      <w:r>
        <w:rPr>
          <w:snapToGrid w:val="0"/>
        </w:rPr>
        <w:tab/>
        <w:t>(3)</w:t>
      </w:r>
      <w:r>
        <w:rPr>
          <w:snapToGrid w:val="0"/>
        </w:rPr>
        <w:tab/>
        <w:t xml:space="preserve">For the purposes of calculating the </w:t>
      </w:r>
      <w:r>
        <w:rPr>
          <w:i/>
          <w:snapToGrid w:val="0"/>
        </w:rPr>
        <w:t>pro rata</w:t>
      </w:r>
      <w:r>
        <w:rPr>
          <w:snapToGrid w:val="0"/>
        </w:rPr>
        <w:t xml:space="preserve"> fee referred to in subrule (2) a period of 5 hours is deemed to be a day.</w:t>
      </w:r>
    </w:p>
    <w:p>
      <w:pPr>
        <w:pStyle w:val="Heading5"/>
        <w:rPr>
          <w:snapToGrid w:val="0"/>
        </w:rPr>
      </w:pPr>
      <w:bookmarkStart w:id="19" w:name="_Toc379186483"/>
      <w:bookmarkStart w:id="20" w:name="_Toc419818233"/>
      <w:r>
        <w:rPr>
          <w:rStyle w:val="CharSectno"/>
        </w:rPr>
        <w:t>8</w:t>
      </w:r>
      <w:r>
        <w:rPr>
          <w:snapToGrid w:val="0"/>
        </w:rPr>
        <w:t xml:space="preserve">. </w:t>
      </w:r>
      <w:r>
        <w:rPr>
          <w:snapToGrid w:val="0"/>
        </w:rPr>
        <w:tab/>
        <w:t>Percentage of fees</w:t>
      </w:r>
      <w:bookmarkEnd w:id="19"/>
      <w:bookmarkEnd w:id="20"/>
      <w:r>
        <w:rPr>
          <w:snapToGrid w:val="0"/>
        </w:rPr>
        <w:t xml:space="preserve"> </w:t>
      </w:r>
    </w:p>
    <w:p>
      <w:pPr>
        <w:pStyle w:val="Subsection"/>
        <w:rPr>
          <w:snapToGrid w:val="0"/>
        </w:rPr>
      </w:pPr>
      <w:r>
        <w:rPr>
          <w:snapToGrid w:val="0"/>
        </w:rPr>
        <w:tab/>
      </w:r>
      <w:r>
        <w:rPr>
          <w:snapToGrid w:val="0"/>
        </w:rPr>
        <w:tab/>
        <w:t>For the purposes of section 14(1)(a)(ii) of the Act the fees payable to an assigned practitioner shall be — </w:t>
      </w:r>
    </w:p>
    <w:p>
      <w:pPr>
        <w:pStyle w:val="Indenta"/>
        <w:spacing w:before="60"/>
        <w:rPr>
          <w:snapToGrid w:val="0"/>
        </w:rPr>
      </w:pPr>
      <w:r>
        <w:rPr>
          <w:snapToGrid w:val="0"/>
        </w:rPr>
        <w:tab/>
        <w:t>(a)</w:t>
      </w:r>
      <w:r>
        <w:rPr>
          <w:snapToGrid w:val="0"/>
        </w:rPr>
        <w:tab/>
        <w:t>subject to rule 9, 80% of the fees payable to a private practitioner in the ordinary course of practice; and</w:t>
      </w:r>
    </w:p>
    <w:p>
      <w:pPr>
        <w:pStyle w:val="Indenta"/>
        <w:spacing w:before="60"/>
        <w:rPr>
          <w:snapToGrid w:val="0"/>
        </w:rPr>
      </w:pPr>
      <w:r>
        <w:rPr>
          <w:snapToGrid w:val="0"/>
        </w:rPr>
        <w:tab/>
        <w:t>(b)</w:t>
      </w:r>
      <w:r>
        <w:rPr>
          <w:snapToGrid w:val="0"/>
        </w:rPr>
        <w:tab/>
        <w:t xml:space="preserve">where the services are provided in relation to summary proceedings under the </w:t>
      </w:r>
      <w:r>
        <w:rPr>
          <w:i/>
          <w:snapToGrid w:val="0"/>
        </w:rPr>
        <w:t>Family Law Act 1975</w:t>
      </w:r>
      <w:r>
        <w:rPr>
          <w:snapToGrid w:val="0"/>
        </w:rPr>
        <w:t xml:space="preserve"> of the Commonwealth or the </w:t>
      </w:r>
      <w:r>
        <w:rPr>
          <w:i/>
          <w:snapToGrid w:val="0"/>
        </w:rPr>
        <w:t>Family Court Act 1975</w:t>
      </w:r>
      <w:r>
        <w:rPr>
          <w:snapToGrid w:val="0"/>
        </w:rPr>
        <w:t xml:space="preserve"> </w:t>
      </w:r>
      <w:r>
        <w:rPr>
          <w:snapToGrid w:val="0"/>
          <w:vertAlign w:val="superscript"/>
        </w:rPr>
        <w:t>2</w:t>
      </w:r>
      <w:r>
        <w:rPr>
          <w:snapToGrid w:val="0"/>
        </w:rPr>
        <w:t xml:space="preserve">, 100% of the fees prescribed under Order 38 rule 3(2)(a) of the </w:t>
      </w:r>
      <w:r>
        <w:rPr>
          <w:i/>
          <w:snapToGrid w:val="0"/>
        </w:rPr>
        <w:t>Family Law Rules</w:t>
      </w:r>
      <w:r>
        <w:rPr>
          <w:snapToGrid w:val="0"/>
        </w:rPr>
        <w:t xml:space="preserve"> of the Commonwealth.</w:t>
      </w:r>
    </w:p>
    <w:p>
      <w:pPr>
        <w:pStyle w:val="Heading5"/>
        <w:rPr>
          <w:snapToGrid w:val="0"/>
        </w:rPr>
      </w:pPr>
      <w:bookmarkStart w:id="21" w:name="_Toc379186484"/>
      <w:bookmarkStart w:id="22" w:name="_Toc419818234"/>
      <w:r>
        <w:rPr>
          <w:rStyle w:val="CharSectno"/>
        </w:rPr>
        <w:t>9</w:t>
      </w:r>
      <w:r>
        <w:rPr>
          <w:snapToGrid w:val="0"/>
        </w:rPr>
        <w:t xml:space="preserve">. </w:t>
      </w:r>
      <w:r>
        <w:rPr>
          <w:snapToGrid w:val="0"/>
        </w:rPr>
        <w:tab/>
        <w:t>Application of rule 8(a)</w:t>
      </w:r>
      <w:bookmarkEnd w:id="21"/>
      <w:bookmarkEnd w:id="22"/>
      <w:r>
        <w:rPr>
          <w:snapToGrid w:val="0"/>
        </w:rPr>
        <w:t xml:space="preserve"> </w:t>
      </w:r>
    </w:p>
    <w:p>
      <w:pPr>
        <w:pStyle w:val="Subsection"/>
        <w:spacing w:before="140"/>
        <w:rPr>
          <w:snapToGrid w:val="0"/>
        </w:rPr>
      </w:pPr>
      <w:r>
        <w:rPr>
          <w:snapToGrid w:val="0"/>
        </w:rPr>
        <w:tab/>
      </w:r>
      <w:r>
        <w:rPr>
          <w:snapToGrid w:val="0"/>
        </w:rPr>
        <w:tab/>
        <w:t xml:space="preserve">For the purposes of rule 8(a) </w:t>
      </w:r>
      <w:r>
        <w:rPr>
          <w:rStyle w:val="CharDefText"/>
        </w:rPr>
        <w:t>fees payable to a private practitioner in the ordinary course of practice</w:t>
      </w:r>
      <w:r>
        <w:rPr>
          <w:snapToGrid w:val="0"/>
        </w:rPr>
        <w:t xml:space="preserve"> means the fees payable — </w:t>
      </w:r>
    </w:p>
    <w:p>
      <w:pPr>
        <w:pStyle w:val="Indenta"/>
        <w:spacing w:before="60"/>
        <w:rPr>
          <w:snapToGrid w:val="0"/>
        </w:rPr>
      </w:pPr>
      <w:r>
        <w:rPr>
          <w:snapToGrid w:val="0"/>
        </w:rPr>
        <w:tab/>
        <w:t>(a)</w:t>
      </w:r>
      <w:r>
        <w:rPr>
          <w:snapToGrid w:val="0"/>
        </w:rPr>
        <w:tab/>
        <w:t>under the rules relating to costs in force in the relevant court or tribunal in which the legal services under the legal aid assignment were provided; and</w:t>
      </w:r>
    </w:p>
    <w:p>
      <w:pPr>
        <w:pStyle w:val="Indenta"/>
        <w:spacing w:before="60"/>
        <w:rPr>
          <w:snapToGrid w:val="0"/>
        </w:rPr>
      </w:pPr>
      <w:r>
        <w:rPr>
          <w:snapToGrid w:val="0"/>
        </w:rPr>
        <w:tab/>
        <w:t>(b)</w:t>
      </w:r>
      <w:r>
        <w:rPr>
          <w:snapToGrid w:val="0"/>
        </w:rPr>
        <w:tab/>
        <w:t>where the services are provided in relation to — </w:t>
      </w:r>
    </w:p>
    <w:p>
      <w:pPr>
        <w:pStyle w:val="Indenti"/>
        <w:spacing w:before="60"/>
        <w:rPr>
          <w:snapToGrid w:val="0"/>
        </w:rPr>
      </w:pPr>
      <w:r>
        <w:rPr>
          <w:snapToGrid w:val="0"/>
        </w:rPr>
        <w:tab/>
        <w:t>(i)</w:t>
      </w:r>
      <w:r>
        <w:rPr>
          <w:snapToGrid w:val="0"/>
        </w:rPr>
        <w:tab/>
        <w:t>the Administrative Appeals Tribunal; or</w:t>
      </w:r>
    </w:p>
    <w:p>
      <w:pPr>
        <w:pStyle w:val="Indenti"/>
        <w:spacing w:before="60"/>
        <w:rPr>
          <w:snapToGrid w:val="0"/>
        </w:rPr>
      </w:pPr>
      <w:r>
        <w:rPr>
          <w:snapToGrid w:val="0"/>
        </w:rPr>
        <w:tab/>
        <w:t>(ii)</w:t>
      </w:r>
      <w:r>
        <w:rPr>
          <w:snapToGrid w:val="0"/>
        </w:rPr>
        <w:tab/>
        <w:t>Administrative Judicial Review Applications,</w:t>
      </w:r>
    </w:p>
    <w:p>
      <w:pPr>
        <w:pStyle w:val="Indenta"/>
        <w:spacing w:before="60"/>
        <w:rPr>
          <w:snapToGrid w:val="0"/>
        </w:rPr>
      </w:pPr>
      <w:r>
        <w:rPr>
          <w:snapToGrid w:val="0"/>
        </w:rPr>
        <w:tab/>
      </w:r>
      <w:r>
        <w:rPr>
          <w:snapToGrid w:val="0"/>
        </w:rPr>
        <w:tab/>
        <w:t>in accordance with the Second Schedule to the Federal Court Rules.</w:t>
      </w:r>
    </w:p>
    <w:p>
      <w:pPr>
        <w:pStyle w:val="Heading5"/>
        <w:rPr>
          <w:snapToGrid w:val="0"/>
        </w:rPr>
      </w:pPr>
      <w:bookmarkStart w:id="23" w:name="_Toc379186485"/>
      <w:bookmarkStart w:id="24" w:name="_Toc419818235"/>
      <w:r>
        <w:rPr>
          <w:rStyle w:val="CharSectno"/>
        </w:rPr>
        <w:t>10</w:t>
      </w:r>
      <w:r>
        <w:rPr>
          <w:snapToGrid w:val="0"/>
        </w:rPr>
        <w:t xml:space="preserve">. </w:t>
      </w:r>
      <w:r>
        <w:rPr>
          <w:snapToGrid w:val="0"/>
        </w:rPr>
        <w:tab/>
        <w:t>Fees for services in respect of multiple charges or offences</w:t>
      </w:r>
      <w:bookmarkEnd w:id="23"/>
      <w:bookmarkEnd w:id="24"/>
      <w:r>
        <w:rPr>
          <w:snapToGrid w:val="0"/>
        </w:rPr>
        <w:t xml:space="preserve"> </w:t>
      </w:r>
    </w:p>
    <w:p>
      <w:pPr>
        <w:pStyle w:val="Subsection"/>
        <w:rPr>
          <w:snapToGrid w:val="0"/>
        </w:rPr>
      </w:pPr>
      <w:r>
        <w:rPr>
          <w:snapToGrid w:val="0"/>
        </w:rPr>
        <w:tab/>
        <w:t>(1)</w:t>
      </w:r>
      <w:r>
        <w:rPr>
          <w:snapToGrid w:val="0"/>
        </w:rPr>
        <w:tab/>
        <w:t>Where in a criminal law case, a grant of aid authorises the provision of legal services in respect of more than one charge or offence (not being alternatives) payment will be on the highest fee applicable to the trial or plea in mitigation, as the case may be, and any additional payment in respect of each other charge or offence shall be determined in accordance with this rule.</w:t>
      </w:r>
    </w:p>
    <w:p>
      <w:pPr>
        <w:pStyle w:val="Subsection"/>
        <w:rPr>
          <w:snapToGrid w:val="0"/>
        </w:rPr>
      </w:pPr>
      <w:r>
        <w:rPr>
          <w:snapToGrid w:val="0"/>
        </w:rPr>
        <w:tab/>
        <w:t>(2)</w:t>
      </w:r>
      <w:r>
        <w:rPr>
          <w:snapToGrid w:val="0"/>
        </w:rPr>
        <w:tab/>
        <w:t>In determining the amount of any additional payment referred to in subrule (1) the Director, authorised officer or committee shall consider all relevant factors including in particular — </w:t>
      </w:r>
    </w:p>
    <w:p>
      <w:pPr>
        <w:pStyle w:val="Indenta"/>
        <w:spacing w:before="60"/>
        <w:rPr>
          <w:snapToGrid w:val="0"/>
        </w:rPr>
      </w:pPr>
      <w:r>
        <w:rPr>
          <w:snapToGrid w:val="0"/>
        </w:rPr>
        <w:tab/>
        <w:t>(a)</w:t>
      </w:r>
      <w:r>
        <w:rPr>
          <w:snapToGrid w:val="0"/>
        </w:rPr>
        <w:tab/>
        <w:t>the jurisdiction or jurisdictions;</w:t>
      </w:r>
    </w:p>
    <w:p>
      <w:pPr>
        <w:pStyle w:val="Indenta"/>
        <w:spacing w:before="60"/>
        <w:rPr>
          <w:snapToGrid w:val="0"/>
        </w:rPr>
      </w:pPr>
      <w:r>
        <w:rPr>
          <w:snapToGrid w:val="0"/>
        </w:rPr>
        <w:tab/>
        <w:t>(b)</w:t>
      </w:r>
      <w:r>
        <w:rPr>
          <w:snapToGrid w:val="0"/>
        </w:rPr>
        <w:tab/>
        <w:t>the number and nature of the charges or offences;</w:t>
      </w:r>
    </w:p>
    <w:p>
      <w:pPr>
        <w:pStyle w:val="Indenta"/>
        <w:spacing w:before="60"/>
        <w:rPr>
          <w:snapToGrid w:val="0"/>
        </w:rPr>
      </w:pPr>
      <w:r>
        <w:rPr>
          <w:snapToGrid w:val="0"/>
        </w:rPr>
        <w:tab/>
        <w:t>(c)</w:t>
      </w:r>
      <w:r>
        <w:rPr>
          <w:snapToGrid w:val="0"/>
        </w:rPr>
        <w:tab/>
        <w:t>the complexity of the issues;</w:t>
      </w:r>
    </w:p>
    <w:p>
      <w:pPr>
        <w:pStyle w:val="Indenta"/>
        <w:spacing w:before="60"/>
        <w:rPr>
          <w:snapToGrid w:val="0"/>
        </w:rPr>
      </w:pPr>
      <w:r>
        <w:rPr>
          <w:snapToGrid w:val="0"/>
        </w:rPr>
        <w:tab/>
        <w:t>(d)</w:t>
      </w:r>
      <w:r>
        <w:rPr>
          <w:snapToGrid w:val="0"/>
        </w:rPr>
        <w:tab/>
        <w:t>the experience and seniority of the assigned practitioner; and</w:t>
      </w:r>
    </w:p>
    <w:p>
      <w:pPr>
        <w:pStyle w:val="Indenta"/>
        <w:spacing w:before="60"/>
        <w:rPr>
          <w:snapToGrid w:val="0"/>
        </w:rPr>
      </w:pPr>
      <w:r>
        <w:rPr>
          <w:snapToGrid w:val="0"/>
        </w:rPr>
        <w:tab/>
        <w:t>(e)</w:t>
      </w:r>
      <w:r>
        <w:rPr>
          <w:snapToGrid w:val="0"/>
        </w:rPr>
        <w:tab/>
        <w:t>the time involved in the disposition of the charges or offences.</w:t>
      </w:r>
    </w:p>
    <w:p>
      <w:pPr>
        <w:pStyle w:val="Subsection"/>
        <w:rPr>
          <w:snapToGrid w:val="0"/>
        </w:rPr>
      </w:pPr>
      <w:r>
        <w:rPr>
          <w:snapToGrid w:val="0"/>
        </w:rPr>
        <w:tab/>
        <w:t>(3)</w:t>
      </w:r>
      <w:r>
        <w:rPr>
          <w:snapToGrid w:val="0"/>
        </w:rPr>
        <w:tab/>
        <w:t>Notwithstanding subrule (2) an additional payment referred to in subrule (1) shall not exceed — </w:t>
      </w:r>
    </w:p>
    <w:p>
      <w:pPr>
        <w:pStyle w:val="Indenta"/>
        <w:spacing w:before="60"/>
        <w:rPr>
          <w:snapToGrid w:val="0"/>
        </w:rPr>
      </w:pPr>
      <w:r>
        <w:rPr>
          <w:snapToGrid w:val="0"/>
        </w:rPr>
        <w:tab/>
        <w:t>(a)</w:t>
      </w:r>
      <w:r>
        <w:rPr>
          <w:snapToGrid w:val="0"/>
        </w:rPr>
        <w:tab/>
        <w:t>50% of the amount payable in respect of the highest fee; or</w:t>
      </w:r>
    </w:p>
    <w:p>
      <w:pPr>
        <w:pStyle w:val="Indenta"/>
        <w:spacing w:before="60"/>
        <w:rPr>
          <w:snapToGrid w:val="0"/>
        </w:rPr>
      </w:pPr>
      <w:r>
        <w:rPr>
          <w:snapToGrid w:val="0"/>
        </w:rPr>
        <w:tab/>
        <w:t>(b)</w:t>
      </w:r>
      <w:r>
        <w:rPr>
          <w:snapToGrid w:val="0"/>
        </w:rPr>
        <w:tab/>
        <w:t>where the charges or offences are of a similar nature —25% of the highest fee.</w:t>
      </w:r>
    </w:p>
    <w:p>
      <w:pPr>
        <w:pStyle w:val="Subsection"/>
        <w:rPr>
          <w:snapToGrid w:val="0"/>
        </w:rPr>
      </w:pPr>
      <w:r>
        <w:rPr>
          <w:snapToGrid w:val="0"/>
        </w:rPr>
        <w:tab/>
        <w:t>(4)</w:t>
      </w:r>
      <w:r>
        <w:rPr>
          <w:snapToGrid w:val="0"/>
        </w:rPr>
        <w:tab/>
        <w:t>For the purposes of this rule an additional payment is only payable on the fees specified in Schedule 1 in relation to — </w:t>
      </w:r>
    </w:p>
    <w:p>
      <w:pPr>
        <w:pStyle w:val="Indenta"/>
        <w:spacing w:before="60"/>
        <w:rPr>
          <w:snapToGrid w:val="0"/>
        </w:rPr>
      </w:pPr>
      <w:r>
        <w:rPr>
          <w:snapToGrid w:val="0"/>
        </w:rPr>
        <w:tab/>
        <w:t>(a)</w:t>
      </w:r>
      <w:r>
        <w:rPr>
          <w:snapToGrid w:val="0"/>
        </w:rPr>
        <w:tab/>
        <w:t>getting up or preparation for trial; and</w:t>
      </w:r>
    </w:p>
    <w:p>
      <w:pPr>
        <w:pStyle w:val="Indenta"/>
        <w:spacing w:before="60"/>
        <w:rPr>
          <w:snapToGrid w:val="0"/>
        </w:rPr>
      </w:pPr>
      <w:r>
        <w:rPr>
          <w:snapToGrid w:val="0"/>
        </w:rPr>
        <w:tab/>
        <w:t>(b)</w:t>
      </w:r>
      <w:r>
        <w:rPr>
          <w:snapToGrid w:val="0"/>
        </w:rPr>
        <w:tab/>
        <w:t>preparation for a plea in mitigation without a trial.</w:t>
      </w:r>
    </w:p>
    <w:p>
      <w:pPr>
        <w:pStyle w:val="Subsection"/>
        <w:rPr>
          <w:snapToGrid w:val="0"/>
        </w:rPr>
      </w:pPr>
      <w:r>
        <w:rPr>
          <w:snapToGrid w:val="0"/>
        </w:rPr>
        <w:tab/>
        <w:t>(5)</w:t>
      </w:r>
      <w:r>
        <w:rPr>
          <w:snapToGrid w:val="0"/>
        </w:rPr>
        <w:tab/>
        <w:t>Where in any of the Schedules a separate amount is not specified in relation to preparation or getting up for the court appearance, two thirds of those fees shall be applied to preparation or getting up.</w:t>
      </w:r>
    </w:p>
    <w:p>
      <w:pPr>
        <w:pStyle w:val="Footnotesection"/>
      </w:pPr>
      <w:r>
        <w:tab/>
        <w:t xml:space="preserve">[Rule 10 amended: Gazette 30 Oct 1992 p. 5334.] </w:t>
      </w:r>
    </w:p>
    <w:p>
      <w:pPr>
        <w:pStyle w:val="Heading5"/>
        <w:rPr>
          <w:snapToGrid w:val="0"/>
        </w:rPr>
      </w:pPr>
      <w:bookmarkStart w:id="25" w:name="_Toc379186486"/>
      <w:bookmarkStart w:id="26" w:name="_Toc419818236"/>
      <w:r>
        <w:rPr>
          <w:rStyle w:val="CharSectno"/>
        </w:rPr>
        <w:t>11</w:t>
      </w:r>
      <w:r>
        <w:rPr>
          <w:snapToGrid w:val="0"/>
        </w:rPr>
        <w:t xml:space="preserve">. </w:t>
      </w:r>
      <w:r>
        <w:rPr>
          <w:snapToGrid w:val="0"/>
        </w:rPr>
        <w:tab/>
        <w:t>Fees for services in respect of more than one defendant</w:t>
      </w:r>
      <w:bookmarkEnd w:id="25"/>
      <w:bookmarkEnd w:id="26"/>
      <w:r>
        <w:rPr>
          <w:snapToGrid w:val="0"/>
        </w:rPr>
        <w:t xml:space="preserve"> </w:t>
      </w:r>
    </w:p>
    <w:p>
      <w:pPr>
        <w:pStyle w:val="Subsection"/>
        <w:rPr>
          <w:snapToGrid w:val="0"/>
        </w:rPr>
      </w:pPr>
      <w:r>
        <w:rPr>
          <w:snapToGrid w:val="0"/>
        </w:rPr>
        <w:tab/>
        <w:t>(1)</w:t>
      </w:r>
      <w:r>
        <w:rPr>
          <w:snapToGrid w:val="0"/>
        </w:rPr>
        <w:tab/>
        <w:t>Subject to subrule (2) where in a criminal law case an assigned practitioner represents more than one defendant in relation to whom a grant of legal aid has been made, the assigned practitioner is entitled to an additional payment, as may be approved, being not greater than 50% of the amount of legal fees approved in respect of the first defendant, in Schedule 1, or getting up case for trial and preparation for a plea in mitigation without trial.</w:t>
      </w:r>
    </w:p>
    <w:p>
      <w:pPr>
        <w:pStyle w:val="Subsection"/>
        <w:rPr>
          <w:snapToGrid w:val="0"/>
        </w:rPr>
      </w:pPr>
      <w:r>
        <w:rPr>
          <w:snapToGrid w:val="0"/>
        </w:rPr>
        <w:tab/>
        <w:t>(2)</w:t>
      </w:r>
      <w:r>
        <w:rPr>
          <w:snapToGrid w:val="0"/>
        </w:rPr>
        <w:tab/>
        <w:t>An additional amount is not payable for — </w:t>
      </w:r>
    </w:p>
    <w:p>
      <w:pPr>
        <w:pStyle w:val="Indenta"/>
        <w:rPr>
          <w:snapToGrid w:val="0"/>
        </w:rPr>
      </w:pPr>
      <w:r>
        <w:rPr>
          <w:snapToGrid w:val="0"/>
        </w:rPr>
        <w:tab/>
        <w:t>(a)</w:t>
      </w:r>
      <w:r>
        <w:rPr>
          <w:snapToGrid w:val="0"/>
        </w:rPr>
        <w:tab/>
        <w:t>remands;</w:t>
      </w:r>
    </w:p>
    <w:p>
      <w:pPr>
        <w:pStyle w:val="Indenta"/>
        <w:rPr>
          <w:snapToGrid w:val="0"/>
        </w:rPr>
      </w:pPr>
      <w:r>
        <w:rPr>
          <w:snapToGrid w:val="0"/>
        </w:rPr>
        <w:tab/>
        <w:t>(b)</w:t>
      </w:r>
      <w:r>
        <w:rPr>
          <w:snapToGrid w:val="0"/>
        </w:rPr>
        <w:tab/>
        <w:t>election appearances;</w:t>
      </w:r>
    </w:p>
    <w:p>
      <w:pPr>
        <w:pStyle w:val="Indenta"/>
        <w:rPr>
          <w:snapToGrid w:val="0"/>
        </w:rPr>
      </w:pPr>
      <w:r>
        <w:rPr>
          <w:snapToGrid w:val="0"/>
        </w:rPr>
        <w:tab/>
        <w:t>(c)</w:t>
      </w:r>
      <w:r>
        <w:rPr>
          <w:snapToGrid w:val="0"/>
        </w:rPr>
        <w:tab/>
        <w:t>pre trial conferences;</w:t>
      </w:r>
    </w:p>
    <w:p>
      <w:pPr>
        <w:pStyle w:val="Indenta"/>
        <w:keepNext/>
        <w:rPr>
          <w:snapToGrid w:val="0"/>
        </w:rPr>
      </w:pPr>
      <w:r>
        <w:rPr>
          <w:snapToGrid w:val="0"/>
        </w:rPr>
        <w:tab/>
        <w:t>(d)</w:t>
      </w:r>
      <w:r>
        <w:rPr>
          <w:snapToGrid w:val="0"/>
        </w:rPr>
        <w:tab/>
        <w:t>procedural hearings; or</w:t>
      </w:r>
    </w:p>
    <w:p>
      <w:pPr>
        <w:pStyle w:val="Indenta"/>
        <w:keepNext/>
        <w:rPr>
          <w:snapToGrid w:val="0"/>
        </w:rPr>
      </w:pPr>
      <w:r>
        <w:rPr>
          <w:snapToGrid w:val="0"/>
        </w:rPr>
        <w:tab/>
        <w:t>(e)</w:t>
      </w:r>
      <w:r>
        <w:rPr>
          <w:snapToGrid w:val="0"/>
        </w:rPr>
        <w:tab/>
        <w:t>attendance to receive sentence.</w:t>
      </w:r>
    </w:p>
    <w:p>
      <w:pPr>
        <w:pStyle w:val="Footnotesection"/>
      </w:pPr>
      <w:r>
        <w:tab/>
        <w:t xml:space="preserve">[Rule 11 amended: Gazette 30 Oct 1992 p. 5334.] </w:t>
      </w:r>
    </w:p>
    <w:p>
      <w:pPr>
        <w:pStyle w:val="Heading5"/>
        <w:rPr>
          <w:snapToGrid w:val="0"/>
        </w:rPr>
      </w:pPr>
      <w:bookmarkStart w:id="27" w:name="_Toc379186487"/>
      <w:bookmarkStart w:id="28" w:name="_Toc419818237"/>
      <w:r>
        <w:rPr>
          <w:rStyle w:val="CharSectno"/>
        </w:rPr>
        <w:t>11A</w:t>
      </w:r>
      <w:r>
        <w:rPr>
          <w:snapToGrid w:val="0"/>
        </w:rPr>
        <w:t xml:space="preserve">. </w:t>
      </w:r>
      <w:r>
        <w:rPr>
          <w:snapToGrid w:val="0"/>
        </w:rPr>
        <w:tab/>
        <w:t>Photocopying charges — Schedule 2</w:t>
      </w:r>
      <w:bookmarkEnd w:id="27"/>
      <w:bookmarkEnd w:id="28"/>
      <w:r>
        <w:rPr>
          <w:snapToGrid w:val="0"/>
        </w:rPr>
        <w:t xml:space="preserve"> </w:t>
      </w:r>
    </w:p>
    <w:p>
      <w:pPr>
        <w:pStyle w:val="Subsection"/>
        <w:rPr>
          <w:snapToGrid w:val="0"/>
        </w:rPr>
      </w:pPr>
      <w:r>
        <w:rPr>
          <w:snapToGrid w:val="0"/>
        </w:rPr>
        <w:tab/>
      </w:r>
      <w:r>
        <w:rPr>
          <w:snapToGrid w:val="0"/>
        </w:rPr>
        <w:tab/>
        <w:t>The charges in relation to photocopying, where an assigned practitioner may charge on a profit cost basis, are set out in Schedule 2.</w:t>
      </w:r>
    </w:p>
    <w:p>
      <w:pPr>
        <w:pStyle w:val="Footnotesection"/>
      </w:pPr>
      <w:r>
        <w:tab/>
        <w:t xml:space="preserve">[Rule 11A inserted: Gazette 30 Oct 1992 p. 5334.] </w:t>
      </w:r>
    </w:p>
    <w:p>
      <w:pPr>
        <w:pStyle w:val="Heading5"/>
        <w:rPr>
          <w:snapToGrid w:val="0"/>
        </w:rPr>
      </w:pPr>
      <w:bookmarkStart w:id="29" w:name="_Toc379186488"/>
      <w:bookmarkStart w:id="30" w:name="_Toc419818238"/>
      <w:r>
        <w:rPr>
          <w:rStyle w:val="CharSectno"/>
        </w:rPr>
        <w:t>12</w:t>
      </w:r>
      <w:r>
        <w:rPr>
          <w:snapToGrid w:val="0"/>
        </w:rPr>
        <w:t xml:space="preserve">. </w:t>
      </w:r>
      <w:r>
        <w:rPr>
          <w:snapToGrid w:val="0"/>
        </w:rPr>
        <w:tab/>
        <w:t>Travelling and waiting time</w:t>
      </w:r>
      <w:bookmarkEnd w:id="29"/>
      <w:bookmarkEnd w:id="30"/>
      <w:r>
        <w:rPr>
          <w:snapToGrid w:val="0"/>
        </w:rPr>
        <w:t xml:space="preserve"> </w:t>
      </w:r>
    </w:p>
    <w:p>
      <w:pPr>
        <w:pStyle w:val="Subsection"/>
        <w:rPr>
          <w:snapToGrid w:val="0"/>
        </w:rPr>
      </w:pPr>
      <w:r>
        <w:rPr>
          <w:snapToGrid w:val="0"/>
        </w:rPr>
        <w:tab/>
        <w:t>(1)</w:t>
      </w:r>
      <w:r>
        <w:rPr>
          <w:snapToGrid w:val="0"/>
        </w:rPr>
        <w:tab/>
        <w:t>Subject to this rule and rules 13 and 14 no allowance is made for travelling or court waiting time.</w:t>
      </w:r>
    </w:p>
    <w:p>
      <w:pPr>
        <w:pStyle w:val="Subsection"/>
        <w:rPr>
          <w:snapToGrid w:val="0"/>
        </w:rPr>
      </w:pPr>
      <w:r>
        <w:rPr>
          <w:snapToGrid w:val="0"/>
        </w:rPr>
        <w:tab/>
        <w:t>(2)</w:t>
      </w:r>
      <w:r>
        <w:rPr>
          <w:snapToGrid w:val="0"/>
        </w:rPr>
        <w:tab/>
        <w:t>Subject to subrule (3) in a criminal case where the Director, an authorised officer or committee considers it reasonable for an assigned practitioner to wait in the court for a trial to commence or resume after an interruption, the assigned practitioner may receive payment at the rate of $80 per hour or part thereof, for the time spent in the court to a maximum of 2 hours in any one day.</w:t>
      </w:r>
    </w:p>
    <w:p>
      <w:pPr>
        <w:pStyle w:val="Subsection"/>
        <w:rPr>
          <w:snapToGrid w:val="0"/>
        </w:rPr>
      </w:pPr>
      <w:r>
        <w:rPr>
          <w:snapToGrid w:val="0"/>
        </w:rPr>
        <w:tab/>
        <w:t>(3)</w:t>
      </w:r>
      <w:r>
        <w:rPr>
          <w:snapToGrid w:val="0"/>
        </w:rPr>
        <w:tab/>
        <w:t>Where a jury retires to — </w:t>
      </w:r>
    </w:p>
    <w:p>
      <w:pPr>
        <w:pStyle w:val="Indenta"/>
        <w:rPr>
          <w:snapToGrid w:val="0"/>
        </w:rPr>
      </w:pPr>
      <w:r>
        <w:rPr>
          <w:snapToGrid w:val="0"/>
        </w:rPr>
        <w:tab/>
        <w:t>(a)</w:t>
      </w:r>
      <w:r>
        <w:rPr>
          <w:snapToGrid w:val="0"/>
        </w:rPr>
        <w:tab/>
        <w:t>consider its verdict in a criminal trial; or</w:t>
      </w:r>
    </w:p>
    <w:p>
      <w:pPr>
        <w:pStyle w:val="Indenta"/>
        <w:rPr>
          <w:snapToGrid w:val="0"/>
        </w:rPr>
      </w:pPr>
      <w:r>
        <w:rPr>
          <w:snapToGrid w:val="0"/>
        </w:rPr>
        <w:tab/>
        <w:t>(b)</w:t>
      </w:r>
      <w:r>
        <w:rPr>
          <w:snapToGrid w:val="0"/>
        </w:rPr>
        <w:tab/>
        <w:t>deliberate as to the — </w:t>
      </w:r>
    </w:p>
    <w:p>
      <w:pPr>
        <w:pStyle w:val="Indenti"/>
        <w:rPr>
          <w:snapToGrid w:val="0"/>
        </w:rPr>
      </w:pPr>
      <w:r>
        <w:rPr>
          <w:snapToGrid w:val="0"/>
        </w:rPr>
        <w:tab/>
        <w:t>(i)</w:t>
      </w:r>
      <w:r>
        <w:rPr>
          <w:snapToGrid w:val="0"/>
        </w:rPr>
        <w:tab/>
        <w:t>verdict to be given; or</w:t>
      </w:r>
    </w:p>
    <w:p>
      <w:pPr>
        <w:pStyle w:val="Indenti"/>
        <w:rPr>
          <w:snapToGrid w:val="0"/>
        </w:rPr>
      </w:pPr>
      <w:r>
        <w:rPr>
          <w:snapToGrid w:val="0"/>
        </w:rPr>
        <w:tab/>
        <w:t>(ii)</w:t>
      </w:r>
      <w:r>
        <w:rPr>
          <w:snapToGrid w:val="0"/>
        </w:rPr>
        <w:tab/>
        <w:t>answer to be given to any question submitted to it by a Court or Judge; or</w:t>
      </w:r>
    </w:p>
    <w:p>
      <w:pPr>
        <w:pStyle w:val="Indenti"/>
        <w:rPr>
          <w:snapToGrid w:val="0"/>
        </w:rPr>
      </w:pPr>
      <w:r>
        <w:rPr>
          <w:snapToGrid w:val="0"/>
        </w:rPr>
        <w:tab/>
        <w:t>(iii)</w:t>
      </w:r>
      <w:r>
        <w:rPr>
          <w:snapToGrid w:val="0"/>
        </w:rPr>
        <w:tab/>
        <w:t>amount of damages to be assessed,</w:t>
      </w:r>
    </w:p>
    <w:p>
      <w:pPr>
        <w:pStyle w:val="Indenta"/>
        <w:rPr>
          <w:snapToGrid w:val="0"/>
        </w:rPr>
      </w:pPr>
      <w:r>
        <w:rPr>
          <w:snapToGrid w:val="0"/>
        </w:rPr>
        <w:tab/>
      </w:r>
      <w:r>
        <w:rPr>
          <w:snapToGrid w:val="0"/>
        </w:rPr>
        <w:tab/>
        <w:t xml:space="preserve">in a civil trial, </w:t>
      </w:r>
    </w:p>
    <w:p>
      <w:pPr>
        <w:pStyle w:val="Subsection"/>
        <w:rPr>
          <w:snapToGrid w:val="0"/>
        </w:rPr>
      </w:pPr>
      <w:r>
        <w:rPr>
          <w:snapToGrid w:val="0"/>
        </w:rPr>
        <w:tab/>
      </w:r>
      <w:r>
        <w:rPr>
          <w:snapToGrid w:val="0"/>
        </w:rPr>
        <w:tab/>
        <w:t>an assigned practitioner is entitled to be paid at the rate of $80 for every hour or part thereof that the assigned practitioner is required to remain in or near the Court.</w:t>
      </w:r>
    </w:p>
    <w:p>
      <w:pPr>
        <w:pStyle w:val="Subsection"/>
        <w:rPr>
          <w:snapToGrid w:val="0"/>
        </w:rPr>
      </w:pPr>
      <w:r>
        <w:rPr>
          <w:snapToGrid w:val="0"/>
        </w:rPr>
        <w:tab/>
        <w:t>(4)</w:t>
      </w:r>
      <w:r>
        <w:rPr>
          <w:snapToGrid w:val="0"/>
        </w:rPr>
        <w:tab/>
        <w:t>Subrule (2) shall not apply where, in a criminal case, the fees of the practitioner are assessed in accordance with Schedule 2.</w:t>
      </w:r>
    </w:p>
    <w:p>
      <w:pPr>
        <w:pStyle w:val="Footnotesection"/>
      </w:pPr>
      <w:r>
        <w:tab/>
        <w:t xml:space="preserve">[Rule 12 amended: Gazette 30 Oct 1992 p. 5334.] </w:t>
      </w:r>
    </w:p>
    <w:p>
      <w:pPr>
        <w:pStyle w:val="Heading5"/>
        <w:rPr>
          <w:snapToGrid w:val="0"/>
        </w:rPr>
      </w:pPr>
      <w:bookmarkStart w:id="31" w:name="_Toc379186489"/>
      <w:bookmarkStart w:id="32" w:name="_Toc419818239"/>
      <w:r>
        <w:rPr>
          <w:rStyle w:val="CharSectno"/>
        </w:rPr>
        <w:t>13</w:t>
      </w:r>
      <w:r>
        <w:rPr>
          <w:snapToGrid w:val="0"/>
        </w:rPr>
        <w:t xml:space="preserve">. </w:t>
      </w:r>
      <w:r>
        <w:rPr>
          <w:snapToGrid w:val="0"/>
        </w:rPr>
        <w:tab/>
        <w:t>Payment for actual time spent travelling or in conference etc.</w:t>
      </w:r>
      <w:bookmarkEnd w:id="31"/>
      <w:bookmarkEnd w:id="32"/>
      <w:r>
        <w:rPr>
          <w:snapToGrid w:val="0"/>
        </w:rPr>
        <w:t xml:space="preserve"> </w:t>
      </w:r>
    </w:p>
    <w:p>
      <w:pPr>
        <w:pStyle w:val="Subsection"/>
        <w:rPr>
          <w:snapToGrid w:val="0"/>
        </w:rPr>
      </w:pPr>
      <w:r>
        <w:rPr>
          <w:snapToGrid w:val="0"/>
        </w:rPr>
        <w:tab/>
        <w:t>(1)</w:t>
      </w:r>
      <w:r>
        <w:rPr>
          <w:snapToGrid w:val="0"/>
        </w:rPr>
        <w:tab/>
        <w:t>Subject to subrule (2) an assigned practitioner may receive payment, as approved, for actual time spent — </w:t>
      </w:r>
    </w:p>
    <w:p>
      <w:pPr>
        <w:pStyle w:val="Indenta"/>
        <w:rPr>
          <w:snapToGrid w:val="0"/>
        </w:rPr>
      </w:pPr>
      <w:r>
        <w:rPr>
          <w:snapToGrid w:val="0"/>
        </w:rPr>
        <w:tab/>
        <w:t>(a)</w:t>
      </w:r>
      <w:r>
        <w:rPr>
          <w:snapToGrid w:val="0"/>
        </w:rPr>
        <w:tab/>
        <w:t>in any of the circumstances referred to in rule 14(1)(a) including the time spent in travelling to and from such conferences or investigations; and</w:t>
      </w:r>
    </w:p>
    <w:p>
      <w:pPr>
        <w:pStyle w:val="Indenta"/>
        <w:rPr>
          <w:snapToGrid w:val="0"/>
        </w:rPr>
      </w:pPr>
      <w:r>
        <w:rPr>
          <w:snapToGrid w:val="0"/>
        </w:rPr>
        <w:tab/>
        <w:t>(b)</w:t>
      </w:r>
      <w:r>
        <w:rPr>
          <w:snapToGrid w:val="0"/>
        </w:rPr>
        <w:tab/>
        <w:t>in travelling within Australia in the conduct of a legal aid assignment.</w:t>
      </w:r>
    </w:p>
    <w:p>
      <w:pPr>
        <w:pStyle w:val="Subsection"/>
        <w:rPr>
          <w:snapToGrid w:val="0"/>
        </w:rPr>
      </w:pPr>
      <w:r>
        <w:rPr>
          <w:snapToGrid w:val="0"/>
        </w:rPr>
        <w:tab/>
        <w:t>(2)</w:t>
      </w:r>
      <w:r>
        <w:rPr>
          <w:snapToGrid w:val="0"/>
        </w:rPr>
        <w:tab/>
        <w:t>Notwithstanding subrule (1) payment referred to in subrule (1) shall not exceed 8 hours in any one day at a rate not exceeding 60% of the hourly rate prescribed in Schedule 2 item 11.</w:t>
      </w:r>
    </w:p>
    <w:p>
      <w:pPr>
        <w:pStyle w:val="Footnotesection"/>
      </w:pPr>
      <w:r>
        <w:tab/>
        <w:t xml:space="preserve">[Rule 13 inserted: Gazette 30 Oct 1992 p. 5335.] </w:t>
      </w:r>
    </w:p>
    <w:p>
      <w:pPr>
        <w:pStyle w:val="Heading5"/>
        <w:rPr>
          <w:snapToGrid w:val="0"/>
        </w:rPr>
      </w:pPr>
      <w:bookmarkStart w:id="33" w:name="_Toc379186490"/>
      <w:bookmarkStart w:id="34" w:name="_Toc419818240"/>
      <w:r>
        <w:rPr>
          <w:rStyle w:val="CharSectno"/>
        </w:rPr>
        <w:t>14</w:t>
      </w:r>
      <w:r>
        <w:rPr>
          <w:snapToGrid w:val="0"/>
        </w:rPr>
        <w:t xml:space="preserve">. </w:t>
      </w:r>
      <w:r>
        <w:rPr>
          <w:snapToGrid w:val="0"/>
        </w:rPr>
        <w:tab/>
        <w:t>Travelling and special country allowances</w:t>
      </w:r>
      <w:bookmarkEnd w:id="33"/>
      <w:bookmarkEnd w:id="34"/>
      <w:r>
        <w:rPr>
          <w:snapToGrid w:val="0"/>
        </w:rPr>
        <w:t xml:space="preserve"> </w:t>
      </w:r>
    </w:p>
    <w:p>
      <w:pPr>
        <w:pStyle w:val="Subsection"/>
        <w:rPr>
          <w:snapToGrid w:val="0"/>
        </w:rPr>
      </w:pPr>
      <w:r>
        <w:rPr>
          <w:snapToGrid w:val="0"/>
        </w:rPr>
        <w:tab/>
        <w:t>(1)</w:t>
      </w:r>
      <w:r>
        <w:rPr>
          <w:snapToGrid w:val="0"/>
        </w:rPr>
        <w:tab/>
        <w:t>Where it is not reasonable in all the circumstances to brief an agent and an assigned practitioner is required in the conduct of a legal aid assignment — </w:t>
      </w:r>
    </w:p>
    <w:p>
      <w:pPr>
        <w:pStyle w:val="Indenta"/>
        <w:rPr>
          <w:snapToGrid w:val="0"/>
        </w:rPr>
      </w:pPr>
      <w:r>
        <w:rPr>
          <w:snapToGrid w:val="0"/>
        </w:rPr>
        <w:tab/>
        <w:t>(a)</w:t>
      </w:r>
      <w:r>
        <w:rPr>
          <w:snapToGrid w:val="0"/>
        </w:rPr>
        <w:tab/>
        <w:t>to travel more than 5 kilometres from the place at which the assigned practitioner practises (including branch or visiting offices maintained by the practitioner’s firm) in order to — </w:t>
      </w:r>
    </w:p>
    <w:p>
      <w:pPr>
        <w:pStyle w:val="Indenti"/>
        <w:rPr>
          <w:snapToGrid w:val="0"/>
        </w:rPr>
      </w:pPr>
      <w:r>
        <w:rPr>
          <w:snapToGrid w:val="0"/>
        </w:rPr>
        <w:tab/>
        <w:t>(i)</w:t>
      </w:r>
      <w:r>
        <w:rPr>
          <w:snapToGrid w:val="0"/>
        </w:rPr>
        <w:tab/>
        <w:t>visit a prison, lock</w:t>
      </w:r>
      <w:r>
        <w:rPr>
          <w:snapToGrid w:val="0"/>
        </w:rPr>
        <w:noBreakHyphen/>
        <w:t>up or police station;</w:t>
      </w:r>
    </w:p>
    <w:p>
      <w:pPr>
        <w:pStyle w:val="Indenti"/>
        <w:rPr>
          <w:snapToGrid w:val="0"/>
        </w:rPr>
      </w:pPr>
      <w:r>
        <w:rPr>
          <w:snapToGrid w:val="0"/>
        </w:rPr>
        <w:tab/>
        <w:t>(ii)</w:t>
      </w:r>
      <w:r>
        <w:rPr>
          <w:snapToGrid w:val="0"/>
        </w:rPr>
        <w:tab/>
        <w:t>attend on a witness;</w:t>
      </w:r>
    </w:p>
    <w:p>
      <w:pPr>
        <w:pStyle w:val="Indenti"/>
        <w:rPr>
          <w:snapToGrid w:val="0"/>
        </w:rPr>
      </w:pPr>
      <w:r>
        <w:rPr>
          <w:snapToGrid w:val="0"/>
        </w:rPr>
        <w:tab/>
        <w:t>(iii)</w:t>
      </w:r>
      <w:r>
        <w:rPr>
          <w:snapToGrid w:val="0"/>
        </w:rPr>
        <w:tab/>
        <w:t>make any necessary investigation; or</w:t>
      </w:r>
    </w:p>
    <w:p>
      <w:pPr>
        <w:pStyle w:val="Indenti"/>
        <w:rPr>
          <w:snapToGrid w:val="0"/>
        </w:rPr>
      </w:pPr>
      <w:r>
        <w:rPr>
          <w:snapToGrid w:val="0"/>
        </w:rPr>
        <w:tab/>
        <w:t>(iv)</w:t>
      </w:r>
      <w:r>
        <w:rPr>
          <w:snapToGrid w:val="0"/>
        </w:rPr>
        <w:tab/>
        <w:t xml:space="preserve">attend a court or tribunal hearing;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stay overnight in a town or place, being more than 100 kilometres from that in which the practitioner practises,</w:t>
      </w:r>
    </w:p>
    <w:p>
      <w:pPr>
        <w:pStyle w:val="Subsection"/>
        <w:rPr>
          <w:snapToGrid w:val="0"/>
        </w:rPr>
      </w:pPr>
      <w:r>
        <w:rPr>
          <w:snapToGrid w:val="0"/>
        </w:rPr>
        <w:tab/>
      </w:r>
      <w:r>
        <w:rPr>
          <w:snapToGrid w:val="0"/>
        </w:rPr>
        <w:tab/>
        <w:t>the assigned practitioner is entitled to travelling and subsistence allowances as determined from time to time by the Director on the recommendation of the</w:t>
      </w:r>
      <w:r>
        <w:t xml:space="preserve"> Public Sector Commissioner</w:t>
      </w:r>
      <w:r>
        <w:rPr>
          <w:snapToGrid w:val="0"/>
        </w:rPr>
        <w:t>.</w:t>
      </w:r>
    </w:p>
    <w:p>
      <w:pPr>
        <w:pStyle w:val="Subsection"/>
        <w:keepNext/>
        <w:keepLines/>
        <w:rPr>
          <w:snapToGrid w:val="0"/>
        </w:rPr>
      </w:pPr>
      <w:r>
        <w:rPr>
          <w:snapToGrid w:val="0"/>
        </w:rPr>
        <w:tab/>
        <w:t>(2)</w:t>
      </w:r>
      <w:r>
        <w:rPr>
          <w:snapToGrid w:val="0"/>
        </w:rPr>
        <w:tab/>
        <w:t>An allowance paid to an assigned practitioner under subrule (1) may be treated as a disbursement.</w:t>
      </w:r>
    </w:p>
    <w:p>
      <w:pPr>
        <w:pStyle w:val="Footnotesection"/>
      </w:pPr>
      <w:r>
        <w:tab/>
        <w:t xml:space="preserve">[Rule 14 inserted: Gazette 30 Oct 1992 p. 5335; amended: Gazette </w:t>
      </w:r>
      <w:r>
        <w:rPr>
          <w:szCs w:val="24"/>
        </w:rPr>
        <w:t>11 Feb 2011 p. 506</w:t>
      </w:r>
      <w:r>
        <w:rPr>
          <w:szCs w:val="24"/>
        </w:rPr>
        <w:noBreakHyphen/>
        <w:t>7</w:t>
      </w:r>
      <w:r>
        <w:t xml:space="preserve">.] </w:t>
      </w:r>
    </w:p>
    <w:p>
      <w:pPr>
        <w:pStyle w:val="Heading5"/>
        <w:rPr>
          <w:snapToGrid w:val="0"/>
        </w:rPr>
      </w:pPr>
      <w:bookmarkStart w:id="35" w:name="_Toc379186491"/>
      <w:bookmarkStart w:id="36" w:name="_Toc419818241"/>
      <w:r>
        <w:rPr>
          <w:rStyle w:val="CharSectno"/>
        </w:rPr>
        <w:t>15</w:t>
      </w:r>
      <w:r>
        <w:rPr>
          <w:snapToGrid w:val="0"/>
        </w:rPr>
        <w:t xml:space="preserve">. </w:t>
      </w:r>
      <w:r>
        <w:rPr>
          <w:snapToGrid w:val="0"/>
        </w:rPr>
        <w:tab/>
        <w:t>Payment for exceptional work</w:t>
      </w:r>
      <w:bookmarkEnd w:id="35"/>
      <w:bookmarkEnd w:id="36"/>
      <w:r>
        <w:rPr>
          <w:snapToGrid w:val="0"/>
        </w:rPr>
        <w:t xml:space="preserve"> </w:t>
      </w:r>
    </w:p>
    <w:p>
      <w:pPr>
        <w:pStyle w:val="Subsection"/>
        <w:rPr>
          <w:snapToGrid w:val="0"/>
        </w:rPr>
      </w:pPr>
      <w:r>
        <w:rPr>
          <w:snapToGrid w:val="0"/>
        </w:rPr>
        <w:tab/>
        <w:t>(1)</w:t>
      </w:r>
      <w:r>
        <w:rPr>
          <w:snapToGrid w:val="0"/>
        </w:rPr>
        <w:tab/>
        <w:t>An assigned practitioner may, where he or she can show special circumstances why Schedule 1 should not apply in relation to a legal aid assignment, apply to the Director, an authorised person or committee to determine that Schedule 2 should apply.</w:t>
      </w:r>
    </w:p>
    <w:p>
      <w:pPr>
        <w:pStyle w:val="Subsection"/>
        <w:rPr>
          <w:snapToGrid w:val="0"/>
        </w:rPr>
      </w:pPr>
      <w:r>
        <w:rPr>
          <w:snapToGrid w:val="0"/>
        </w:rPr>
        <w:tab/>
        <w:t>(2)</w:t>
      </w:r>
      <w:r>
        <w:rPr>
          <w:snapToGrid w:val="0"/>
        </w:rPr>
        <w:tab/>
        <w:t>Where the Director, an authorised person or committee is satisfied that the assigned practitioner has shown that the application of Schedule 1 would not be reasonable, the Director, an authorised person or a committee shall determine that Schedule 2 shall apply.</w:t>
      </w:r>
    </w:p>
    <w:p>
      <w:pPr>
        <w:pStyle w:val="Footnotesection"/>
      </w:pPr>
      <w:r>
        <w:tab/>
        <w:t>[Rule 15 inserted: Gazette 30 Oct 1992 p. 5335</w:t>
      </w:r>
      <w:r>
        <w:noBreakHyphen/>
        <w:t xml:space="preserve">6.] </w:t>
      </w:r>
    </w:p>
    <w:p>
      <w:pPr>
        <w:pStyle w:val="Heading5"/>
        <w:rPr>
          <w:snapToGrid w:val="0"/>
        </w:rPr>
      </w:pPr>
      <w:bookmarkStart w:id="37" w:name="_Toc379186492"/>
      <w:bookmarkStart w:id="38" w:name="_Toc419818242"/>
      <w:r>
        <w:rPr>
          <w:rStyle w:val="CharSectno"/>
        </w:rPr>
        <w:t>16</w:t>
      </w:r>
      <w:r>
        <w:rPr>
          <w:snapToGrid w:val="0"/>
        </w:rPr>
        <w:t xml:space="preserve">. </w:t>
      </w:r>
      <w:r>
        <w:rPr>
          <w:snapToGrid w:val="0"/>
        </w:rPr>
        <w:tab/>
        <w:t>Agents’ fees</w:t>
      </w:r>
      <w:bookmarkEnd w:id="37"/>
      <w:bookmarkEnd w:id="38"/>
      <w:r>
        <w:rPr>
          <w:snapToGrid w:val="0"/>
        </w:rPr>
        <w:t xml:space="preserve"> </w:t>
      </w:r>
    </w:p>
    <w:p>
      <w:pPr>
        <w:pStyle w:val="Subsection"/>
        <w:rPr>
          <w:snapToGrid w:val="0"/>
        </w:rPr>
      </w:pPr>
      <w:r>
        <w:rPr>
          <w:snapToGrid w:val="0"/>
        </w:rPr>
        <w:tab/>
        <w:t>(1)</w:t>
      </w:r>
      <w:r>
        <w:rPr>
          <w:snapToGrid w:val="0"/>
        </w:rPr>
        <w:tab/>
        <w:t>Where an assigned practitioner briefs another practitioner to perform legal services for an assisted person, the agent is entitled to receive from the assigned practitioner the same remuneration as the assigned practitioner would have received if he or she had not briefed an agent.</w:t>
      </w:r>
    </w:p>
    <w:p>
      <w:pPr>
        <w:pStyle w:val="Subsection"/>
        <w:keepNext/>
        <w:rPr>
          <w:snapToGrid w:val="0"/>
        </w:rPr>
      </w:pPr>
      <w:r>
        <w:rPr>
          <w:snapToGrid w:val="0"/>
        </w:rPr>
        <w:tab/>
        <w:t>(2)</w:t>
      </w:r>
      <w:r>
        <w:rPr>
          <w:snapToGrid w:val="0"/>
        </w:rPr>
        <w:tab/>
        <w:t>An additional fee being no more than 30% of the fee payable to the assigned practitioner under these rules may be paid to an agent for legal services where an assigned practitioner — </w:t>
      </w:r>
    </w:p>
    <w:p>
      <w:pPr>
        <w:pStyle w:val="Indenta"/>
        <w:rPr>
          <w:snapToGrid w:val="0"/>
        </w:rPr>
      </w:pPr>
      <w:r>
        <w:rPr>
          <w:snapToGrid w:val="0"/>
        </w:rPr>
        <w:tab/>
        <w:t>(a)</w:t>
      </w:r>
      <w:r>
        <w:rPr>
          <w:snapToGrid w:val="0"/>
        </w:rPr>
        <w:tab/>
        <w:t>whose office is situate within the metropolitan area necessarily employs as his or her agent a practitioner whose office is situate outside the metropolitan area; or</w:t>
      </w:r>
    </w:p>
    <w:p>
      <w:pPr>
        <w:pStyle w:val="Indenta"/>
        <w:rPr>
          <w:snapToGrid w:val="0"/>
        </w:rPr>
      </w:pPr>
      <w:r>
        <w:rPr>
          <w:snapToGrid w:val="0"/>
        </w:rPr>
        <w:tab/>
        <w:t>(b)</w:t>
      </w:r>
      <w:r>
        <w:rPr>
          <w:snapToGrid w:val="0"/>
        </w:rPr>
        <w:tab/>
        <w:t>whose office is situate outside the metropolitan area necessarily employs as his or her agent a practitioner whose office is situate within the metropolitan area.</w:t>
      </w:r>
    </w:p>
    <w:p>
      <w:pPr>
        <w:pStyle w:val="Subsection"/>
        <w:rPr>
          <w:snapToGrid w:val="0"/>
        </w:rPr>
      </w:pPr>
      <w:r>
        <w:rPr>
          <w:snapToGrid w:val="0"/>
        </w:rPr>
        <w:tab/>
        <w:t>(3)</w:t>
      </w:r>
      <w:r>
        <w:rPr>
          <w:snapToGrid w:val="0"/>
        </w:rPr>
        <w:tab/>
        <w:t xml:space="preserve">In this rule </w:t>
      </w:r>
      <w:r>
        <w:rPr>
          <w:rStyle w:val="CharDefText"/>
        </w:rPr>
        <w:t>metropolitan area</w:t>
      </w:r>
      <w:r>
        <w:rPr>
          <w:snapToGrid w:val="0"/>
        </w:rPr>
        <w:t xml:space="preserve"> means an area within a 65 km radius of the General Post Office Perth.</w:t>
      </w:r>
    </w:p>
    <w:p>
      <w:pPr>
        <w:pStyle w:val="Heading5"/>
        <w:rPr>
          <w:snapToGrid w:val="0"/>
        </w:rPr>
      </w:pPr>
      <w:bookmarkStart w:id="39" w:name="_Toc379186493"/>
      <w:bookmarkStart w:id="40" w:name="_Toc419818243"/>
      <w:r>
        <w:rPr>
          <w:rStyle w:val="CharSectno"/>
        </w:rPr>
        <w:t>17</w:t>
      </w:r>
      <w:r>
        <w:rPr>
          <w:snapToGrid w:val="0"/>
        </w:rPr>
        <w:t xml:space="preserve">. </w:t>
      </w:r>
      <w:r>
        <w:rPr>
          <w:snapToGrid w:val="0"/>
        </w:rPr>
        <w:tab/>
        <w:t>Court directed conferences</w:t>
      </w:r>
      <w:bookmarkEnd w:id="39"/>
      <w:bookmarkEnd w:id="40"/>
      <w:r>
        <w:rPr>
          <w:snapToGrid w:val="0"/>
        </w:rPr>
        <w:t xml:space="preserve"> </w:t>
      </w:r>
    </w:p>
    <w:p>
      <w:pPr>
        <w:pStyle w:val="Subsection"/>
        <w:rPr>
          <w:snapToGrid w:val="0"/>
        </w:rPr>
      </w:pPr>
      <w:r>
        <w:rPr>
          <w:snapToGrid w:val="0"/>
        </w:rPr>
        <w:tab/>
        <w:t>(1)</w:t>
      </w:r>
      <w:r>
        <w:rPr>
          <w:snapToGrid w:val="0"/>
        </w:rPr>
        <w:tab/>
        <w:t>Where an assigned practitioner is required to attend, with or without his or her client, before a court or tribunal for a pre</w:t>
      </w:r>
      <w:r>
        <w:rPr>
          <w:snapToGrid w:val="0"/>
        </w:rPr>
        <w:noBreakHyphen/>
        <w:t>trial conference or practice hearing (other than a hearing for directions) the assigned practitioner is only entitled to receive payment, equal to one hour at the rate prescribed in Schedule 2 item 11 irrespective of the time actually spent by the assigned practitioner in preparing for or attending the hearing.</w:t>
      </w:r>
    </w:p>
    <w:p>
      <w:pPr>
        <w:pStyle w:val="Subsection"/>
        <w:rPr>
          <w:snapToGrid w:val="0"/>
        </w:rPr>
      </w:pPr>
      <w:r>
        <w:rPr>
          <w:snapToGrid w:val="0"/>
        </w:rPr>
        <w:tab/>
        <w:t>(1a)</w:t>
      </w:r>
      <w:r>
        <w:rPr>
          <w:snapToGrid w:val="0"/>
        </w:rPr>
        <w:tab/>
        <w:t>Subrule (1) applies to conferences and hearings concerning the conduct of the trial held — </w:t>
      </w:r>
    </w:p>
    <w:p>
      <w:pPr>
        <w:pStyle w:val="Indenta"/>
        <w:rPr>
          <w:snapToGrid w:val="0"/>
        </w:rPr>
      </w:pPr>
      <w:r>
        <w:rPr>
          <w:snapToGrid w:val="0"/>
        </w:rPr>
        <w:tab/>
        <w:t>(a)</w:t>
      </w:r>
      <w:r>
        <w:rPr>
          <w:snapToGrid w:val="0"/>
        </w:rPr>
        <w:tab/>
        <w:t>in relation to criminal matters; or</w:t>
      </w:r>
    </w:p>
    <w:p>
      <w:pPr>
        <w:pStyle w:val="Indenta"/>
        <w:rPr>
          <w:snapToGrid w:val="0"/>
        </w:rPr>
      </w:pPr>
      <w:r>
        <w:rPr>
          <w:snapToGrid w:val="0"/>
        </w:rPr>
        <w:tab/>
        <w:t>(b)</w:t>
      </w:r>
      <w:r>
        <w:rPr>
          <w:snapToGrid w:val="0"/>
        </w:rPr>
        <w:tab/>
        <w:t>in courts exercising jurisdiction concerning children other than the Family Court.</w:t>
      </w:r>
    </w:p>
    <w:p>
      <w:pPr>
        <w:pStyle w:val="Subsection"/>
        <w:rPr>
          <w:snapToGrid w:val="0"/>
        </w:rPr>
      </w:pPr>
      <w:r>
        <w:rPr>
          <w:snapToGrid w:val="0"/>
        </w:rPr>
        <w:tab/>
        <w:t>(2)</w:t>
      </w:r>
      <w:r>
        <w:rPr>
          <w:snapToGrid w:val="0"/>
        </w:rPr>
        <w:tab/>
        <w:t>Notwithstanding subrule (1) an additional payment under Schedule 2 may be approved for time spent in preparing for and attending a hearing where the Director, authorised officer or committee is satisfied that a claim for additional payment is justified.</w:t>
      </w:r>
    </w:p>
    <w:p>
      <w:pPr>
        <w:pStyle w:val="Footnotesection"/>
      </w:pPr>
      <w:r>
        <w:tab/>
        <w:t xml:space="preserve">[Rule 17 amended: Gazette 30 Oct 1992 p. 5336.] </w:t>
      </w:r>
    </w:p>
    <w:p>
      <w:pPr>
        <w:pStyle w:val="Heading5"/>
        <w:rPr>
          <w:snapToGrid w:val="0"/>
        </w:rPr>
      </w:pPr>
      <w:bookmarkStart w:id="41" w:name="_Toc379186494"/>
      <w:bookmarkStart w:id="42" w:name="_Toc419818244"/>
      <w:r>
        <w:rPr>
          <w:rStyle w:val="CharSectno"/>
        </w:rPr>
        <w:t>18</w:t>
      </w:r>
      <w:r>
        <w:rPr>
          <w:snapToGrid w:val="0"/>
        </w:rPr>
        <w:t xml:space="preserve">. </w:t>
      </w:r>
      <w:r>
        <w:rPr>
          <w:snapToGrid w:val="0"/>
        </w:rPr>
        <w:tab/>
        <w:t>Reimbursement where costs recovered</w:t>
      </w:r>
      <w:bookmarkEnd w:id="41"/>
      <w:bookmarkEnd w:id="42"/>
      <w:r>
        <w:rPr>
          <w:snapToGrid w:val="0"/>
        </w:rPr>
        <w:t xml:space="preserve"> </w:t>
      </w:r>
    </w:p>
    <w:p>
      <w:pPr>
        <w:pStyle w:val="Subsection"/>
        <w:rPr>
          <w:snapToGrid w:val="0"/>
        </w:rPr>
      </w:pPr>
      <w:r>
        <w:rPr>
          <w:snapToGrid w:val="0"/>
        </w:rPr>
        <w:tab/>
      </w:r>
      <w:r>
        <w:rPr>
          <w:snapToGrid w:val="0"/>
        </w:rPr>
        <w:tab/>
        <w:t>Notwithstanding any other provision of these rules, where, as the result of the legal services provided to an assisted person by the assigned practitioner, an assisted person obtains an order for costs then the Director, authorised officer or committee may determine that the assigned practitioner may retain the whole or part of the recovered costs in full or partial discharge of any fees payable by the Commission to the assigned practitioner.</w:t>
      </w:r>
    </w:p>
    <w:p>
      <w:pPr>
        <w:pStyle w:val="Ednotesection"/>
      </w:pPr>
      <w:r>
        <w:rPr>
          <w:rStyle w:val="CharSectno"/>
        </w:rPr>
        <w:t>[</w:t>
      </w:r>
      <w:r>
        <w:rPr>
          <w:rStyle w:val="CharSectno"/>
          <w:b/>
        </w:rPr>
        <w:t>19</w:t>
      </w:r>
      <w:r>
        <w:rPr>
          <w:b/>
        </w:rPr>
        <w:t>.</w:t>
      </w:r>
      <w:r>
        <w:tab/>
        <w:t>Omitted under the Reprints Act 1984 s. 7(4)(f).]</w:t>
      </w:r>
    </w:p>
    <w:p>
      <w:pPr>
        <w:pStyle w:val="Heading5"/>
        <w:keepLines w:val="0"/>
        <w:rPr>
          <w:snapToGrid w:val="0"/>
        </w:rPr>
      </w:pPr>
      <w:bookmarkStart w:id="43" w:name="_Toc379186495"/>
      <w:bookmarkStart w:id="44" w:name="_Toc419818245"/>
      <w:r>
        <w:rPr>
          <w:rStyle w:val="CharSectno"/>
        </w:rPr>
        <w:t>20</w:t>
      </w:r>
      <w:r>
        <w:rPr>
          <w:snapToGrid w:val="0"/>
        </w:rPr>
        <w:t xml:space="preserve">. </w:t>
      </w:r>
      <w:r>
        <w:rPr>
          <w:snapToGrid w:val="0"/>
        </w:rPr>
        <w:tab/>
        <w:t>Transitional and savings</w:t>
      </w:r>
      <w:bookmarkEnd w:id="43"/>
      <w:bookmarkEnd w:id="44"/>
      <w:r>
        <w:rPr>
          <w:snapToGrid w:val="0"/>
        </w:rPr>
        <w:t xml:space="preserve"> </w:t>
      </w:r>
    </w:p>
    <w:p>
      <w:pPr>
        <w:pStyle w:val="Subsection"/>
        <w:keepNext/>
        <w:rPr>
          <w:snapToGrid w:val="0"/>
        </w:rPr>
      </w:pPr>
      <w:r>
        <w:rPr>
          <w:snapToGrid w:val="0"/>
        </w:rPr>
        <w:tab/>
        <w:t>(1)</w:t>
      </w:r>
      <w:r>
        <w:rPr>
          <w:snapToGrid w:val="0"/>
        </w:rPr>
        <w:tab/>
        <w:t>These rules apply — </w:t>
      </w:r>
    </w:p>
    <w:p>
      <w:pPr>
        <w:pStyle w:val="Indenta"/>
        <w:rPr>
          <w:snapToGrid w:val="0"/>
        </w:rPr>
      </w:pPr>
      <w:r>
        <w:rPr>
          <w:snapToGrid w:val="0"/>
        </w:rPr>
        <w:tab/>
        <w:t>(a)</w:t>
      </w:r>
      <w:r>
        <w:rPr>
          <w:snapToGrid w:val="0"/>
        </w:rPr>
        <w:tab/>
        <w:t>in relation to costs payable, as approved, where a legal aid assignment is received on or after the day that these rules take effect; and</w:t>
      </w:r>
    </w:p>
    <w:p>
      <w:pPr>
        <w:pStyle w:val="Indenta"/>
        <w:rPr>
          <w:snapToGrid w:val="0"/>
        </w:rPr>
      </w:pPr>
      <w:r>
        <w:rPr>
          <w:snapToGrid w:val="0"/>
        </w:rPr>
        <w:tab/>
        <w:t>(b)</w:t>
      </w:r>
      <w:r>
        <w:rPr>
          <w:snapToGrid w:val="0"/>
        </w:rPr>
        <w:tab/>
        <w:t>in relation to costs payable, as approved, for services performed on or after the day these rules take effect and whether or not the legal aid assignment in respect of those services was received before that day.</w:t>
      </w:r>
    </w:p>
    <w:p>
      <w:pPr>
        <w:pStyle w:val="Subsection"/>
        <w:rPr>
          <w:snapToGrid w:val="0"/>
        </w:rPr>
      </w:pPr>
      <w:r>
        <w:rPr>
          <w:snapToGrid w:val="0"/>
        </w:rPr>
        <w:tab/>
        <w:t>(2)</w:t>
      </w:r>
      <w:r>
        <w:rPr>
          <w:snapToGrid w:val="0"/>
        </w:rPr>
        <w:tab/>
        <w:t xml:space="preserve">Notwithstanding rule 19, the </w:t>
      </w:r>
      <w:r>
        <w:rPr>
          <w:i/>
          <w:snapToGrid w:val="0"/>
        </w:rPr>
        <w:t>Legal Aid Commission (Costs) Rules 1982</w:t>
      </w:r>
      <w:r>
        <w:rPr>
          <w:snapToGrid w:val="0"/>
        </w:rPr>
        <w:t xml:space="preserve"> apply in relation to costs payable, as approved, for legal services performed before these rules take effect.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5" w:name="_Toc379186496"/>
      <w:bookmarkStart w:id="46" w:name="_Toc419818166"/>
      <w:bookmarkStart w:id="47" w:name="_Toc419818205"/>
      <w:bookmarkStart w:id="48" w:name="_Toc419818246"/>
      <w:r>
        <w:rPr>
          <w:rStyle w:val="CharSchNo"/>
        </w:rPr>
        <w:t>Schedule 1</w:t>
      </w:r>
      <w:bookmarkEnd w:id="45"/>
      <w:bookmarkEnd w:id="46"/>
      <w:bookmarkEnd w:id="47"/>
      <w:bookmarkEnd w:id="48"/>
    </w:p>
    <w:p>
      <w:pPr>
        <w:pStyle w:val="yShoulderClause"/>
        <w:rPr>
          <w:snapToGrid w:val="0"/>
        </w:rPr>
      </w:pPr>
      <w:r>
        <w:rPr>
          <w:snapToGrid w:val="0"/>
        </w:rPr>
        <w:t>[Rules 3(a), 4, 6A and 7]</w:t>
      </w:r>
    </w:p>
    <w:p>
      <w:pPr>
        <w:pStyle w:val="yHeading2"/>
        <w:spacing w:after="120"/>
        <w:outlineLvl w:val="9"/>
      </w:pPr>
      <w:bookmarkStart w:id="49" w:name="_Toc379186497"/>
      <w:bookmarkStart w:id="50" w:name="_Toc419818167"/>
      <w:bookmarkStart w:id="51" w:name="_Toc419818206"/>
      <w:bookmarkStart w:id="52" w:name="_Toc419818247"/>
      <w:r>
        <w:rPr>
          <w:rStyle w:val="CharSchText"/>
        </w:rPr>
        <w:t>Fees payable under rule 3(a)</w:t>
      </w:r>
      <w:bookmarkEnd w:id="49"/>
      <w:bookmarkEnd w:id="50"/>
      <w:bookmarkEnd w:id="51"/>
      <w:bookmarkEnd w:id="52"/>
    </w:p>
    <w:tbl>
      <w:tblPr>
        <w:tblW w:w="0" w:type="auto"/>
        <w:tblInd w:w="141" w:type="dxa"/>
        <w:tblLayout w:type="fixed"/>
        <w:tblCellMar>
          <w:left w:w="283" w:type="dxa"/>
          <w:right w:w="283" w:type="dxa"/>
        </w:tblCellMar>
        <w:tblLook w:val="0000" w:firstRow="0" w:lastRow="0" w:firstColumn="0" w:lastColumn="0" w:noHBand="0" w:noVBand="0"/>
      </w:tblPr>
      <w:tblGrid>
        <w:gridCol w:w="5954"/>
        <w:gridCol w:w="1418"/>
      </w:tblGrid>
      <w:tr>
        <w:tc>
          <w:tcPr>
            <w:tcW w:w="5954" w:type="dxa"/>
          </w:tcPr>
          <w:p>
            <w:pPr>
              <w:pStyle w:val="yTable"/>
              <w:tabs>
                <w:tab w:val="left" w:pos="1986"/>
              </w:tabs>
              <w:spacing w:before="0"/>
              <w:rPr>
                <w:b/>
              </w:rPr>
            </w:pPr>
            <w:r>
              <w:rPr>
                <w:b/>
              </w:rPr>
              <w:t>Item</w:t>
            </w:r>
            <w:r>
              <w:rPr>
                <w:b/>
              </w:rPr>
              <w:tab/>
              <w:t>Description</w:t>
            </w:r>
          </w:p>
        </w:tc>
        <w:tc>
          <w:tcPr>
            <w:tcW w:w="1418" w:type="dxa"/>
          </w:tcPr>
          <w:p>
            <w:pPr>
              <w:pStyle w:val="yTable"/>
              <w:spacing w:before="0"/>
              <w:jc w:val="center"/>
              <w:rPr>
                <w:b/>
              </w:rPr>
            </w:pPr>
            <w:r>
              <w:rPr>
                <w:b/>
              </w:rPr>
              <w:t>Rate</w:t>
            </w:r>
          </w:p>
        </w:tc>
      </w:tr>
      <w:tr>
        <w:tc>
          <w:tcPr>
            <w:tcW w:w="5954" w:type="dxa"/>
          </w:tcPr>
          <w:p>
            <w:pPr>
              <w:pStyle w:val="yTable"/>
              <w:spacing w:before="0"/>
              <w:rPr>
                <w:b/>
              </w:rPr>
            </w:pPr>
          </w:p>
        </w:tc>
        <w:tc>
          <w:tcPr>
            <w:tcW w:w="1418" w:type="dxa"/>
          </w:tcPr>
          <w:p>
            <w:pPr>
              <w:pStyle w:val="yTable"/>
              <w:spacing w:before="0"/>
              <w:jc w:val="center"/>
              <w:rPr>
                <w:b/>
              </w:rPr>
            </w:pPr>
            <w:r>
              <w:rPr>
                <w:b/>
              </w:rPr>
              <w:t>$</w:t>
            </w:r>
          </w:p>
        </w:tc>
      </w:tr>
      <w:tr>
        <w:tc>
          <w:tcPr>
            <w:tcW w:w="5954" w:type="dxa"/>
          </w:tcPr>
          <w:p>
            <w:pPr>
              <w:pStyle w:val="yTable"/>
              <w:tabs>
                <w:tab w:val="left" w:pos="426"/>
              </w:tabs>
              <w:spacing w:before="0"/>
            </w:pPr>
            <w:r>
              <w:t>1.</w:t>
            </w:r>
            <w:r>
              <w:tab/>
              <w:t>COURT OF CRIMINAL APPEAL</w:t>
            </w:r>
          </w:p>
        </w:tc>
        <w:tc>
          <w:tcPr>
            <w:tcW w:w="1418" w:type="dxa"/>
          </w:tcPr>
          <w:p>
            <w:pPr>
              <w:pStyle w:val="yTable"/>
              <w:spacing w:before="0"/>
            </w:pPr>
          </w:p>
        </w:tc>
      </w:tr>
      <w:tr>
        <w:tc>
          <w:tcPr>
            <w:tcW w:w="5954" w:type="dxa"/>
          </w:tcPr>
          <w:p>
            <w:pPr>
              <w:pStyle w:val="yTable"/>
              <w:tabs>
                <w:tab w:val="left" w:pos="426"/>
                <w:tab w:val="left" w:pos="993"/>
              </w:tabs>
              <w:ind w:left="993" w:hanging="993"/>
            </w:pPr>
            <w:r>
              <w:tab/>
              <w:t>(1)</w:t>
            </w:r>
            <w:r>
              <w:tab/>
              <w:t>Appeal against sentence ........................................</w:t>
            </w:r>
          </w:p>
        </w:tc>
        <w:tc>
          <w:tcPr>
            <w:tcW w:w="1418" w:type="dxa"/>
          </w:tcPr>
          <w:p>
            <w:pPr>
              <w:pStyle w:val="yTable"/>
              <w:jc w:val="right"/>
            </w:pPr>
            <w:r>
              <w:t>1 000</w:t>
            </w:r>
          </w:p>
        </w:tc>
      </w:tr>
      <w:tr>
        <w:tc>
          <w:tcPr>
            <w:tcW w:w="5954" w:type="dxa"/>
          </w:tcPr>
          <w:p>
            <w:pPr>
              <w:pStyle w:val="yTable"/>
              <w:tabs>
                <w:tab w:val="left" w:pos="426"/>
                <w:tab w:val="left" w:pos="993"/>
              </w:tabs>
              <w:ind w:left="993" w:hanging="993"/>
            </w:pPr>
            <w:r>
              <w:tab/>
              <w:t>(2)</w:t>
            </w:r>
            <w:r>
              <w:tab/>
              <w:t>Appeal against conviction .....................................</w:t>
            </w:r>
          </w:p>
        </w:tc>
        <w:tc>
          <w:tcPr>
            <w:tcW w:w="1418" w:type="dxa"/>
          </w:tcPr>
          <w:p>
            <w:pPr>
              <w:pStyle w:val="yTable"/>
              <w:jc w:val="right"/>
            </w:pPr>
            <w:r>
              <w:t>1 750</w:t>
            </w:r>
          </w:p>
        </w:tc>
      </w:tr>
      <w:tr>
        <w:tc>
          <w:tcPr>
            <w:tcW w:w="5954" w:type="dxa"/>
          </w:tcPr>
          <w:p>
            <w:pPr>
              <w:pStyle w:val="yTable"/>
              <w:tabs>
                <w:tab w:val="left" w:pos="426"/>
                <w:tab w:val="left" w:pos="993"/>
              </w:tabs>
              <w:ind w:left="993" w:hanging="993"/>
            </w:pPr>
            <w:r>
              <w:tab/>
              <w:t>(3)</w:t>
            </w:r>
            <w:r>
              <w:tab/>
              <w:t>Application for extension of time within which to appeal and leave to appeal and an attendance before a single Judge .............................................</w:t>
            </w:r>
          </w:p>
        </w:tc>
        <w:tc>
          <w:tcPr>
            <w:tcW w:w="1418" w:type="dxa"/>
          </w:tcPr>
          <w:p>
            <w:pPr>
              <w:pStyle w:val="yTable"/>
              <w:jc w:val="right"/>
            </w:pPr>
            <w:r>
              <w:br/>
            </w:r>
            <w:r>
              <w:br/>
              <w:t>100-400</w:t>
            </w:r>
          </w:p>
        </w:tc>
      </w:tr>
      <w:tr>
        <w:tc>
          <w:tcPr>
            <w:tcW w:w="5954" w:type="dxa"/>
          </w:tcPr>
          <w:p>
            <w:pPr>
              <w:pStyle w:val="yTable"/>
              <w:tabs>
                <w:tab w:val="left" w:pos="426"/>
                <w:tab w:val="left" w:pos="993"/>
              </w:tabs>
              <w:ind w:left="993" w:hanging="993"/>
            </w:pPr>
            <w:r>
              <w:tab/>
              <w:t>(4)</w:t>
            </w:r>
            <w:r>
              <w:tab/>
              <w:t>Attending on reserve decision including Section 20 Application ..........................................</w:t>
            </w:r>
          </w:p>
        </w:tc>
        <w:tc>
          <w:tcPr>
            <w:tcW w:w="1418" w:type="dxa"/>
          </w:tcPr>
          <w:p>
            <w:pPr>
              <w:pStyle w:val="yTable"/>
              <w:jc w:val="right"/>
            </w:pPr>
            <w:r>
              <w:br/>
              <w:t>80</w:t>
            </w:r>
          </w:p>
        </w:tc>
      </w:tr>
    </w:tbl>
    <w:p>
      <w:pPr>
        <w:pStyle w:val="yTable"/>
      </w:pPr>
    </w:p>
    <w:tbl>
      <w:tblPr>
        <w:tblW w:w="0" w:type="auto"/>
        <w:tblInd w:w="141" w:type="dxa"/>
        <w:tblLayout w:type="fixed"/>
        <w:tblCellMar>
          <w:left w:w="283" w:type="dxa"/>
          <w:right w:w="283" w:type="dxa"/>
        </w:tblCellMar>
        <w:tblLook w:val="0000" w:firstRow="0" w:lastRow="0" w:firstColumn="0" w:lastColumn="0" w:noHBand="0" w:noVBand="0"/>
      </w:tblPr>
      <w:tblGrid>
        <w:gridCol w:w="5954"/>
        <w:gridCol w:w="1418"/>
      </w:tblGrid>
      <w:tr>
        <w:tc>
          <w:tcPr>
            <w:tcW w:w="5954" w:type="dxa"/>
          </w:tcPr>
          <w:p>
            <w:pPr>
              <w:pStyle w:val="yTable"/>
              <w:tabs>
                <w:tab w:val="left" w:pos="426"/>
              </w:tabs>
              <w:spacing w:before="0"/>
            </w:pPr>
            <w:r>
              <w:t>2.</w:t>
            </w:r>
            <w:r>
              <w:tab/>
              <w:t>OTHER APPELLATE OR REVIEW JURISDICTION</w:t>
            </w:r>
          </w:p>
        </w:tc>
        <w:tc>
          <w:tcPr>
            <w:tcW w:w="1418" w:type="dxa"/>
          </w:tcPr>
          <w:p>
            <w:pPr>
              <w:pStyle w:val="yTable"/>
              <w:spacing w:before="0"/>
            </w:pPr>
          </w:p>
        </w:tc>
      </w:tr>
      <w:tr>
        <w:tc>
          <w:tcPr>
            <w:tcW w:w="5954" w:type="dxa"/>
          </w:tcPr>
          <w:p>
            <w:pPr>
              <w:pStyle w:val="yTable"/>
              <w:tabs>
                <w:tab w:val="left" w:pos="426"/>
                <w:tab w:val="left" w:pos="993"/>
              </w:tabs>
              <w:ind w:left="993" w:hanging="993"/>
            </w:pPr>
            <w:r>
              <w:tab/>
              <w:t>(1)</w:t>
            </w:r>
            <w:r>
              <w:tab/>
              <w:t>Application for orders on appeal from an order or sentence of a magistrate ........................................</w:t>
            </w:r>
          </w:p>
        </w:tc>
        <w:tc>
          <w:tcPr>
            <w:tcW w:w="1418" w:type="dxa"/>
          </w:tcPr>
          <w:p>
            <w:pPr>
              <w:pStyle w:val="yTable"/>
              <w:jc w:val="right"/>
            </w:pPr>
            <w:r>
              <w:br/>
              <w:t>1 000</w:t>
            </w:r>
          </w:p>
        </w:tc>
      </w:tr>
      <w:tr>
        <w:tc>
          <w:tcPr>
            <w:tcW w:w="5954" w:type="dxa"/>
          </w:tcPr>
          <w:p>
            <w:pPr>
              <w:pStyle w:val="yTable"/>
              <w:tabs>
                <w:tab w:val="left" w:pos="426"/>
                <w:tab w:val="left" w:pos="993"/>
              </w:tabs>
              <w:ind w:left="993" w:hanging="993"/>
            </w:pPr>
            <w:r>
              <w:tab/>
              <w:t>(2)</w:t>
            </w:r>
            <w:r>
              <w:tab/>
              <w:t>Appeal to single Judge (other than under subitem (1)) ...........................................................</w:t>
            </w:r>
          </w:p>
        </w:tc>
        <w:tc>
          <w:tcPr>
            <w:tcW w:w="1418" w:type="dxa"/>
          </w:tcPr>
          <w:p>
            <w:pPr>
              <w:pStyle w:val="yTable"/>
              <w:jc w:val="right"/>
            </w:pPr>
            <w:r>
              <w:br/>
              <w:t>350-700</w:t>
            </w:r>
          </w:p>
        </w:tc>
      </w:tr>
      <w:tr>
        <w:tc>
          <w:tcPr>
            <w:tcW w:w="5954" w:type="dxa"/>
          </w:tcPr>
          <w:p>
            <w:pPr>
              <w:pStyle w:val="yTable"/>
              <w:tabs>
                <w:tab w:val="left" w:pos="426"/>
                <w:tab w:val="left" w:pos="993"/>
              </w:tabs>
              <w:ind w:left="993" w:hanging="993"/>
            </w:pPr>
            <w:r>
              <w:tab/>
              <w:t>(3)</w:t>
            </w:r>
            <w:r>
              <w:tab/>
              <w:t>Attending on reserved decision .............................</w:t>
            </w:r>
          </w:p>
        </w:tc>
        <w:tc>
          <w:tcPr>
            <w:tcW w:w="1418" w:type="dxa"/>
          </w:tcPr>
          <w:p>
            <w:pPr>
              <w:pStyle w:val="yTable"/>
              <w:jc w:val="right"/>
            </w:pPr>
            <w:r>
              <w:t>80</w:t>
            </w:r>
          </w:p>
        </w:tc>
      </w:tr>
    </w:tbl>
    <w:p>
      <w:pPr>
        <w:pStyle w:val="yTable"/>
      </w:pPr>
    </w:p>
    <w:tbl>
      <w:tblPr>
        <w:tblW w:w="0" w:type="auto"/>
        <w:tblInd w:w="141" w:type="dxa"/>
        <w:tblLayout w:type="fixed"/>
        <w:tblCellMar>
          <w:left w:w="283" w:type="dxa"/>
          <w:right w:w="283" w:type="dxa"/>
        </w:tblCellMar>
        <w:tblLook w:val="0000" w:firstRow="0" w:lastRow="0" w:firstColumn="0" w:lastColumn="0" w:noHBand="0" w:noVBand="0"/>
      </w:tblPr>
      <w:tblGrid>
        <w:gridCol w:w="5812"/>
        <w:gridCol w:w="1560"/>
      </w:tblGrid>
      <w:tr>
        <w:tc>
          <w:tcPr>
            <w:tcW w:w="5812" w:type="dxa"/>
          </w:tcPr>
          <w:p>
            <w:pPr>
              <w:pStyle w:val="yTable"/>
              <w:tabs>
                <w:tab w:val="left" w:pos="426"/>
              </w:tabs>
              <w:spacing w:before="0"/>
            </w:pPr>
            <w:r>
              <w:t>2A.</w:t>
            </w:r>
            <w:r>
              <w:tab/>
              <w:t>PREPARATION OF APPEAL BOOKS — </w:t>
            </w:r>
            <w:r>
              <w:br/>
            </w:r>
            <w:r>
              <w:tab/>
              <w:t>ALL JURISDICTIONS</w:t>
            </w:r>
          </w:p>
        </w:tc>
        <w:tc>
          <w:tcPr>
            <w:tcW w:w="1560" w:type="dxa"/>
          </w:tcPr>
          <w:p>
            <w:pPr>
              <w:pStyle w:val="yTable"/>
              <w:spacing w:before="0"/>
            </w:pPr>
          </w:p>
        </w:tc>
      </w:tr>
      <w:tr>
        <w:tc>
          <w:tcPr>
            <w:tcW w:w="5812" w:type="dxa"/>
          </w:tcPr>
          <w:p>
            <w:pPr>
              <w:pStyle w:val="yTable"/>
              <w:tabs>
                <w:tab w:val="left" w:pos="426"/>
              </w:tabs>
            </w:pPr>
            <w:r>
              <w:tab/>
              <w:t>Rates as in Schedule 2.</w:t>
            </w:r>
          </w:p>
          <w:p>
            <w:pPr>
              <w:pStyle w:val="yTable"/>
              <w:tabs>
                <w:tab w:val="left" w:pos="426"/>
              </w:tabs>
              <w:spacing w:before="0"/>
              <w:ind w:left="426" w:hanging="426"/>
            </w:pPr>
            <w:r>
              <w:tab/>
              <w:t>(Provided the claim for collating, copying, numbering or binding does not exceed a reasonable fee for those services when charged by a commercial organization to the public.)</w:t>
            </w:r>
          </w:p>
        </w:tc>
        <w:tc>
          <w:tcPr>
            <w:tcW w:w="1560" w:type="dxa"/>
          </w:tcPr>
          <w:p>
            <w:pPr>
              <w:pStyle w:val="yTable"/>
              <w:spacing w:before="0"/>
            </w:pPr>
          </w:p>
        </w:tc>
      </w:tr>
    </w:tbl>
    <w:p>
      <w:pPr>
        <w:rPr>
          <w:sz w:val="16"/>
        </w:rPr>
      </w:pPr>
    </w:p>
    <w:tbl>
      <w:tblPr>
        <w:tblW w:w="0" w:type="auto"/>
        <w:tblInd w:w="141" w:type="dxa"/>
        <w:tblLayout w:type="fixed"/>
        <w:tblCellMar>
          <w:left w:w="283" w:type="dxa"/>
          <w:right w:w="283" w:type="dxa"/>
        </w:tblCellMar>
        <w:tblLook w:val="0000" w:firstRow="0" w:lastRow="0" w:firstColumn="0" w:lastColumn="0" w:noHBand="0" w:noVBand="0"/>
      </w:tblPr>
      <w:tblGrid>
        <w:gridCol w:w="5812"/>
        <w:gridCol w:w="1560"/>
      </w:tblGrid>
      <w:tr>
        <w:trPr>
          <w:tblHeader/>
        </w:trPr>
        <w:tc>
          <w:tcPr>
            <w:tcW w:w="5812" w:type="dxa"/>
          </w:tcPr>
          <w:p>
            <w:pPr>
              <w:pStyle w:val="yTable"/>
              <w:keepNext/>
              <w:spacing w:before="0"/>
            </w:pPr>
          </w:p>
        </w:tc>
        <w:tc>
          <w:tcPr>
            <w:tcW w:w="1560" w:type="dxa"/>
          </w:tcPr>
          <w:p>
            <w:pPr>
              <w:pStyle w:val="yTable"/>
              <w:keepNext/>
              <w:spacing w:before="0"/>
              <w:jc w:val="center"/>
              <w:rPr>
                <w:b/>
              </w:rPr>
            </w:pPr>
            <w:r>
              <w:rPr>
                <w:b/>
              </w:rPr>
              <w:t>Maximum Rate</w:t>
            </w:r>
          </w:p>
          <w:p>
            <w:pPr>
              <w:pStyle w:val="yTable"/>
              <w:keepNext/>
              <w:spacing w:before="0"/>
              <w:jc w:val="center"/>
            </w:pPr>
            <w:r>
              <w:rPr>
                <w:b/>
              </w:rPr>
              <w:t>$</w:t>
            </w:r>
          </w:p>
        </w:tc>
      </w:tr>
      <w:tr>
        <w:tc>
          <w:tcPr>
            <w:tcW w:w="5812" w:type="dxa"/>
          </w:tcPr>
          <w:p>
            <w:pPr>
              <w:pStyle w:val="yTable"/>
              <w:spacing w:before="0"/>
              <w:ind w:left="426" w:hanging="426"/>
            </w:pPr>
            <w:r>
              <w:t>3.</w:t>
            </w:r>
            <w:r>
              <w:tab/>
              <w:t>SUPREME COURT — CRIMINAL JURISDICTION</w:t>
            </w:r>
          </w:p>
        </w:tc>
        <w:tc>
          <w:tcPr>
            <w:tcW w:w="1560" w:type="dxa"/>
          </w:tcPr>
          <w:p>
            <w:pPr>
              <w:pStyle w:val="yTable"/>
              <w:keepNext/>
              <w:spacing w:before="0"/>
            </w:pPr>
          </w:p>
        </w:tc>
      </w:tr>
      <w:tr>
        <w:tc>
          <w:tcPr>
            <w:tcW w:w="5812" w:type="dxa"/>
          </w:tcPr>
          <w:p>
            <w:pPr>
              <w:pStyle w:val="yTable"/>
              <w:tabs>
                <w:tab w:val="left" w:pos="426"/>
                <w:tab w:val="left" w:pos="993"/>
              </w:tabs>
              <w:ind w:left="993" w:hanging="993"/>
            </w:pPr>
            <w:r>
              <w:tab/>
              <w:t>(1)</w:t>
            </w:r>
            <w:r>
              <w:tab/>
              <w:t>Plea of guilty without a prior trial including advice relating to plea, preparation and presentation of plea ............................................</w:t>
            </w:r>
          </w:p>
        </w:tc>
        <w:tc>
          <w:tcPr>
            <w:tcW w:w="1560" w:type="dxa"/>
          </w:tcPr>
          <w:p>
            <w:pPr>
              <w:pStyle w:val="yTable"/>
              <w:jc w:val="right"/>
            </w:pPr>
            <w:r>
              <w:br/>
            </w:r>
            <w:r>
              <w:br/>
              <w:t>660</w:t>
            </w:r>
          </w:p>
        </w:tc>
      </w:tr>
      <w:tr>
        <w:trPr>
          <w:cantSplit/>
        </w:trPr>
        <w:tc>
          <w:tcPr>
            <w:tcW w:w="5812" w:type="dxa"/>
          </w:tcPr>
          <w:p>
            <w:pPr>
              <w:pStyle w:val="yTable"/>
              <w:tabs>
                <w:tab w:val="left" w:pos="426"/>
                <w:tab w:val="left" w:pos="993"/>
              </w:tabs>
              <w:ind w:left="993" w:hanging="993"/>
            </w:pPr>
            <w:r>
              <w:tab/>
              <w:t>(2)</w:t>
            </w:r>
            <w:r>
              <w:tab/>
              <w:t>Appearing to take sentence including address on pre</w:t>
            </w:r>
            <w:r>
              <w:noBreakHyphen/>
              <w:t>sentencing report .....................................</w:t>
            </w:r>
          </w:p>
        </w:tc>
        <w:tc>
          <w:tcPr>
            <w:tcW w:w="1560" w:type="dxa"/>
          </w:tcPr>
          <w:p>
            <w:pPr>
              <w:pStyle w:val="yTable"/>
              <w:jc w:val="right"/>
            </w:pPr>
            <w:r>
              <w:br/>
              <w:t>80</w:t>
            </w:r>
          </w:p>
        </w:tc>
      </w:tr>
      <w:tr>
        <w:tc>
          <w:tcPr>
            <w:tcW w:w="5812" w:type="dxa"/>
          </w:tcPr>
          <w:p>
            <w:pPr>
              <w:pStyle w:val="yTable"/>
              <w:tabs>
                <w:tab w:val="left" w:pos="426"/>
                <w:tab w:val="left" w:pos="993"/>
              </w:tabs>
              <w:ind w:left="993" w:hanging="993"/>
            </w:pPr>
            <w:r>
              <w:tab/>
              <w:t>(3)</w:t>
            </w:r>
            <w:r>
              <w:tab/>
              <w:t>Appearing to obtain remands .............................</w:t>
            </w:r>
          </w:p>
        </w:tc>
        <w:tc>
          <w:tcPr>
            <w:tcW w:w="1560" w:type="dxa"/>
          </w:tcPr>
          <w:p>
            <w:pPr>
              <w:pStyle w:val="yTable"/>
              <w:jc w:val="right"/>
            </w:pPr>
            <w:r>
              <w:t>80</w:t>
            </w:r>
          </w:p>
        </w:tc>
      </w:tr>
      <w:tr>
        <w:tc>
          <w:tcPr>
            <w:tcW w:w="5812" w:type="dxa"/>
          </w:tcPr>
          <w:p>
            <w:pPr>
              <w:pStyle w:val="yTable"/>
              <w:tabs>
                <w:tab w:val="left" w:pos="426"/>
                <w:tab w:val="left" w:pos="993"/>
              </w:tabs>
              <w:ind w:left="993" w:hanging="993"/>
            </w:pPr>
            <w:r>
              <w:tab/>
              <w:t>(4)</w:t>
            </w:r>
            <w:r>
              <w:tab/>
              <w:t>Getting up ...........................................................</w:t>
            </w:r>
          </w:p>
        </w:tc>
        <w:tc>
          <w:tcPr>
            <w:tcW w:w="1560" w:type="dxa"/>
          </w:tcPr>
          <w:p>
            <w:pPr>
              <w:pStyle w:val="yTable"/>
              <w:jc w:val="right"/>
            </w:pPr>
            <w:r>
              <w:t>1 250</w:t>
            </w:r>
          </w:p>
        </w:tc>
      </w:tr>
      <w:tr>
        <w:tc>
          <w:tcPr>
            <w:tcW w:w="5812" w:type="dxa"/>
          </w:tcPr>
          <w:p>
            <w:pPr>
              <w:pStyle w:val="yTable"/>
              <w:tabs>
                <w:tab w:val="left" w:pos="993"/>
                <w:tab w:val="left" w:pos="1702"/>
              </w:tabs>
            </w:pPr>
            <w:r>
              <w:tab/>
              <w:t xml:space="preserve">Trial </w:t>
            </w:r>
            <w:r>
              <w:tab/>
              <w:t>First day .................................................</w:t>
            </w:r>
          </w:p>
        </w:tc>
        <w:tc>
          <w:tcPr>
            <w:tcW w:w="1560" w:type="dxa"/>
          </w:tcPr>
          <w:p>
            <w:pPr>
              <w:pStyle w:val="yTable"/>
              <w:jc w:val="right"/>
            </w:pPr>
            <w:r>
              <w:t>850</w:t>
            </w:r>
          </w:p>
        </w:tc>
      </w:tr>
      <w:tr>
        <w:tc>
          <w:tcPr>
            <w:tcW w:w="5812" w:type="dxa"/>
          </w:tcPr>
          <w:p>
            <w:pPr>
              <w:pStyle w:val="yTable"/>
              <w:tabs>
                <w:tab w:val="left" w:pos="993"/>
                <w:tab w:val="left" w:pos="1702"/>
              </w:tabs>
            </w:pPr>
            <w:r>
              <w:tab/>
            </w:r>
            <w:r>
              <w:tab/>
              <w:t>Second or subsequent day .....................</w:t>
            </w:r>
          </w:p>
        </w:tc>
        <w:tc>
          <w:tcPr>
            <w:tcW w:w="1560" w:type="dxa"/>
          </w:tcPr>
          <w:p>
            <w:pPr>
              <w:pStyle w:val="yTable"/>
              <w:jc w:val="right"/>
            </w:pPr>
            <w:r>
              <w:t>700</w:t>
            </w:r>
          </w:p>
        </w:tc>
      </w:tr>
      <w:tr>
        <w:tc>
          <w:tcPr>
            <w:tcW w:w="5812" w:type="dxa"/>
          </w:tcPr>
          <w:p>
            <w:pPr>
              <w:pStyle w:val="yTable"/>
              <w:tabs>
                <w:tab w:val="left" w:pos="426"/>
                <w:tab w:val="left" w:pos="993"/>
              </w:tabs>
              <w:ind w:left="993" w:hanging="993"/>
            </w:pPr>
            <w:r>
              <w:tab/>
              <w:t>(5)</w:t>
            </w:r>
            <w:r>
              <w:tab/>
              <w:t>Application for bail to Supreme Court Judge from inferior jurisdiction ....................................</w:t>
            </w:r>
          </w:p>
        </w:tc>
        <w:tc>
          <w:tcPr>
            <w:tcW w:w="1560" w:type="dxa"/>
          </w:tcPr>
          <w:p>
            <w:pPr>
              <w:pStyle w:val="yTable"/>
              <w:jc w:val="right"/>
            </w:pPr>
            <w:r>
              <w:br/>
              <w:t>350</w:t>
            </w:r>
          </w:p>
        </w:tc>
      </w:tr>
      <w:tr>
        <w:tc>
          <w:tcPr>
            <w:tcW w:w="5812" w:type="dxa"/>
          </w:tcPr>
          <w:p>
            <w:pPr>
              <w:pStyle w:val="yTable"/>
              <w:tabs>
                <w:tab w:val="left" w:pos="426"/>
                <w:tab w:val="left" w:pos="993"/>
              </w:tabs>
              <w:ind w:left="993" w:hanging="993"/>
            </w:pPr>
            <w:r>
              <w:tab/>
              <w:t>(6)</w:t>
            </w:r>
            <w:r>
              <w:tab/>
              <w:t>Application as to venue, jurisdiction or other preliminary issue ................................................</w:t>
            </w:r>
          </w:p>
        </w:tc>
        <w:tc>
          <w:tcPr>
            <w:tcW w:w="1560" w:type="dxa"/>
          </w:tcPr>
          <w:p>
            <w:pPr>
              <w:pStyle w:val="yTable"/>
              <w:jc w:val="right"/>
            </w:pPr>
            <w:r>
              <w:br/>
              <w:t>250</w:t>
            </w:r>
          </w:p>
        </w:tc>
      </w:tr>
      <w:tr>
        <w:tc>
          <w:tcPr>
            <w:tcW w:w="5812" w:type="dxa"/>
          </w:tcPr>
          <w:p>
            <w:pPr>
              <w:pStyle w:val="yTable"/>
              <w:tabs>
                <w:tab w:val="left" w:pos="426"/>
                <w:tab w:val="left" w:pos="993"/>
              </w:tabs>
              <w:ind w:left="993" w:hanging="993"/>
            </w:pPr>
            <w:r>
              <w:tab/>
              <w:t>(7)</w:t>
            </w:r>
            <w:r>
              <w:tab/>
              <w:t>Viewing or listening to video or sound tapes per hour relating to the proceedings .........................</w:t>
            </w:r>
          </w:p>
        </w:tc>
        <w:tc>
          <w:tcPr>
            <w:tcW w:w="1560" w:type="dxa"/>
          </w:tcPr>
          <w:p>
            <w:pPr>
              <w:pStyle w:val="yTable"/>
              <w:jc w:val="right"/>
            </w:pPr>
            <w:r>
              <w:br/>
              <w:t>80</w:t>
            </w:r>
          </w:p>
        </w:tc>
      </w:tr>
      <w:tr>
        <w:tc>
          <w:tcPr>
            <w:tcW w:w="5812" w:type="dxa"/>
          </w:tcPr>
          <w:p>
            <w:pPr>
              <w:pStyle w:val="yTable"/>
              <w:tabs>
                <w:tab w:val="left" w:pos="426"/>
                <w:tab w:val="left" w:pos="993"/>
              </w:tabs>
              <w:ind w:left="993" w:hanging="993"/>
            </w:pPr>
            <w:r>
              <w:tab/>
              <w:t>(8)</w:t>
            </w:r>
            <w:r>
              <w:tab/>
              <w:t>Transcribing video or sound tapes per page relating to the proceedings .................................</w:t>
            </w:r>
          </w:p>
        </w:tc>
        <w:tc>
          <w:tcPr>
            <w:tcW w:w="1560" w:type="dxa"/>
          </w:tcPr>
          <w:p>
            <w:pPr>
              <w:pStyle w:val="yTable"/>
              <w:jc w:val="right"/>
            </w:pPr>
            <w:r>
              <w:br/>
              <w:t>3</w:t>
            </w:r>
          </w:p>
        </w:tc>
      </w:tr>
      <w:tr>
        <w:tc>
          <w:tcPr>
            <w:tcW w:w="5812" w:type="dxa"/>
          </w:tcPr>
          <w:p>
            <w:pPr>
              <w:pStyle w:val="yTable"/>
              <w:tabs>
                <w:tab w:val="left" w:pos="426"/>
              </w:tabs>
              <w:ind w:left="426" w:hanging="426"/>
            </w:pPr>
          </w:p>
          <w:p>
            <w:pPr>
              <w:pStyle w:val="yTable"/>
              <w:tabs>
                <w:tab w:val="left" w:pos="426"/>
              </w:tabs>
              <w:ind w:left="426" w:hanging="426"/>
            </w:pPr>
            <w:r>
              <w:t>4.</w:t>
            </w:r>
            <w:r>
              <w:tab/>
              <w:t>DISTRICT COURT — CRIMINAL JURISDICTION AND CHILDREN’S COURT WHERE CONSTITUTED BY PRESIDENT</w:t>
            </w:r>
          </w:p>
        </w:tc>
        <w:tc>
          <w:tcPr>
            <w:tcW w:w="1560" w:type="dxa"/>
          </w:tcPr>
          <w:p>
            <w:pPr>
              <w:pStyle w:val="yTable"/>
            </w:pPr>
          </w:p>
        </w:tc>
      </w:tr>
      <w:tr>
        <w:tc>
          <w:tcPr>
            <w:tcW w:w="5812" w:type="dxa"/>
          </w:tcPr>
          <w:p>
            <w:pPr>
              <w:pStyle w:val="yTable"/>
              <w:tabs>
                <w:tab w:val="left" w:pos="426"/>
              </w:tabs>
              <w:ind w:left="993" w:hanging="993"/>
            </w:pPr>
            <w:r>
              <w:tab/>
              <w:t>(1)</w:t>
            </w:r>
            <w:r>
              <w:tab/>
              <w:t>Plea of guilty including advice relating to plea, all necessary preparation and presentation .........</w:t>
            </w:r>
          </w:p>
        </w:tc>
        <w:tc>
          <w:tcPr>
            <w:tcW w:w="1560" w:type="dxa"/>
          </w:tcPr>
          <w:p>
            <w:pPr>
              <w:pStyle w:val="yTable"/>
              <w:jc w:val="right"/>
            </w:pPr>
            <w:r>
              <w:br/>
              <w:t>600</w:t>
            </w:r>
          </w:p>
        </w:tc>
      </w:tr>
      <w:tr>
        <w:tc>
          <w:tcPr>
            <w:tcW w:w="5812" w:type="dxa"/>
          </w:tcPr>
          <w:p>
            <w:pPr>
              <w:pStyle w:val="yTable"/>
              <w:tabs>
                <w:tab w:val="left" w:pos="426"/>
                <w:tab w:val="left" w:pos="993"/>
              </w:tabs>
              <w:ind w:left="992" w:hanging="992"/>
            </w:pPr>
            <w:r>
              <w:tab/>
              <w:t>(2)</w:t>
            </w:r>
            <w:r>
              <w:tab/>
              <w:t>Appearing to take sentence including address and a pre</w:t>
            </w:r>
            <w:r>
              <w:noBreakHyphen/>
              <w:t xml:space="preserve">sentence report or application for bail </w:t>
            </w:r>
          </w:p>
        </w:tc>
        <w:tc>
          <w:tcPr>
            <w:tcW w:w="1560" w:type="dxa"/>
          </w:tcPr>
          <w:p>
            <w:pPr>
              <w:pStyle w:val="yTable"/>
              <w:jc w:val="right"/>
            </w:pPr>
            <w:r>
              <w:br/>
              <w:t>80</w:t>
            </w:r>
          </w:p>
        </w:tc>
      </w:tr>
      <w:tr>
        <w:tc>
          <w:tcPr>
            <w:tcW w:w="5812" w:type="dxa"/>
          </w:tcPr>
          <w:p>
            <w:pPr>
              <w:pStyle w:val="yTable"/>
              <w:tabs>
                <w:tab w:val="left" w:pos="426"/>
              </w:tabs>
              <w:ind w:left="993" w:hanging="993"/>
            </w:pPr>
            <w:r>
              <w:tab/>
              <w:t>(3)</w:t>
            </w:r>
            <w:r>
              <w:tab/>
              <w:t>Appearing to take remand including bail application ..........................................................</w:t>
            </w:r>
          </w:p>
        </w:tc>
        <w:tc>
          <w:tcPr>
            <w:tcW w:w="1560" w:type="dxa"/>
          </w:tcPr>
          <w:p>
            <w:pPr>
              <w:pStyle w:val="yTable"/>
              <w:jc w:val="right"/>
            </w:pPr>
            <w:r>
              <w:br/>
              <w:t>80</w:t>
            </w:r>
          </w:p>
        </w:tc>
      </w:tr>
      <w:tr>
        <w:tc>
          <w:tcPr>
            <w:tcW w:w="5812" w:type="dxa"/>
          </w:tcPr>
          <w:p>
            <w:pPr>
              <w:pStyle w:val="yTable"/>
              <w:tabs>
                <w:tab w:val="left" w:pos="426"/>
                <w:tab w:val="left" w:pos="1702"/>
              </w:tabs>
              <w:ind w:left="993" w:hanging="993"/>
            </w:pPr>
            <w:r>
              <w:tab/>
              <w:t>(4)</w:t>
            </w:r>
            <w:r>
              <w:tab/>
              <w:t xml:space="preserve">Trial, </w:t>
            </w:r>
            <w:r>
              <w:tab/>
              <w:t>Getting Up .............................................</w:t>
            </w:r>
          </w:p>
        </w:tc>
        <w:tc>
          <w:tcPr>
            <w:tcW w:w="1560" w:type="dxa"/>
          </w:tcPr>
          <w:p>
            <w:pPr>
              <w:pStyle w:val="yTable"/>
              <w:keepNext/>
              <w:jc w:val="right"/>
            </w:pPr>
            <w:r>
              <w:t>825</w:t>
            </w:r>
          </w:p>
        </w:tc>
      </w:tr>
      <w:tr>
        <w:tc>
          <w:tcPr>
            <w:tcW w:w="5812" w:type="dxa"/>
          </w:tcPr>
          <w:p>
            <w:pPr>
              <w:pStyle w:val="yTable"/>
              <w:tabs>
                <w:tab w:val="left" w:pos="1702"/>
              </w:tabs>
            </w:pPr>
            <w:r>
              <w:tab/>
              <w:t>First day .................................................</w:t>
            </w:r>
          </w:p>
        </w:tc>
        <w:tc>
          <w:tcPr>
            <w:tcW w:w="1560" w:type="dxa"/>
          </w:tcPr>
          <w:p>
            <w:pPr>
              <w:pStyle w:val="yTable"/>
              <w:keepNext/>
              <w:jc w:val="right"/>
            </w:pPr>
            <w:r>
              <w:t>700</w:t>
            </w:r>
          </w:p>
        </w:tc>
      </w:tr>
      <w:tr>
        <w:tc>
          <w:tcPr>
            <w:tcW w:w="5812" w:type="dxa"/>
          </w:tcPr>
          <w:p>
            <w:pPr>
              <w:pStyle w:val="yTable"/>
              <w:tabs>
                <w:tab w:val="left" w:pos="1702"/>
              </w:tabs>
            </w:pPr>
            <w:r>
              <w:tab/>
              <w:t>Second or subsequent days ....................</w:t>
            </w:r>
          </w:p>
        </w:tc>
        <w:tc>
          <w:tcPr>
            <w:tcW w:w="1560" w:type="dxa"/>
          </w:tcPr>
          <w:p>
            <w:pPr>
              <w:pStyle w:val="yTable"/>
              <w:jc w:val="right"/>
            </w:pPr>
            <w:r>
              <w:t>600</w:t>
            </w:r>
          </w:p>
        </w:tc>
      </w:tr>
      <w:tr>
        <w:tc>
          <w:tcPr>
            <w:tcW w:w="5812" w:type="dxa"/>
          </w:tcPr>
          <w:p>
            <w:pPr>
              <w:pStyle w:val="yTable"/>
              <w:tabs>
                <w:tab w:val="left" w:pos="426"/>
              </w:tabs>
              <w:ind w:left="993" w:hanging="993"/>
            </w:pPr>
            <w:r>
              <w:tab/>
              <w:t>(5)</w:t>
            </w:r>
            <w:r>
              <w:tab/>
              <w:t>Viewing or listening to video or sound tapes per hour relating to the proceedings .........................</w:t>
            </w:r>
          </w:p>
        </w:tc>
        <w:tc>
          <w:tcPr>
            <w:tcW w:w="1560" w:type="dxa"/>
          </w:tcPr>
          <w:p>
            <w:pPr>
              <w:pStyle w:val="yTable"/>
              <w:jc w:val="right"/>
            </w:pPr>
            <w:r>
              <w:br/>
              <w:t>80</w:t>
            </w:r>
          </w:p>
        </w:tc>
      </w:tr>
      <w:tr>
        <w:tc>
          <w:tcPr>
            <w:tcW w:w="5812" w:type="dxa"/>
          </w:tcPr>
          <w:p>
            <w:pPr>
              <w:pStyle w:val="yTable"/>
              <w:tabs>
                <w:tab w:val="left" w:pos="426"/>
                <w:tab w:val="left" w:pos="993"/>
              </w:tabs>
              <w:ind w:left="993" w:hanging="993"/>
            </w:pPr>
            <w:r>
              <w:tab/>
              <w:t>(6)</w:t>
            </w:r>
            <w:r>
              <w:tab/>
              <w:t>Transcribing video or sound tapes per page relating to the proceedings .................................</w:t>
            </w:r>
          </w:p>
        </w:tc>
        <w:tc>
          <w:tcPr>
            <w:tcW w:w="1560" w:type="dxa"/>
          </w:tcPr>
          <w:p>
            <w:pPr>
              <w:pStyle w:val="yTable"/>
              <w:jc w:val="right"/>
            </w:pPr>
            <w:r>
              <w:br/>
              <w:t>3</w:t>
            </w:r>
          </w:p>
        </w:tc>
      </w:tr>
      <w:tr>
        <w:tc>
          <w:tcPr>
            <w:tcW w:w="5812" w:type="dxa"/>
          </w:tcPr>
          <w:p>
            <w:pPr>
              <w:pStyle w:val="yTable"/>
              <w:keepNext/>
              <w:tabs>
                <w:tab w:val="left" w:pos="426"/>
              </w:tabs>
              <w:ind w:left="426" w:hanging="426"/>
            </w:pPr>
            <w:r>
              <w:t>5.</w:t>
            </w:r>
            <w:r>
              <w:tab/>
              <w:t>COURT OF PETTY SESSIONS AND CHILDREN’S COURTS</w:t>
            </w:r>
          </w:p>
        </w:tc>
        <w:tc>
          <w:tcPr>
            <w:tcW w:w="1560" w:type="dxa"/>
          </w:tcPr>
          <w:p>
            <w:pPr>
              <w:pStyle w:val="yTable"/>
              <w:keepNext/>
            </w:pPr>
          </w:p>
        </w:tc>
      </w:tr>
      <w:tr>
        <w:tc>
          <w:tcPr>
            <w:tcW w:w="5812" w:type="dxa"/>
          </w:tcPr>
          <w:p>
            <w:pPr>
              <w:pStyle w:val="yTable"/>
              <w:tabs>
                <w:tab w:val="left" w:pos="426"/>
              </w:tabs>
              <w:ind w:left="993" w:hanging="993"/>
            </w:pPr>
            <w:r>
              <w:tab/>
              <w:t>(1)</w:t>
            </w:r>
            <w:r>
              <w:tab/>
              <w:t>Oral committal proceedings — if specially approved first day including preparation ...........</w:t>
            </w:r>
          </w:p>
        </w:tc>
        <w:tc>
          <w:tcPr>
            <w:tcW w:w="1560" w:type="dxa"/>
          </w:tcPr>
          <w:p>
            <w:pPr>
              <w:pStyle w:val="yTable"/>
              <w:jc w:val="right"/>
            </w:pPr>
            <w:r>
              <w:br/>
              <w:t>450</w:t>
            </w:r>
          </w:p>
        </w:tc>
      </w:tr>
      <w:tr>
        <w:tc>
          <w:tcPr>
            <w:tcW w:w="5812" w:type="dxa"/>
          </w:tcPr>
          <w:p>
            <w:pPr>
              <w:pStyle w:val="yTable"/>
              <w:tabs>
                <w:tab w:val="left" w:pos="993"/>
              </w:tabs>
            </w:pPr>
            <w:r>
              <w:tab/>
              <w:t>each other day ....................................................</w:t>
            </w:r>
          </w:p>
        </w:tc>
        <w:tc>
          <w:tcPr>
            <w:tcW w:w="1560" w:type="dxa"/>
          </w:tcPr>
          <w:p>
            <w:pPr>
              <w:pStyle w:val="yTable"/>
              <w:ind w:left="-141"/>
              <w:jc w:val="right"/>
            </w:pPr>
            <w:r>
              <w:t>400 per day</w:t>
            </w:r>
          </w:p>
        </w:tc>
      </w:tr>
      <w:tr>
        <w:tc>
          <w:tcPr>
            <w:tcW w:w="5812" w:type="dxa"/>
          </w:tcPr>
          <w:p>
            <w:pPr>
              <w:pStyle w:val="yTable"/>
              <w:tabs>
                <w:tab w:val="left" w:pos="426"/>
              </w:tabs>
              <w:ind w:left="993" w:hanging="993"/>
            </w:pPr>
            <w:r>
              <w:tab/>
              <w:t>(2)</w:t>
            </w:r>
            <w:r>
              <w:tab/>
              <w:t>Attending on committal by a hand</w:t>
            </w:r>
            <w:r>
              <w:noBreakHyphen/>
              <w:t>up brief .......</w:t>
            </w:r>
          </w:p>
        </w:tc>
        <w:tc>
          <w:tcPr>
            <w:tcW w:w="1560" w:type="dxa"/>
          </w:tcPr>
          <w:p>
            <w:pPr>
              <w:pStyle w:val="yTable"/>
              <w:jc w:val="right"/>
            </w:pPr>
            <w:r>
              <w:t>80</w:t>
            </w:r>
          </w:p>
        </w:tc>
      </w:tr>
      <w:tr>
        <w:tc>
          <w:tcPr>
            <w:tcW w:w="5812" w:type="dxa"/>
          </w:tcPr>
          <w:p>
            <w:pPr>
              <w:pStyle w:val="yTable"/>
              <w:keepNext/>
              <w:tabs>
                <w:tab w:val="left" w:pos="426"/>
              </w:tabs>
              <w:ind w:left="993" w:hanging="993"/>
            </w:pPr>
            <w:r>
              <w:tab/>
              <w:t>(3)</w:t>
            </w:r>
            <w:r>
              <w:tab/>
              <w:t>Defended cases whether or not indictable cases triable summarily, including an address in mitigation following conviction</w:t>
            </w:r>
          </w:p>
        </w:tc>
        <w:tc>
          <w:tcPr>
            <w:tcW w:w="1560" w:type="dxa"/>
          </w:tcPr>
          <w:p>
            <w:pPr>
              <w:pStyle w:val="yTable"/>
              <w:jc w:val="right"/>
            </w:pPr>
          </w:p>
        </w:tc>
      </w:tr>
      <w:tr>
        <w:tc>
          <w:tcPr>
            <w:tcW w:w="5812" w:type="dxa"/>
          </w:tcPr>
          <w:p>
            <w:pPr>
              <w:pStyle w:val="yTable"/>
              <w:ind w:left="1419" w:hanging="1419"/>
            </w:pPr>
            <w:r>
              <w:tab/>
              <w:t>first day including preparation ...................</w:t>
            </w:r>
          </w:p>
        </w:tc>
        <w:tc>
          <w:tcPr>
            <w:tcW w:w="1560" w:type="dxa"/>
          </w:tcPr>
          <w:p>
            <w:pPr>
              <w:pStyle w:val="yTable"/>
              <w:jc w:val="right"/>
            </w:pPr>
            <w:r>
              <w:t>675</w:t>
            </w:r>
          </w:p>
        </w:tc>
      </w:tr>
      <w:tr>
        <w:tc>
          <w:tcPr>
            <w:tcW w:w="5812" w:type="dxa"/>
          </w:tcPr>
          <w:p>
            <w:pPr>
              <w:pStyle w:val="yTable"/>
              <w:ind w:left="1419" w:hanging="1419"/>
            </w:pPr>
            <w:r>
              <w:tab/>
              <w:t>each other day ............................................</w:t>
            </w:r>
          </w:p>
        </w:tc>
        <w:tc>
          <w:tcPr>
            <w:tcW w:w="1560" w:type="dxa"/>
          </w:tcPr>
          <w:p>
            <w:pPr>
              <w:pStyle w:val="yTable"/>
              <w:ind w:left="-141"/>
              <w:jc w:val="right"/>
            </w:pPr>
            <w:r>
              <w:t>385 per day</w:t>
            </w:r>
          </w:p>
        </w:tc>
      </w:tr>
      <w:tr>
        <w:tc>
          <w:tcPr>
            <w:tcW w:w="5812" w:type="dxa"/>
          </w:tcPr>
          <w:p>
            <w:pPr>
              <w:pStyle w:val="yTable"/>
              <w:tabs>
                <w:tab w:val="left" w:pos="426"/>
              </w:tabs>
              <w:ind w:left="993" w:hanging="993"/>
            </w:pPr>
            <w:r>
              <w:tab/>
              <w:t>(4)</w:t>
            </w:r>
            <w:r>
              <w:tab/>
              <w:t>Plea of guilty including all advice relating to plea, preparation, Court attendance and presentation of plea ............................................</w:t>
            </w:r>
          </w:p>
        </w:tc>
        <w:tc>
          <w:tcPr>
            <w:tcW w:w="1560" w:type="dxa"/>
          </w:tcPr>
          <w:p>
            <w:pPr>
              <w:pStyle w:val="yTable"/>
              <w:jc w:val="right"/>
            </w:pPr>
            <w:r>
              <w:br/>
            </w:r>
            <w:r>
              <w:br/>
              <w:t>350</w:t>
            </w:r>
          </w:p>
        </w:tc>
      </w:tr>
      <w:tr>
        <w:tc>
          <w:tcPr>
            <w:tcW w:w="5812" w:type="dxa"/>
          </w:tcPr>
          <w:p>
            <w:pPr>
              <w:pStyle w:val="yTable"/>
              <w:tabs>
                <w:tab w:val="left" w:pos="426"/>
              </w:tabs>
              <w:ind w:left="993" w:hanging="993"/>
            </w:pPr>
            <w:r>
              <w:tab/>
              <w:t>(5)</w:t>
            </w:r>
            <w:r>
              <w:tab/>
              <w:t>Attending on reserved decision, taking sentence or applying for bail (not being renewal of existing bail) .......................................................</w:t>
            </w:r>
          </w:p>
        </w:tc>
        <w:tc>
          <w:tcPr>
            <w:tcW w:w="1560" w:type="dxa"/>
          </w:tcPr>
          <w:p>
            <w:pPr>
              <w:pStyle w:val="yTable"/>
              <w:jc w:val="right"/>
            </w:pPr>
            <w:r>
              <w:br/>
            </w:r>
            <w:r>
              <w:br/>
              <w:t>75</w:t>
            </w:r>
          </w:p>
        </w:tc>
      </w:tr>
      <w:tr>
        <w:tc>
          <w:tcPr>
            <w:tcW w:w="5812" w:type="dxa"/>
          </w:tcPr>
          <w:p>
            <w:pPr>
              <w:pStyle w:val="yTable"/>
              <w:tabs>
                <w:tab w:val="left" w:pos="426"/>
              </w:tabs>
              <w:ind w:left="993" w:hanging="993"/>
            </w:pPr>
            <w:r>
              <w:tab/>
              <w:t>(6)</w:t>
            </w:r>
            <w:r>
              <w:tab/>
              <w:t>Attending on remand ..........................................</w:t>
            </w:r>
          </w:p>
        </w:tc>
        <w:tc>
          <w:tcPr>
            <w:tcW w:w="1560" w:type="dxa"/>
          </w:tcPr>
          <w:p>
            <w:pPr>
              <w:pStyle w:val="yTable"/>
              <w:jc w:val="right"/>
            </w:pPr>
            <w:r>
              <w:t>50</w:t>
            </w:r>
          </w:p>
        </w:tc>
      </w:tr>
      <w:tr>
        <w:tc>
          <w:tcPr>
            <w:tcW w:w="5812" w:type="dxa"/>
          </w:tcPr>
          <w:p>
            <w:pPr>
              <w:pStyle w:val="yTable"/>
              <w:tabs>
                <w:tab w:val="left" w:pos="426"/>
              </w:tabs>
              <w:ind w:left="993" w:hanging="993"/>
            </w:pPr>
            <w:r>
              <w:tab/>
              <w:t>(7)</w:t>
            </w:r>
            <w:r>
              <w:tab/>
              <w:t>Application for extraordinary motor driver’s licence .................................................................</w:t>
            </w:r>
          </w:p>
        </w:tc>
        <w:tc>
          <w:tcPr>
            <w:tcW w:w="1560" w:type="dxa"/>
          </w:tcPr>
          <w:p>
            <w:pPr>
              <w:pStyle w:val="yTable"/>
              <w:jc w:val="right"/>
            </w:pPr>
            <w:r>
              <w:br/>
              <w:t>300</w:t>
            </w:r>
          </w:p>
        </w:tc>
      </w:tr>
      <w:tr>
        <w:tc>
          <w:tcPr>
            <w:tcW w:w="5812" w:type="dxa"/>
          </w:tcPr>
          <w:p>
            <w:pPr>
              <w:pStyle w:val="yTable"/>
              <w:tabs>
                <w:tab w:val="left" w:pos="426"/>
              </w:tabs>
              <w:ind w:left="993" w:hanging="993"/>
            </w:pPr>
            <w:r>
              <w:tab/>
              <w:t>(8)</w:t>
            </w:r>
            <w:r>
              <w:tab/>
              <w:t>Attending on Coronial enquiry (where specially approved)</w:t>
            </w:r>
          </w:p>
        </w:tc>
        <w:tc>
          <w:tcPr>
            <w:tcW w:w="1560" w:type="dxa"/>
          </w:tcPr>
          <w:p>
            <w:pPr>
              <w:pStyle w:val="yTable"/>
              <w:keepNext/>
              <w:jc w:val="right"/>
            </w:pPr>
          </w:p>
        </w:tc>
      </w:tr>
      <w:tr>
        <w:tc>
          <w:tcPr>
            <w:tcW w:w="5812" w:type="dxa"/>
          </w:tcPr>
          <w:p>
            <w:pPr>
              <w:pStyle w:val="yTable"/>
              <w:tabs>
                <w:tab w:val="left" w:pos="426"/>
              </w:tabs>
              <w:ind w:left="1419" w:hanging="1419"/>
            </w:pPr>
            <w:r>
              <w:tab/>
            </w:r>
            <w:r>
              <w:tab/>
              <w:t>first day including preparation ....................</w:t>
            </w:r>
          </w:p>
        </w:tc>
        <w:tc>
          <w:tcPr>
            <w:tcW w:w="1560" w:type="dxa"/>
          </w:tcPr>
          <w:p>
            <w:pPr>
              <w:pStyle w:val="yTable"/>
              <w:keepNext/>
              <w:jc w:val="right"/>
            </w:pPr>
            <w:r>
              <w:t>700</w:t>
            </w:r>
          </w:p>
        </w:tc>
      </w:tr>
      <w:tr>
        <w:tc>
          <w:tcPr>
            <w:tcW w:w="5812" w:type="dxa"/>
          </w:tcPr>
          <w:p>
            <w:pPr>
              <w:pStyle w:val="yTable"/>
              <w:tabs>
                <w:tab w:val="left" w:pos="426"/>
              </w:tabs>
              <w:ind w:left="1419" w:hanging="1419"/>
            </w:pPr>
            <w:r>
              <w:tab/>
            </w:r>
            <w:r>
              <w:tab/>
              <w:t>each other day .............................................</w:t>
            </w:r>
          </w:p>
        </w:tc>
        <w:tc>
          <w:tcPr>
            <w:tcW w:w="1560" w:type="dxa"/>
          </w:tcPr>
          <w:p>
            <w:pPr>
              <w:pStyle w:val="yTable"/>
              <w:jc w:val="right"/>
            </w:pPr>
            <w:r>
              <w:t>400</w:t>
            </w:r>
          </w:p>
        </w:tc>
      </w:tr>
      <w:tr>
        <w:tc>
          <w:tcPr>
            <w:tcW w:w="5812" w:type="dxa"/>
          </w:tcPr>
          <w:p>
            <w:pPr>
              <w:pStyle w:val="yTable"/>
              <w:tabs>
                <w:tab w:val="left" w:pos="426"/>
              </w:tabs>
              <w:ind w:left="993" w:hanging="993"/>
            </w:pPr>
            <w:r>
              <w:tab/>
              <w:t>(9)</w:t>
            </w:r>
            <w:r>
              <w:tab/>
              <w:t xml:space="preserve">Application for restraining order —section 172 of the </w:t>
            </w:r>
            <w:r>
              <w:rPr>
                <w:i/>
              </w:rPr>
              <w:t>Justices Act 1902</w:t>
            </w:r>
            <w:r>
              <w:t> — initial hearing — including all necessary preparation ....................</w:t>
            </w:r>
          </w:p>
        </w:tc>
        <w:tc>
          <w:tcPr>
            <w:tcW w:w="1560" w:type="dxa"/>
          </w:tcPr>
          <w:p>
            <w:pPr>
              <w:pStyle w:val="yTable"/>
              <w:jc w:val="right"/>
            </w:pPr>
            <w:r>
              <w:br/>
            </w:r>
            <w:r>
              <w:br/>
              <w:t>300</w:t>
            </w:r>
          </w:p>
        </w:tc>
      </w:tr>
      <w:tr>
        <w:tc>
          <w:tcPr>
            <w:tcW w:w="5812" w:type="dxa"/>
          </w:tcPr>
          <w:p>
            <w:pPr>
              <w:pStyle w:val="yTable"/>
              <w:tabs>
                <w:tab w:val="left" w:pos="426"/>
              </w:tabs>
              <w:ind w:left="993" w:hanging="993"/>
            </w:pPr>
            <w:r>
              <w:tab/>
              <w:t>(10)</w:t>
            </w:r>
            <w:r>
              <w:tab/>
              <w:t xml:space="preserve">Application for confirmation of order —section 172 </w:t>
            </w:r>
            <w:r>
              <w:rPr>
                <w:i/>
              </w:rPr>
              <w:t>Justices Act 1902</w:t>
            </w:r>
            <w:r>
              <w:t xml:space="preserve"> ............................</w:t>
            </w:r>
          </w:p>
        </w:tc>
        <w:tc>
          <w:tcPr>
            <w:tcW w:w="1560" w:type="dxa"/>
          </w:tcPr>
          <w:p>
            <w:pPr>
              <w:pStyle w:val="yTable"/>
              <w:jc w:val="right"/>
            </w:pPr>
            <w:r>
              <w:br/>
              <w:t>600</w:t>
            </w:r>
          </w:p>
        </w:tc>
      </w:tr>
      <w:tr>
        <w:tc>
          <w:tcPr>
            <w:tcW w:w="5812" w:type="dxa"/>
          </w:tcPr>
          <w:p>
            <w:pPr>
              <w:pStyle w:val="yTable"/>
              <w:tabs>
                <w:tab w:val="left" w:pos="426"/>
              </w:tabs>
              <w:ind w:left="993" w:hanging="993"/>
            </w:pPr>
            <w:r>
              <w:tab/>
              <w:t>(11)</w:t>
            </w:r>
            <w:r>
              <w:tab/>
              <w:t xml:space="preserve">Application for variation of order under section 172 of the </w:t>
            </w:r>
            <w:r>
              <w:rPr>
                <w:i/>
              </w:rPr>
              <w:t>Justices Act 1902</w:t>
            </w:r>
            <w:r>
              <w:t xml:space="preserve"> including necessary preparation .........................................</w:t>
            </w:r>
          </w:p>
        </w:tc>
        <w:tc>
          <w:tcPr>
            <w:tcW w:w="1560" w:type="dxa"/>
          </w:tcPr>
          <w:p>
            <w:pPr>
              <w:pStyle w:val="yTable"/>
              <w:jc w:val="right"/>
            </w:pPr>
            <w:r>
              <w:br/>
            </w:r>
            <w:r>
              <w:br/>
              <w:t>300</w:t>
            </w:r>
          </w:p>
        </w:tc>
      </w:tr>
      <w:tr>
        <w:trPr>
          <w:cantSplit/>
        </w:trPr>
        <w:tc>
          <w:tcPr>
            <w:tcW w:w="5812" w:type="dxa"/>
          </w:tcPr>
          <w:p>
            <w:pPr>
              <w:pStyle w:val="yTable"/>
              <w:keepNext/>
              <w:tabs>
                <w:tab w:val="left" w:pos="426"/>
              </w:tabs>
              <w:ind w:left="993" w:hanging="993"/>
            </w:pPr>
            <w:r>
              <w:tab/>
              <w:t>(12)</w:t>
            </w:r>
            <w:r>
              <w:tab/>
              <w:t>Application for care and protection</w:t>
            </w:r>
          </w:p>
        </w:tc>
        <w:tc>
          <w:tcPr>
            <w:tcW w:w="1560" w:type="dxa"/>
          </w:tcPr>
          <w:p>
            <w:pPr>
              <w:pStyle w:val="yTable"/>
              <w:keepNext/>
              <w:jc w:val="right"/>
            </w:pPr>
          </w:p>
        </w:tc>
      </w:tr>
      <w:tr>
        <w:tc>
          <w:tcPr>
            <w:tcW w:w="5812" w:type="dxa"/>
          </w:tcPr>
          <w:p>
            <w:pPr>
              <w:pStyle w:val="yTable"/>
              <w:tabs>
                <w:tab w:val="left" w:pos="426"/>
              </w:tabs>
              <w:ind w:left="1419" w:hanging="1419"/>
            </w:pPr>
            <w:r>
              <w:tab/>
            </w:r>
            <w:r>
              <w:tab/>
              <w:t>first day (including all necessary preparation) .................................................</w:t>
            </w:r>
          </w:p>
        </w:tc>
        <w:tc>
          <w:tcPr>
            <w:tcW w:w="1560" w:type="dxa"/>
          </w:tcPr>
          <w:p>
            <w:pPr>
              <w:pStyle w:val="yTable"/>
              <w:jc w:val="right"/>
            </w:pPr>
            <w:r>
              <w:br/>
              <w:t>800</w:t>
            </w:r>
          </w:p>
        </w:tc>
      </w:tr>
      <w:tr>
        <w:tc>
          <w:tcPr>
            <w:tcW w:w="5812" w:type="dxa"/>
          </w:tcPr>
          <w:p>
            <w:pPr>
              <w:pStyle w:val="yTable"/>
              <w:tabs>
                <w:tab w:val="left" w:pos="426"/>
              </w:tabs>
              <w:ind w:left="1419" w:hanging="1419"/>
            </w:pPr>
            <w:r>
              <w:tab/>
            </w:r>
            <w:r>
              <w:tab/>
              <w:t>second or subsequent days ..........................</w:t>
            </w:r>
          </w:p>
        </w:tc>
        <w:tc>
          <w:tcPr>
            <w:tcW w:w="1560" w:type="dxa"/>
          </w:tcPr>
          <w:p>
            <w:pPr>
              <w:pStyle w:val="yTable"/>
              <w:jc w:val="right"/>
            </w:pPr>
            <w:r>
              <w:t>450</w:t>
            </w:r>
          </w:p>
        </w:tc>
      </w:tr>
      <w:tr>
        <w:tc>
          <w:tcPr>
            <w:tcW w:w="5812" w:type="dxa"/>
          </w:tcPr>
          <w:p>
            <w:pPr>
              <w:pStyle w:val="yTable"/>
              <w:tabs>
                <w:tab w:val="left" w:pos="426"/>
              </w:tabs>
              <w:ind w:left="1419" w:hanging="1419"/>
            </w:pPr>
            <w:r>
              <w:tab/>
            </w:r>
            <w:r>
              <w:tab/>
              <w:t>or .................................................................</w:t>
            </w:r>
          </w:p>
        </w:tc>
        <w:tc>
          <w:tcPr>
            <w:tcW w:w="1560" w:type="dxa"/>
          </w:tcPr>
          <w:p>
            <w:pPr>
              <w:pStyle w:val="yTable"/>
              <w:ind w:left="-141"/>
              <w:jc w:val="right"/>
            </w:pPr>
            <w:r>
              <w:t>85 per hour</w:t>
            </w:r>
          </w:p>
        </w:tc>
      </w:tr>
      <w:tr>
        <w:tc>
          <w:tcPr>
            <w:tcW w:w="5812" w:type="dxa"/>
          </w:tcPr>
          <w:p>
            <w:pPr>
              <w:pStyle w:val="yTable"/>
              <w:tabs>
                <w:tab w:val="left" w:pos="426"/>
              </w:tabs>
              <w:ind w:left="993" w:hanging="993"/>
            </w:pPr>
            <w:r>
              <w:tab/>
              <w:t>(13)</w:t>
            </w:r>
            <w:r>
              <w:tab/>
              <w:t>Appeal to President of Children’s Court from Magistrate or Justice ...........................................</w:t>
            </w:r>
          </w:p>
        </w:tc>
        <w:tc>
          <w:tcPr>
            <w:tcW w:w="1560" w:type="dxa"/>
          </w:tcPr>
          <w:p>
            <w:pPr>
              <w:pStyle w:val="yTable"/>
              <w:jc w:val="right"/>
            </w:pPr>
            <w:r>
              <w:br/>
              <w:t>500</w:t>
            </w:r>
          </w:p>
        </w:tc>
      </w:tr>
    </w:tbl>
    <w:p>
      <w:pPr>
        <w:pStyle w:val="yFootnotesection"/>
      </w:pPr>
      <w:r>
        <w:tab/>
        <w:t>[Schedule 1 inserted: Gazette 30 Oct 1992 p. 5536</w:t>
      </w:r>
      <w:r>
        <w:noBreakHyphen/>
        <w:t xml:space="preserve">7.] </w:t>
      </w:r>
    </w:p>
    <w:p>
      <w:pPr>
        <w:pStyle w:val="yScheduleHeading"/>
      </w:pPr>
      <w:bookmarkStart w:id="53" w:name="_Toc379186498"/>
      <w:bookmarkStart w:id="54" w:name="_Toc419818168"/>
      <w:bookmarkStart w:id="55" w:name="_Toc419818207"/>
      <w:bookmarkStart w:id="56" w:name="_Toc419818248"/>
      <w:r>
        <w:rPr>
          <w:rStyle w:val="CharSchNo"/>
        </w:rPr>
        <w:t>Schedule 2</w:t>
      </w:r>
      <w:bookmarkEnd w:id="53"/>
      <w:bookmarkEnd w:id="54"/>
      <w:bookmarkEnd w:id="55"/>
      <w:bookmarkEnd w:id="56"/>
    </w:p>
    <w:p>
      <w:pPr>
        <w:pStyle w:val="yShoulderClause"/>
        <w:rPr>
          <w:snapToGrid w:val="0"/>
        </w:rPr>
      </w:pPr>
      <w:r>
        <w:rPr>
          <w:snapToGrid w:val="0"/>
        </w:rPr>
        <w:t xml:space="preserve">[Rules 3(b), 5, 11A and 13] </w:t>
      </w:r>
    </w:p>
    <w:p>
      <w:pPr>
        <w:pStyle w:val="yHeading2"/>
        <w:spacing w:after="120"/>
        <w:outlineLvl w:val="9"/>
      </w:pPr>
      <w:bookmarkStart w:id="57" w:name="_Toc379186499"/>
      <w:bookmarkStart w:id="58" w:name="_Toc419818169"/>
      <w:bookmarkStart w:id="59" w:name="_Toc419818208"/>
      <w:bookmarkStart w:id="60" w:name="_Toc419818249"/>
      <w:r>
        <w:rPr>
          <w:rStyle w:val="CharSchText"/>
        </w:rPr>
        <w:t>Fees payable under rule 3(b)</w:t>
      </w:r>
      <w:bookmarkEnd w:id="57"/>
      <w:bookmarkEnd w:id="58"/>
      <w:bookmarkEnd w:id="59"/>
      <w:bookmarkEnd w:id="60"/>
    </w:p>
    <w:tbl>
      <w:tblPr>
        <w:tblW w:w="0" w:type="auto"/>
        <w:tblInd w:w="141" w:type="dxa"/>
        <w:tblLayout w:type="fixed"/>
        <w:tblCellMar>
          <w:left w:w="283" w:type="dxa"/>
          <w:right w:w="283" w:type="dxa"/>
        </w:tblCellMar>
        <w:tblLook w:val="0000" w:firstRow="0" w:lastRow="0" w:firstColumn="0" w:lastColumn="0" w:noHBand="0" w:noVBand="0"/>
      </w:tblPr>
      <w:tblGrid>
        <w:gridCol w:w="5387"/>
        <w:gridCol w:w="1985"/>
      </w:tblGrid>
      <w:tr>
        <w:trPr>
          <w:tblHeader/>
        </w:trPr>
        <w:tc>
          <w:tcPr>
            <w:tcW w:w="5387" w:type="dxa"/>
          </w:tcPr>
          <w:p>
            <w:pPr>
              <w:pStyle w:val="yTable"/>
              <w:rPr>
                <w:b/>
              </w:rPr>
            </w:pPr>
            <w:r>
              <w:rPr>
                <w:b/>
              </w:rPr>
              <w:t>Item</w:t>
            </w:r>
            <w:r>
              <w:rPr>
                <w:b/>
              </w:rPr>
              <w:tab/>
            </w:r>
            <w:r>
              <w:rPr>
                <w:b/>
              </w:rPr>
              <w:tab/>
            </w:r>
            <w:r>
              <w:rPr>
                <w:b/>
              </w:rPr>
              <w:tab/>
              <w:t>Description</w:t>
            </w:r>
          </w:p>
        </w:tc>
        <w:tc>
          <w:tcPr>
            <w:tcW w:w="1985" w:type="dxa"/>
          </w:tcPr>
          <w:p>
            <w:pPr>
              <w:pStyle w:val="yTable"/>
              <w:ind w:right="-141"/>
              <w:rPr>
                <w:b/>
              </w:rPr>
            </w:pPr>
            <w:r>
              <w:rPr>
                <w:b/>
              </w:rPr>
              <w:t>Maximum Rate</w:t>
            </w:r>
          </w:p>
        </w:tc>
      </w:tr>
      <w:tr>
        <w:tc>
          <w:tcPr>
            <w:tcW w:w="5387" w:type="dxa"/>
          </w:tcPr>
          <w:p>
            <w:pPr>
              <w:pStyle w:val="yTable"/>
              <w:rPr>
                <w:b/>
              </w:rPr>
            </w:pPr>
          </w:p>
        </w:tc>
        <w:tc>
          <w:tcPr>
            <w:tcW w:w="1985" w:type="dxa"/>
          </w:tcPr>
          <w:p>
            <w:pPr>
              <w:pStyle w:val="yTable"/>
              <w:jc w:val="center"/>
              <w:rPr>
                <w:b/>
              </w:rPr>
            </w:pPr>
            <w:r>
              <w:rPr>
                <w:b/>
              </w:rPr>
              <w:t>$</w:t>
            </w:r>
          </w:p>
        </w:tc>
      </w:tr>
      <w:tr>
        <w:tc>
          <w:tcPr>
            <w:tcW w:w="5387" w:type="dxa"/>
          </w:tcPr>
          <w:p>
            <w:pPr>
              <w:pStyle w:val="yTable"/>
              <w:tabs>
                <w:tab w:val="left" w:pos="568"/>
              </w:tabs>
            </w:pPr>
            <w:r>
              <w:t>1.</w:t>
            </w:r>
            <w:r>
              <w:tab/>
              <w:t>Drawing documents not in print .........................</w:t>
            </w:r>
          </w:p>
        </w:tc>
        <w:tc>
          <w:tcPr>
            <w:tcW w:w="1985" w:type="dxa"/>
          </w:tcPr>
          <w:p>
            <w:pPr>
              <w:pStyle w:val="yTable"/>
            </w:pPr>
            <w:r>
              <w:t>4.25 per folio</w:t>
            </w:r>
          </w:p>
        </w:tc>
      </w:tr>
      <w:tr>
        <w:tc>
          <w:tcPr>
            <w:tcW w:w="5387" w:type="dxa"/>
          </w:tcPr>
          <w:p>
            <w:pPr>
              <w:pStyle w:val="yTable"/>
              <w:tabs>
                <w:tab w:val="left" w:pos="568"/>
              </w:tabs>
            </w:pPr>
            <w:r>
              <w:t>2.</w:t>
            </w:r>
            <w:r>
              <w:tab/>
              <w:t>Engrossing any document ..................................</w:t>
            </w:r>
          </w:p>
        </w:tc>
        <w:tc>
          <w:tcPr>
            <w:tcW w:w="1985" w:type="dxa"/>
          </w:tcPr>
          <w:p>
            <w:pPr>
              <w:pStyle w:val="yTable"/>
            </w:pPr>
            <w:r>
              <w:t>0.60 per folio</w:t>
            </w:r>
          </w:p>
        </w:tc>
      </w:tr>
      <w:tr>
        <w:tc>
          <w:tcPr>
            <w:tcW w:w="5387" w:type="dxa"/>
          </w:tcPr>
          <w:p>
            <w:pPr>
              <w:pStyle w:val="yTable"/>
              <w:tabs>
                <w:tab w:val="left" w:pos="568"/>
              </w:tabs>
            </w:pPr>
            <w:r>
              <w:t>3.</w:t>
            </w:r>
            <w:r>
              <w:tab/>
              <w:t>Engrossing drafts (where necessary) ..................</w:t>
            </w:r>
          </w:p>
        </w:tc>
        <w:tc>
          <w:tcPr>
            <w:tcW w:w="1985" w:type="dxa"/>
          </w:tcPr>
          <w:p>
            <w:pPr>
              <w:pStyle w:val="yTable"/>
            </w:pPr>
            <w:r>
              <w:t>1 per page</w:t>
            </w:r>
          </w:p>
        </w:tc>
      </w:tr>
      <w:tr>
        <w:tc>
          <w:tcPr>
            <w:tcW w:w="5387" w:type="dxa"/>
          </w:tcPr>
          <w:p>
            <w:pPr>
              <w:pStyle w:val="yTable"/>
              <w:tabs>
                <w:tab w:val="left" w:pos="568"/>
              </w:tabs>
            </w:pPr>
            <w:r>
              <w:t>4.</w:t>
            </w:r>
            <w:r>
              <w:tab/>
              <w:t>Photocopying — where reasonably necessary</w:t>
            </w:r>
          </w:p>
        </w:tc>
        <w:tc>
          <w:tcPr>
            <w:tcW w:w="1985" w:type="dxa"/>
          </w:tcPr>
          <w:p>
            <w:pPr>
              <w:pStyle w:val="yTable"/>
            </w:pPr>
          </w:p>
        </w:tc>
      </w:tr>
      <w:tr>
        <w:tc>
          <w:tcPr>
            <w:tcW w:w="5387" w:type="dxa"/>
          </w:tcPr>
          <w:p>
            <w:pPr>
              <w:pStyle w:val="yTable"/>
              <w:tabs>
                <w:tab w:val="left" w:pos="568"/>
                <w:tab w:val="left" w:pos="1135"/>
              </w:tabs>
            </w:pPr>
            <w:r>
              <w:tab/>
              <w:t>(1)</w:t>
            </w:r>
            <w:r>
              <w:tab/>
              <w:t>Single sheets .............................................</w:t>
            </w:r>
          </w:p>
        </w:tc>
        <w:tc>
          <w:tcPr>
            <w:tcW w:w="1985" w:type="dxa"/>
          </w:tcPr>
          <w:p>
            <w:pPr>
              <w:pStyle w:val="yTable"/>
            </w:pPr>
            <w:r>
              <w:t>0.55 per page</w:t>
            </w:r>
          </w:p>
        </w:tc>
      </w:tr>
      <w:tr>
        <w:tc>
          <w:tcPr>
            <w:tcW w:w="5387" w:type="dxa"/>
          </w:tcPr>
          <w:p>
            <w:pPr>
              <w:pStyle w:val="yTable"/>
              <w:tabs>
                <w:tab w:val="left" w:pos="568"/>
                <w:tab w:val="left" w:pos="1135"/>
              </w:tabs>
            </w:pPr>
            <w:r>
              <w:tab/>
              <w:t>(2)</w:t>
            </w:r>
            <w:r>
              <w:tab/>
              <w:t>Multiple copies .........................................</w:t>
            </w:r>
          </w:p>
        </w:tc>
        <w:tc>
          <w:tcPr>
            <w:tcW w:w="1985" w:type="dxa"/>
          </w:tcPr>
          <w:p>
            <w:pPr>
              <w:pStyle w:val="yTable"/>
            </w:pPr>
            <w:r>
              <w:t>0.25 per page</w:t>
            </w:r>
          </w:p>
        </w:tc>
      </w:tr>
      <w:tr>
        <w:tc>
          <w:tcPr>
            <w:tcW w:w="5387" w:type="dxa"/>
          </w:tcPr>
          <w:p>
            <w:pPr>
              <w:pStyle w:val="yTable"/>
              <w:tabs>
                <w:tab w:val="left" w:pos="568"/>
              </w:tabs>
            </w:pPr>
            <w:r>
              <w:t>5.</w:t>
            </w:r>
            <w:r>
              <w:tab/>
              <w:t>Letters</w:t>
            </w:r>
          </w:p>
        </w:tc>
        <w:tc>
          <w:tcPr>
            <w:tcW w:w="1985" w:type="dxa"/>
          </w:tcPr>
          <w:p>
            <w:pPr>
              <w:pStyle w:val="yTable"/>
            </w:pPr>
          </w:p>
        </w:tc>
      </w:tr>
      <w:tr>
        <w:tc>
          <w:tcPr>
            <w:tcW w:w="5387" w:type="dxa"/>
          </w:tcPr>
          <w:p>
            <w:pPr>
              <w:pStyle w:val="yTable"/>
              <w:tabs>
                <w:tab w:val="left" w:pos="568"/>
                <w:tab w:val="left" w:pos="1135"/>
              </w:tabs>
            </w:pPr>
            <w:r>
              <w:tab/>
              <w:t>(1)</w:t>
            </w:r>
            <w:r>
              <w:tab/>
              <w:t>Circular ....................................................</w:t>
            </w:r>
          </w:p>
        </w:tc>
        <w:tc>
          <w:tcPr>
            <w:tcW w:w="1985" w:type="dxa"/>
          </w:tcPr>
          <w:p>
            <w:pPr>
              <w:pStyle w:val="yTable"/>
            </w:pPr>
            <w:r>
              <w:t>6 per item</w:t>
            </w:r>
          </w:p>
        </w:tc>
      </w:tr>
      <w:tr>
        <w:tc>
          <w:tcPr>
            <w:tcW w:w="5387" w:type="dxa"/>
          </w:tcPr>
          <w:p>
            <w:pPr>
              <w:pStyle w:val="yTable"/>
              <w:tabs>
                <w:tab w:val="left" w:pos="568"/>
                <w:tab w:val="left" w:pos="1135"/>
              </w:tabs>
            </w:pPr>
            <w:r>
              <w:tab/>
              <w:t>(2)</w:t>
            </w:r>
            <w:r>
              <w:tab/>
              <w:t>Short .........................................................</w:t>
            </w:r>
          </w:p>
        </w:tc>
        <w:tc>
          <w:tcPr>
            <w:tcW w:w="1985" w:type="dxa"/>
          </w:tcPr>
          <w:p>
            <w:pPr>
              <w:pStyle w:val="yTable"/>
            </w:pPr>
            <w:r>
              <w:t>11 per folio</w:t>
            </w:r>
          </w:p>
        </w:tc>
      </w:tr>
      <w:tr>
        <w:tc>
          <w:tcPr>
            <w:tcW w:w="5387" w:type="dxa"/>
          </w:tcPr>
          <w:p>
            <w:pPr>
              <w:pStyle w:val="yTable"/>
              <w:tabs>
                <w:tab w:val="left" w:pos="568"/>
              </w:tabs>
            </w:pPr>
            <w:r>
              <w:tab/>
              <w:t>(not less than 1 folio)</w:t>
            </w:r>
          </w:p>
        </w:tc>
        <w:tc>
          <w:tcPr>
            <w:tcW w:w="1985" w:type="dxa"/>
          </w:tcPr>
          <w:p>
            <w:pPr>
              <w:pStyle w:val="yTable"/>
            </w:pPr>
          </w:p>
        </w:tc>
      </w:tr>
      <w:tr>
        <w:tc>
          <w:tcPr>
            <w:tcW w:w="5387" w:type="dxa"/>
          </w:tcPr>
          <w:p>
            <w:pPr>
              <w:pStyle w:val="yTable"/>
              <w:tabs>
                <w:tab w:val="left" w:pos="568"/>
                <w:tab w:val="left" w:pos="1135"/>
              </w:tabs>
            </w:pPr>
            <w:r>
              <w:tab/>
              <w:t>(3)</w:t>
            </w:r>
            <w:r>
              <w:tab/>
              <w:t>Long .........................................................</w:t>
            </w:r>
          </w:p>
        </w:tc>
        <w:tc>
          <w:tcPr>
            <w:tcW w:w="1985" w:type="dxa"/>
          </w:tcPr>
          <w:p>
            <w:pPr>
              <w:pStyle w:val="yTable"/>
            </w:pPr>
            <w:r>
              <w:t>25 per page</w:t>
            </w:r>
          </w:p>
        </w:tc>
      </w:tr>
      <w:tr>
        <w:tc>
          <w:tcPr>
            <w:tcW w:w="5387" w:type="dxa"/>
          </w:tcPr>
          <w:p>
            <w:pPr>
              <w:pStyle w:val="yTable"/>
              <w:tabs>
                <w:tab w:val="left" w:pos="568"/>
              </w:tabs>
              <w:ind w:left="568" w:hanging="568"/>
            </w:pPr>
            <w:r>
              <w:tab/>
              <w:t>(not less than 3 folios and the rate for 5(2) thereafter)</w:t>
            </w:r>
          </w:p>
        </w:tc>
        <w:tc>
          <w:tcPr>
            <w:tcW w:w="1985" w:type="dxa"/>
          </w:tcPr>
          <w:p>
            <w:pPr>
              <w:pStyle w:val="yTable"/>
            </w:pPr>
          </w:p>
        </w:tc>
      </w:tr>
      <w:tr>
        <w:tc>
          <w:tcPr>
            <w:tcW w:w="5387" w:type="dxa"/>
          </w:tcPr>
          <w:p>
            <w:pPr>
              <w:pStyle w:val="yTable"/>
              <w:tabs>
                <w:tab w:val="left" w:pos="568"/>
              </w:tabs>
            </w:pPr>
            <w:r>
              <w:t>6.</w:t>
            </w:r>
            <w:r>
              <w:tab/>
              <w:t>Telegram, facsimile, telex</w:t>
            </w:r>
          </w:p>
          <w:p>
            <w:pPr>
              <w:pStyle w:val="yTable"/>
              <w:tabs>
                <w:tab w:val="left" w:pos="568"/>
              </w:tabs>
              <w:ind w:left="852" w:hanging="852"/>
            </w:pPr>
            <w:r>
              <w:tab/>
              <w:t>— transmission where reasonably necessary and required by the urgency of the situation or</w:t>
            </w:r>
          </w:p>
          <w:p>
            <w:pPr>
              <w:pStyle w:val="yTable"/>
              <w:tabs>
                <w:tab w:val="left" w:pos="568"/>
              </w:tabs>
            </w:pPr>
            <w:r>
              <w:tab/>
              <w:t>— receiving using the practitioners’ machine</w:t>
            </w:r>
          </w:p>
        </w:tc>
        <w:tc>
          <w:tcPr>
            <w:tcW w:w="1985" w:type="dxa"/>
          </w:tcPr>
          <w:p>
            <w:pPr>
              <w:pStyle w:val="yTable"/>
            </w:pPr>
          </w:p>
        </w:tc>
      </w:tr>
      <w:tr>
        <w:tc>
          <w:tcPr>
            <w:tcW w:w="5387" w:type="dxa"/>
          </w:tcPr>
          <w:p>
            <w:pPr>
              <w:pStyle w:val="yTable"/>
              <w:tabs>
                <w:tab w:val="left" w:pos="568"/>
                <w:tab w:val="left" w:pos="1135"/>
              </w:tabs>
            </w:pPr>
            <w:r>
              <w:tab/>
              <w:t>(1)</w:t>
            </w:r>
            <w:r>
              <w:tab/>
              <w:t>Sending or receiving ................................</w:t>
            </w:r>
          </w:p>
        </w:tc>
        <w:tc>
          <w:tcPr>
            <w:tcW w:w="1985" w:type="dxa"/>
          </w:tcPr>
          <w:p>
            <w:pPr>
              <w:pStyle w:val="yTable"/>
            </w:pPr>
            <w:r>
              <w:t>5.50 per item</w:t>
            </w:r>
          </w:p>
        </w:tc>
      </w:tr>
      <w:tr>
        <w:tc>
          <w:tcPr>
            <w:tcW w:w="5387" w:type="dxa"/>
          </w:tcPr>
          <w:p>
            <w:pPr>
              <w:pStyle w:val="yTable"/>
              <w:tabs>
                <w:tab w:val="left" w:pos="568"/>
                <w:tab w:val="left" w:pos="1135"/>
              </w:tabs>
            </w:pPr>
            <w:r>
              <w:tab/>
              <w:t>(2)</w:t>
            </w:r>
            <w:r>
              <w:tab/>
              <w:t>Drafting message as per item 5</w:t>
            </w:r>
          </w:p>
        </w:tc>
        <w:tc>
          <w:tcPr>
            <w:tcW w:w="1985" w:type="dxa"/>
          </w:tcPr>
          <w:p>
            <w:pPr>
              <w:pStyle w:val="yTable"/>
            </w:pPr>
          </w:p>
        </w:tc>
      </w:tr>
      <w:tr>
        <w:tc>
          <w:tcPr>
            <w:tcW w:w="5387" w:type="dxa"/>
          </w:tcPr>
          <w:p>
            <w:pPr>
              <w:pStyle w:val="yTable"/>
              <w:tabs>
                <w:tab w:val="left" w:pos="568"/>
              </w:tabs>
            </w:pPr>
            <w:r>
              <w:t>7.</w:t>
            </w:r>
            <w:r>
              <w:tab/>
              <w:t>Attendances</w:t>
            </w:r>
          </w:p>
        </w:tc>
        <w:tc>
          <w:tcPr>
            <w:tcW w:w="1985" w:type="dxa"/>
          </w:tcPr>
          <w:p>
            <w:pPr>
              <w:pStyle w:val="yTable"/>
              <w:keepNext/>
            </w:pPr>
          </w:p>
        </w:tc>
      </w:tr>
      <w:tr>
        <w:tc>
          <w:tcPr>
            <w:tcW w:w="5387" w:type="dxa"/>
          </w:tcPr>
          <w:p>
            <w:pPr>
              <w:pStyle w:val="yTable"/>
              <w:tabs>
                <w:tab w:val="left" w:pos="568"/>
                <w:tab w:val="left" w:pos="1135"/>
              </w:tabs>
            </w:pPr>
            <w:r>
              <w:tab/>
              <w:t>(1)</w:t>
            </w:r>
            <w:r>
              <w:tab/>
              <w:t>Junior clerk ...............................................</w:t>
            </w:r>
          </w:p>
        </w:tc>
        <w:tc>
          <w:tcPr>
            <w:tcW w:w="1985" w:type="dxa"/>
          </w:tcPr>
          <w:p>
            <w:pPr>
              <w:pStyle w:val="yTable"/>
            </w:pPr>
            <w:r>
              <w:t>45 per hour</w:t>
            </w:r>
          </w:p>
        </w:tc>
      </w:tr>
      <w:tr>
        <w:tc>
          <w:tcPr>
            <w:tcW w:w="5387" w:type="dxa"/>
          </w:tcPr>
          <w:p>
            <w:pPr>
              <w:pStyle w:val="yTable"/>
              <w:tabs>
                <w:tab w:val="left" w:pos="568"/>
                <w:tab w:val="left" w:pos="1135"/>
              </w:tabs>
            </w:pPr>
            <w:r>
              <w:tab/>
              <w:t>(2)</w:t>
            </w:r>
            <w:r>
              <w:tab/>
              <w:t>Senior clerk ..............................................</w:t>
            </w:r>
          </w:p>
        </w:tc>
        <w:tc>
          <w:tcPr>
            <w:tcW w:w="1985" w:type="dxa"/>
          </w:tcPr>
          <w:p>
            <w:pPr>
              <w:pStyle w:val="yTable"/>
            </w:pPr>
            <w:r>
              <w:t>100 per hour</w:t>
            </w:r>
          </w:p>
        </w:tc>
      </w:tr>
      <w:tr>
        <w:tc>
          <w:tcPr>
            <w:tcW w:w="5387" w:type="dxa"/>
          </w:tcPr>
          <w:p>
            <w:pPr>
              <w:pStyle w:val="yTable"/>
              <w:tabs>
                <w:tab w:val="left" w:pos="568"/>
                <w:tab w:val="left" w:pos="1135"/>
              </w:tabs>
            </w:pPr>
            <w:r>
              <w:tab/>
              <w:t>(3)</w:t>
            </w:r>
            <w:r>
              <w:tab/>
              <w:t>Practitioner ...............................................</w:t>
            </w:r>
          </w:p>
        </w:tc>
        <w:tc>
          <w:tcPr>
            <w:tcW w:w="1985" w:type="dxa"/>
          </w:tcPr>
          <w:p>
            <w:pPr>
              <w:pStyle w:val="yTable"/>
              <w:keepNext/>
            </w:pPr>
            <w:r>
              <w:t>115 per hour</w:t>
            </w:r>
          </w:p>
        </w:tc>
      </w:tr>
      <w:tr>
        <w:tc>
          <w:tcPr>
            <w:tcW w:w="5387" w:type="dxa"/>
          </w:tcPr>
          <w:p>
            <w:pPr>
              <w:pStyle w:val="yTable"/>
              <w:tabs>
                <w:tab w:val="left" w:pos="568"/>
              </w:tabs>
            </w:pPr>
            <w:r>
              <w:tab/>
              <w:t>(where legal skill is reasonably required)</w:t>
            </w:r>
          </w:p>
        </w:tc>
        <w:tc>
          <w:tcPr>
            <w:tcW w:w="1985" w:type="dxa"/>
          </w:tcPr>
          <w:p>
            <w:pPr>
              <w:pStyle w:val="yTable"/>
              <w:keepNext/>
            </w:pPr>
          </w:p>
        </w:tc>
      </w:tr>
      <w:tr>
        <w:tc>
          <w:tcPr>
            <w:tcW w:w="5387" w:type="dxa"/>
          </w:tcPr>
          <w:p>
            <w:pPr>
              <w:pStyle w:val="yTable"/>
              <w:keepNext/>
              <w:tabs>
                <w:tab w:val="left" w:pos="568"/>
              </w:tabs>
            </w:pPr>
            <w:r>
              <w:t>8.</w:t>
            </w:r>
            <w:r>
              <w:tab/>
              <w:t>Telephone calls</w:t>
            </w:r>
          </w:p>
        </w:tc>
        <w:tc>
          <w:tcPr>
            <w:tcW w:w="1985" w:type="dxa"/>
          </w:tcPr>
          <w:p>
            <w:pPr>
              <w:pStyle w:val="yTable"/>
              <w:keepNext/>
            </w:pPr>
          </w:p>
        </w:tc>
      </w:tr>
      <w:tr>
        <w:tc>
          <w:tcPr>
            <w:tcW w:w="5387" w:type="dxa"/>
          </w:tcPr>
          <w:p>
            <w:pPr>
              <w:pStyle w:val="yTable"/>
              <w:keepNext/>
              <w:tabs>
                <w:tab w:val="left" w:pos="568"/>
                <w:tab w:val="left" w:pos="1135"/>
              </w:tabs>
            </w:pPr>
            <w:r>
              <w:tab/>
              <w:t>(1)</w:t>
            </w:r>
            <w:r>
              <w:tab/>
              <w:t>Practitioner ...............................................</w:t>
            </w:r>
          </w:p>
          <w:p>
            <w:pPr>
              <w:pStyle w:val="yTable"/>
              <w:keepNext/>
              <w:tabs>
                <w:tab w:val="left" w:pos="568"/>
                <w:tab w:val="left" w:pos="1135"/>
              </w:tabs>
            </w:pPr>
            <w:r>
              <w:tab/>
              <w:t>(where legal skill is reasonably required</w:t>
            </w:r>
          </w:p>
        </w:tc>
        <w:tc>
          <w:tcPr>
            <w:tcW w:w="1985" w:type="dxa"/>
          </w:tcPr>
          <w:p>
            <w:pPr>
              <w:pStyle w:val="yTable"/>
              <w:keepNext/>
            </w:pPr>
            <w:r>
              <w:t>$6 up to 5 minutes and thereafter $2 per minute</w:t>
            </w:r>
          </w:p>
        </w:tc>
      </w:tr>
      <w:tr>
        <w:tc>
          <w:tcPr>
            <w:tcW w:w="5387" w:type="dxa"/>
          </w:tcPr>
          <w:p>
            <w:pPr>
              <w:pStyle w:val="yTable"/>
              <w:tabs>
                <w:tab w:val="left" w:pos="568"/>
                <w:tab w:val="left" w:pos="1135"/>
              </w:tabs>
            </w:pPr>
            <w:r>
              <w:tab/>
              <w:t>(2)</w:t>
            </w:r>
            <w:r>
              <w:tab/>
              <w:t>Non</w:t>
            </w:r>
            <w:r>
              <w:noBreakHyphen/>
              <w:t>qualified person ...............................</w:t>
            </w:r>
          </w:p>
        </w:tc>
        <w:tc>
          <w:tcPr>
            <w:tcW w:w="1985" w:type="dxa"/>
          </w:tcPr>
          <w:p>
            <w:pPr>
              <w:pStyle w:val="yTable"/>
            </w:pPr>
            <w:r>
              <w:t>$3 up to 5 minutes and $1 per minute thereafter</w:t>
            </w:r>
          </w:p>
        </w:tc>
      </w:tr>
      <w:tr>
        <w:tc>
          <w:tcPr>
            <w:tcW w:w="5387" w:type="dxa"/>
          </w:tcPr>
          <w:p>
            <w:pPr>
              <w:pStyle w:val="yTable"/>
              <w:tabs>
                <w:tab w:val="left" w:pos="568"/>
              </w:tabs>
            </w:pPr>
            <w:r>
              <w:t>9.</w:t>
            </w:r>
            <w:r>
              <w:tab/>
              <w:t>Perusals</w:t>
            </w:r>
          </w:p>
          <w:p>
            <w:pPr>
              <w:pStyle w:val="yTable"/>
              <w:tabs>
                <w:tab w:val="left" w:pos="568"/>
              </w:tabs>
              <w:spacing w:before="0"/>
            </w:pPr>
            <w:r>
              <w:tab/>
              <w:t>(where scanning is not appropriate)</w:t>
            </w:r>
          </w:p>
        </w:tc>
        <w:tc>
          <w:tcPr>
            <w:tcW w:w="1985" w:type="dxa"/>
          </w:tcPr>
          <w:p>
            <w:pPr>
              <w:pStyle w:val="yTable"/>
            </w:pPr>
          </w:p>
        </w:tc>
      </w:tr>
      <w:tr>
        <w:tc>
          <w:tcPr>
            <w:tcW w:w="5387" w:type="dxa"/>
          </w:tcPr>
          <w:p>
            <w:pPr>
              <w:pStyle w:val="yTable"/>
              <w:tabs>
                <w:tab w:val="left" w:pos="568"/>
                <w:tab w:val="left" w:pos="1135"/>
              </w:tabs>
            </w:pPr>
            <w:r>
              <w:tab/>
              <w:t>(1)</w:t>
            </w:r>
            <w:r>
              <w:tab/>
              <w:t>Technical or expert reports ......................</w:t>
            </w:r>
          </w:p>
          <w:p>
            <w:pPr>
              <w:pStyle w:val="yTable"/>
              <w:tabs>
                <w:tab w:val="left" w:pos="568"/>
                <w:tab w:val="left" w:pos="1135"/>
              </w:tabs>
              <w:spacing w:before="0"/>
            </w:pPr>
            <w:r>
              <w:tab/>
              <w:t>(including medical reports)</w:t>
            </w:r>
          </w:p>
        </w:tc>
        <w:tc>
          <w:tcPr>
            <w:tcW w:w="1985" w:type="dxa"/>
          </w:tcPr>
          <w:p>
            <w:pPr>
              <w:pStyle w:val="yTable"/>
            </w:pPr>
            <w:r>
              <w:t>6 per page</w:t>
            </w:r>
          </w:p>
        </w:tc>
      </w:tr>
      <w:tr>
        <w:tc>
          <w:tcPr>
            <w:tcW w:w="5387" w:type="dxa"/>
          </w:tcPr>
          <w:p>
            <w:pPr>
              <w:pStyle w:val="yTable"/>
              <w:tabs>
                <w:tab w:val="left" w:pos="568"/>
                <w:tab w:val="left" w:pos="1135"/>
              </w:tabs>
            </w:pPr>
            <w:r>
              <w:tab/>
              <w:t>(2)</w:t>
            </w:r>
            <w:r>
              <w:tab/>
              <w:t>Other papers .............................................</w:t>
            </w:r>
          </w:p>
        </w:tc>
        <w:tc>
          <w:tcPr>
            <w:tcW w:w="1985" w:type="dxa"/>
          </w:tcPr>
          <w:p>
            <w:pPr>
              <w:pStyle w:val="yTable"/>
            </w:pPr>
            <w:r>
              <w:t>5 per page</w:t>
            </w:r>
          </w:p>
        </w:tc>
      </w:tr>
      <w:tr>
        <w:tc>
          <w:tcPr>
            <w:tcW w:w="5387" w:type="dxa"/>
          </w:tcPr>
          <w:p>
            <w:pPr>
              <w:pStyle w:val="yTable"/>
              <w:tabs>
                <w:tab w:val="left" w:pos="568"/>
              </w:tabs>
            </w:pPr>
            <w:r>
              <w:t>10.</w:t>
            </w:r>
            <w:r>
              <w:tab/>
              <w:t>Scanning</w:t>
            </w:r>
          </w:p>
          <w:p>
            <w:pPr>
              <w:pStyle w:val="yTable"/>
              <w:tabs>
                <w:tab w:val="left" w:pos="568"/>
              </w:tabs>
              <w:spacing w:before="0"/>
            </w:pPr>
            <w:r>
              <w:tab/>
              <w:t>60 folios per hour ...............................................</w:t>
            </w:r>
          </w:p>
        </w:tc>
        <w:tc>
          <w:tcPr>
            <w:tcW w:w="1985" w:type="dxa"/>
          </w:tcPr>
          <w:p>
            <w:pPr>
              <w:pStyle w:val="yTable"/>
            </w:pPr>
            <w:r>
              <w:br/>
              <w:t>60</w:t>
            </w:r>
          </w:p>
        </w:tc>
      </w:tr>
      <w:tr>
        <w:tc>
          <w:tcPr>
            <w:tcW w:w="5387" w:type="dxa"/>
          </w:tcPr>
          <w:p>
            <w:pPr>
              <w:pStyle w:val="yTable"/>
              <w:tabs>
                <w:tab w:val="left" w:pos="568"/>
              </w:tabs>
            </w:pPr>
            <w:r>
              <w:t>11.</w:t>
            </w:r>
            <w:r>
              <w:tab/>
              <w:t>Hourly rate where no other fee applies ..............</w:t>
            </w:r>
          </w:p>
        </w:tc>
        <w:tc>
          <w:tcPr>
            <w:tcW w:w="1985" w:type="dxa"/>
          </w:tcPr>
          <w:p>
            <w:pPr>
              <w:pStyle w:val="yTable"/>
            </w:pPr>
            <w:r>
              <w:t>115 per hour</w:t>
            </w:r>
          </w:p>
        </w:tc>
      </w:tr>
    </w:tbl>
    <w:p>
      <w:pPr>
        <w:pStyle w:val="yFootnotesection"/>
      </w:pPr>
      <w:r>
        <w:tab/>
        <w:t xml:space="preserve">[Schedule 2 inserted: Gazette 30 Oct 1992 p. 5338.] </w:t>
      </w:r>
    </w:p>
    <w:p>
      <w:pPr>
        <w:pStyle w:val="yScheduleHeading"/>
      </w:pPr>
      <w:bookmarkStart w:id="61" w:name="_Toc379186500"/>
      <w:bookmarkStart w:id="62" w:name="_Toc419818170"/>
      <w:bookmarkStart w:id="63" w:name="_Toc419818209"/>
      <w:bookmarkStart w:id="64" w:name="_Toc419818250"/>
      <w:r>
        <w:rPr>
          <w:rStyle w:val="CharSchNo"/>
        </w:rPr>
        <w:t>Schedule 3</w:t>
      </w:r>
      <w:bookmarkEnd w:id="61"/>
      <w:bookmarkEnd w:id="62"/>
      <w:bookmarkEnd w:id="63"/>
      <w:bookmarkEnd w:id="64"/>
    </w:p>
    <w:p>
      <w:pPr>
        <w:pStyle w:val="yShoulderClause"/>
        <w:rPr>
          <w:snapToGrid w:val="0"/>
        </w:rPr>
      </w:pPr>
      <w:r>
        <w:rPr>
          <w:snapToGrid w:val="0"/>
        </w:rPr>
        <w:t xml:space="preserve">[Rules 3(c), 6 and 7] </w:t>
      </w:r>
    </w:p>
    <w:p>
      <w:pPr>
        <w:pStyle w:val="yHeading2"/>
        <w:spacing w:after="120"/>
        <w:outlineLvl w:val="9"/>
      </w:pPr>
      <w:bookmarkStart w:id="65" w:name="_Toc379186501"/>
      <w:bookmarkStart w:id="66" w:name="_Toc419818171"/>
      <w:bookmarkStart w:id="67" w:name="_Toc419818210"/>
      <w:bookmarkStart w:id="68" w:name="_Toc419818251"/>
      <w:r>
        <w:rPr>
          <w:rStyle w:val="CharSchText"/>
        </w:rPr>
        <w:t>Fees payable under rule 3(c)</w:t>
      </w:r>
      <w:bookmarkEnd w:id="65"/>
      <w:bookmarkEnd w:id="66"/>
      <w:bookmarkEnd w:id="67"/>
      <w:bookmarkEnd w:id="68"/>
    </w:p>
    <w:tbl>
      <w:tblPr>
        <w:tblW w:w="0" w:type="auto"/>
        <w:tblInd w:w="141" w:type="dxa"/>
        <w:tblLayout w:type="fixed"/>
        <w:tblCellMar>
          <w:left w:w="283" w:type="dxa"/>
          <w:right w:w="283" w:type="dxa"/>
        </w:tblCellMar>
        <w:tblLook w:val="0000" w:firstRow="0" w:lastRow="0" w:firstColumn="0" w:lastColumn="0" w:noHBand="0" w:noVBand="0"/>
      </w:tblPr>
      <w:tblGrid>
        <w:gridCol w:w="6095"/>
        <w:gridCol w:w="1560"/>
      </w:tblGrid>
      <w:tr>
        <w:trPr>
          <w:tblHeader/>
        </w:trPr>
        <w:tc>
          <w:tcPr>
            <w:tcW w:w="6095" w:type="dxa"/>
          </w:tcPr>
          <w:p>
            <w:pPr>
              <w:pStyle w:val="yTable"/>
              <w:rPr>
                <w:b/>
              </w:rPr>
            </w:pPr>
            <w:r>
              <w:rPr>
                <w:b/>
              </w:rPr>
              <w:t>Item</w:t>
            </w:r>
            <w:r>
              <w:rPr>
                <w:b/>
              </w:rPr>
              <w:tab/>
            </w:r>
            <w:r>
              <w:rPr>
                <w:b/>
              </w:rPr>
              <w:tab/>
            </w:r>
            <w:r>
              <w:rPr>
                <w:b/>
              </w:rPr>
              <w:tab/>
              <w:t>Description</w:t>
            </w:r>
          </w:p>
        </w:tc>
        <w:tc>
          <w:tcPr>
            <w:tcW w:w="1560" w:type="dxa"/>
          </w:tcPr>
          <w:p>
            <w:pPr>
              <w:pStyle w:val="yTable"/>
              <w:jc w:val="center"/>
              <w:rPr>
                <w:b/>
              </w:rPr>
            </w:pPr>
            <w:r>
              <w:rPr>
                <w:b/>
              </w:rPr>
              <w:t>Maximum Rate</w:t>
            </w:r>
          </w:p>
        </w:tc>
      </w:tr>
      <w:tr>
        <w:tc>
          <w:tcPr>
            <w:tcW w:w="6095" w:type="dxa"/>
          </w:tcPr>
          <w:p>
            <w:pPr>
              <w:pStyle w:val="yTable"/>
              <w:rPr>
                <w:b/>
              </w:rPr>
            </w:pPr>
          </w:p>
        </w:tc>
        <w:tc>
          <w:tcPr>
            <w:tcW w:w="1560" w:type="dxa"/>
          </w:tcPr>
          <w:p>
            <w:pPr>
              <w:pStyle w:val="yTable"/>
              <w:jc w:val="center"/>
              <w:rPr>
                <w:b/>
              </w:rPr>
            </w:pPr>
            <w:r>
              <w:rPr>
                <w:b/>
              </w:rPr>
              <w:t>$</w:t>
            </w:r>
          </w:p>
        </w:tc>
      </w:tr>
      <w:tr>
        <w:tc>
          <w:tcPr>
            <w:tcW w:w="6095" w:type="dxa"/>
          </w:tcPr>
          <w:p>
            <w:pPr>
              <w:pStyle w:val="yTable"/>
              <w:tabs>
                <w:tab w:val="left" w:pos="568"/>
              </w:tabs>
            </w:pPr>
            <w:r>
              <w:tab/>
              <w:t>OPINIONS</w:t>
            </w:r>
          </w:p>
        </w:tc>
        <w:tc>
          <w:tcPr>
            <w:tcW w:w="1560" w:type="dxa"/>
          </w:tcPr>
          <w:p>
            <w:pPr>
              <w:pStyle w:val="yTable"/>
            </w:pPr>
          </w:p>
        </w:tc>
      </w:tr>
      <w:tr>
        <w:tc>
          <w:tcPr>
            <w:tcW w:w="6095" w:type="dxa"/>
          </w:tcPr>
          <w:p>
            <w:pPr>
              <w:pStyle w:val="yTable"/>
              <w:tabs>
                <w:tab w:val="left" w:pos="568"/>
              </w:tabs>
            </w:pPr>
            <w:r>
              <w:t>1.</w:t>
            </w:r>
            <w:r>
              <w:tab/>
              <w:t>Opinion on liability .........................................................</w:t>
            </w:r>
          </w:p>
        </w:tc>
        <w:tc>
          <w:tcPr>
            <w:tcW w:w="1560" w:type="dxa"/>
          </w:tcPr>
          <w:p>
            <w:pPr>
              <w:pStyle w:val="yTable"/>
              <w:ind w:right="142"/>
              <w:jc w:val="right"/>
            </w:pPr>
            <w:r>
              <w:t>700</w:t>
            </w:r>
          </w:p>
        </w:tc>
      </w:tr>
      <w:tr>
        <w:tc>
          <w:tcPr>
            <w:tcW w:w="6095" w:type="dxa"/>
          </w:tcPr>
          <w:p>
            <w:pPr>
              <w:pStyle w:val="yTable"/>
              <w:tabs>
                <w:tab w:val="left" w:pos="568"/>
              </w:tabs>
            </w:pPr>
            <w:r>
              <w:t>2.</w:t>
            </w:r>
            <w:r>
              <w:tab/>
              <w:t>Opinion on quantum ........................................................</w:t>
            </w:r>
          </w:p>
        </w:tc>
        <w:tc>
          <w:tcPr>
            <w:tcW w:w="1560" w:type="dxa"/>
          </w:tcPr>
          <w:p>
            <w:pPr>
              <w:pStyle w:val="yTable"/>
              <w:ind w:right="142"/>
              <w:jc w:val="right"/>
            </w:pPr>
            <w:r>
              <w:t>700</w:t>
            </w:r>
          </w:p>
        </w:tc>
      </w:tr>
      <w:tr>
        <w:tc>
          <w:tcPr>
            <w:tcW w:w="6095" w:type="dxa"/>
          </w:tcPr>
          <w:p>
            <w:pPr>
              <w:pStyle w:val="yTable"/>
              <w:tabs>
                <w:tab w:val="left" w:pos="568"/>
              </w:tabs>
            </w:pPr>
            <w:r>
              <w:t>3.</w:t>
            </w:r>
            <w:r>
              <w:tab/>
              <w:t>Opinion on liability and quantum ...................................</w:t>
            </w:r>
          </w:p>
        </w:tc>
        <w:tc>
          <w:tcPr>
            <w:tcW w:w="1560" w:type="dxa"/>
          </w:tcPr>
          <w:p>
            <w:pPr>
              <w:pStyle w:val="yTable"/>
              <w:ind w:right="142"/>
              <w:jc w:val="right"/>
            </w:pPr>
            <w:r>
              <w:t>1 000</w:t>
            </w:r>
          </w:p>
        </w:tc>
      </w:tr>
      <w:tr>
        <w:tc>
          <w:tcPr>
            <w:tcW w:w="6095" w:type="dxa"/>
          </w:tcPr>
          <w:p>
            <w:pPr>
              <w:pStyle w:val="yTable"/>
              <w:tabs>
                <w:tab w:val="left" w:pos="568"/>
              </w:tabs>
            </w:pPr>
            <w:r>
              <w:t>4.</w:t>
            </w:r>
            <w:r>
              <w:tab/>
              <w:t>Opinion on appeal against sentence ................................</w:t>
            </w:r>
          </w:p>
        </w:tc>
        <w:tc>
          <w:tcPr>
            <w:tcW w:w="1560" w:type="dxa"/>
          </w:tcPr>
          <w:p>
            <w:pPr>
              <w:pStyle w:val="yTable"/>
              <w:ind w:right="142"/>
              <w:jc w:val="right"/>
            </w:pPr>
            <w:r>
              <w:t>500</w:t>
            </w:r>
          </w:p>
        </w:tc>
      </w:tr>
      <w:tr>
        <w:tc>
          <w:tcPr>
            <w:tcW w:w="6095" w:type="dxa"/>
          </w:tcPr>
          <w:p>
            <w:pPr>
              <w:pStyle w:val="yTable"/>
              <w:tabs>
                <w:tab w:val="left" w:pos="568"/>
              </w:tabs>
            </w:pPr>
            <w:r>
              <w:t>5.</w:t>
            </w:r>
            <w:r>
              <w:tab/>
              <w:t>Opinion on appeal conviction .........................................</w:t>
            </w:r>
          </w:p>
        </w:tc>
        <w:tc>
          <w:tcPr>
            <w:tcW w:w="1560" w:type="dxa"/>
          </w:tcPr>
          <w:p>
            <w:pPr>
              <w:pStyle w:val="yTable"/>
              <w:ind w:right="142"/>
              <w:jc w:val="right"/>
            </w:pPr>
            <w:r>
              <w:t>1 000</w:t>
            </w:r>
          </w:p>
        </w:tc>
      </w:tr>
      <w:tr>
        <w:tc>
          <w:tcPr>
            <w:tcW w:w="6095" w:type="dxa"/>
          </w:tcPr>
          <w:p>
            <w:pPr>
              <w:pStyle w:val="yTable"/>
              <w:tabs>
                <w:tab w:val="left" w:pos="568"/>
              </w:tabs>
            </w:pPr>
            <w:r>
              <w:t>6.</w:t>
            </w:r>
            <w:r>
              <w:tab/>
              <w:t>Opinion on appeal against conviction and sentence .......</w:t>
            </w:r>
          </w:p>
        </w:tc>
        <w:tc>
          <w:tcPr>
            <w:tcW w:w="1560" w:type="dxa"/>
          </w:tcPr>
          <w:p>
            <w:pPr>
              <w:pStyle w:val="yTable"/>
              <w:ind w:right="142"/>
              <w:jc w:val="right"/>
            </w:pPr>
            <w:r>
              <w:t>1 350</w:t>
            </w:r>
          </w:p>
        </w:tc>
      </w:tr>
      <w:tr>
        <w:tc>
          <w:tcPr>
            <w:tcW w:w="6095" w:type="dxa"/>
          </w:tcPr>
          <w:p>
            <w:pPr>
              <w:pStyle w:val="yTable"/>
              <w:tabs>
                <w:tab w:val="left" w:pos="568"/>
              </w:tabs>
            </w:pPr>
            <w:r>
              <w:t>7.</w:t>
            </w:r>
            <w:r>
              <w:tab/>
              <w:t>Advice on evidence, jurisdiction or procedure ...............</w:t>
            </w:r>
          </w:p>
        </w:tc>
        <w:tc>
          <w:tcPr>
            <w:tcW w:w="1560" w:type="dxa"/>
          </w:tcPr>
          <w:p>
            <w:pPr>
              <w:pStyle w:val="yTable"/>
              <w:ind w:right="142"/>
              <w:jc w:val="right"/>
            </w:pPr>
            <w:r>
              <w:t>350</w:t>
            </w:r>
          </w:p>
        </w:tc>
      </w:tr>
      <w:tr>
        <w:tc>
          <w:tcPr>
            <w:tcW w:w="6095" w:type="dxa"/>
          </w:tcPr>
          <w:p>
            <w:pPr>
              <w:pStyle w:val="yTable"/>
              <w:tabs>
                <w:tab w:val="left" w:pos="568"/>
              </w:tabs>
            </w:pPr>
          </w:p>
          <w:p>
            <w:pPr>
              <w:pStyle w:val="yTable"/>
              <w:tabs>
                <w:tab w:val="left" w:pos="568"/>
              </w:tabs>
            </w:pPr>
            <w:r>
              <w:tab/>
              <w:t>SETTLING, DRAWING</w:t>
            </w:r>
          </w:p>
        </w:tc>
        <w:tc>
          <w:tcPr>
            <w:tcW w:w="1560" w:type="dxa"/>
          </w:tcPr>
          <w:p>
            <w:pPr>
              <w:pStyle w:val="yTable"/>
            </w:pPr>
          </w:p>
        </w:tc>
      </w:tr>
      <w:tr>
        <w:tc>
          <w:tcPr>
            <w:tcW w:w="6095" w:type="dxa"/>
          </w:tcPr>
          <w:p>
            <w:pPr>
              <w:pStyle w:val="yTable"/>
              <w:tabs>
                <w:tab w:val="left" w:pos="568"/>
              </w:tabs>
            </w:pPr>
            <w:r>
              <w:t>8.</w:t>
            </w:r>
            <w:r>
              <w:tab/>
              <w:t>Grounds of appeal — criminal ........................................</w:t>
            </w:r>
          </w:p>
        </w:tc>
        <w:tc>
          <w:tcPr>
            <w:tcW w:w="1560" w:type="dxa"/>
          </w:tcPr>
          <w:p>
            <w:pPr>
              <w:pStyle w:val="yTable"/>
              <w:ind w:right="142"/>
              <w:jc w:val="right"/>
            </w:pPr>
            <w:r>
              <w:t>450</w:t>
            </w:r>
          </w:p>
        </w:tc>
      </w:tr>
      <w:tr>
        <w:tc>
          <w:tcPr>
            <w:tcW w:w="6095" w:type="dxa"/>
          </w:tcPr>
          <w:p>
            <w:pPr>
              <w:pStyle w:val="yTable"/>
              <w:tabs>
                <w:tab w:val="left" w:pos="568"/>
              </w:tabs>
            </w:pPr>
            <w:r>
              <w:t>9.</w:t>
            </w:r>
            <w:r>
              <w:tab/>
              <w:t>Grounds of appeal — civil ..............................................</w:t>
            </w:r>
          </w:p>
        </w:tc>
        <w:tc>
          <w:tcPr>
            <w:tcW w:w="1560" w:type="dxa"/>
          </w:tcPr>
          <w:p>
            <w:pPr>
              <w:pStyle w:val="yTable"/>
              <w:ind w:right="142"/>
              <w:jc w:val="right"/>
            </w:pPr>
            <w:r>
              <w:t>480</w:t>
            </w:r>
          </w:p>
        </w:tc>
      </w:tr>
      <w:tr>
        <w:tc>
          <w:tcPr>
            <w:tcW w:w="6095" w:type="dxa"/>
          </w:tcPr>
          <w:p>
            <w:pPr>
              <w:pStyle w:val="yTable"/>
              <w:tabs>
                <w:tab w:val="left" w:pos="568"/>
              </w:tabs>
            </w:pPr>
            <w:r>
              <w:t>10.</w:t>
            </w:r>
            <w:r>
              <w:tab/>
              <w:t>Pleadings .........................................................................</w:t>
            </w:r>
          </w:p>
        </w:tc>
        <w:tc>
          <w:tcPr>
            <w:tcW w:w="1560" w:type="dxa"/>
          </w:tcPr>
          <w:p>
            <w:pPr>
              <w:pStyle w:val="yTable"/>
              <w:ind w:right="142"/>
              <w:jc w:val="right"/>
            </w:pPr>
            <w:r>
              <w:t>500</w:t>
            </w:r>
          </w:p>
        </w:tc>
      </w:tr>
      <w:tr>
        <w:tc>
          <w:tcPr>
            <w:tcW w:w="6095" w:type="dxa"/>
          </w:tcPr>
          <w:p>
            <w:pPr>
              <w:pStyle w:val="yTable"/>
              <w:tabs>
                <w:tab w:val="left" w:pos="568"/>
              </w:tabs>
            </w:pPr>
            <w:r>
              <w:t>11.</w:t>
            </w:r>
            <w:r>
              <w:tab/>
              <w:t>Other documents .............................................................</w:t>
            </w:r>
          </w:p>
        </w:tc>
        <w:tc>
          <w:tcPr>
            <w:tcW w:w="1560" w:type="dxa"/>
          </w:tcPr>
          <w:p>
            <w:pPr>
              <w:pStyle w:val="yTable"/>
              <w:ind w:right="142"/>
              <w:jc w:val="right"/>
            </w:pPr>
            <w:r>
              <w:t>300</w:t>
            </w:r>
          </w:p>
        </w:tc>
      </w:tr>
      <w:tr>
        <w:tc>
          <w:tcPr>
            <w:tcW w:w="6095" w:type="dxa"/>
          </w:tcPr>
          <w:p>
            <w:pPr>
              <w:pStyle w:val="yTable"/>
              <w:tabs>
                <w:tab w:val="left" w:pos="568"/>
              </w:tabs>
              <w:ind w:left="568" w:hanging="568"/>
            </w:pPr>
          </w:p>
          <w:p>
            <w:pPr>
              <w:pStyle w:val="yTable"/>
              <w:tabs>
                <w:tab w:val="left" w:pos="568"/>
              </w:tabs>
              <w:ind w:left="568" w:hanging="568"/>
            </w:pPr>
            <w:r>
              <w:tab/>
              <w:t>PRETRIAL CONFERENCES (Supreme, District Court)</w:t>
            </w:r>
          </w:p>
        </w:tc>
        <w:tc>
          <w:tcPr>
            <w:tcW w:w="1560" w:type="dxa"/>
          </w:tcPr>
          <w:p>
            <w:pPr>
              <w:pStyle w:val="yTable"/>
              <w:jc w:val="right"/>
            </w:pPr>
          </w:p>
        </w:tc>
      </w:tr>
      <w:tr>
        <w:tc>
          <w:tcPr>
            <w:tcW w:w="6095" w:type="dxa"/>
          </w:tcPr>
          <w:p>
            <w:pPr>
              <w:pStyle w:val="yTable"/>
              <w:tabs>
                <w:tab w:val="left" w:pos="568"/>
              </w:tabs>
            </w:pPr>
            <w:r>
              <w:t>12.</w:t>
            </w:r>
            <w:r>
              <w:tab/>
              <w:t>Attending conference including preparation ...................</w:t>
            </w:r>
          </w:p>
        </w:tc>
        <w:tc>
          <w:tcPr>
            <w:tcW w:w="1560" w:type="dxa"/>
          </w:tcPr>
          <w:p>
            <w:pPr>
              <w:pStyle w:val="yTable"/>
              <w:ind w:right="142"/>
              <w:jc w:val="right"/>
            </w:pPr>
            <w:r>
              <w:t>450</w:t>
            </w:r>
          </w:p>
        </w:tc>
      </w:tr>
      <w:tr>
        <w:tc>
          <w:tcPr>
            <w:tcW w:w="6095" w:type="dxa"/>
          </w:tcPr>
          <w:p>
            <w:pPr>
              <w:pStyle w:val="yTable"/>
              <w:tabs>
                <w:tab w:val="left" w:pos="568"/>
              </w:tabs>
            </w:pPr>
          </w:p>
          <w:p>
            <w:pPr>
              <w:pStyle w:val="yTable"/>
              <w:tabs>
                <w:tab w:val="left" w:pos="568"/>
              </w:tabs>
            </w:pPr>
            <w:r>
              <w:tab/>
              <w:t>APPEARING IN COURT OR TRIBUNAL</w:t>
            </w:r>
          </w:p>
          <w:p>
            <w:pPr>
              <w:pStyle w:val="yTable"/>
              <w:keepNext/>
              <w:tabs>
                <w:tab w:val="left" w:pos="568"/>
              </w:tabs>
              <w:spacing w:before="0"/>
            </w:pPr>
            <w:r>
              <w:tab/>
              <w:t>(if no applicable fees in the Court or Tribunal)</w:t>
            </w:r>
          </w:p>
        </w:tc>
        <w:tc>
          <w:tcPr>
            <w:tcW w:w="1560" w:type="dxa"/>
          </w:tcPr>
          <w:p>
            <w:pPr>
              <w:pStyle w:val="yTable"/>
              <w:keepNext/>
              <w:jc w:val="right"/>
            </w:pPr>
          </w:p>
        </w:tc>
      </w:tr>
      <w:tr>
        <w:tc>
          <w:tcPr>
            <w:tcW w:w="6095" w:type="dxa"/>
          </w:tcPr>
          <w:p>
            <w:pPr>
              <w:pStyle w:val="yTable"/>
              <w:tabs>
                <w:tab w:val="left" w:pos="568"/>
              </w:tabs>
            </w:pPr>
            <w:r>
              <w:t>13.</w:t>
            </w:r>
            <w:r>
              <w:tab/>
              <w:t>Federal Court each day ...................................................</w:t>
            </w:r>
          </w:p>
        </w:tc>
        <w:tc>
          <w:tcPr>
            <w:tcW w:w="1560" w:type="dxa"/>
          </w:tcPr>
          <w:p>
            <w:pPr>
              <w:pStyle w:val="yTable"/>
              <w:ind w:right="142"/>
              <w:jc w:val="right"/>
            </w:pPr>
            <w:r>
              <w:t>850</w:t>
            </w:r>
          </w:p>
        </w:tc>
      </w:tr>
      <w:tr>
        <w:tc>
          <w:tcPr>
            <w:tcW w:w="6095" w:type="dxa"/>
          </w:tcPr>
          <w:p>
            <w:pPr>
              <w:pStyle w:val="yTable"/>
              <w:tabs>
                <w:tab w:val="left" w:pos="568"/>
              </w:tabs>
            </w:pPr>
            <w:r>
              <w:t>14.</w:t>
            </w:r>
            <w:r>
              <w:tab/>
              <w:t>High Court each day .......................................................</w:t>
            </w:r>
          </w:p>
        </w:tc>
        <w:tc>
          <w:tcPr>
            <w:tcW w:w="1560" w:type="dxa"/>
          </w:tcPr>
          <w:p>
            <w:pPr>
              <w:pStyle w:val="yTable"/>
              <w:ind w:right="142"/>
              <w:jc w:val="right"/>
            </w:pPr>
            <w:r>
              <w:t>1 500</w:t>
            </w:r>
          </w:p>
        </w:tc>
      </w:tr>
      <w:tr>
        <w:tc>
          <w:tcPr>
            <w:tcW w:w="6095" w:type="dxa"/>
          </w:tcPr>
          <w:p>
            <w:pPr>
              <w:pStyle w:val="yTable"/>
              <w:tabs>
                <w:tab w:val="left" w:pos="568"/>
              </w:tabs>
            </w:pPr>
            <w:r>
              <w:tab/>
              <w:t xml:space="preserve">(or </w:t>
            </w:r>
            <w:r>
              <w:rPr>
                <w:i/>
              </w:rPr>
              <w:t>pro rata</w:t>
            </w:r>
            <w:r>
              <w:t xml:space="preserve"> for time spent in making appearance)</w:t>
            </w:r>
          </w:p>
        </w:tc>
        <w:tc>
          <w:tcPr>
            <w:tcW w:w="1560" w:type="dxa"/>
          </w:tcPr>
          <w:p>
            <w:pPr>
              <w:pStyle w:val="yTable"/>
              <w:ind w:right="142"/>
              <w:jc w:val="right"/>
            </w:pPr>
          </w:p>
        </w:tc>
      </w:tr>
      <w:tr>
        <w:tc>
          <w:tcPr>
            <w:tcW w:w="6095" w:type="dxa"/>
          </w:tcPr>
          <w:p>
            <w:pPr>
              <w:pStyle w:val="yTable"/>
              <w:tabs>
                <w:tab w:val="left" w:pos="568"/>
              </w:tabs>
            </w:pPr>
            <w:r>
              <w:t>15.</w:t>
            </w:r>
            <w:r>
              <w:tab/>
              <w:t>Preparation ......................................................................</w:t>
            </w:r>
          </w:p>
        </w:tc>
        <w:tc>
          <w:tcPr>
            <w:tcW w:w="1560" w:type="dxa"/>
          </w:tcPr>
          <w:p>
            <w:pPr>
              <w:pStyle w:val="yTable"/>
              <w:ind w:right="142"/>
              <w:jc w:val="right"/>
            </w:pPr>
            <w:r>
              <w:t>2 000</w:t>
            </w:r>
          </w:p>
        </w:tc>
      </w:tr>
      <w:tr>
        <w:tc>
          <w:tcPr>
            <w:tcW w:w="6095" w:type="dxa"/>
          </w:tcPr>
          <w:p>
            <w:pPr>
              <w:pStyle w:val="yTable"/>
              <w:tabs>
                <w:tab w:val="left" w:pos="568"/>
              </w:tabs>
            </w:pPr>
            <w:r>
              <w:tab/>
              <w:t>Federal or High Court</w:t>
            </w:r>
          </w:p>
        </w:tc>
        <w:tc>
          <w:tcPr>
            <w:tcW w:w="1560" w:type="dxa"/>
          </w:tcPr>
          <w:p>
            <w:pPr>
              <w:pStyle w:val="yTable"/>
              <w:ind w:right="142"/>
              <w:jc w:val="right"/>
            </w:pPr>
          </w:p>
        </w:tc>
      </w:tr>
      <w:tr>
        <w:tc>
          <w:tcPr>
            <w:tcW w:w="6095" w:type="dxa"/>
          </w:tcPr>
          <w:p>
            <w:pPr>
              <w:pStyle w:val="yTable"/>
              <w:tabs>
                <w:tab w:val="left" w:pos="568"/>
              </w:tabs>
            </w:pPr>
            <w:r>
              <w:t>15A.</w:t>
            </w:r>
            <w:r>
              <w:tab/>
              <w:t>Family Court each day ....................................................</w:t>
            </w:r>
          </w:p>
        </w:tc>
        <w:tc>
          <w:tcPr>
            <w:tcW w:w="1560" w:type="dxa"/>
          </w:tcPr>
          <w:p>
            <w:pPr>
              <w:pStyle w:val="yTable"/>
              <w:ind w:right="142"/>
              <w:jc w:val="right"/>
            </w:pPr>
            <w:r>
              <w:t>850</w:t>
            </w:r>
          </w:p>
        </w:tc>
      </w:tr>
      <w:tr>
        <w:tc>
          <w:tcPr>
            <w:tcW w:w="6095" w:type="dxa"/>
          </w:tcPr>
          <w:p>
            <w:pPr>
              <w:pStyle w:val="yTable"/>
              <w:tabs>
                <w:tab w:val="left" w:pos="568"/>
              </w:tabs>
              <w:ind w:left="568" w:hanging="568"/>
            </w:pPr>
            <w:r>
              <w:tab/>
              <w:t xml:space="preserve">(or per hour gross) for preparation where counsel is not the assigned practitioner or a member of his or her firm </w:t>
            </w:r>
          </w:p>
        </w:tc>
        <w:tc>
          <w:tcPr>
            <w:tcW w:w="1560" w:type="dxa"/>
          </w:tcPr>
          <w:p>
            <w:pPr>
              <w:pStyle w:val="yTable"/>
              <w:ind w:right="142"/>
              <w:jc w:val="right"/>
            </w:pPr>
            <w:r>
              <w:br/>
              <w:t>145</w:t>
            </w:r>
          </w:p>
        </w:tc>
      </w:tr>
      <w:tr>
        <w:tc>
          <w:tcPr>
            <w:tcW w:w="6095" w:type="dxa"/>
          </w:tcPr>
          <w:p>
            <w:pPr>
              <w:pStyle w:val="yTable"/>
              <w:tabs>
                <w:tab w:val="left" w:pos="568"/>
              </w:tabs>
              <w:ind w:left="568" w:hanging="568"/>
            </w:pPr>
            <w:r>
              <w:t>16.</w:t>
            </w:r>
            <w:r>
              <w:tab/>
              <w:t>Supreme or District Court at rates applicable to the jurisdiction</w:t>
            </w:r>
          </w:p>
        </w:tc>
        <w:tc>
          <w:tcPr>
            <w:tcW w:w="1560" w:type="dxa"/>
          </w:tcPr>
          <w:p>
            <w:pPr>
              <w:pStyle w:val="yTable"/>
              <w:jc w:val="right"/>
            </w:pPr>
          </w:p>
        </w:tc>
      </w:tr>
      <w:tr>
        <w:tc>
          <w:tcPr>
            <w:tcW w:w="6095" w:type="dxa"/>
          </w:tcPr>
          <w:p>
            <w:pPr>
              <w:pStyle w:val="yTable"/>
              <w:tabs>
                <w:tab w:val="left" w:pos="568"/>
              </w:tabs>
              <w:ind w:left="568" w:hanging="568"/>
            </w:pPr>
            <w:r>
              <w:t>17.</w:t>
            </w:r>
            <w:r>
              <w:tab/>
              <w:t>Criminal appearances at rates set out in the First Schedule</w:t>
            </w:r>
          </w:p>
        </w:tc>
        <w:tc>
          <w:tcPr>
            <w:tcW w:w="1560" w:type="dxa"/>
          </w:tcPr>
          <w:p>
            <w:pPr>
              <w:pStyle w:val="yTable"/>
              <w:jc w:val="right"/>
            </w:pPr>
          </w:p>
        </w:tc>
      </w:tr>
    </w:tbl>
    <w:p>
      <w:pPr>
        <w:pStyle w:val="yTable"/>
      </w:pPr>
    </w:p>
    <w:tbl>
      <w:tblPr>
        <w:tblW w:w="0" w:type="auto"/>
        <w:tblInd w:w="141" w:type="dxa"/>
        <w:tblLayout w:type="fixed"/>
        <w:tblCellMar>
          <w:left w:w="283" w:type="dxa"/>
          <w:right w:w="283" w:type="dxa"/>
        </w:tblCellMar>
        <w:tblLook w:val="0000" w:firstRow="0" w:lastRow="0" w:firstColumn="0" w:lastColumn="0" w:noHBand="0" w:noVBand="0"/>
      </w:tblPr>
      <w:tblGrid>
        <w:gridCol w:w="6095"/>
        <w:gridCol w:w="1560"/>
      </w:tblGrid>
      <w:tr>
        <w:tc>
          <w:tcPr>
            <w:tcW w:w="6095" w:type="dxa"/>
          </w:tcPr>
          <w:p>
            <w:pPr>
              <w:pStyle w:val="yTable"/>
              <w:tabs>
                <w:tab w:val="left" w:pos="568"/>
              </w:tabs>
            </w:pPr>
            <w:r>
              <w:tab/>
              <w:t>QUEEN’S COUNSEL</w:t>
            </w:r>
          </w:p>
        </w:tc>
        <w:tc>
          <w:tcPr>
            <w:tcW w:w="1560" w:type="dxa"/>
          </w:tcPr>
          <w:p>
            <w:pPr>
              <w:pStyle w:val="yTable"/>
            </w:pPr>
          </w:p>
        </w:tc>
      </w:tr>
      <w:tr>
        <w:tc>
          <w:tcPr>
            <w:tcW w:w="6095" w:type="dxa"/>
          </w:tcPr>
          <w:p>
            <w:pPr>
              <w:pStyle w:val="yTable"/>
              <w:tabs>
                <w:tab w:val="left" w:pos="568"/>
              </w:tabs>
              <w:ind w:left="568" w:hanging="568"/>
            </w:pPr>
            <w:r>
              <w:t>18.</w:t>
            </w:r>
            <w:r>
              <w:tab/>
              <w:t>The rates set out above plus an amount not exceeding 50% where the appearance of Queen’s Counsel has been approved in advance.</w:t>
            </w:r>
          </w:p>
        </w:tc>
        <w:tc>
          <w:tcPr>
            <w:tcW w:w="1560" w:type="dxa"/>
          </w:tcPr>
          <w:p>
            <w:pPr>
              <w:pStyle w:val="yTable"/>
            </w:pPr>
          </w:p>
        </w:tc>
      </w:tr>
      <w:tr>
        <w:tc>
          <w:tcPr>
            <w:tcW w:w="6095" w:type="dxa"/>
          </w:tcPr>
          <w:p>
            <w:pPr>
              <w:pStyle w:val="yTable"/>
              <w:ind w:left="568" w:hanging="568"/>
            </w:pPr>
            <w:r>
              <w:t>19.</w:t>
            </w:r>
            <w:r>
              <w:tab/>
              <w:t>Preparation — at the hourly rate where counsel is not the assigned practitioner or a member of his or her firm.</w:t>
            </w:r>
          </w:p>
        </w:tc>
        <w:tc>
          <w:tcPr>
            <w:tcW w:w="1560" w:type="dxa"/>
          </w:tcPr>
          <w:p>
            <w:pPr>
              <w:pStyle w:val="yTable"/>
            </w:pPr>
          </w:p>
        </w:tc>
      </w:tr>
    </w:tbl>
    <w:p>
      <w:pPr>
        <w:pStyle w:val="yFootnotesection"/>
      </w:pPr>
      <w:r>
        <w:tab/>
        <w:t>[Schedule 3 inserted: Gazette 30 Oct 1992 p. 5338</w:t>
      </w:r>
      <w:r>
        <w:noBreakHyphen/>
        <w:t xml:space="preserve">9.]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70" w:name="_Toc379186502"/>
      <w:bookmarkStart w:id="71" w:name="_Toc419818172"/>
      <w:bookmarkStart w:id="72" w:name="_Toc419818211"/>
      <w:bookmarkStart w:id="73" w:name="_Toc419818252"/>
      <w:r>
        <w:t>Notes</w:t>
      </w:r>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Legal Aid Commission (Costs) Rules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 w:name="_Toc379186503"/>
      <w:bookmarkStart w:id="75" w:name="_Toc419818253"/>
      <w:r>
        <w:rPr>
          <w:snapToGrid w:val="0"/>
        </w:rPr>
        <w:t>Compilation table</w:t>
      </w:r>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rHeight w:val="374"/>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Legal Aid Commission (Costs) Rules 1990</w:t>
            </w:r>
          </w:p>
        </w:tc>
        <w:tc>
          <w:tcPr>
            <w:tcW w:w="1276" w:type="dxa"/>
          </w:tcPr>
          <w:p>
            <w:pPr>
              <w:pStyle w:val="nTable"/>
              <w:spacing w:after="40"/>
            </w:pPr>
            <w:r>
              <w:t>10 Aug 1990 p. 3852</w:t>
            </w:r>
            <w:r>
              <w:noBreakHyphen/>
              <w:t>9</w:t>
            </w:r>
          </w:p>
        </w:tc>
        <w:tc>
          <w:tcPr>
            <w:tcW w:w="2693" w:type="dxa"/>
          </w:tcPr>
          <w:p>
            <w:pPr>
              <w:pStyle w:val="nTable"/>
              <w:spacing w:after="40"/>
            </w:pPr>
            <w:r>
              <w:t>10 Aug 1990</w:t>
            </w:r>
          </w:p>
        </w:tc>
      </w:tr>
      <w:tr>
        <w:tc>
          <w:tcPr>
            <w:tcW w:w="3118" w:type="dxa"/>
          </w:tcPr>
          <w:p>
            <w:pPr>
              <w:pStyle w:val="nTable"/>
              <w:spacing w:after="40"/>
              <w:rPr>
                <w:i/>
              </w:rPr>
            </w:pPr>
            <w:r>
              <w:rPr>
                <w:i/>
              </w:rPr>
              <w:t>Legal Aid Commission (Costs) Amendment Rules 1992</w:t>
            </w:r>
          </w:p>
        </w:tc>
        <w:tc>
          <w:tcPr>
            <w:tcW w:w="1276" w:type="dxa"/>
          </w:tcPr>
          <w:p>
            <w:pPr>
              <w:pStyle w:val="nTable"/>
              <w:spacing w:after="40"/>
            </w:pPr>
            <w:r>
              <w:t>30 Oct 1992 p. 5332</w:t>
            </w:r>
            <w:r>
              <w:noBreakHyphen/>
              <w:t>9</w:t>
            </w:r>
          </w:p>
        </w:tc>
        <w:tc>
          <w:tcPr>
            <w:tcW w:w="2693" w:type="dxa"/>
          </w:tcPr>
          <w:p>
            <w:pPr>
              <w:pStyle w:val="nTable"/>
              <w:spacing w:after="40"/>
            </w:pPr>
            <w:r>
              <w:t>30 Oct 1992</w:t>
            </w:r>
          </w:p>
        </w:tc>
      </w:tr>
      <w:tr>
        <w:trPr>
          <w:cantSplit/>
        </w:trPr>
        <w:tc>
          <w:tcPr>
            <w:tcW w:w="7087" w:type="dxa"/>
            <w:gridSpan w:val="3"/>
          </w:tcPr>
          <w:p>
            <w:pPr>
              <w:pStyle w:val="nTable"/>
              <w:spacing w:after="40"/>
              <w:rPr>
                <w:b/>
              </w:rPr>
            </w:pPr>
            <w:r>
              <w:rPr>
                <w:b/>
              </w:rPr>
              <w:t xml:space="preserve">Reprint 1: The </w:t>
            </w:r>
            <w:r>
              <w:rPr>
                <w:b/>
                <w:i/>
              </w:rPr>
              <w:t xml:space="preserve">Legal Aid Commission (Costs) Amendment Rules 1992 </w:t>
            </w:r>
            <w:r>
              <w:rPr>
                <w:b/>
              </w:rPr>
              <w:t xml:space="preserve">as at 5 Dec 2003 </w:t>
            </w:r>
            <w:r>
              <w:t>(includes amendments listed above)</w:t>
            </w:r>
          </w:p>
        </w:tc>
      </w:tr>
      <w:tr>
        <w:tc>
          <w:tcPr>
            <w:tcW w:w="3118" w:type="dxa"/>
            <w:tcBorders>
              <w:bottom w:val="single" w:sz="4" w:space="0" w:color="auto"/>
            </w:tcBorders>
          </w:tcPr>
          <w:p>
            <w:pPr>
              <w:pStyle w:val="nTable"/>
              <w:spacing w:after="40"/>
            </w:pPr>
            <w:r>
              <w:rPr>
                <w:i/>
              </w:rPr>
              <w:t>Public Sector Reform (Consequential Amendments) Regulations 2011</w:t>
            </w:r>
            <w:r>
              <w:t xml:space="preserve"> r. 20</w:t>
            </w:r>
          </w:p>
        </w:tc>
        <w:tc>
          <w:tcPr>
            <w:tcW w:w="1276" w:type="dxa"/>
            <w:tcBorders>
              <w:bottom w:val="single" w:sz="4" w:space="0" w:color="auto"/>
            </w:tcBorders>
          </w:tcPr>
          <w:p>
            <w:pPr>
              <w:pStyle w:val="nTable"/>
              <w:spacing w:after="40"/>
            </w:pPr>
            <w:r>
              <w:t>11 Feb 2011 p. 502</w:t>
            </w:r>
            <w:r>
              <w:noBreakHyphen/>
              <w:t>7</w:t>
            </w:r>
          </w:p>
        </w:tc>
        <w:tc>
          <w:tcPr>
            <w:tcW w:w="2693" w:type="dxa"/>
            <w:tcBorders>
              <w:bottom w:val="single" w:sz="4" w:space="0" w:color="auto"/>
            </w:tcBorders>
          </w:tcPr>
          <w:p>
            <w:pPr>
              <w:pStyle w:val="nTable"/>
              <w:spacing w:after="40"/>
              <w:rPr>
                <w:snapToGrid w:val="0"/>
                <w:spacing w:val="-2"/>
              </w:rPr>
            </w:pPr>
            <w:r>
              <w:rPr>
                <w:snapToGrid w:val="0"/>
                <w:spacing w:val="-2"/>
              </w:rPr>
              <w:t>12 Feb 2011 (see r. 2(d))</w:t>
            </w:r>
          </w:p>
        </w:tc>
      </w:tr>
    </w:tbl>
    <w:p>
      <w:pPr>
        <w:pStyle w:val="nSubsection"/>
      </w:pPr>
      <w:r>
        <w:rPr>
          <w:vertAlign w:val="superscript"/>
        </w:rPr>
        <w:t>2</w:t>
      </w:r>
      <w:r>
        <w:tab/>
        <w:t xml:space="preserve">Repealed by the </w:t>
      </w:r>
      <w:r>
        <w:rPr>
          <w:i/>
        </w:rPr>
        <w:t>Family Court Act 1997</w:t>
      </w:r>
      <w:r>
        <w:t>.</w:t>
      </w:r>
    </w:p>
    <w:p>
      <w:pPr>
        <w:pStyle w:val="nSubsection"/>
      </w:pPr>
      <w:r>
        <w:rPr>
          <w:vertAlign w:val="superscript"/>
        </w:rPr>
        <w:t>3</w:t>
      </w:r>
      <w:r>
        <w:tab/>
        <w:t xml:space="preserve">Under the </w:t>
      </w:r>
      <w:r>
        <w:rPr>
          <w:i/>
        </w:rPr>
        <w:t>Public Sector Management Act 1994</w:t>
      </w:r>
      <w:r>
        <w:t xml:space="preserve"> s. 112(2), a reference in a written law to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7(3)(h).</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77" w:name="_Toc419818213"/>
      <w:bookmarkStart w:id="78" w:name="_Toc419818254"/>
      <w:r>
        <w:rPr>
          <w:sz w:val="28"/>
        </w:rPr>
        <w:t>Defined terms</w:t>
      </w:r>
      <w:bookmarkEnd w:id="77"/>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2</w:t>
      </w:r>
    </w:p>
    <w:p>
      <w:pPr>
        <w:pStyle w:val="DefinedTerms"/>
      </w:pPr>
      <w:r>
        <w:t>assigned practitioner</w:t>
      </w:r>
      <w:r>
        <w:tab/>
        <w:t>2</w:t>
      </w:r>
    </w:p>
    <w:p>
      <w:pPr>
        <w:pStyle w:val="DefinedTerms"/>
      </w:pPr>
      <w:r>
        <w:t>authorised officer</w:t>
      </w:r>
      <w:r>
        <w:tab/>
        <w:t>2</w:t>
      </w:r>
    </w:p>
    <w:p>
      <w:pPr>
        <w:pStyle w:val="DefinedTerms"/>
      </w:pPr>
      <w:r>
        <w:t>committee</w:t>
      </w:r>
      <w:r>
        <w:tab/>
        <w:t>2</w:t>
      </w:r>
    </w:p>
    <w:p>
      <w:pPr>
        <w:pStyle w:val="DefinedTerms"/>
      </w:pPr>
      <w:r>
        <w:t>fees payable to a private practitioner in the ordinary course of practice</w:t>
      </w:r>
      <w:r>
        <w:tab/>
        <w:t>9</w:t>
      </w:r>
    </w:p>
    <w:p>
      <w:pPr>
        <w:pStyle w:val="DefinedTerms"/>
      </w:pPr>
      <w:r>
        <w:t>folio</w:t>
      </w:r>
      <w:r>
        <w:tab/>
        <w:t>2</w:t>
      </w:r>
    </w:p>
    <w:p>
      <w:pPr>
        <w:pStyle w:val="DefinedTerms"/>
      </w:pPr>
      <w:r>
        <w:t>legal services</w:t>
      </w:r>
      <w:r>
        <w:tab/>
        <w:t>2</w:t>
      </w:r>
    </w:p>
    <w:p>
      <w:pPr>
        <w:pStyle w:val="DefinedTerms"/>
      </w:pPr>
      <w:r>
        <w:t>metropolitan area</w:t>
      </w:r>
      <w:r>
        <w:tab/>
        <w:t>16(3)</w:t>
      </w:r>
    </w:p>
    <w:p>
      <w:pPr>
        <w:pStyle w:val="DefinedTerms"/>
      </w:pPr>
      <w:r>
        <w:t>page</w:t>
      </w:r>
      <w:r>
        <w:tab/>
        <w:t>2</w:t>
      </w:r>
    </w:p>
    <w:p>
      <w:pPr>
        <w:pStyle w:val="DefinedTerms"/>
      </w:pPr>
      <w:r>
        <w:t>special circumstances</w:t>
      </w:r>
      <w:r>
        <w:tab/>
        <w:t>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Aid Commission (Costs) Rules 1990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
            <w:ind w:right="17"/>
            <w:jc w:val="right"/>
          </w:pPr>
          <w:r>
            <w:rPr>
              <w:b/>
              <w:i/>
            </w:rPr>
            <w:fldChar w:fldCharType="begin"/>
          </w:r>
          <w:r>
            <w:rPr>
              <w:b/>
              <w:i/>
            </w:rPr>
            <w:instrText>Styleref "Name of Act/Reg"</w:instrText>
          </w:r>
          <w:r>
            <w:rPr>
              <w:b/>
              <w:i/>
            </w:rPr>
            <w:fldChar w:fldCharType="separate"/>
          </w:r>
          <w:r>
            <w:rPr>
              <w:b/>
              <w:i/>
            </w:rPr>
            <w:t>Legal Aid Commission (Costs) Rules 1990</w:t>
          </w:r>
          <w:r>
            <w:rPr>
              <w:b/>
              <w:i/>
            </w:rPr>
            <w:fldChar w:fldCharType="end"/>
          </w:r>
        </w:p>
      </w:tc>
    </w:tr>
    <w:tr>
      <w:tblPrEx>
        <w:tblCellMar>
          <w:left w:w="72" w:type="dxa"/>
          <w:right w:w="72" w:type="dxa"/>
        </w:tblCellMar>
      </w:tblPrEx>
      <w:trPr>
        <w:gridBefore w:val="1"/>
        <w:wBefore w:w="36" w:type="dxa"/>
      </w:trPr>
      <w:tc>
        <w:tcPr>
          <w:tcW w:w="5760" w:type="dxa"/>
          <w:gridSpan w:val="2"/>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gridSpan w:val="2"/>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5778" w:type="dxa"/>
          <w:gridSpan w:val="2"/>
        </w:tcPr>
        <w:p>
          <w:pPr>
            <w:pStyle w:val="Header"/>
            <w:spacing w:before="40"/>
            <w:jc w:val="right"/>
          </w:pPr>
          <w:r>
            <w:fldChar w:fldCharType="begin"/>
          </w:r>
          <w:r>
            <w:instrText>styleref CharSchText</w:instrText>
          </w:r>
          <w:r>
            <w:fldChar w:fldCharType="end"/>
          </w:r>
        </w:p>
      </w:tc>
      <w:tc>
        <w:tcPr>
          <w:tcW w:w="1534" w:type="dxa"/>
          <w:gridSpan w:val="2"/>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69" w:name="Schedule"/>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(Costs) Rules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(Costs) Rules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(Costs) Rules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Aid Commission (Costs) Rules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(Costs) Rules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Aid Commission (Costs) Rules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(Costs) Rules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(Costs) Rules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90641"/>
    <w:docVar w:name="WAFER_20140203095710" w:val="RemoveTocBookmarks,RemoveUnusedBookmarks,RemoveLanguageTags,UsedStyles,ResetPageSize,UpdateArrangement"/>
    <w:docVar w:name="WAFER_20140203095710_GUID" w:val="edf20dd7-cdc5-48e8-adc2-bbd5ada06cb4"/>
    <w:docVar w:name="WAFER_20140203100724" w:val="RemoveTocBookmarks,RunningHeaders"/>
    <w:docVar w:name="WAFER_20140203100724_GUID" w:val="d3f3ba34-02a9-4a4d-89e4-79177cacb4b9"/>
    <w:docVar w:name="WAFER_20150519164712" w:val="ResetPageSize,UpdateArrangement,UpdateNTable"/>
    <w:docVar w:name="WAFER_20150519164712_GUID" w:val="2d4012cd-c5eb-4e08-a556-8692cda6be10"/>
    <w:docVar w:name="WAFER_20151106090641" w:val="UpdateStyles,UsedStyles"/>
    <w:docVar w:name="WAFER_20151106090641_GUID" w:val="08ea78fd-0ed0-429a-883a-d9cd766c05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4591</Words>
  <Characters>25437</Characters>
  <Application>Microsoft Office Word</Application>
  <DocSecurity>0</DocSecurity>
  <Lines>847</Lines>
  <Paragraphs>545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29483</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(Costs) Rules 1990 - 01-b0-05</dc:title>
  <dc:subject/>
  <dc:creator/>
  <cp:keywords/>
  <dc:description/>
  <cp:lastModifiedBy>svcMRProcess</cp:lastModifiedBy>
  <cp:revision>4</cp:revision>
  <cp:lastPrinted>2003-12-10T08:04:00Z</cp:lastPrinted>
  <dcterms:created xsi:type="dcterms:W3CDTF">2019-01-17T02:38:00Z</dcterms:created>
  <dcterms:modified xsi:type="dcterms:W3CDTF">2019-01-17T02:38:00Z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10-Aug-1990 pp.3852-9</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4551</vt:i4>
  </property>
  <property fmtid="{D5CDD505-2E9C-101B-9397-08002B2CF9AE}" pid="6" name="AsAtDate">
    <vt:lpwstr>12 Feb 2011</vt:lpwstr>
  </property>
  <property fmtid="{D5CDD505-2E9C-101B-9397-08002B2CF9AE}" pid="7" name="Suffix">
    <vt:lpwstr>01-b0-05</vt:lpwstr>
  </property>
</Properties>
</file>