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617"/>
        <w:outlineLvl w:val="0"/>
      </w:pPr>
      <w:r>
        <w:fldChar w:fldCharType="begin"/>
      </w:r>
      <w:r>
        <w:instrText xml:space="preserve"> STYLEREF "Name Of Act/Reg"</w:instrText>
      </w:r>
      <w:r>
        <w:fldChar w:fldCharType="separate"/>
      </w:r>
      <w:r>
        <w:rPr>
          <w:noProof/>
        </w:rPr>
        <w:t>Mutual Recognition (Western Australia)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360" w:right="607"/>
      </w:pPr>
      <w:r>
        <w:fldChar w:fldCharType="begin"/>
      </w:r>
      <w:r>
        <w:instrText xml:space="preserve"> STYLEREF "Name Of Act/Reg"</w:instrText>
      </w:r>
      <w:r>
        <w:fldChar w:fldCharType="separate"/>
      </w:r>
      <w:r>
        <w:rPr>
          <w:noProof/>
        </w:rPr>
        <w:t>Mutual Recognition (Western Australia) Act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_Toc3533478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_Toc3533479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_Toc3533480 \h </w:instrText>
      </w:r>
      <w:r>
        <w:fldChar w:fldCharType="separate"/>
      </w:r>
      <w:r>
        <w:t>1</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_Toc3533481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 for goods</w:t>
      </w:r>
      <w:r>
        <w:tab/>
      </w:r>
      <w:r>
        <w:fldChar w:fldCharType="begin"/>
      </w:r>
      <w:r>
        <w:instrText xml:space="preserve"> PAGEREF _Toc3533482 \h </w:instrText>
      </w:r>
      <w:r>
        <w:fldChar w:fldCharType="separate"/>
      </w:r>
      <w:r>
        <w:t>2</w:t>
      </w:r>
      <w:r>
        <w:fldChar w:fldCharType="end"/>
      </w:r>
    </w:p>
    <w:p>
      <w:pPr>
        <w:pStyle w:val="TOC8"/>
        <w:rPr>
          <w:rFonts w:asciiTheme="minorHAnsi" w:eastAsiaTheme="minorEastAsia" w:hAnsiTheme="minorHAnsi" w:cstheme="minorBidi"/>
          <w:szCs w:val="22"/>
        </w:rPr>
      </w:pPr>
      <w:r>
        <w:t>6.</w:t>
      </w:r>
      <w:r>
        <w:tab/>
        <w:t>Termination of adoption</w:t>
      </w:r>
      <w:r>
        <w:tab/>
      </w:r>
      <w:r>
        <w:fldChar w:fldCharType="begin"/>
      </w:r>
      <w:r>
        <w:instrText xml:space="preserve"> PAGEREF _Toc3533483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_Toc3533485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right="566" w:firstLine="567"/>
      </w:pPr>
      <w:r>
        <w:t>Mutual Recognition (</w:t>
      </w:r>
      <w:smartTag w:uri="urn:schemas-microsoft-com:office:smarttags" w:element="State">
        <w:smartTag w:uri="urn:schemas-microsoft-com:office:smarttags" w:element="place">
          <w:r>
            <w:t>Western Australia</w:t>
          </w:r>
        </w:smartTag>
      </w:smartTag>
      <w:r>
        <w:t>) Act 2010</w:t>
      </w:r>
    </w:p>
    <w:p>
      <w:pPr>
        <w:pStyle w:val="LongTitle"/>
        <w:suppressLineNumbers/>
        <w:rPr>
          <w:snapToGrid w:val="0"/>
        </w:rPr>
      </w:pPr>
      <w:bookmarkStart w:id="3" w:name="BillCited"/>
      <w:bookmarkEnd w:id="3"/>
      <w:r>
        <w:rPr>
          <w:snapToGrid w:val="0"/>
        </w:rPr>
        <w:t xml:space="preserve">An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Heading5"/>
      </w:pPr>
      <w:bookmarkStart w:id="4" w:name="_Toc377047789"/>
      <w:bookmarkStart w:id="5" w:name="_Toc3533478"/>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2010</w:t>
      </w:r>
      <w:r>
        <w:rPr>
          <w:snapToGrid w:val="0"/>
        </w:rPr>
        <w:t>.</w:t>
      </w:r>
    </w:p>
    <w:p>
      <w:pPr>
        <w:pStyle w:val="Heading5"/>
        <w:rPr>
          <w:snapToGrid w:val="0"/>
        </w:rPr>
      </w:pPr>
      <w:bookmarkStart w:id="6" w:name="_Toc377047790"/>
      <w:bookmarkStart w:id="7" w:name="_Toc3533479"/>
      <w:r>
        <w:rPr>
          <w:rStyle w:val="CharSectno"/>
        </w:rPr>
        <w:t>2</w:t>
      </w:r>
      <w:r>
        <w:rPr>
          <w:snapToGrid w:val="0"/>
        </w:rPr>
        <w:t>.</w:t>
      </w:r>
      <w:r>
        <w:rPr>
          <w:snapToGrid w:val="0"/>
        </w:rPr>
        <w:tab/>
      </w:r>
      <w:r>
        <w:t>Commencement</w:t>
      </w:r>
      <w:bookmarkEnd w:id="6"/>
      <w:bookmarkEnd w:id="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1 March 2011.</w:t>
      </w:r>
    </w:p>
    <w:p>
      <w:pPr>
        <w:pStyle w:val="Heading5"/>
      </w:pPr>
      <w:bookmarkStart w:id="8" w:name="_Toc377047791"/>
      <w:bookmarkStart w:id="9" w:name="_Toc3533480"/>
      <w:r>
        <w:rPr>
          <w:rStyle w:val="CharSectno"/>
        </w:rPr>
        <w:t>3</w:t>
      </w:r>
      <w:r>
        <w:t>.</w:t>
      </w:r>
      <w:r>
        <w:tab/>
        <w:t>Terms used</w:t>
      </w:r>
      <w:bookmarkEnd w:id="8"/>
      <w:bookmarkEnd w:id="9"/>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rPr>
          <w:iCs/>
        </w:rPr>
        <w:t xml:space="preserve"> (Commonwealth)</w:t>
      </w:r>
      <w:r>
        <w:t>.</w:t>
      </w:r>
    </w:p>
    <w:p>
      <w:pPr>
        <w:pStyle w:val="Heading5"/>
      </w:pPr>
      <w:bookmarkStart w:id="10" w:name="_Toc377047792"/>
      <w:bookmarkStart w:id="11" w:name="_Toc3533481"/>
      <w:r>
        <w:rPr>
          <w:rStyle w:val="CharSectno"/>
        </w:rPr>
        <w:t>4</w:t>
      </w:r>
      <w:r>
        <w:t>.</w:t>
      </w:r>
      <w:r>
        <w:tab/>
        <w:t>Adoption of Commonwealth Act</w:t>
      </w:r>
      <w:bookmarkEnd w:id="10"/>
      <w:bookmarkEnd w:id="11"/>
    </w:p>
    <w:p>
      <w:pPr>
        <w:pStyle w:val="Subsection"/>
      </w:pPr>
      <w:r>
        <w:tab/>
        <w:t>(1)</w:t>
      </w:r>
      <w:r>
        <w:tab/>
        <w:t xml:space="preserve">The State of </w:t>
      </w:r>
      <w:smartTag w:uri="urn:schemas-microsoft-com:office:smarttags" w:element="State">
        <w:smartTag w:uri="urn:schemas-microsoft-com:office:smarttags" w:element="place">
          <w:r>
            <w:t>Western Australia</w:t>
          </w:r>
        </w:smartTag>
      </w:smartTag>
      <w:r>
        <w:t xml:space="preserve"> adopts the Commonwealth Act as originally enacted and any amendments made to it before this Act receives the Royal Assent.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tab/>
        <w:t>(4)</w:t>
      </w:r>
      <w:r>
        <w:tab/>
        <w:t>The Minister is to cause a copy of any regulations referred to in subsection (3) to be laid before each House of Parliament within 14 sitting days of that House after the registration of the regulations in the Federal Register of Legislative Instruments</w:t>
      </w:r>
      <w:r>
        <w:rPr>
          <w:vertAlign w:val="superscript"/>
        </w:rPr>
        <w:t> 2</w:t>
      </w:r>
      <w:r>
        <w:t xml:space="preserve"> maintained under the </w:t>
      </w:r>
      <w:r>
        <w:rPr>
          <w:i/>
        </w:rPr>
        <w:t>Legislative Instruments Act 2003</w:t>
      </w:r>
      <w:r>
        <w:rPr>
          <w:vertAlign w:val="superscript"/>
        </w:rPr>
        <w:t> 3</w:t>
      </w:r>
      <w:r>
        <w:t xml:space="preserve"> (Commonwealth).</w:t>
      </w:r>
    </w:p>
    <w:p>
      <w:pPr>
        <w:pStyle w:val="Heading5"/>
      </w:pPr>
      <w:bookmarkStart w:id="12" w:name="_Toc377047793"/>
      <w:bookmarkStart w:id="13" w:name="_Toc3533482"/>
      <w:r>
        <w:rPr>
          <w:rStyle w:val="CharSectno"/>
        </w:rPr>
        <w:t>5</w:t>
      </w:r>
      <w:r>
        <w:t>.</w:t>
      </w:r>
      <w:r>
        <w:tab/>
        <w:t>Regulations for temporary exemption for goods</w:t>
      </w:r>
      <w:bookmarkEnd w:id="12"/>
      <w:bookmarkEnd w:id="13"/>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pPr>
      <w:bookmarkStart w:id="14" w:name="_Toc377047794"/>
      <w:bookmarkStart w:id="15" w:name="_Toc3533483"/>
      <w:r>
        <w:rPr>
          <w:rStyle w:val="CharSectno"/>
        </w:rPr>
        <w:t>6</w:t>
      </w:r>
      <w:r>
        <w:t>.</w:t>
      </w:r>
      <w:r>
        <w:tab/>
        <w:t>Termination of adoption</w:t>
      </w:r>
      <w:bookmarkEnd w:id="14"/>
      <w:bookmarkEnd w:id="15"/>
    </w:p>
    <w:p>
      <w:pPr>
        <w:pStyle w:val="Subsection"/>
      </w:pPr>
      <w:r>
        <w:tab/>
        <w:t>(1)</w:t>
      </w:r>
      <w:r>
        <w:tab/>
        <w:t xml:space="preserve">The adoption of the Commonwealth Act under this Act ends on — </w:t>
      </w:r>
    </w:p>
    <w:p>
      <w:pPr>
        <w:pStyle w:val="Indenta"/>
      </w:pPr>
      <w:r>
        <w:tab/>
        <w:t>(a)</w:t>
      </w:r>
      <w:r>
        <w:tab/>
        <w:t>28 February 2021; or</w:t>
      </w:r>
    </w:p>
    <w:p>
      <w:pPr>
        <w:pStyle w:val="Indenta"/>
      </w:pPr>
      <w:r>
        <w:tab/>
        <w:t>(b)</w:t>
      </w:r>
      <w:r>
        <w:tab/>
        <w:t>if an earlier date is fixed under subsection (2), that earlier day.</w:t>
      </w:r>
    </w:p>
    <w:p>
      <w:pPr>
        <w:pStyle w:val="Subsection"/>
      </w:pPr>
      <w:r>
        <w:tab/>
        <w:t>(2)</w:t>
      </w:r>
      <w:r>
        <w:tab/>
        <w:t>The Governor may, by proclamation, fix a day that is earlier than 28 February 2021 as the day on which the adoption of the Commonwealth Act under this Act ends.</w:t>
      </w:r>
    </w:p>
    <w:p>
      <w:pPr>
        <w:pStyle w:val="Subsection"/>
      </w:pPr>
      <w:r>
        <w:tab/>
        <w:t>(3)</w:t>
      </w:r>
      <w:r>
        <w:tab/>
        <w:t>This Act expires when the adoption of the Commonwealth Act ends under subsection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7047795"/>
      <w:bookmarkStart w:id="17" w:name="_Toc421549670"/>
      <w:bookmarkStart w:id="18" w:name="_Toc421549682"/>
      <w:bookmarkStart w:id="19" w:name="_Toc3533484"/>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Mutual Recognition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2010</w:t>
      </w:r>
      <w:r>
        <w:rPr>
          <w:snapToGrid w:val="0"/>
        </w:rPr>
        <w:t xml:space="preserve">.  The following table contains information about that Act. </w:t>
      </w:r>
    </w:p>
    <w:p>
      <w:pPr>
        <w:pStyle w:val="nHeading3"/>
        <w:rPr>
          <w:snapToGrid w:val="0"/>
        </w:rPr>
      </w:pPr>
      <w:bookmarkStart w:id="20" w:name="_Toc3533485"/>
      <w:r>
        <w:rPr>
          <w:snapToGrid w:val="0"/>
        </w:rPr>
        <w:t>Compilation table</w:t>
      </w:r>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rPr>
                <w:iCs/>
              </w:rPr>
            </w:pPr>
            <w:r>
              <w:rPr>
                <w:i/>
                <w:noProof/>
                <w:snapToGrid w:val="0"/>
              </w:rPr>
              <w:t>Mutual Recognition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2010</w:t>
            </w:r>
            <w:r>
              <w:rPr>
                <w:iCs/>
                <w:noProof/>
                <w:snapToGrid w:val="0"/>
              </w:rPr>
              <w:t xml:space="preserve"> </w:t>
            </w:r>
          </w:p>
        </w:tc>
        <w:tc>
          <w:tcPr>
            <w:tcW w:w="1134" w:type="dxa"/>
            <w:shd w:val="clear" w:color="auto" w:fill="auto"/>
          </w:tcPr>
          <w:p>
            <w:pPr>
              <w:pStyle w:val="nTable"/>
              <w:spacing w:after="40"/>
            </w:pPr>
            <w:r>
              <w:t>52 of 2010</w:t>
            </w:r>
          </w:p>
        </w:tc>
        <w:tc>
          <w:tcPr>
            <w:tcW w:w="1134" w:type="dxa"/>
            <w:shd w:val="clear" w:color="auto" w:fill="auto"/>
          </w:tcPr>
          <w:p>
            <w:pPr>
              <w:pStyle w:val="nTable"/>
              <w:spacing w:after="40"/>
            </w:pPr>
            <w:r>
              <w:t>8 Dec 2010</w:t>
            </w:r>
          </w:p>
        </w:tc>
        <w:tc>
          <w:tcPr>
            <w:tcW w:w="2551" w:type="dxa"/>
            <w:shd w:val="clear" w:color="auto" w:fill="auto"/>
          </w:tcPr>
          <w:p>
            <w:pPr>
              <w:pStyle w:val="nTable"/>
              <w:spacing w:after="40"/>
            </w:pPr>
            <w:r>
              <w:rPr>
                <w:iCs/>
                <w:noProof/>
                <w:snapToGrid w:val="0"/>
              </w:rPr>
              <w:t xml:space="preserve">s. 1 and 2: </w:t>
            </w:r>
            <w:r>
              <w:t>8 Dec 2010 (see s. 2(a))</w:t>
            </w:r>
            <w:r>
              <w:br/>
              <w:t>Act other than s. 1 and 2: 1 Mar 2011 (see s. 2(b))</w:t>
            </w:r>
          </w:p>
        </w:tc>
      </w:tr>
    </w:tbl>
    <w:p>
      <w:pPr>
        <w:pStyle w:val="nSubsection"/>
      </w:pPr>
      <w:r>
        <w:rPr>
          <w:vertAlign w:val="superscript"/>
        </w:rPr>
        <w:t>2</w:t>
      </w:r>
      <w:r>
        <w:tab/>
        <w:t>Now known as the Federal Register of Legislation.</w:t>
      </w:r>
    </w:p>
    <w:p>
      <w:pPr>
        <w:pStyle w:val="nSubsection"/>
      </w:pPr>
      <w:r>
        <w:rPr>
          <w:vertAlign w:val="superscript"/>
        </w:rPr>
        <w:t>3</w:t>
      </w:r>
      <w:r>
        <w:tab/>
        <w:t xml:space="preserve">Now known as the </w:t>
      </w:r>
      <w:r>
        <w:rPr>
          <w:i/>
        </w:rPr>
        <w:t>Legislation Act 2003</w:t>
      </w:r>
      <w:r>
        <w:t>.</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 w:name="_Toc421549684"/>
      <w:bookmarkStart w:id="23" w:name="_Toc3533486"/>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w:t>
      </w:r>
      <w:r>
        <w:tab/>
        <w:t>3</w:t>
      </w:r>
    </w:p>
    <w:p>
      <w:pPr>
        <w:pStyle w:val="DefinedTerms"/>
      </w:pPr>
      <w:r>
        <w:t>Commonwealth Act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16"/>
    <w:docVar w:name="WAFER_20140109160600" w:val="RemoveTocBookmarks,RemoveUnusedBookmarks,RemoveLanguageTags,UsedStyles,ResetPageSize,UpdateArrangement"/>
    <w:docVar w:name="WAFER_20140109160600_GUID" w:val="103ddbd0-f1aa-4551-8b07-06dbab42556d"/>
    <w:docVar w:name="WAFER_20140109161352" w:val="RemoveTocBookmarks,RunningHeaders"/>
    <w:docVar w:name="WAFER_20140109161352_GUID" w:val="6bcc3b32-4771-41ce-a62d-3a72b1eec697"/>
    <w:docVar w:name="WAFER_20150608172751" w:val="ResetPageSize,UpdateArrangement,UpdateNTable"/>
    <w:docVar w:name="WAFER_20150608172751_GUID" w:val="5ba11a29-e5f5-4a46-8a22-af9e3888644b"/>
    <w:docVar w:name="WAFER_20151106161512" w:val="UpdateStyles,UsedStyles"/>
    <w:docVar w:name="WAFER_20151106161512_GUID" w:val="ad17fcaa-211a-46e5-abb9-3a52a6790557"/>
    <w:docVar w:name="WAFER_20151130172516" w:val="RemoveTrackChanges"/>
    <w:docVar w:name="WAFER_20151130172516_GUID" w:val="4ec8545a-ceaa-46e7-86fd-f5b8f31e4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692</Words>
  <Characters>3409</Characters>
  <Application>Microsoft Office Word</Application>
  <DocSecurity>0</DocSecurity>
  <Lines>126</Lines>
  <Paragraphs>82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Notes</vt:lpstr>
      <vt:lpstr>    Defined Terms</vt:lpstr>
    </vt:vector>
  </TitlesOfParts>
  <Manager/>
  <Company/>
  <LinksUpToDate>false</LinksUpToDate>
  <CharactersWithSpaces>4019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2010 - 00-b0-10</dc:title>
  <dc:subject/>
  <dc:creator/>
  <cp:keywords/>
  <dc:description/>
  <cp:lastModifiedBy>svcMRProcess</cp:lastModifiedBy>
  <cp:revision>4</cp:revision>
  <cp:lastPrinted>2010-10-12T04:41:00Z</cp:lastPrinted>
  <dcterms:created xsi:type="dcterms:W3CDTF">2019-03-15T01:11:00Z</dcterms:created>
  <dcterms:modified xsi:type="dcterms:W3CDTF">2019-03-15T01:11:00Z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2010</vt:lpwstr>
  </property>
  <property fmtid="{D5CDD505-2E9C-101B-9397-08002B2CF9AE}" pid="3" name="CommencementDate">
    <vt:lpwstr>20110301</vt:lpwstr>
  </property>
  <property fmtid="{D5CDD505-2E9C-101B-9397-08002B2CF9AE}" pid="4" name="DocumentType">
    <vt:lpwstr>Act</vt:lpwstr>
  </property>
  <property fmtid="{D5CDD505-2E9C-101B-9397-08002B2CF9AE}" pid="5" name="AsAtDate">
    <vt:lpwstr>01 Mar 2011</vt:lpwstr>
  </property>
  <property fmtid="{D5CDD505-2E9C-101B-9397-08002B2CF9AE}" pid="6" name="Suffix">
    <vt:lpwstr>00-b0-10</vt:lpwstr>
  </property>
</Properties>
</file>