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_Toc131416023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_Toc131416024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_Toc131416025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_Toc131416027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_Toc131416028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_Toc131416029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_Toc131416030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_Toc131416031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_Toc131416032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_Toc131416033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_Toc131416034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_Toc131416035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_Toc131416037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_Toc131416038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_Toc131416039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_Toc131416040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_Toc131416041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_Toc131416042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_Toc131416043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_Toc131416044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_Toc131416045 \h </w:instrText>
      </w:r>
      <w:r>
        <w:fldChar w:fldCharType="separate"/>
      </w:r>
      <w:r>
        <w:t>20</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_Toc131416046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_Toc131416047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_Toc131416048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_Toc131416049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_Toc131416050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_Toc131416051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_Toc131416052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_Toc131416053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_Toc131416054 \h </w:instrText>
      </w:r>
      <w:r>
        <w:fldChar w:fldCharType="separate"/>
      </w:r>
      <w:r>
        <w:t>35</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_Toc131416055 \h </w:instrText>
      </w:r>
      <w:r>
        <w:fldChar w:fldCharType="separate"/>
      </w:r>
      <w:r>
        <w:t>36</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_Toc131416056 \h </w:instrText>
      </w:r>
      <w:r>
        <w:fldChar w:fldCharType="separate"/>
      </w:r>
      <w:r>
        <w:t>38</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_Toc131416057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_Toc131416058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_Toc131416059 \h </w:instrText>
      </w:r>
      <w:r>
        <w:fldChar w:fldCharType="separate"/>
      </w:r>
      <w:r>
        <w:t>40</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_Toc131416060 \h </w:instrText>
      </w:r>
      <w:r>
        <w:fldChar w:fldCharType="separate"/>
      </w:r>
      <w:r>
        <w:t>40</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_Toc131416061 \h </w:instrText>
      </w:r>
      <w:r>
        <w:fldChar w:fldCharType="separate"/>
      </w:r>
      <w:r>
        <w:t>41</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Interpretation in Part IIIB</w:t>
      </w:r>
      <w:r>
        <w:tab/>
      </w:r>
      <w:r>
        <w:fldChar w:fldCharType="begin"/>
      </w:r>
      <w:r>
        <w:instrText xml:space="preserve"> PAGEREF _Toc131416063 \h </w:instrText>
      </w:r>
      <w:r>
        <w:fldChar w:fldCharType="separate"/>
      </w:r>
      <w:r>
        <w:t>43</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_Toc131416064 \h </w:instrText>
      </w:r>
      <w:r>
        <w:fldChar w:fldCharType="separate"/>
      </w:r>
      <w:r>
        <w:t>48</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_Toc131416065 \h </w:instrText>
      </w:r>
      <w:r>
        <w:fldChar w:fldCharType="separate"/>
      </w:r>
      <w:r>
        <w:t>50</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_Toc131416066 \h </w:instrText>
      </w:r>
      <w:r>
        <w:fldChar w:fldCharType="separate"/>
      </w:r>
      <w:r>
        <w:t>55</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_Toc131416067 \h </w:instrText>
      </w:r>
      <w:r>
        <w:fldChar w:fldCharType="separate"/>
      </w:r>
      <w:r>
        <w:t>56</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_Toc131416068 \h </w:instrText>
      </w:r>
      <w:r>
        <w:fldChar w:fldCharType="separate"/>
      </w:r>
      <w:r>
        <w:t>59</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_Toc131416069 \h </w:instrText>
      </w:r>
      <w:r>
        <w:fldChar w:fldCharType="separate"/>
      </w:r>
      <w:r>
        <w:t>60</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_Toc131416070 \h </w:instrText>
      </w:r>
      <w:r>
        <w:fldChar w:fldCharType="separate"/>
      </w:r>
      <w:r>
        <w:t>62</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_Toc131416071 \h </w:instrText>
      </w:r>
      <w:r>
        <w:fldChar w:fldCharType="separate"/>
      </w:r>
      <w:r>
        <w:t>63</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_Toc131416072 \h </w:instrText>
      </w:r>
      <w:r>
        <w:fldChar w:fldCharType="separate"/>
      </w:r>
      <w:r>
        <w:t>64</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_Toc131416073 \h </w:instrText>
      </w:r>
      <w:r>
        <w:fldChar w:fldCharType="separate"/>
      </w:r>
      <w:r>
        <w:t>66</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_Toc131416074 \h </w:instrText>
      </w:r>
      <w:r>
        <w:fldChar w:fldCharType="separate"/>
      </w:r>
      <w:r>
        <w:t>66</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_Toc131416075 \h </w:instrText>
      </w:r>
      <w:r>
        <w:fldChar w:fldCharType="separate"/>
      </w:r>
      <w:r>
        <w:t>67</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_Toc131416076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_Toc131416077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_Toc131416078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_Toc131416079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_Toc131416080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_Toc131416081 \h </w:instrText>
      </w:r>
      <w:r>
        <w:fldChar w:fldCharType="separate"/>
      </w:r>
      <w:r>
        <w:t>70</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_Toc131416082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_Toc131416083 \h </w:instrText>
      </w:r>
      <w:r>
        <w:fldChar w:fldCharType="separate"/>
      </w:r>
      <w:r>
        <w:t>73</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_Toc131416084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_Toc131416085 \h </w:instrText>
      </w:r>
      <w:r>
        <w:fldChar w:fldCharType="separate"/>
      </w:r>
      <w:r>
        <w:t>74</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_Toc131416086 \h </w:instrText>
      </w:r>
      <w:r>
        <w:fldChar w:fldCharType="separate"/>
      </w:r>
      <w:r>
        <w:t>75</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_Toc131416087 \h </w:instrText>
      </w:r>
      <w:r>
        <w:fldChar w:fldCharType="separate"/>
      </w:r>
      <w:r>
        <w:t>77</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_Toc131416088 \h </w:instrText>
      </w:r>
      <w:r>
        <w:fldChar w:fldCharType="separate"/>
      </w:r>
      <w:r>
        <w:t>79</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_Toc131416089 \h </w:instrText>
      </w:r>
      <w:r>
        <w:fldChar w:fldCharType="separate"/>
      </w:r>
      <w:r>
        <w:t>80</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_Toc131416090 \h </w:instrText>
      </w:r>
      <w:r>
        <w:fldChar w:fldCharType="separate"/>
      </w:r>
      <w:r>
        <w:t>81</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_Toc131416091 \h </w:instrText>
      </w:r>
      <w:r>
        <w:fldChar w:fldCharType="separate"/>
      </w:r>
      <w:r>
        <w:t>82</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_Toc131416092 \h </w:instrText>
      </w:r>
      <w:r>
        <w:fldChar w:fldCharType="separate"/>
      </w:r>
      <w:r>
        <w:t>86</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_Toc131416093 \h </w:instrText>
      </w:r>
      <w:r>
        <w:fldChar w:fldCharType="separate"/>
      </w:r>
      <w:r>
        <w:t>88</w:t>
      </w:r>
      <w:r>
        <w:fldChar w:fldCharType="end"/>
      </w:r>
    </w:p>
    <w:p>
      <w:pPr>
        <w:pStyle w:val="TOC8"/>
        <w:rPr>
          <w:sz w:val="24"/>
          <w:szCs w:val="24"/>
        </w:rPr>
      </w:pPr>
      <w:r>
        <w:rPr>
          <w:szCs w:val="24"/>
        </w:rPr>
        <w:t>73DB.</w:t>
      </w:r>
      <w:r>
        <w:rPr>
          <w:szCs w:val="24"/>
        </w:rPr>
        <w:tab/>
        <w:t>Interpretation for sections 73DC, 73DD and 73DE</w:t>
      </w:r>
      <w:r>
        <w:tab/>
      </w:r>
      <w:r>
        <w:fldChar w:fldCharType="begin"/>
      </w:r>
      <w:r>
        <w:instrText xml:space="preserve"> PAGEREF _Toc131416094 \h </w:instrText>
      </w:r>
      <w:r>
        <w:fldChar w:fldCharType="separate"/>
      </w:r>
      <w:r>
        <w:t>89</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_Toc131416095 \h </w:instrText>
      </w:r>
      <w:r>
        <w:fldChar w:fldCharType="separate"/>
      </w:r>
      <w:r>
        <w:t>89</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_Toc131416096 \h </w:instrText>
      </w:r>
      <w:r>
        <w:fldChar w:fldCharType="separate"/>
      </w:r>
      <w:r>
        <w:t>91</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_Toc131416097 \h </w:instrText>
      </w:r>
      <w:r>
        <w:fldChar w:fldCharType="separate"/>
      </w:r>
      <w:r>
        <w:t>94</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_Toc131416098 \h </w:instrText>
      </w:r>
      <w:r>
        <w:fldChar w:fldCharType="separate"/>
      </w:r>
      <w:r>
        <w:t>94</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_Toc131416099 \h </w:instrText>
      </w:r>
      <w:r>
        <w:fldChar w:fldCharType="separate"/>
      </w:r>
      <w:r>
        <w:t>97</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_Toc131416100 \h </w:instrText>
      </w:r>
      <w:r>
        <w:fldChar w:fldCharType="separate"/>
      </w:r>
      <w:r>
        <w:t>98</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_Toc131416101 \h </w:instrText>
      </w:r>
      <w:r>
        <w:fldChar w:fldCharType="separate"/>
      </w:r>
      <w:r>
        <w:t>100</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_Toc131416102 \h </w:instrText>
      </w:r>
      <w:r>
        <w:fldChar w:fldCharType="separate"/>
      </w:r>
      <w:r>
        <w:t>105</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_Toc131416103 \h </w:instrText>
      </w:r>
      <w:r>
        <w:fldChar w:fldCharType="separate"/>
      </w:r>
      <w:r>
        <w:t>108</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_Toc131416104 \h </w:instrText>
      </w:r>
      <w:r>
        <w:fldChar w:fldCharType="separate"/>
      </w:r>
      <w:r>
        <w:t>114</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_Toc131416105 \h </w:instrText>
      </w:r>
      <w:r>
        <w:fldChar w:fldCharType="separate"/>
      </w:r>
      <w:r>
        <w:t>119</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_Toc131416106 \h </w:instrText>
      </w:r>
      <w:r>
        <w:fldChar w:fldCharType="separate"/>
      </w:r>
      <w:r>
        <w:t>121</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_Toc131416107 \h </w:instrText>
      </w:r>
      <w:r>
        <w:fldChar w:fldCharType="separate"/>
      </w:r>
      <w:r>
        <w:t>121</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_Toc131416108 \h </w:instrText>
      </w:r>
      <w:r>
        <w:fldChar w:fldCharType="separate"/>
      </w:r>
      <w:r>
        <w:t>122</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_Toc131416109 \h </w:instrText>
      </w:r>
      <w:r>
        <w:fldChar w:fldCharType="separate"/>
      </w:r>
      <w:r>
        <w:t>123</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_Toc131416110 \h </w:instrText>
      </w:r>
      <w:r>
        <w:fldChar w:fldCharType="separate"/>
      </w:r>
      <w:r>
        <w:t>123</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_Toc131416111 \h </w:instrText>
      </w:r>
      <w:r>
        <w:fldChar w:fldCharType="separate"/>
      </w:r>
      <w:r>
        <w:t>123</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_Toc131416112 \h </w:instrText>
      </w:r>
      <w:r>
        <w:fldChar w:fldCharType="separate"/>
      </w:r>
      <w:r>
        <w:t>125</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_Toc131416113 \h </w:instrText>
      </w:r>
      <w:r>
        <w:fldChar w:fldCharType="separate"/>
      </w:r>
      <w:r>
        <w:t>126</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_Toc131416114 \h </w:instrText>
      </w:r>
      <w:r>
        <w:fldChar w:fldCharType="separate"/>
      </w:r>
      <w:r>
        <w:t>129</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_Toc131416115 \h </w:instrText>
      </w:r>
      <w:r>
        <w:fldChar w:fldCharType="separate"/>
      </w:r>
      <w:r>
        <w:t>131</w:t>
      </w:r>
      <w:r>
        <w:fldChar w:fldCharType="end"/>
      </w:r>
    </w:p>
    <w:p>
      <w:pPr>
        <w:pStyle w:val="TOC2"/>
        <w:tabs>
          <w:tab w:val="right" w:leader="dot" w:pos="7086"/>
        </w:tabs>
        <w:rPr>
          <w:b w:val="0"/>
          <w:sz w:val="24"/>
          <w:szCs w:val="24"/>
        </w:rPr>
      </w:pPr>
      <w:r>
        <w:rPr>
          <w:szCs w:val="30"/>
        </w:rPr>
        <w:t>Part IIIBAA — Certain transfers of farming property </w:t>
      </w:r>
      <w:r>
        <w:rPr>
          <w:b w:val="0"/>
          <w:szCs w:val="30"/>
          <w:vertAlign w:val="superscript"/>
        </w:rPr>
        <w:t>5</w:t>
      </w:r>
    </w:p>
    <w:p>
      <w:pPr>
        <w:pStyle w:val="TOC8"/>
        <w:rPr>
          <w:sz w:val="24"/>
          <w:szCs w:val="24"/>
        </w:rPr>
      </w:pPr>
      <w:r>
        <w:rPr>
          <w:szCs w:val="24"/>
        </w:rPr>
        <w:t>75D</w:t>
      </w:r>
      <w:r>
        <w:rPr>
          <w:snapToGrid w:val="0"/>
          <w:szCs w:val="24"/>
        </w:rPr>
        <w:t>.</w:t>
      </w:r>
      <w:r>
        <w:rPr>
          <w:snapToGrid w:val="0"/>
          <w:szCs w:val="24"/>
        </w:rPr>
        <w:tab/>
        <w:t>Interpretation in Part IIIBAA</w:t>
      </w:r>
      <w:r>
        <w:tab/>
      </w:r>
      <w:r>
        <w:fldChar w:fldCharType="begin"/>
      </w:r>
      <w:r>
        <w:instrText xml:space="preserve"> PAGEREF _Toc131416117 \h </w:instrText>
      </w:r>
      <w:r>
        <w:fldChar w:fldCharType="separate"/>
      </w:r>
      <w:r>
        <w:t>132</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_Toc131416118 \h </w:instrText>
      </w:r>
      <w:r>
        <w:fldChar w:fldCharType="separate"/>
      </w:r>
      <w:r>
        <w:t>135</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_Toc131416119 \h </w:instrText>
      </w:r>
      <w:r>
        <w:fldChar w:fldCharType="separate"/>
      </w:r>
      <w:r>
        <w:t>138</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_Toc131416120 \h </w:instrText>
      </w:r>
      <w:r>
        <w:fldChar w:fldCharType="separate"/>
      </w:r>
      <w:r>
        <w:t>138</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_Toc131416121 \h </w:instrText>
      </w:r>
      <w:r>
        <w:fldChar w:fldCharType="separate"/>
      </w:r>
      <w:r>
        <w:t>139</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_Toc131416122 \h </w:instrText>
      </w:r>
      <w:r>
        <w:fldChar w:fldCharType="separate"/>
      </w:r>
      <w:r>
        <w:t>140</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_Toc131416123 \h </w:instrText>
      </w:r>
      <w:r>
        <w:fldChar w:fldCharType="separate"/>
      </w:r>
      <w:r>
        <w:t>143</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Interpretation in Part IIIBAAA</w:t>
      </w:r>
      <w:r>
        <w:tab/>
      </w:r>
      <w:r>
        <w:fldChar w:fldCharType="begin"/>
      </w:r>
      <w:r>
        <w:instrText xml:space="preserve"> PAGEREF _Toc131416125 \h </w:instrText>
      </w:r>
      <w:r>
        <w:fldChar w:fldCharType="separate"/>
      </w:r>
      <w:r>
        <w:t>145</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_Toc131416126 \h </w:instrText>
      </w:r>
      <w:r>
        <w:fldChar w:fldCharType="separate"/>
      </w:r>
      <w:r>
        <w:t>146</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_Toc131416127 \h </w:instrText>
      </w:r>
      <w:r>
        <w:fldChar w:fldCharType="separate"/>
      </w:r>
      <w:r>
        <w:t>148</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_Toc131416128 \h </w:instrText>
      </w:r>
      <w:r>
        <w:fldChar w:fldCharType="separate"/>
      </w:r>
      <w:r>
        <w:t>150</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_Toc131416129 \h </w:instrText>
      </w:r>
      <w:r>
        <w:fldChar w:fldCharType="separate"/>
      </w:r>
      <w:r>
        <w:t>159</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_Toc131416130 \h </w:instrText>
      </w:r>
      <w:r>
        <w:fldChar w:fldCharType="separate"/>
      </w:r>
      <w:r>
        <w:t>159</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_Toc131416131 \h </w:instrText>
      </w:r>
      <w:r>
        <w:fldChar w:fldCharType="separate"/>
      </w:r>
      <w:r>
        <w:t>161</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_Toc131416132 \h </w:instrText>
      </w:r>
      <w:r>
        <w:fldChar w:fldCharType="separate"/>
      </w:r>
      <w:r>
        <w:t>162</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_Toc131416133 \h </w:instrText>
      </w:r>
      <w:r>
        <w:fldChar w:fldCharType="separate"/>
      </w:r>
      <w:r>
        <w:t>163</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_Toc131416134 \h </w:instrText>
      </w:r>
      <w:r>
        <w:fldChar w:fldCharType="separate"/>
      </w:r>
      <w:r>
        <w:t>166</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_Toc131416135 \h </w:instrText>
      </w:r>
      <w:r>
        <w:fldChar w:fldCharType="separate"/>
      </w:r>
      <w:r>
        <w:t>167</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Interpretation in Part IIIBA</w:t>
      </w:r>
      <w:r>
        <w:tab/>
      </w:r>
      <w:r>
        <w:fldChar w:fldCharType="begin"/>
      </w:r>
      <w:r>
        <w:instrText xml:space="preserve"> PAGEREF _Toc131416138 \h </w:instrText>
      </w:r>
      <w:r>
        <w:fldChar w:fldCharType="separate"/>
      </w:r>
      <w:r>
        <w:t>169</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_Toc131416139 \h </w:instrText>
      </w:r>
      <w:r>
        <w:fldChar w:fldCharType="separate"/>
      </w:r>
      <w:r>
        <w:t>177</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_Toc131416140 \h </w:instrText>
      </w:r>
      <w:r>
        <w:fldChar w:fldCharType="separate"/>
      </w:r>
      <w:r>
        <w:t>178</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_Toc131416141 \h </w:instrText>
      </w:r>
      <w:r>
        <w:fldChar w:fldCharType="separate"/>
      </w:r>
      <w:r>
        <w:t>178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_Toc131416143 \h </w:instrText>
      </w:r>
      <w:r>
        <w:fldChar w:fldCharType="separate"/>
      </w:r>
      <w:r>
        <w:t>180</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_Toc131416144 \h </w:instrText>
      </w:r>
      <w:r>
        <w:fldChar w:fldCharType="separate"/>
      </w:r>
      <w:r>
        <w:t>183</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_Toc131416145 \h </w:instrText>
      </w:r>
      <w:r>
        <w:fldChar w:fldCharType="separate"/>
      </w:r>
      <w:r>
        <w:t>185</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_Toc131416146 \h </w:instrText>
      </w:r>
      <w:r>
        <w:fldChar w:fldCharType="separate"/>
      </w:r>
      <w:r>
        <w:t>190</w:t>
      </w:r>
      <w:r>
        <w:fldChar w:fldCharType="end"/>
      </w:r>
    </w:p>
    <w:p>
      <w:pPr>
        <w:pStyle w:val="TOC8"/>
        <w:rPr>
          <w:sz w:val="24"/>
          <w:szCs w:val="24"/>
        </w:rPr>
      </w:pPr>
      <w:r>
        <w:rPr>
          <w:szCs w:val="24"/>
        </w:rPr>
        <w:t>76AK.</w:t>
      </w:r>
      <w:r>
        <w:rPr>
          <w:szCs w:val="24"/>
        </w:rPr>
        <w:tab/>
        <w:t>Meaning of “interest”, “majority interest” or “further interest”</w:t>
      </w:r>
      <w:r>
        <w:tab/>
      </w:r>
      <w:r>
        <w:fldChar w:fldCharType="begin"/>
      </w:r>
      <w:r>
        <w:instrText xml:space="preserve"> PAGEREF _Toc131416147 \h </w:instrText>
      </w:r>
      <w:r>
        <w:fldChar w:fldCharType="separate"/>
      </w:r>
      <w:r>
        <w:t>192</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_Toc131416148 \h </w:instrText>
      </w:r>
      <w:r>
        <w:fldChar w:fldCharType="separate"/>
      </w:r>
      <w:r>
        <w:t>193</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_Toc131416149 \h </w:instrText>
      </w:r>
      <w:r>
        <w:fldChar w:fldCharType="separate"/>
      </w:r>
      <w:r>
        <w:t>196</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_Toc131416151 \h </w:instrText>
      </w:r>
      <w:r>
        <w:fldChar w:fldCharType="separate"/>
      </w:r>
      <w:r>
        <w:t>196</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_Toc131416152 \h </w:instrText>
      </w:r>
      <w:r>
        <w:fldChar w:fldCharType="separate"/>
      </w:r>
      <w:r>
        <w:t>199</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_Toc131416153 \h </w:instrText>
      </w:r>
      <w:r>
        <w:fldChar w:fldCharType="separate"/>
      </w:r>
      <w:r>
        <w:t>201</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_Toc131416154 \h </w:instrText>
      </w:r>
      <w:r>
        <w:fldChar w:fldCharType="separate"/>
      </w:r>
      <w:r>
        <w:t>207</w:t>
      </w:r>
      <w:r>
        <w:fldChar w:fldCharType="end"/>
      </w:r>
    </w:p>
    <w:p>
      <w:pPr>
        <w:pStyle w:val="TOC8"/>
        <w:rPr>
          <w:sz w:val="24"/>
          <w:szCs w:val="24"/>
        </w:rPr>
      </w:pPr>
      <w:r>
        <w:rPr>
          <w:szCs w:val="24"/>
        </w:rPr>
        <w:t>76AR.</w:t>
      </w:r>
      <w:r>
        <w:rPr>
          <w:szCs w:val="24"/>
        </w:rPr>
        <w:tab/>
        <w:t>Meaning of “interest”, “majority interest” or “further interest”</w:t>
      </w:r>
      <w:r>
        <w:tab/>
      </w:r>
      <w:r>
        <w:fldChar w:fldCharType="begin"/>
      </w:r>
      <w:r>
        <w:instrText xml:space="preserve"> PAGEREF _Toc131416155 \h </w:instrText>
      </w:r>
      <w:r>
        <w:fldChar w:fldCharType="separate"/>
      </w:r>
      <w:r>
        <w:t>209</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_Toc131416156 \h </w:instrText>
      </w:r>
      <w:r>
        <w:fldChar w:fldCharType="separate"/>
      </w:r>
      <w:r>
        <w:t>212</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_Toc131416158 \h </w:instrText>
      </w:r>
      <w:r>
        <w:fldChar w:fldCharType="separate"/>
      </w:r>
      <w:r>
        <w:t>214</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_Toc131416159 \h </w:instrText>
      </w:r>
      <w:r>
        <w:fldChar w:fldCharType="separate"/>
      </w:r>
      <w:r>
        <w:t>219</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_Toc131416160 \h </w:instrText>
      </w:r>
      <w:r>
        <w:fldChar w:fldCharType="separate"/>
      </w:r>
      <w:r>
        <w:t>221</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_Toc131416161 \h </w:instrText>
      </w:r>
      <w:r>
        <w:fldChar w:fldCharType="separate"/>
      </w:r>
      <w:r>
        <w:t>226</w:t>
      </w:r>
      <w:r>
        <w:fldChar w:fldCharType="end"/>
      </w:r>
    </w:p>
    <w:p>
      <w:pPr>
        <w:pStyle w:val="TOC8"/>
        <w:rPr>
          <w:sz w:val="24"/>
          <w:szCs w:val="24"/>
        </w:rPr>
      </w:pPr>
      <w:r>
        <w:rPr>
          <w:szCs w:val="24"/>
        </w:rPr>
        <w:t>76ATD.</w:t>
      </w:r>
      <w:r>
        <w:rPr>
          <w:szCs w:val="24"/>
        </w:rPr>
        <w:tab/>
        <w:t>Meaning of “interest”, “controlling interest” or “additional interest”</w:t>
      </w:r>
      <w:r>
        <w:tab/>
      </w:r>
      <w:r>
        <w:fldChar w:fldCharType="begin"/>
      </w:r>
      <w:r>
        <w:instrText xml:space="preserve"> PAGEREF _Toc131416162 \h </w:instrText>
      </w:r>
      <w:r>
        <w:fldChar w:fldCharType="separate"/>
      </w:r>
      <w:r>
        <w:t>227</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_Toc131416163 \h </w:instrText>
      </w:r>
      <w:r>
        <w:fldChar w:fldCharType="separate"/>
      </w:r>
      <w:r>
        <w:t>228</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_Toc131416164 \h </w:instrText>
      </w:r>
      <w:r>
        <w:fldChar w:fldCharType="separate"/>
      </w:r>
      <w:r>
        <w:t>231</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_Toc131416166 \h </w:instrText>
      </w:r>
      <w:r>
        <w:fldChar w:fldCharType="separate"/>
      </w:r>
      <w:r>
        <w:t>232</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_Toc131416167 \h </w:instrText>
      </w:r>
      <w:r>
        <w:fldChar w:fldCharType="separate"/>
      </w:r>
      <w:r>
        <w:t>236</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_Toc131416168 \h </w:instrText>
      </w:r>
      <w:r>
        <w:fldChar w:fldCharType="separate"/>
      </w:r>
      <w:r>
        <w:t>239</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_Toc131416169 \h </w:instrText>
      </w:r>
      <w:r>
        <w:fldChar w:fldCharType="separate"/>
      </w:r>
      <w:r>
        <w:t>245</w:t>
      </w:r>
      <w:r>
        <w:fldChar w:fldCharType="end"/>
      </w:r>
    </w:p>
    <w:p>
      <w:pPr>
        <w:pStyle w:val="TOC8"/>
        <w:rPr>
          <w:sz w:val="24"/>
          <w:szCs w:val="24"/>
        </w:rPr>
      </w:pPr>
      <w:r>
        <w:rPr>
          <w:szCs w:val="24"/>
        </w:rPr>
        <w:t>76ATK.</w:t>
      </w:r>
      <w:r>
        <w:rPr>
          <w:szCs w:val="24"/>
        </w:rPr>
        <w:tab/>
        <w:t>Meaning of “interest”, “controlling interest” or “additional interest”</w:t>
      </w:r>
      <w:r>
        <w:tab/>
      </w:r>
      <w:r>
        <w:fldChar w:fldCharType="begin"/>
      </w:r>
      <w:r>
        <w:instrText xml:space="preserve"> PAGEREF _Toc131416170 \h </w:instrText>
      </w:r>
      <w:r>
        <w:fldChar w:fldCharType="separate"/>
      </w:r>
      <w:r>
        <w:t>245</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_Toc131416171 \h </w:instrText>
      </w:r>
      <w:r>
        <w:fldChar w:fldCharType="separate"/>
      </w:r>
      <w:r>
        <w:t>248</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_Toc131416173 \h </w:instrText>
      </w:r>
      <w:r>
        <w:fldChar w:fldCharType="separate"/>
      </w:r>
      <w:r>
        <w:t>251</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_Toc131416175 \h </w:instrText>
      </w:r>
      <w:r>
        <w:fldChar w:fldCharType="separate"/>
      </w:r>
      <w:r>
        <w:t>252</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_Toc131416176 \h </w:instrText>
      </w:r>
      <w:r>
        <w:fldChar w:fldCharType="separate"/>
      </w:r>
      <w:r>
        <w:t>254</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_Toc131416177 \h </w:instrText>
      </w:r>
      <w:r>
        <w:fldChar w:fldCharType="separate"/>
      </w:r>
      <w:r>
        <w:t>254</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Interpretation in Part IIIC</w:t>
      </w:r>
      <w:r>
        <w:tab/>
      </w:r>
      <w:r>
        <w:fldChar w:fldCharType="begin"/>
      </w:r>
      <w:r>
        <w:instrText xml:space="preserve"> PAGEREF _Toc131416179 \h </w:instrText>
      </w:r>
      <w:r>
        <w:fldChar w:fldCharType="separate"/>
      </w:r>
      <w:r>
        <w:t>255</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_Toc131416180 \h </w:instrText>
      </w:r>
      <w:r>
        <w:fldChar w:fldCharType="separate"/>
      </w:r>
      <w:r>
        <w:t>258</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_Toc131416181 \h </w:instrText>
      </w:r>
      <w:r>
        <w:fldChar w:fldCharType="separate"/>
      </w:r>
      <w:r>
        <w:t>261</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_Toc131416182 \h </w:instrText>
      </w:r>
      <w:r>
        <w:fldChar w:fldCharType="separate"/>
      </w:r>
      <w:r>
        <w:t>264</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_Toc131416183 \h </w:instrText>
      </w:r>
      <w:r>
        <w:fldChar w:fldCharType="separate"/>
      </w:r>
      <w:r>
        <w:t>264</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_Toc131416184 \h </w:instrText>
      </w:r>
      <w:r>
        <w:fldChar w:fldCharType="separate"/>
      </w:r>
      <w:r>
        <w:t>265</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_Toc131416185 \h </w:instrText>
      </w:r>
      <w:r>
        <w:fldChar w:fldCharType="separate"/>
      </w:r>
      <w:r>
        <w:t>265</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_Toc131416186 \h </w:instrText>
      </w:r>
      <w:r>
        <w:fldChar w:fldCharType="separate"/>
      </w:r>
      <w:r>
        <w:t>266</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_Toc131416187 \h </w:instrText>
      </w:r>
      <w:r>
        <w:fldChar w:fldCharType="separate"/>
      </w:r>
      <w:r>
        <w:t>267</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_Toc131416188 \h </w:instrText>
      </w:r>
      <w:r>
        <w:fldChar w:fldCharType="separate"/>
      </w:r>
      <w:r>
        <w:t>268</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_Toc131416189 \h </w:instrText>
      </w:r>
      <w:r>
        <w:fldChar w:fldCharType="separate"/>
      </w:r>
      <w:r>
        <w:t>268</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_Toc131416190 \h </w:instrText>
      </w:r>
      <w:r>
        <w:fldChar w:fldCharType="separate"/>
      </w:r>
      <w:r>
        <w:t>269</w:t>
      </w:r>
      <w:r>
        <w:fldChar w:fldCharType="end"/>
      </w:r>
    </w:p>
    <w:p>
      <w:pPr>
        <w:pStyle w:val="TOC8"/>
        <w:rPr>
          <w:sz w:val="24"/>
          <w:szCs w:val="24"/>
        </w:rPr>
      </w:pPr>
      <w:r>
        <w:rPr>
          <w:szCs w:val="24"/>
        </w:rPr>
        <w:t>76N.</w:t>
      </w:r>
      <w:r>
        <w:rPr>
          <w:szCs w:val="24"/>
        </w:rPr>
        <w:tab/>
        <w:t>Records</w:t>
      </w:r>
      <w:r>
        <w:tab/>
      </w:r>
      <w:r>
        <w:fldChar w:fldCharType="begin"/>
      </w:r>
      <w:r>
        <w:instrText xml:space="preserve"> PAGEREF _Toc131416191 \h </w:instrText>
      </w:r>
      <w:r>
        <w:fldChar w:fldCharType="separate"/>
      </w:r>
      <w:r>
        <w:t>269</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_Toc131416193 \h </w:instrText>
      </w:r>
      <w:r>
        <w:fldChar w:fldCharType="separate"/>
      </w:r>
      <w:r>
        <w:t>270</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_Toc131416194 \h </w:instrText>
      </w:r>
      <w:r>
        <w:fldChar w:fldCharType="separate"/>
      </w:r>
      <w:r>
        <w:t>270</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_Toc131416195 \h </w:instrText>
      </w:r>
      <w:r>
        <w:fldChar w:fldCharType="separate"/>
      </w:r>
      <w:r>
        <w:t>272</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_Toc131416196 \h </w:instrText>
      </w:r>
      <w:r>
        <w:fldChar w:fldCharType="separate"/>
      </w:r>
      <w:r>
        <w:t>273</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_Toc131416197 \h </w:instrText>
      </w:r>
      <w:r>
        <w:fldChar w:fldCharType="separate"/>
      </w:r>
      <w:r>
        <w:t>274</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Definitions</w:t>
      </w:r>
      <w:r>
        <w:tab/>
      </w:r>
      <w:r>
        <w:fldChar w:fldCharType="begin"/>
      </w:r>
      <w:r>
        <w:instrText xml:space="preserve"> PAGEREF _Toc131416200 \h </w:instrText>
      </w:r>
      <w:r>
        <w:fldChar w:fldCharType="separate"/>
      </w:r>
      <w:r>
        <w:t>275</w:t>
      </w:r>
      <w:r>
        <w:fldChar w:fldCharType="end"/>
      </w:r>
    </w:p>
    <w:p>
      <w:pPr>
        <w:pStyle w:val="TOC8"/>
        <w:rPr>
          <w:sz w:val="24"/>
          <w:szCs w:val="24"/>
        </w:rPr>
      </w:pPr>
      <w:r>
        <w:rPr>
          <w:szCs w:val="24"/>
        </w:rPr>
        <w:t>82.</w:t>
      </w:r>
      <w:r>
        <w:rPr>
          <w:szCs w:val="24"/>
        </w:rPr>
        <w:tab/>
        <w:t>Mortgages</w:t>
      </w:r>
      <w:r>
        <w:tab/>
      </w:r>
      <w:r>
        <w:fldChar w:fldCharType="begin"/>
      </w:r>
      <w:r>
        <w:instrText xml:space="preserve"> PAGEREF _Toc131416201 \h </w:instrText>
      </w:r>
      <w:r>
        <w:fldChar w:fldCharType="separate"/>
      </w:r>
      <w:r>
        <w:t>276</w:t>
      </w:r>
      <w:r>
        <w:fldChar w:fldCharType="end"/>
      </w:r>
    </w:p>
    <w:p>
      <w:pPr>
        <w:pStyle w:val="TOC8"/>
        <w:rPr>
          <w:sz w:val="24"/>
          <w:szCs w:val="24"/>
        </w:rPr>
      </w:pPr>
      <w:r>
        <w:rPr>
          <w:szCs w:val="24"/>
        </w:rPr>
        <w:t>83.</w:t>
      </w:r>
      <w:r>
        <w:rPr>
          <w:szCs w:val="24"/>
        </w:rPr>
        <w:tab/>
        <w:t>Advances</w:t>
      </w:r>
      <w:r>
        <w:tab/>
      </w:r>
      <w:r>
        <w:fldChar w:fldCharType="begin"/>
      </w:r>
      <w:r>
        <w:instrText xml:space="preserve"> PAGEREF _Toc131416202 \h </w:instrText>
      </w:r>
      <w:r>
        <w:fldChar w:fldCharType="separate"/>
      </w:r>
      <w:r>
        <w:t>277</w:t>
      </w:r>
      <w:r>
        <w:fldChar w:fldCharType="end"/>
      </w:r>
    </w:p>
    <w:p>
      <w:pPr>
        <w:pStyle w:val="TOC8"/>
        <w:rPr>
          <w:sz w:val="24"/>
          <w:szCs w:val="24"/>
        </w:rPr>
      </w:pPr>
      <w:r>
        <w:rPr>
          <w:szCs w:val="24"/>
        </w:rPr>
        <w:t>84.</w:t>
      </w:r>
      <w:r>
        <w:rPr>
          <w:szCs w:val="24"/>
        </w:rPr>
        <w:tab/>
        <w:t>Loans</w:t>
      </w:r>
      <w:r>
        <w:tab/>
      </w:r>
      <w:r>
        <w:fldChar w:fldCharType="begin"/>
      </w:r>
      <w:r>
        <w:instrText xml:space="preserve"> PAGEREF _Toc131416203 \h </w:instrText>
      </w:r>
      <w:r>
        <w:fldChar w:fldCharType="separate"/>
      </w:r>
      <w:r>
        <w:t>277</w:t>
      </w:r>
      <w:r>
        <w:fldChar w:fldCharType="end"/>
      </w:r>
    </w:p>
    <w:p>
      <w:pPr>
        <w:pStyle w:val="TOC8"/>
        <w:rPr>
          <w:sz w:val="24"/>
          <w:szCs w:val="24"/>
        </w:rPr>
      </w:pPr>
      <w:r>
        <w:rPr>
          <w:szCs w:val="24"/>
        </w:rPr>
        <w:t>85.</w:t>
      </w:r>
      <w:r>
        <w:rPr>
          <w:szCs w:val="24"/>
        </w:rPr>
        <w:tab/>
        <w:t>Home mortgages</w:t>
      </w:r>
      <w:r>
        <w:tab/>
      </w:r>
      <w:r>
        <w:fldChar w:fldCharType="begin"/>
      </w:r>
      <w:r>
        <w:instrText xml:space="preserve"> PAGEREF _Toc131416204 \h </w:instrText>
      </w:r>
      <w:r>
        <w:fldChar w:fldCharType="separate"/>
      </w:r>
      <w:r>
        <w:t>278</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86.</w:t>
      </w:r>
      <w:r>
        <w:rPr>
          <w:szCs w:val="24"/>
        </w:rPr>
        <w:tab/>
        <w:t>Assessing mortgage duty</w:t>
      </w:r>
      <w:r>
        <w:tab/>
      </w:r>
      <w:r>
        <w:fldChar w:fldCharType="begin"/>
      </w:r>
      <w:r>
        <w:instrText xml:space="preserve"> PAGEREF _Toc131416206 \h </w:instrText>
      </w:r>
      <w:r>
        <w:fldChar w:fldCharType="separate"/>
      </w:r>
      <w:r>
        <w:t>279</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_Toc131416207 \h </w:instrText>
      </w:r>
      <w:r>
        <w:fldChar w:fldCharType="separate"/>
      </w:r>
      <w:r>
        <w:t>279</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_Toc131416208 \h </w:instrText>
      </w:r>
      <w:r>
        <w:fldChar w:fldCharType="separate"/>
      </w:r>
      <w:r>
        <w:t>281</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_Toc131416209 \h </w:instrText>
      </w:r>
      <w:r>
        <w:fldChar w:fldCharType="separate"/>
      </w:r>
      <w:r>
        <w:t>282</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_Toc131416210 \h </w:instrText>
      </w:r>
      <w:r>
        <w:fldChar w:fldCharType="separate"/>
      </w:r>
      <w:r>
        <w:t>283</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_Toc131416212 \h </w:instrText>
      </w:r>
      <w:r>
        <w:fldChar w:fldCharType="separate"/>
      </w:r>
      <w:r>
        <w:t>284</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_Toc131416213 \h </w:instrText>
      </w:r>
      <w:r>
        <w:fldChar w:fldCharType="separate"/>
      </w:r>
      <w:r>
        <w:t>285</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_Toc131416214 \h </w:instrText>
      </w:r>
      <w:r>
        <w:fldChar w:fldCharType="separate"/>
      </w:r>
      <w:r>
        <w:t>285</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_Toc131416215 \h </w:instrText>
      </w:r>
      <w:r>
        <w:fldChar w:fldCharType="separate"/>
      </w:r>
      <w:r>
        <w:t>287</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_Toc131416216 \h </w:instrText>
      </w:r>
      <w:r>
        <w:fldChar w:fldCharType="separate"/>
      </w:r>
      <w:r>
        <w:t>287</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_Toc131416217 \h </w:instrText>
      </w:r>
      <w:r>
        <w:fldChar w:fldCharType="separate"/>
      </w:r>
      <w:r>
        <w:t>288</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_Toc131416218 \h </w:instrText>
      </w:r>
      <w:r>
        <w:fldChar w:fldCharType="separate"/>
      </w:r>
      <w:r>
        <w:t>289</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_Toc131416219 \h </w:instrText>
      </w:r>
      <w:r>
        <w:fldChar w:fldCharType="separate"/>
      </w:r>
      <w:r>
        <w:t>289</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_Toc131416220 \h </w:instrText>
      </w:r>
      <w:r>
        <w:fldChar w:fldCharType="separate"/>
      </w:r>
      <w:r>
        <w:t>289</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_Toc131416223 \h </w:instrText>
      </w:r>
      <w:r>
        <w:fldChar w:fldCharType="separate"/>
      </w:r>
      <w:r>
        <w:t>291</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_Toc131416224 \h </w:instrText>
      </w:r>
      <w:r>
        <w:fldChar w:fldCharType="separate"/>
      </w:r>
      <w:r>
        <w:t>293</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_Toc131416225 \h </w:instrText>
      </w:r>
      <w:r>
        <w:fldChar w:fldCharType="separate"/>
      </w:r>
      <w:r>
        <w:t>294</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_Toc131416226 \h </w:instrText>
      </w:r>
      <w:r>
        <w:fldChar w:fldCharType="separate"/>
      </w:r>
      <w:r>
        <w:t>295</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_Toc131416228 \h </w:instrText>
      </w:r>
      <w:r>
        <w:fldChar w:fldCharType="separate"/>
      </w:r>
      <w:r>
        <w:t>295</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_Toc131416229 \h </w:instrText>
      </w:r>
      <w:r>
        <w:fldChar w:fldCharType="separate"/>
      </w:r>
      <w:r>
        <w:t>296</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_Toc131416230 \h </w:instrText>
      </w:r>
      <w:r>
        <w:fldChar w:fldCharType="separate"/>
      </w:r>
      <w:r>
        <w:t>296</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_Toc131416232 \h </w:instrText>
      </w:r>
      <w:r>
        <w:fldChar w:fldCharType="separate"/>
      </w:r>
      <w:r>
        <w:t>296</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_Toc131416233 \h </w:instrText>
      </w:r>
      <w:r>
        <w:fldChar w:fldCharType="separate"/>
      </w:r>
      <w:r>
        <w:t>297</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_Toc131416234 \h </w:instrText>
      </w:r>
      <w:r>
        <w:fldChar w:fldCharType="separate"/>
      </w:r>
      <w:r>
        <w:t>298</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insurer in this Division</w:t>
      </w:r>
      <w:r>
        <w:tab/>
      </w:r>
      <w:r>
        <w:fldChar w:fldCharType="begin"/>
      </w:r>
      <w:r>
        <w:instrText xml:space="preserve"> PAGEREF _Toc131416236 \h </w:instrText>
      </w:r>
      <w:r>
        <w:fldChar w:fldCharType="separate"/>
      </w:r>
      <w:r>
        <w:t>298</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_Toc131416237 \h </w:instrText>
      </w:r>
      <w:r>
        <w:fldChar w:fldCharType="separate"/>
      </w:r>
      <w:r>
        <w:t>298</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_Toc131416238 \h </w:instrText>
      </w:r>
      <w:r>
        <w:fldChar w:fldCharType="separate"/>
      </w:r>
      <w:r>
        <w:t>299</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_Toc131416240 \h </w:instrText>
      </w:r>
      <w:r>
        <w:fldChar w:fldCharType="separate"/>
      </w:r>
      <w:r>
        <w:t>300</w:t>
      </w:r>
      <w:r>
        <w:fldChar w:fldCharType="end"/>
      </w:r>
    </w:p>
    <w:p>
      <w:pPr>
        <w:pStyle w:val="TOC8"/>
        <w:rPr>
          <w:sz w:val="24"/>
          <w:szCs w:val="24"/>
        </w:rPr>
      </w:pPr>
      <w:r>
        <w:rPr>
          <w:szCs w:val="24"/>
        </w:rPr>
        <w:t>96A.</w:t>
      </w:r>
      <w:r>
        <w:rPr>
          <w:szCs w:val="24"/>
        </w:rPr>
        <w:tab/>
        <w:t>Refunds</w:t>
      </w:r>
      <w:r>
        <w:tab/>
      </w:r>
      <w:r>
        <w:fldChar w:fldCharType="begin"/>
      </w:r>
      <w:r>
        <w:instrText xml:space="preserve"> PAGEREF _Toc131416241 \h </w:instrText>
      </w:r>
      <w:r>
        <w:fldChar w:fldCharType="separate"/>
      </w:r>
      <w:r>
        <w:t>301</w:t>
      </w:r>
      <w:r>
        <w:fldChar w:fldCharType="end"/>
      </w:r>
    </w:p>
    <w:p>
      <w:pPr>
        <w:pStyle w:val="TOC8"/>
        <w:rPr>
          <w:sz w:val="24"/>
          <w:szCs w:val="24"/>
        </w:rPr>
      </w:pPr>
      <w:r>
        <w:rPr>
          <w:szCs w:val="24"/>
        </w:rPr>
        <w:t>96B.</w:t>
      </w:r>
      <w:r>
        <w:rPr>
          <w:szCs w:val="24"/>
        </w:rPr>
        <w:tab/>
        <w:t>Records</w:t>
      </w:r>
      <w:r>
        <w:tab/>
      </w:r>
      <w:r>
        <w:fldChar w:fldCharType="begin"/>
      </w:r>
      <w:r>
        <w:instrText xml:space="preserve"> PAGEREF _Toc131416242 \h </w:instrText>
      </w:r>
      <w:r>
        <w:fldChar w:fldCharType="separate"/>
      </w:r>
      <w:r>
        <w:t>301</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Commercial hire business</w:t>
      </w:r>
      <w:r>
        <w:tab/>
      </w:r>
      <w:r>
        <w:fldChar w:fldCharType="begin"/>
      </w:r>
      <w:r>
        <w:instrText xml:space="preserve"> PAGEREF _Toc131416245 \h </w:instrText>
      </w:r>
      <w:r>
        <w:fldChar w:fldCharType="separate"/>
      </w:r>
      <w:r>
        <w:t>303</w:t>
      </w:r>
      <w:r>
        <w:fldChar w:fldCharType="end"/>
      </w:r>
    </w:p>
    <w:p>
      <w:pPr>
        <w:pStyle w:val="TOC8"/>
        <w:rPr>
          <w:sz w:val="24"/>
          <w:szCs w:val="24"/>
        </w:rPr>
      </w:pPr>
      <w:r>
        <w:rPr>
          <w:szCs w:val="24"/>
        </w:rPr>
        <w:t>112IA.</w:t>
      </w:r>
      <w:r>
        <w:rPr>
          <w:szCs w:val="24"/>
        </w:rPr>
        <w:tab/>
        <w:t>Goods</w:t>
      </w:r>
      <w:r>
        <w:tab/>
      </w:r>
      <w:r>
        <w:fldChar w:fldCharType="begin"/>
      </w:r>
      <w:r>
        <w:instrText xml:space="preserve"> PAGEREF _Toc131416246 \h </w:instrText>
      </w:r>
      <w:r>
        <w:fldChar w:fldCharType="separate"/>
      </w:r>
      <w:r>
        <w:t>303</w:t>
      </w:r>
      <w:r>
        <w:fldChar w:fldCharType="end"/>
      </w:r>
    </w:p>
    <w:p>
      <w:pPr>
        <w:pStyle w:val="TOC8"/>
        <w:rPr>
          <w:sz w:val="24"/>
          <w:szCs w:val="24"/>
        </w:rPr>
      </w:pPr>
      <w:r>
        <w:rPr>
          <w:szCs w:val="24"/>
        </w:rPr>
        <w:t>112IB.</w:t>
      </w:r>
      <w:r>
        <w:rPr>
          <w:szCs w:val="24"/>
        </w:rPr>
        <w:tab/>
        <w:t>Hire of goods</w:t>
      </w:r>
      <w:r>
        <w:tab/>
      </w:r>
      <w:r>
        <w:fldChar w:fldCharType="begin"/>
      </w:r>
      <w:r>
        <w:instrText xml:space="preserve"> PAGEREF _Toc131416247 \h </w:instrText>
      </w:r>
      <w:r>
        <w:fldChar w:fldCharType="separate"/>
      </w:r>
      <w:r>
        <w:t>303</w:t>
      </w:r>
      <w:r>
        <w:fldChar w:fldCharType="end"/>
      </w:r>
    </w:p>
    <w:p>
      <w:pPr>
        <w:pStyle w:val="TOC8"/>
        <w:rPr>
          <w:sz w:val="24"/>
          <w:szCs w:val="24"/>
        </w:rPr>
      </w:pPr>
      <w:r>
        <w:rPr>
          <w:szCs w:val="24"/>
        </w:rPr>
        <w:t>112IC.</w:t>
      </w:r>
      <w:r>
        <w:rPr>
          <w:szCs w:val="24"/>
        </w:rPr>
        <w:tab/>
        <w:t>State hire of goods</w:t>
      </w:r>
      <w:r>
        <w:tab/>
      </w:r>
      <w:r>
        <w:fldChar w:fldCharType="begin"/>
      </w:r>
      <w:r>
        <w:instrText xml:space="preserve"> PAGEREF _Toc131416248 \h </w:instrText>
      </w:r>
      <w:r>
        <w:fldChar w:fldCharType="separate"/>
      </w:r>
      <w:r>
        <w:t>305</w:t>
      </w:r>
      <w:r>
        <w:fldChar w:fldCharType="end"/>
      </w:r>
    </w:p>
    <w:p>
      <w:pPr>
        <w:pStyle w:val="TOC8"/>
        <w:rPr>
          <w:sz w:val="24"/>
          <w:szCs w:val="24"/>
        </w:rPr>
      </w:pPr>
      <w:r>
        <w:rPr>
          <w:szCs w:val="24"/>
        </w:rPr>
        <w:t>112ID.</w:t>
      </w:r>
      <w:r>
        <w:rPr>
          <w:szCs w:val="24"/>
        </w:rPr>
        <w:tab/>
        <w:t>Equipment financing arrangements</w:t>
      </w:r>
      <w:r>
        <w:tab/>
      </w:r>
      <w:r>
        <w:fldChar w:fldCharType="begin"/>
      </w:r>
      <w:r>
        <w:instrText xml:space="preserve"> PAGEREF _Toc131416249 \h </w:instrText>
      </w:r>
      <w:r>
        <w:fldChar w:fldCharType="separate"/>
      </w:r>
      <w:r>
        <w:t>305</w:t>
      </w:r>
      <w:r>
        <w:fldChar w:fldCharType="end"/>
      </w:r>
    </w:p>
    <w:p>
      <w:pPr>
        <w:pStyle w:val="TOC8"/>
        <w:rPr>
          <w:sz w:val="24"/>
          <w:szCs w:val="24"/>
        </w:rPr>
      </w:pPr>
      <w:r>
        <w:rPr>
          <w:szCs w:val="24"/>
        </w:rPr>
        <w:t>112IE.</w:t>
      </w:r>
      <w:r>
        <w:rPr>
          <w:szCs w:val="24"/>
        </w:rPr>
        <w:tab/>
        <w:t>Hiring charges</w:t>
      </w:r>
      <w:r>
        <w:tab/>
      </w:r>
      <w:r>
        <w:fldChar w:fldCharType="begin"/>
      </w:r>
      <w:r>
        <w:instrText xml:space="preserve"> PAGEREF _Toc131416250 \h </w:instrText>
      </w:r>
      <w:r>
        <w:fldChar w:fldCharType="separate"/>
      </w:r>
      <w:r>
        <w:t>306</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_Toc131416251 \h </w:instrText>
      </w:r>
      <w:r>
        <w:fldChar w:fldCharType="separate"/>
      </w:r>
      <w:r>
        <w:t>307</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_Toc131416253 \h </w:instrText>
      </w:r>
      <w:r>
        <w:fldChar w:fldCharType="separate"/>
      </w:r>
      <w:r>
        <w:t>308</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_Toc131416254 \h </w:instrText>
      </w:r>
      <w:r>
        <w:fldChar w:fldCharType="separate"/>
      </w:r>
      <w:r>
        <w:t>308</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_Toc131416255 \h </w:instrText>
      </w:r>
      <w:r>
        <w:fldChar w:fldCharType="separate"/>
      </w:r>
      <w:r>
        <w:t>309</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_Toc131416257 \h </w:instrText>
      </w:r>
      <w:r>
        <w:fldChar w:fldCharType="separate"/>
      </w:r>
      <w:r>
        <w:t>309</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_Toc131416259 \h </w:instrText>
      </w:r>
      <w:r>
        <w:fldChar w:fldCharType="separate"/>
      </w:r>
      <w:r>
        <w:t>310</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_Toc131416260 \h </w:instrText>
      </w:r>
      <w:r>
        <w:fldChar w:fldCharType="separate"/>
      </w:r>
      <w:r>
        <w:t>311</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_Toc131416261 \h </w:instrText>
      </w:r>
      <w:r>
        <w:fldChar w:fldCharType="separate"/>
      </w:r>
      <w:r>
        <w:t>312</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_Toc131416262 \h </w:instrText>
      </w:r>
      <w:r>
        <w:fldChar w:fldCharType="separate"/>
      </w:r>
      <w:r>
        <w:t>312</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_Toc131416263 \h </w:instrText>
      </w:r>
      <w:r>
        <w:fldChar w:fldCharType="separate"/>
      </w:r>
      <w:r>
        <w:t>313</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_Toc131416265 \h </w:instrText>
      </w:r>
      <w:r>
        <w:fldChar w:fldCharType="separate"/>
      </w:r>
      <w:r>
        <w:t>314</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_Toc131416266 \h </w:instrText>
      </w:r>
      <w:r>
        <w:fldChar w:fldCharType="separate"/>
      </w:r>
      <w:r>
        <w:t>315</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_Toc131416267 \h </w:instrText>
      </w:r>
      <w:r>
        <w:fldChar w:fldCharType="separate"/>
      </w:r>
      <w:r>
        <w:t>316</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_Toc131416269 \h </w:instrText>
      </w:r>
      <w:r>
        <w:fldChar w:fldCharType="separate"/>
      </w:r>
      <w:r>
        <w:t>316</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_Toc131416270 \h </w:instrText>
      </w:r>
      <w:r>
        <w:fldChar w:fldCharType="separate"/>
      </w:r>
      <w:r>
        <w:t>317</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_Toc131416271 \h </w:instrText>
      </w:r>
      <w:r>
        <w:fldChar w:fldCharType="separate"/>
      </w:r>
      <w:r>
        <w:t>317</w:t>
      </w:r>
      <w:r>
        <w:fldChar w:fldCharType="end"/>
      </w:r>
    </w:p>
    <w:p>
      <w:pPr>
        <w:pStyle w:val="TOC8"/>
        <w:rPr>
          <w:sz w:val="24"/>
          <w:szCs w:val="24"/>
        </w:rPr>
      </w:pPr>
      <w:r>
        <w:rPr>
          <w:szCs w:val="24"/>
        </w:rPr>
        <w:t>112NC.</w:t>
      </w:r>
      <w:r>
        <w:rPr>
          <w:szCs w:val="24"/>
        </w:rPr>
        <w:tab/>
        <w:t>Records</w:t>
      </w:r>
      <w:r>
        <w:tab/>
      </w:r>
      <w:r>
        <w:fldChar w:fldCharType="begin"/>
      </w:r>
      <w:r>
        <w:instrText xml:space="preserve"> PAGEREF _Toc131416272 \h </w:instrText>
      </w:r>
      <w:r>
        <w:fldChar w:fldCharType="separate"/>
      </w:r>
      <w:r>
        <w:t>318</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_Toc131416274 \h </w:instrText>
      </w:r>
      <w:r>
        <w:fldChar w:fldCharType="separate"/>
      </w:r>
      <w:r>
        <w:t>320</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_Toc131416275 \h </w:instrText>
      </w:r>
      <w:r>
        <w:fldChar w:fldCharType="separate"/>
      </w:r>
      <w:r>
        <w:t>320</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_Toc131416276 \h </w:instrText>
      </w:r>
      <w:r>
        <w:fldChar w:fldCharType="separate"/>
      </w:r>
      <w:r>
        <w:t>321</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Interpretation in Part IVD</w:t>
      </w:r>
      <w:r>
        <w:tab/>
      </w:r>
      <w:r>
        <w:fldChar w:fldCharType="begin"/>
      </w:r>
      <w:r>
        <w:instrText xml:space="preserve"> PAGEREF _Toc131416278 \h </w:instrText>
      </w:r>
      <w:r>
        <w:fldChar w:fldCharType="separate"/>
      </w:r>
      <w:r>
        <w:t>322</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_Toc131416279 \h </w:instrText>
      </w:r>
      <w:r>
        <w:fldChar w:fldCharType="separate"/>
      </w:r>
      <w:r>
        <w:t>323</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_Toc131416280 \h </w:instrText>
      </w:r>
      <w:r>
        <w:fldChar w:fldCharType="separate"/>
      </w:r>
      <w:r>
        <w:t>324</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_Toc131416281 \h </w:instrText>
      </w:r>
      <w:r>
        <w:fldChar w:fldCharType="separate"/>
      </w:r>
      <w:r>
        <w:t>325</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_Toc131416283 \h </w:instrText>
      </w:r>
      <w:r>
        <w:fldChar w:fldCharType="separate"/>
      </w:r>
      <w:r>
        <w:t>326</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_Toc131416285 \h </w:instrText>
      </w:r>
      <w:r>
        <w:fldChar w:fldCharType="separate"/>
      </w:r>
      <w:r>
        <w:t>328</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_Toc131416286 \h </w:instrText>
      </w:r>
      <w:r>
        <w:fldChar w:fldCharType="separate"/>
      </w:r>
      <w:r>
        <w:t>328</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_Toc131416287 \h </w:instrText>
      </w:r>
      <w:r>
        <w:fldChar w:fldCharType="separate"/>
      </w:r>
      <w:r>
        <w:t>329</w:t>
      </w:r>
      <w:r>
        <w:fldChar w:fldCharType="end"/>
      </w:r>
    </w:p>
    <w:p>
      <w:pPr>
        <w:pStyle w:val="TOC8"/>
        <w:rPr>
          <w:sz w:val="24"/>
          <w:szCs w:val="24"/>
        </w:rPr>
      </w:pPr>
      <w:r>
        <w:rPr>
          <w:szCs w:val="24"/>
        </w:rPr>
        <w:t>120.</w:t>
      </w:r>
      <w:r>
        <w:rPr>
          <w:szCs w:val="24"/>
        </w:rPr>
        <w:tab/>
        <w:t>Regulations</w:t>
      </w:r>
      <w:r>
        <w:tab/>
      </w:r>
      <w:r>
        <w:fldChar w:fldCharType="begin"/>
      </w:r>
      <w:r>
        <w:instrText xml:space="preserve"> PAGEREF _Toc131416288 \h </w:instrText>
      </w:r>
      <w:r>
        <w:fldChar w:fldCharType="separate"/>
      </w:r>
      <w:r>
        <w:t>330</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_Toc131416289 \h </w:instrText>
      </w:r>
      <w:r>
        <w:fldChar w:fldCharType="separate"/>
      </w:r>
      <w:r>
        <w:t>331</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_Toc131416295 \h </w:instrText>
      </w:r>
      <w:r>
        <w:fldChar w:fldCharType="separate"/>
      </w:r>
      <w:r>
        <w:t>349</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_Toc131416296 \h </w:instrText>
      </w:r>
      <w:r>
        <w:fldChar w:fldCharType="separate"/>
      </w:r>
      <w:r>
        <w:t>362</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_Toc170193206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Interpretation</w:instrText>
      </w:r>
      <w:r>
        <w:tab/>
      </w:r>
      <w:r>
        <w:fldChar w:fldCharType="begin"/>
      </w:r>
      <w:r>
        <w:instrText xml:space="preserve"> PAGEREF _Toc170193207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_Toc170193208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_Toc170193210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_Toc170193211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_Toc170193212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_Toc170193213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_Toc170193214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_Toc170193215 \h </w:instrText>
      </w:r>
      <w:r>
        <w:fldChar w:fldCharType="separate"/>
      </w:r>
      <w:r>
        <w:instrText>12</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_Toc170193216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_Toc170193217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_Toc170193218 \h </w:instrText>
      </w:r>
      <w:r>
        <w:fldChar w:fldCharType="separate"/>
      </w:r>
      <w:r>
        <w:instrText>13</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_Toc170193220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_Toc170193221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_Toc170193222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_Toc170193223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_Toc170193224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_Toc170193225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_Toc170193226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_Toc170193227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_Toc170193228 \h </w:instrText>
      </w:r>
      <w:r>
        <w:fldChar w:fldCharType="separate"/>
      </w:r>
      <w:r>
        <w:instrText>20</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_Toc170193229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_Toc170193230 \h </w:instrText>
      </w:r>
      <w:r>
        <w:fldChar w:fldCharType="separate"/>
      </w:r>
      <w:r>
        <w:instrText>23</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_Toc170193231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_Toc170193232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_Toc170193233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_Toc170193234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_Toc170193235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_Toc170193236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_Toc170193237 \h </w:instrText>
      </w:r>
      <w:r>
        <w:fldChar w:fldCharType="separate"/>
      </w:r>
      <w:r>
        <w:instrText>35</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_Toc170193238 \h </w:instrText>
      </w:r>
      <w:r>
        <w:fldChar w:fldCharType="separate"/>
      </w:r>
      <w:r>
        <w:instrText>36</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_Toc170193239 \h </w:instrText>
      </w:r>
      <w:r>
        <w:fldChar w:fldCharType="separate"/>
      </w:r>
      <w:r>
        <w:instrText>38</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_Toc170193240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_Toc170193241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_Toc170193242 \h </w:instrText>
      </w:r>
      <w:r>
        <w:fldChar w:fldCharType="separate"/>
      </w:r>
      <w:r>
        <w:instrText>40</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_Toc170193243 \h </w:instrText>
      </w:r>
      <w:r>
        <w:fldChar w:fldCharType="separate"/>
      </w:r>
      <w:r>
        <w:instrText>40</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_Toc170193244 \h </w:instrText>
      </w:r>
      <w:r>
        <w:fldChar w:fldCharType="separate"/>
      </w:r>
      <w:r>
        <w:instrText>41</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Interpretation in Part IIIB</w:instrText>
      </w:r>
      <w:r>
        <w:tab/>
      </w:r>
      <w:r>
        <w:fldChar w:fldCharType="begin"/>
      </w:r>
      <w:r>
        <w:instrText xml:space="preserve"> PAGEREF _Toc170193246 \h </w:instrText>
      </w:r>
      <w:r>
        <w:fldChar w:fldCharType="separate"/>
      </w:r>
      <w:r>
        <w:instrText>43</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_Toc170193247 \h </w:instrText>
      </w:r>
      <w:r>
        <w:fldChar w:fldCharType="separate"/>
      </w:r>
      <w:r>
        <w:instrText>48</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_Toc170193248 \h </w:instrText>
      </w:r>
      <w:r>
        <w:fldChar w:fldCharType="separate"/>
      </w:r>
      <w:r>
        <w:instrText>50</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_Toc170193249 \h </w:instrText>
      </w:r>
      <w:r>
        <w:fldChar w:fldCharType="separate"/>
      </w:r>
      <w:r>
        <w:instrText>55</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_Toc170193250 \h </w:instrText>
      </w:r>
      <w:r>
        <w:fldChar w:fldCharType="separate"/>
      </w:r>
      <w:r>
        <w:instrText>56</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_Toc170193251 \h </w:instrText>
      </w:r>
      <w:r>
        <w:fldChar w:fldCharType="separate"/>
      </w:r>
      <w:r>
        <w:instrText>59</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_Toc170193252 \h </w:instrText>
      </w:r>
      <w:r>
        <w:fldChar w:fldCharType="separate"/>
      </w:r>
      <w:r>
        <w:instrText>60</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_Toc170193253 \h </w:instrText>
      </w:r>
      <w:r>
        <w:fldChar w:fldCharType="separate"/>
      </w:r>
      <w:r>
        <w:instrText>62</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_Toc170193254 \h </w:instrText>
      </w:r>
      <w:r>
        <w:fldChar w:fldCharType="separate"/>
      </w:r>
      <w:r>
        <w:instrText>63</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_Toc170193255 \h </w:instrText>
      </w:r>
      <w:r>
        <w:fldChar w:fldCharType="separate"/>
      </w:r>
      <w:r>
        <w:instrText>64</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_Toc170193256 \h </w:instrText>
      </w:r>
      <w:r>
        <w:fldChar w:fldCharType="separate"/>
      </w:r>
      <w:r>
        <w:instrText>66</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_Toc170193257 \h </w:instrText>
      </w:r>
      <w:r>
        <w:fldChar w:fldCharType="separate"/>
      </w:r>
      <w:r>
        <w:instrText>66</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_Toc170193258 \h </w:instrText>
      </w:r>
      <w:r>
        <w:fldChar w:fldCharType="separate"/>
      </w:r>
      <w:r>
        <w:instrText>67</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_Toc170193259 \h </w:instrText>
      </w:r>
      <w:r>
        <w:fldChar w:fldCharType="separate"/>
      </w:r>
      <w:r>
        <w:instrText>68</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_Toc170193260 \h </w:instrText>
      </w:r>
      <w:r>
        <w:fldChar w:fldCharType="separate"/>
      </w:r>
      <w:r>
        <w:instrText>68</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_Toc170193261 \h </w:instrText>
      </w:r>
      <w:r>
        <w:fldChar w:fldCharType="separate"/>
      </w:r>
      <w:r>
        <w:instrText>69</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_Toc170193262 \h </w:instrText>
      </w:r>
      <w:r>
        <w:fldChar w:fldCharType="separate"/>
      </w:r>
      <w:r>
        <w:instrText>69</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_Toc170193263 \h </w:instrText>
      </w:r>
      <w:r>
        <w:fldChar w:fldCharType="separate"/>
      </w:r>
      <w:r>
        <w:instrText>70</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_Toc170193264 \h </w:instrText>
      </w:r>
      <w:r>
        <w:fldChar w:fldCharType="separate"/>
      </w:r>
      <w:r>
        <w:instrText>70</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_Toc170193265 \h </w:instrText>
      </w:r>
      <w:r>
        <w:fldChar w:fldCharType="separate"/>
      </w:r>
      <w:r>
        <w:instrText>71</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_Toc170193266 \h </w:instrText>
      </w:r>
      <w:r>
        <w:fldChar w:fldCharType="separate"/>
      </w:r>
      <w:r>
        <w:instrText>73</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_Toc170193267 \h </w:instrText>
      </w:r>
      <w:r>
        <w:fldChar w:fldCharType="separate"/>
      </w:r>
      <w:r>
        <w:instrText>74</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_Toc170193268 \h </w:instrText>
      </w:r>
      <w:r>
        <w:fldChar w:fldCharType="separate"/>
      </w:r>
      <w:r>
        <w:instrText>74</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_Toc170193269 \h </w:instrText>
      </w:r>
      <w:r>
        <w:fldChar w:fldCharType="separate"/>
      </w:r>
      <w:r>
        <w:instrText>75</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_Toc170193270 \h </w:instrText>
      </w:r>
      <w:r>
        <w:fldChar w:fldCharType="separate"/>
      </w:r>
      <w:r>
        <w:instrText>77</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_Toc170193271 \h </w:instrText>
      </w:r>
      <w:r>
        <w:fldChar w:fldCharType="separate"/>
      </w:r>
      <w:r>
        <w:instrText>79</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_Toc170193272 \h </w:instrText>
      </w:r>
      <w:r>
        <w:fldChar w:fldCharType="separate"/>
      </w:r>
      <w:r>
        <w:instrText>80</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_Toc170193273 \h </w:instrText>
      </w:r>
      <w:r>
        <w:fldChar w:fldCharType="separate"/>
      </w:r>
      <w:r>
        <w:instrText>81</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_Toc170193274 \h </w:instrText>
      </w:r>
      <w:r>
        <w:fldChar w:fldCharType="separate"/>
      </w:r>
      <w:r>
        <w:instrText>82</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_Toc170193275 \h </w:instrText>
      </w:r>
      <w:r>
        <w:fldChar w:fldCharType="separate"/>
      </w:r>
      <w:r>
        <w:instrText>86</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_Toc170193276 \h </w:instrText>
      </w:r>
      <w:r>
        <w:fldChar w:fldCharType="separate"/>
      </w:r>
      <w:r>
        <w:instrText>88</w:instrText>
      </w:r>
      <w:r>
        <w:fldChar w:fldCharType="end"/>
      </w:r>
    </w:p>
    <w:p>
      <w:pPr>
        <w:pStyle w:val="TOC8"/>
        <w:rPr>
          <w:sz w:val="24"/>
          <w:szCs w:val="24"/>
        </w:rPr>
      </w:pPr>
      <w:r>
        <w:rPr>
          <w:szCs w:val="24"/>
        </w:rPr>
        <w:instrText>73DB.</w:instrText>
      </w:r>
      <w:r>
        <w:rPr>
          <w:szCs w:val="24"/>
        </w:rPr>
        <w:tab/>
        <w:instrText>Interpretation for sections 73DC, 73DD and 73DE</w:instrText>
      </w:r>
      <w:r>
        <w:tab/>
      </w:r>
      <w:r>
        <w:fldChar w:fldCharType="begin"/>
      </w:r>
      <w:r>
        <w:instrText xml:space="preserve"> PAGEREF _Toc170193277 \h </w:instrText>
      </w:r>
      <w:r>
        <w:fldChar w:fldCharType="separate"/>
      </w:r>
      <w:r>
        <w:instrText>89</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_Toc170193278 \h </w:instrText>
      </w:r>
      <w:r>
        <w:fldChar w:fldCharType="separate"/>
      </w:r>
      <w:r>
        <w:instrText>89</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_Toc170193279 \h </w:instrText>
      </w:r>
      <w:r>
        <w:fldChar w:fldCharType="separate"/>
      </w:r>
      <w:r>
        <w:instrText>91</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_Toc170193280 \h </w:instrText>
      </w:r>
      <w:r>
        <w:fldChar w:fldCharType="separate"/>
      </w:r>
      <w:r>
        <w:instrText>94</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_Toc170193281 \h </w:instrText>
      </w:r>
      <w:r>
        <w:fldChar w:fldCharType="separate"/>
      </w:r>
      <w:r>
        <w:instrText>94</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_Toc170193282 \h </w:instrText>
      </w:r>
      <w:r>
        <w:fldChar w:fldCharType="separate"/>
      </w:r>
      <w:r>
        <w:instrText>97</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_Toc170193283 \h </w:instrText>
      </w:r>
      <w:r>
        <w:fldChar w:fldCharType="separate"/>
      </w:r>
      <w:r>
        <w:instrText>98</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_Toc170193284 \h </w:instrText>
      </w:r>
      <w:r>
        <w:fldChar w:fldCharType="separate"/>
      </w:r>
      <w:r>
        <w:instrText>100</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_Toc170193285 \h </w:instrText>
      </w:r>
      <w:r>
        <w:fldChar w:fldCharType="separate"/>
      </w:r>
      <w:r>
        <w:instrText>105</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_Toc170193286 \h </w:instrText>
      </w:r>
      <w:r>
        <w:fldChar w:fldCharType="separate"/>
      </w:r>
      <w:r>
        <w:instrText>108</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_Toc170193287 \h </w:instrText>
      </w:r>
      <w:r>
        <w:fldChar w:fldCharType="separate"/>
      </w:r>
      <w:r>
        <w:instrText>114</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_Toc170193288 \h </w:instrText>
      </w:r>
      <w:r>
        <w:fldChar w:fldCharType="separate"/>
      </w:r>
      <w:r>
        <w:instrText>119</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_Toc170193289 \h </w:instrText>
      </w:r>
      <w:r>
        <w:fldChar w:fldCharType="separate"/>
      </w:r>
      <w:r>
        <w:instrText>121</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_Toc170193290 \h </w:instrText>
      </w:r>
      <w:r>
        <w:fldChar w:fldCharType="separate"/>
      </w:r>
      <w:r>
        <w:instrText>121</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_Toc170193291 \h </w:instrText>
      </w:r>
      <w:r>
        <w:fldChar w:fldCharType="separate"/>
      </w:r>
      <w:r>
        <w:instrText>122</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_Toc170193292 \h </w:instrText>
      </w:r>
      <w:r>
        <w:fldChar w:fldCharType="separate"/>
      </w:r>
      <w:r>
        <w:instrText>123</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_Toc170193293 \h </w:instrText>
      </w:r>
      <w:r>
        <w:fldChar w:fldCharType="separate"/>
      </w:r>
      <w:r>
        <w:instrText>123</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_Toc170193294 \h </w:instrText>
      </w:r>
      <w:r>
        <w:fldChar w:fldCharType="separate"/>
      </w:r>
      <w:r>
        <w:instrText>123</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_Toc170193295 \h </w:instrText>
      </w:r>
      <w:r>
        <w:fldChar w:fldCharType="separate"/>
      </w:r>
      <w:r>
        <w:instrText>125</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_Toc170193296 \h </w:instrText>
      </w:r>
      <w:r>
        <w:fldChar w:fldCharType="separate"/>
      </w:r>
      <w:r>
        <w:instrText>126</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_Toc170193297 \h </w:instrText>
      </w:r>
      <w:r>
        <w:fldChar w:fldCharType="separate"/>
      </w:r>
      <w:r>
        <w:instrText>129</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_Toc170193298 \h </w:instrText>
      </w:r>
      <w:r>
        <w:fldChar w:fldCharType="separate"/>
      </w:r>
      <w:r>
        <w:instrText>131</w:instrText>
      </w:r>
      <w:r>
        <w:fldChar w:fldCharType="end"/>
      </w:r>
    </w:p>
    <w:p>
      <w:pPr>
        <w:pStyle w:val="TOC2"/>
        <w:tabs>
          <w:tab w:val="right" w:pos="7086"/>
        </w:tabs>
        <w:rPr>
          <w:b w:val="0"/>
          <w:sz w:val="24"/>
          <w:szCs w:val="24"/>
        </w:rPr>
      </w:pPr>
      <w:r>
        <w:rPr>
          <w:szCs w:val="30"/>
        </w:rPr>
        <w:instrText>Part IIIBAA — Certain transfers of farming property </w:instrText>
      </w:r>
      <w:r>
        <w:rPr>
          <w:b w:val="0"/>
          <w:szCs w:val="30"/>
          <w:vertAlign w:val="superscript"/>
        </w:rPr>
        <w:instrText>5</w:instrText>
      </w:r>
    </w:p>
    <w:p>
      <w:pPr>
        <w:pStyle w:val="TOC8"/>
        <w:rPr>
          <w:sz w:val="24"/>
          <w:szCs w:val="24"/>
        </w:rPr>
      </w:pPr>
      <w:r>
        <w:rPr>
          <w:szCs w:val="24"/>
        </w:rPr>
        <w:instrText>75D</w:instrText>
      </w:r>
      <w:r>
        <w:rPr>
          <w:snapToGrid w:val="0"/>
          <w:szCs w:val="24"/>
        </w:rPr>
        <w:instrText>.</w:instrText>
      </w:r>
      <w:r>
        <w:rPr>
          <w:snapToGrid w:val="0"/>
          <w:szCs w:val="24"/>
        </w:rPr>
        <w:tab/>
        <w:instrText>Interpretation in Part IIIBAA</w:instrText>
      </w:r>
      <w:r>
        <w:tab/>
      </w:r>
      <w:r>
        <w:fldChar w:fldCharType="begin"/>
      </w:r>
      <w:r>
        <w:instrText xml:space="preserve"> PAGEREF _Toc170193300 \h </w:instrText>
      </w:r>
      <w:r>
        <w:fldChar w:fldCharType="separate"/>
      </w:r>
      <w:r>
        <w:instrText>132</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_Toc170193301 \h </w:instrText>
      </w:r>
      <w:r>
        <w:fldChar w:fldCharType="separate"/>
      </w:r>
      <w:r>
        <w:instrText>135</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_Toc170193302 \h </w:instrText>
      </w:r>
      <w:r>
        <w:fldChar w:fldCharType="separate"/>
      </w:r>
      <w:r>
        <w:instrText>138</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_Toc170193303 \h </w:instrText>
      </w:r>
      <w:r>
        <w:fldChar w:fldCharType="separate"/>
      </w:r>
      <w:r>
        <w:instrText>138</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_Toc170193304 \h </w:instrText>
      </w:r>
      <w:r>
        <w:fldChar w:fldCharType="separate"/>
      </w:r>
      <w:r>
        <w:instrText>139</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_Toc170193305 \h </w:instrText>
      </w:r>
      <w:r>
        <w:fldChar w:fldCharType="separate"/>
      </w:r>
      <w:r>
        <w:instrText>140</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_Toc170193306 \h </w:instrText>
      </w:r>
      <w:r>
        <w:fldChar w:fldCharType="separate"/>
      </w:r>
      <w:r>
        <w:instrText>143</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Interpretation in Part IIIBAAA</w:instrText>
      </w:r>
      <w:r>
        <w:tab/>
      </w:r>
      <w:r>
        <w:fldChar w:fldCharType="begin"/>
      </w:r>
      <w:r>
        <w:instrText xml:space="preserve"> PAGEREF _Toc170193308 \h </w:instrText>
      </w:r>
      <w:r>
        <w:fldChar w:fldCharType="separate"/>
      </w:r>
      <w:r>
        <w:instrText>145</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_Toc170193309 \h </w:instrText>
      </w:r>
      <w:r>
        <w:fldChar w:fldCharType="separate"/>
      </w:r>
      <w:r>
        <w:instrText>146</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_Toc170193310 \h </w:instrText>
      </w:r>
      <w:r>
        <w:fldChar w:fldCharType="separate"/>
      </w:r>
      <w:r>
        <w:instrText>148</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_Toc170193311 \h </w:instrText>
      </w:r>
      <w:r>
        <w:fldChar w:fldCharType="separate"/>
      </w:r>
      <w:r>
        <w:instrText>150</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_Toc170193312 \h </w:instrText>
      </w:r>
      <w:r>
        <w:fldChar w:fldCharType="separate"/>
      </w:r>
      <w:r>
        <w:instrText>159</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_Toc170193313 \h </w:instrText>
      </w:r>
      <w:r>
        <w:fldChar w:fldCharType="separate"/>
      </w:r>
      <w:r>
        <w:instrText>159</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_Toc170193314 \h </w:instrText>
      </w:r>
      <w:r>
        <w:fldChar w:fldCharType="separate"/>
      </w:r>
      <w:r>
        <w:instrText>161</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_Toc170193315 \h </w:instrText>
      </w:r>
      <w:r>
        <w:fldChar w:fldCharType="separate"/>
      </w:r>
      <w:r>
        <w:instrText>162</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_Toc170193316 \h </w:instrText>
      </w:r>
      <w:r>
        <w:fldChar w:fldCharType="separate"/>
      </w:r>
      <w:r>
        <w:instrText>163</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_Toc170193317 \h </w:instrText>
      </w:r>
      <w:r>
        <w:fldChar w:fldCharType="separate"/>
      </w:r>
      <w:r>
        <w:instrText>166</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_Toc170193318 \h </w:instrText>
      </w:r>
      <w:r>
        <w:fldChar w:fldCharType="separate"/>
      </w:r>
      <w:r>
        <w:instrText>167</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Interpretation in Part IIIBA</w:instrText>
      </w:r>
      <w:r>
        <w:tab/>
      </w:r>
      <w:r>
        <w:fldChar w:fldCharType="begin"/>
      </w:r>
      <w:r>
        <w:instrText xml:space="preserve"> PAGEREF _Toc170193321 \h </w:instrText>
      </w:r>
      <w:r>
        <w:fldChar w:fldCharType="separate"/>
      </w:r>
      <w:r>
        <w:instrText>169</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_Toc170193322 \h </w:instrText>
      </w:r>
      <w:r>
        <w:fldChar w:fldCharType="separate"/>
      </w:r>
      <w:r>
        <w:instrText>177</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_Toc170193323 \h </w:instrText>
      </w:r>
      <w:r>
        <w:fldChar w:fldCharType="separate"/>
      </w:r>
      <w:r>
        <w:instrText>178</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_Toc170193324 \h </w:instrText>
      </w:r>
      <w:r>
        <w:fldChar w:fldCharType="separate"/>
      </w:r>
      <w:r>
        <w:instrText>178</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_Toc170193326 \h </w:instrText>
      </w:r>
      <w:r>
        <w:fldChar w:fldCharType="separate"/>
      </w:r>
      <w:r>
        <w:instrText>180</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_Toc170193327 \h </w:instrText>
      </w:r>
      <w:r>
        <w:fldChar w:fldCharType="separate"/>
      </w:r>
      <w:r>
        <w:instrText>183</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_Toc170193328 \h </w:instrText>
      </w:r>
      <w:r>
        <w:fldChar w:fldCharType="separate"/>
      </w:r>
      <w:r>
        <w:instrText>185</w:instrText>
      </w:r>
      <w:r>
        <w:fldChar w:fldCharType="end"/>
      </w:r>
    </w:p>
    <w:p>
      <w:pPr>
        <w:pStyle w:val="TOC8"/>
        <w:rPr>
          <w:sz w:val="24"/>
          <w:szCs w:val="24"/>
        </w:rPr>
      </w:pPr>
      <w:r>
        <w:rPr>
          <w:szCs w:val="24"/>
        </w:rPr>
        <w:instrText>76AJ.</w:instrText>
      </w:r>
      <w:r>
        <w:rPr>
          <w:szCs w:val="24"/>
        </w:rPr>
        <w:tab/>
        <w:instrText>Meaning of “relevant acquisition”</w:instrText>
      </w:r>
      <w:r>
        <w:tab/>
      </w:r>
      <w:r>
        <w:fldChar w:fldCharType="begin"/>
      </w:r>
      <w:r>
        <w:instrText xml:space="preserve"> PAGEREF _Toc170193329 \h </w:instrText>
      </w:r>
      <w:r>
        <w:fldChar w:fldCharType="separate"/>
      </w:r>
      <w:r>
        <w:instrText>190</w:instrText>
      </w:r>
      <w:r>
        <w:fldChar w:fldCharType="end"/>
      </w:r>
    </w:p>
    <w:p>
      <w:pPr>
        <w:pStyle w:val="TOC8"/>
        <w:rPr>
          <w:sz w:val="24"/>
          <w:szCs w:val="24"/>
        </w:rPr>
      </w:pPr>
      <w:r>
        <w:rPr>
          <w:szCs w:val="24"/>
        </w:rPr>
        <w:instrText>76AK.</w:instrText>
      </w:r>
      <w:r>
        <w:rPr>
          <w:szCs w:val="24"/>
        </w:rPr>
        <w:tab/>
        <w:instrText>Meaning of “interest”, “majority interest” or “further interest”</w:instrText>
      </w:r>
      <w:r>
        <w:tab/>
      </w:r>
      <w:r>
        <w:fldChar w:fldCharType="begin"/>
      </w:r>
      <w:r>
        <w:instrText xml:space="preserve"> PAGEREF _Toc170193330 \h </w:instrText>
      </w:r>
      <w:r>
        <w:fldChar w:fldCharType="separate"/>
      </w:r>
      <w:r>
        <w:instrText>192</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_Toc170193331 \h </w:instrText>
      </w:r>
      <w:r>
        <w:fldChar w:fldCharType="separate"/>
      </w:r>
      <w:r>
        <w:instrText>193</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_Toc170193332 \h </w:instrText>
      </w:r>
      <w:r>
        <w:fldChar w:fldCharType="separate"/>
      </w:r>
      <w:r>
        <w:instrText>196</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_Toc170193334 \h </w:instrText>
      </w:r>
      <w:r>
        <w:fldChar w:fldCharType="separate"/>
      </w:r>
      <w:r>
        <w:instrText>196</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_Toc170193335 \h </w:instrText>
      </w:r>
      <w:r>
        <w:fldChar w:fldCharType="separate"/>
      </w:r>
      <w:r>
        <w:instrText>199</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_Toc170193336 \h </w:instrText>
      </w:r>
      <w:r>
        <w:fldChar w:fldCharType="separate"/>
      </w:r>
      <w:r>
        <w:instrText>201</w:instrText>
      </w:r>
      <w:r>
        <w:fldChar w:fldCharType="end"/>
      </w:r>
    </w:p>
    <w:p>
      <w:pPr>
        <w:pStyle w:val="TOC8"/>
        <w:rPr>
          <w:sz w:val="24"/>
          <w:szCs w:val="24"/>
        </w:rPr>
      </w:pPr>
      <w:r>
        <w:rPr>
          <w:szCs w:val="24"/>
        </w:rPr>
        <w:instrText>76AQ.</w:instrText>
      </w:r>
      <w:r>
        <w:rPr>
          <w:szCs w:val="24"/>
        </w:rPr>
        <w:tab/>
        <w:instrText>Meaning of “relevant acquisition”</w:instrText>
      </w:r>
      <w:r>
        <w:tab/>
      </w:r>
      <w:r>
        <w:fldChar w:fldCharType="begin"/>
      </w:r>
      <w:r>
        <w:instrText xml:space="preserve"> PAGEREF _Toc170193337 \h </w:instrText>
      </w:r>
      <w:r>
        <w:fldChar w:fldCharType="separate"/>
      </w:r>
      <w:r>
        <w:instrText>207</w:instrText>
      </w:r>
      <w:r>
        <w:fldChar w:fldCharType="end"/>
      </w:r>
    </w:p>
    <w:p>
      <w:pPr>
        <w:pStyle w:val="TOC8"/>
        <w:rPr>
          <w:sz w:val="24"/>
          <w:szCs w:val="24"/>
        </w:rPr>
      </w:pPr>
      <w:r>
        <w:rPr>
          <w:szCs w:val="24"/>
        </w:rPr>
        <w:instrText>76AR.</w:instrText>
      </w:r>
      <w:r>
        <w:rPr>
          <w:szCs w:val="24"/>
        </w:rPr>
        <w:tab/>
        <w:instrText>Meaning of “interest”, “majority interest” or “further interest”</w:instrText>
      </w:r>
      <w:r>
        <w:tab/>
      </w:r>
      <w:r>
        <w:fldChar w:fldCharType="begin"/>
      </w:r>
      <w:r>
        <w:instrText xml:space="preserve"> PAGEREF _Toc170193338 \h </w:instrText>
      </w:r>
      <w:r>
        <w:fldChar w:fldCharType="separate"/>
      </w:r>
      <w:r>
        <w:instrText>209</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_Toc170193339 \h </w:instrText>
      </w:r>
      <w:r>
        <w:fldChar w:fldCharType="separate"/>
      </w:r>
      <w:r>
        <w:instrText>212</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_Toc170193341 \h </w:instrText>
      </w:r>
      <w:r>
        <w:fldChar w:fldCharType="separate"/>
      </w:r>
      <w:r>
        <w:instrText>214</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_Toc170193342 \h </w:instrText>
      </w:r>
      <w:r>
        <w:fldChar w:fldCharType="separate"/>
      </w:r>
      <w:r>
        <w:instrText>219</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_Toc170193343 \h </w:instrText>
      </w:r>
      <w:r>
        <w:fldChar w:fldCharType="separate"/>
      </w:r>
      <w:r>
        <w:instrText>221</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_Toc170193344 \h </w:instrText>
      </w:r>
      <w:r>
        <w:fldChar w:fldCharType="separate"/>
      </w:r>
      <w:r>
        <w:instrText>226</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_Toc170193345 \h </w:instrText>
      </w:r>
      <w:r>
        <w:fldChar w:fldCharType="separate"/>
      </w:r>
      <w:r>
        <w:instrText>227</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_Toc170193346 \h </w:instrText>
      </w:r>
      <w:r>
        <w:fldChar w:fldCharType="separate"/>
      </w:r>
      <w:r>
        <w:instrText>228</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_Toc170193347 \h </w:instrText>
      </w:r>
      <w:r>
        <w:fldChar w:fldCharType="separate"/>
      </w:r>
      <w:r>
        <w:instrText>231</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_Toc170193349 \h </w:instrText>
      </w:r>
      <w:r>
        <w:fldChar w:fldCharType="separate"/>
      </w:r>
      <w:r>
        <w:instrText>232</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_Toc170193350 \h </w:instrText>
      </w:r>
      <w:r>
        <w:fldChar w:fldCharType="separate"/>
      </w:r>
      <w:r>
        <w:instrText>236</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_Toc170193351 \h </w:instrText>
      </w:r>
      <w:r>
        <w:fldChar w:fldCharType="separate"/>
      </w:r>
      <w:r>
        <w:instrText>239</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_Toc170193352 \h </w:instrText>
      </w:r>
      <w:r>
        <w:fldChar w:fldCharType="separate"/>
      </w:r>
      <w:r>
        <w:instrText>245</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_Toc170193353 \h </w:instrText>
      </w:r>
      <w:r>
        <w:fldChar w:fldCharType="separate"/>
      </w:r>
      <w:r>
        <w:instrText>245</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_Toc170193354 \h </w:instrText>
      </w:r>
      <w:r>
        <w:fldChar w:fldCharType="separate"/>
      </w:r>
      <w:r>
        <w:instrText>248</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_Toc170193356 \h </w:instrText>
      </w:r>
      <w:r>
        <w:fldChar w:fldCharType="separate"/>
      </w:r>
      <w:r>
        <w:instrText>251</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_Toc170193358 \h </w:instrText>
      </w:r>
      <w:r>
        <w:fldChar w:fldCharType="separate"/>
      </w:r>
      <w:r>
        <w:instrText>252</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_Toc170193359 \h </w:instrText>
      </w:r>
      <w:r>
        <w:fldChar w:fldCharType="separate"/>
      </w:r>
      <w:r>
        <w:instrText>254</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_Toc170193360 \h </w:instrText>
      </w:r>
      <w:r>
        <w:fldChar w:fldCharType="separate"/>
      </w:r>
      <w:r>
        <w:instrText>254</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Interpretation in Part IIIC</w:instrText>
      </w:r>
      <w:r>
        <w:tab/>
      </w:r>
      <w:r>
        <w:fldChar w:fldCharType="begin"/>
      </w:r>
      <w:r>
        <w:instrText xml:space="preserve"> PAGEREF _Toc170193362 \h </w:instrText>
      </w:r>
      <w:r>
        <w:fldChar w:fldCharType="separate"/>
      </w:r>
      <w:r>
        <w:instrText>255</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_Toc170193363 \h </w:instrText>
      </w:r>
      <w:r>
        <w:fldChar w:fldCharType="separate"/>
      </w:r>
      <w:r>
        <w:instrText>258</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_Toc170193364 \h </w:instrText>
      </w:r>
      <w:r>
        <w:fldChar w:fldCharType="separate"/>
      </w:r>
      <w:r>
        <w:instrText>261</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_Toc170193365 \h </w:instrText>
      </w:r>
      <w:r>
        <w:fldChar w:fldCharType="separate"/>
      </w:r>
      <w:r>
        <w:instrText>264</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_Toc170193366 \h </w:instrText>
      </w:r>
      <w:r>
        <w:fldChar w:fldCharType="separate"/>
      </w:r>
      <w:r>
        <w:instrText>264</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_Toc170193367 \h </w:instrText>
      </w:r>
      <w:r>
        <w:fldChar w:fldCharType="separate"/>
      </w:r>
      <w:r>
        <w:instrText>265</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_Toc170193368 \h </w:instrText>
      </w:r>
      <w:r>
        <w:fldChar w:fldCharType="separate"/>
      </w:r>
      <w:r>
        <w:instrText>265</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_Toc170193369 \h </w:instrText>
      </w:r>
      <w:r>
        <w:fldChar w:fldCharType="separate"/>
      </w:r>
      <w:r>
        <w:instrText>266</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_Toc170193370 \h </w:instrText>
      </w:r>
      <w:r>
        <w:fldChar w:fldCharType="separate"/>
      </w:r>
      <w:r>
        <w:instrText>267</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_Toc170193371 \h </w:instrText>
      </w:r>
      <w:r>
        <w:fldChar w:fldCharType="separate"/>
      </w:r>
      <w:r>
        <w:instrText>268</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_Toc170193372 \h </w:instrText>
      </w:r>
      <w:r>
        <w:fldChar w:fldCharType="separate"/>
      </w:r>
      <w:r>
        <w:instrText>268</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_Toc170193373 \h </w:instrText>
      </w:r>
      <w:r>
        <w:fldChar w:fldCharType="separate"/>
      </w:r>
      <w:r>
        <w:instrText>269</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_Toc170193374 \h </w:instrText>
      </w:r>
      <w:r>
        <w:fldChar w:fldCharType="separate"/>
      </w:r>
      <w:r>
        <w:instrText>269</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_Toc170193376 \h </w:instrText>
      </w:r>
      <w:r>
        <w:fldChar w:fldCharType="separate"/>
      </w:r>
      <w:r>
        <w:instrText>270</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_Toc170193377 \h </w:instrText>
      </w:r>
      <w:r>
        <w:fldChar w:fldCharType="separate"/>
      </w:r>
      <w:r>
        <w:instrText>270</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_Toc170193378 \h </w:instrText>
      </w:r>
      <w:r>
        <w:fldChar w:fldCharType="separate"/>
      </w:r>
      <w:r>
        <w:instrText>272</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_Toc170193379 \h </w:instrText>
      </w:r>
      <w:r>
        <w:fldChar w:fldCharType="separate"/>
      </w:r>
      <w:r>
        <w:instrText>273</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_Toc170193380 \h </w:instrText>
      </w:r>
      <w:r>
        <w:fldChar w:fldCharType="separate"/>
      </w:r>
      <w:r>
        <w:instrText>274</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Definitions</w:instrText>
      </w:r>
      <w:r>
        <w:tab/>
      </w:r>
      <w:r>
        <w:fldChar w:fldCharType="begin"/>
      </w:r>
      <w:r>
        <w:instrText xml:space="preserve"> PAGEREF _Toc170193383 \h </w:instrText>
      </w:r>
      <w:r>
        <w:fldChar w:fldCharType="separate"/>
      </w:r>
      <w:r>
        <w:instrText>275</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_Toc170193384 \h </w:instrText>
      </w:r>
      <w:r>
        <w:fldChar w:fldCharType="separate"/>
      </w:r>
      <w:r>
        <w:instrText>276</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_Toc170193385 \h </w:instrText>
      </w:r>
      <w:r>
        <w:fldChar w:fldCharType="separate"/>
      </w:r>
      <w:r>
        <w:instrText>277</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_Toc170193386 \h </w:instrText>
      </w:r>
      <w:r>
        <w:fldChar w:fldCharType="separate"/>
      </w:r>
      <w:r>
        <w:instrText>277</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_Toc170193387 \h </w:instrText>
      </w:r>
      <w:r>
        <w:fldChar w:fldCharType="separate"/>
      </w:r>
      <w:r>
        <w:instrText>278</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_Toc170193389 \h </w:instrText>
      </w:r>
      <w:r>
        <w:fldChar w:fldCharType="separate"/>
      </w:r>
      <w:r>
        <w:instrText>279</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_Toc170193390 \h </w:instrText>
      </w:r>
      <w:r>
        <w:fldChar w:fldCharType="separate"/>
      </w:r>
      <w:r>
        <w:instrText>279</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_Toc170193391 \h </w:instrText>
      </w:r>
      <w:r>
        <w:fldChar w:fldCharType="separate"/>
      </w:r>
      <w:r>
        <w:instrText>281</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_Toc170193392 \h </w:instrText>
      </w:r>
      <w:r>
        <w:fldChar w:fldCharType="separate"/>
      </w:r>
      <w:r>
        <w:instrText>282</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_Toc170193393 \h </w:instrText>
      </w:r>
      <w:r>
        <w:fldChar w:fldCharType="separate"/>
      </w:r>
      <w:r>
        <w:instrText>283</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_Toc170193395 \h </w:instrText>
      </w:r>
      <w:r>
        <w:fldChar w:fldCharType="separate"/>
      </w:r>
      <w:r>
        <w:instrText>284</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_Toc170193396 \h </w:instrText>
      </w:r>
      <w:r>
        <w:fldChar w:fldCharType="separate"/>
      </w:r>
      <w:r>
        <w:instrText>285</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_Toc170193397 \h </w:instrText>
      </w:r>
      <w:r>
        <w:fldChar w:fldCharType="separate"/>
      </w:r>
      <w:r>
        <w:instrText>285</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_Toc170193398 \h </w:instrText>
      </w:r>
      <w:r>
        <w:fldChar w:fldCharType="separate"/>
      </w:r>
      <w:r>
        <w:instrText>287</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_Toc170193399 \h </w:instrText>
      </w:r>
      <w:r>
        <w:fldChar w:fldCharType="separate"/>
      </w:r>
      <w:r>
        <w:instrText>287</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_Toc170193400 \h </w:instrText>
      </w:r>
      <w:r>
        <w:fldChar w:fldCharType="separate"/>
      </w:r>
      <w:r>
        <w:instrText>288</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_Toc170193401 \h </w:instrText>
      </w:r>
      <w:r>
        <w:fldChar w:fldCharType="separate"/>
      </w:r>
      <w:r>
        <w:instrText>289</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_Toc170193402 \h </w:instrText>
      </w:r>
      <w:r>
        <w:fldChar w:fldCharType="separate"/>
      </w:r>
      <w:r>
        <w:instrText>289</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_Toc170193403 \h </w:instrText>
      </w:r>
      <w:r>
        <w:fldChar w:fldCharType="separate"/>
      </w:r>
      <w:r>
        <w:instrText>289</w:instrText>
      </w:r>
      <w:r>
        <w:fldChar w:fldCharType="end"/>
      </w:r>
    </w:p>
    <w:p>
      <w:pPr>
        <w:pStyle w:val="TOC2"/>
        <w:tabs>
          <w:tab w:val="right" w:pos="7086"/>
        </w:tabs>
        <w:rPr>
          <w:b w:val="0"/>
          <w:sz w:val="24"/>
          <w:szCs w:val="24"/>
        </w:rPr>
      </w:pPr>
      <w:r>
        <w:rPr>
          <w:szCs w:val="30"/>
        </w:rPr>
        <w:instrText>Part IIIF</w:instrText>
      </w:r>
      <w:r>
        <w:rPr>
          <w:b w:val="0"/>
          <w:szCs w:val="30"/>
        </w:rPr>
        <w:instrText> </w:instrText>
      </w:r>
      <w:r>
        <w:rPr>
          <w:szCs w:val="30"/>
        </w:rPr>
        <w:instrText>—</w:instrText>
      </w:r>
      <w:r>
        <w:rPr>
          <w:b w:val="0"/>
          <w:szCs w:val="30"/>
        </w:rPr>
        <w:instrText> </w:instrText>
      </w:r>
      <w:r>
        <w:rPr>
          <w:szCs w:val="30"/>
        </w:rPr>
        <w:instrText>Insurance</w:instrText>
      </w:r>
    </w:p>
    <w:p>
      <w:pPr>
        <w:pStyle w:val="TOC4"/>
        <w:tabs>
          <w:tab w:val="right" w:pos="7086"/>
        </w:tabs>
        <w:rPr>
          <w:b w:val="0"/>
          <w:sz w:val="24"/>
          <w:szCs w:val="24"/>
        </w:rPr>
      </w:pPr>
      <w:r>
        <w:rPr>
          <w:szCs w:val="26"/>
        </w:rPr>
        <w:instrText>Division 1 — Interpretation in Part IIIF and connection to the State</w:instrText>
      </w:r>
    </w:p>
    <w:p>
      <w:pPr>
        <w:pStyle w:val="TOC8"/>
        <w:rPr>
          <w:sz w:val="24"/>
          <w:szCs w:val="24"/>
        </w:rPr>
      </w:pPr>
      <w:r>
        <w:rPr>
          <w:szCs w:val="24"/>
        </w:rPr>
        <w:instrText>92.</w:instrText>
      </w:r>
      <w:r>
        <w:rPr>
          <w:szCs w:val="24"/>
        </w:rPr>
        <w:tab/>
        <w:instrText>Terms used in this Part</w:instrText>
      </w:r>
      <w:r>
        <w:tab/>
      </w:r>
      <w:r>
        <w:fldChar w:fldCharType="begin"/>
      </w:r>
      <w:r>
        <w:instrText xml:space="preserve"> PAGEREF _Toc170193406 \h </w:instrText>
      </w:r>
      <w:r>
        <w:fldChar w:fldCharType="separate"/>
      </w:r>
      <w:r>
        <w:instrText>291</w:instrText>
      </w:r>
      <w:r>
        <w:fldChar w:fldCharType="end"/>
      </w:r>
    </w:p>
    <w:p>
      <w:pPr>
        <w:pStyle w:val="TOC8"/>
        <w:rPr>
          <w:sz w:val="24"/>
          <w:szCs w:val="24"/>
        </w:rPr>
      </w:pPr>
      <w:r>
        <w:rPr>
          <w:szCs w:val="24"/>
        </w:rPr>
        <w:instrText>92A.</w:instrText>
      </w:r>
      <w:r>
        <w:rPr>
          <w:szCs w:val="24"/>
        </w:rPr>
        <w:tab/>
        <w:instrText>Meaning of general insurance and connection to the State</w:instrText>
      </w:r>
      <w:r>
        <w:tab/>
      </w:r>
      <w:r>
        <w:fldChar w:fldCharType="begin"/>
      </w:r>
      <w:r>
        <w:instrText xml:space="preserve"> PAGEREF _Toc170193407 \h </w:instrText>
      </w:r>
      <w:r>
        <w:fldChar w:fldCharType="separate"/>
      </w:r>
      <w:r>
        <w:instrText>293</w:instrText>
      </w:r>
      <w:r>
        <w:fldChar w:fldCharType="end"/>
      </w:r>
    </w:p>
    <w:p>
      <w:pPr>
        <w:pStyle w:val="TOC8"/>
        <w:rPr>
          <w:sz w:val="24"/>
          <w:szCs w:val="24"/>
        </w:rPr>
      </w:pPr>
      <w:r>
        <w:rPr>
          <w:szCs w:val="24"/>
        </w:rPr>
        <w:instrText>92B.</w:instrText>
      </w:r>
      <w:r>
        <w:rPr>
          <w:szCs w:val="24"/>
        </w:rPr>
        <w:tab/>
        <w:instrText>Additional insurance — life riders</w:instrText>
      </w:r>
      <w:r>
        <w:tab/>
      </w:r>
      <w:r>
        <w:fldChar w:fldCharType="begin"/>
      </w:r>
      <w:r>
        <w:instrText xml:space="preserve"> PAGEREF _Toc170193408 \h </w:instrText>
      </w:r>
      <w:r>
        <w:fldChar w:fldCharType="separate"/>
      </w:r>
      <w:r>
        <w:instrText>294</w:instrText>
      </w:r>
      <w:r>
        <w:fldChar w:fldCharType="end"/>
      </w:r>
    </w:p>
    <w:p>
      <w:pPr>
        <w:pStyle w:val="TOC8"/>
        <w:rPr>
          <w:sz w:val="24"/>
          <w:szCs w:val="24"/>
        </w:rPr>
      </w:pPr>
      <w:r>
        <w:rPr>
          <w:szCs w:val="24"/>
        </w:rPr>
        <w:instrText>92C.</w:instrText>
      </w:r>
      <w:r>
        <w:rPr>
          <w:szCs w:val="24"/>
        </w:rPr>
        <w:tab/>
        <w:instrText>Payment of premiums</w:instrText>
      </w:r>
      <w:r>
        <w:tab/>
      </w:r>
      <w:r>
        <w:fldChar w:fldCharType="begin"/>
      </w:r>
      <w:r>
        <w:instrText xml:space="preserve"> PAGEREF _Toc170193409 \h </w:instrText>
      </w:r>
      <w:r>
        <w:fldChar w:fldCharType="separate"/>
      </w:r>
      <w:r>
        <w:instrText>295</w:instrText>
      </w:r>
      <w:r>
        <w:fldChar w:fldCharType="end"/>
      </w:r>
    </w:p>
    <w:p>
      <w:pPr>
        <w:pStyle w:val="TOC4"/>
        <w:tabs>
          <w:tab w:val="right" w:pos="7086"/>
        </w:tabs>
        <w:rPr>
          <w:b w:val="0"/>
          <w:sz w:val="24"/>
          <w:szCs w:val="24"/>
        </w:rPr>
      </w:pPr>
      <w:r>
        <w:rPr>
          <w:szCs w:val="26"/>
        </w:rPr>
        <w:instrText>Division 2 — Registration of insurers</w:instrText>
      </w:r>
    </w:p>
    <w:p>
      <w:pPr>
        <w:pStyle w:val="TOC8"/>
        <w:rPr>
          <w:sz w:val="24"/>
          <w:szCs w:val="24"/>
        </w:rPr>
      </w:pPr>
      <w:r>
        <w:rPr>
          <w:szCs w:val="24"/>
        </w:rPr>
        <w:instrText>93.</w:instrText>
      </w:r>
      <w:r>
        <w:rPr>
          <w:szCs w:val="24"/>
        </w:rPr>
        <w:tab/>
        <w:instrText>Insurers to be registered</w:instrText>
      </w:r>
      <w:r>
        <w:tab/>
      </w:r>
      <w:r>
        <w:fldChar w:fldCharType="begin"/>
      </w:r>
      <w:r>
        <w:instrText xml:space="preserve"> PAGEREF _Toc170193411 \h </w:instrText>
      </w:r>
      <w:r>
        <w:fldChar w:fldCharType="separate"/>
      </w:r>
      <w:r>
        <w:instrText>295</w:instrText>
      </w:r>
      <w:r>
        <w:fldChar w:fldCharType="end"/>
      </w:r>
    </w:p>
    <w:p>
      <w:pPr>
        <w:pStyle w:val="TOC8"/>
        <w:rPr>
          <w:sz w:val="24"/>
          <w:szCs w:val="24"/>
        </w:rPr>
      </w:pPr>
      <w:r>
        <w:rPr>
          <w:szCs w:val="24"/>
        </w:rPr>
        <w:instrText>93A.</w:instrText>
      </w:r>
      <w:r>
        <w:rPr>
          <w:szCs w:val="24"/>
        </w:rPr>
        <w:tab/>
        <w:instrText>Registration of insurers</w:instrText>
      </w:r>
      <w:r>
        <w:tab/>
      </w:r>
      <w:r>
        <w:fldChar w:fldCharType="begin"/>
      </w:r>
      <w:r>
        <w:instrText xml:space="preserve"> PAGEREF _Toc170193412 \h </w:instrText>
      </w:r>
      <w:r>
        <w:fldChar w:fldCharType="separate"/>
      </w:r>
      <w:r>
        <w:instrText>296</w:instrText>
      </w:r>
      <w:r>
        <w:fldChar w:fldCharType="end"/>
      </w:r>
    </w:p>
    <w:p>
      <w:pPr>
        <w:pStyle w:val="TOC8"/>
        <w:rPr>
          <w:sz w:val="24"/>
          <w:szCs w:val="24"/>
        </w:rPr>
      </w:pPr>
      <w:r>
        <w:rPr>
          <w:szCs w:val="24"/>
        </w:rPr>
        <w:instrText>93B.</w:instrText>
      </w:r>
      <w:r>
        <w:rPr>
          <w:szCs w:val="24"/>
        </w:rPr>
        <w:tab/>
        <w:instrText>Cancelling registration of insurers</w:instrText>
      </w:r>
      <w:r>
        <w:tab/>
      </w:r>
      <w:r>
        <w:fldChar w:fldCharType="begin"/>
      </w:r>
      <w:r>
        <w:instrText xml:space="preserve"> PAGEREF _Toc170193413 \h </w:instrText>
      </w:r>
      <w:r>
        <w:fldChar w:fldCharType="separate"/>
      </w:r>
      <w:r>
        <w:instrText>296</w:instrText>
      </w:r>
      <w:r>
        <w:fldChar w:fldCharType="end"/>
      </w:r>
    </w:p>
    <w:p>
      <w:pPr>
        <w:pStyle w:val="TOC4"/>
        <w:tabs>
          <w:tab w:val="right" w:pos="7086"/>
        </w:tabs>
        <w:rPr>
          <w:b w:val="0"/>
          <w:sz w:val="24"/>
          <w:szCs w:val="24"/>
        </w:rPr>
      </w:pPr>
      <w:r>
        <w:rPr>
          <w:szCs w:val="26"/>
        </w:rPr>
        <w:instrText>Division 3 — Duty payable by insurers</w:instrText>
      </w:r>
    </w:p>
    <w:p>
      <w:pPr>
        <w:pStyle w:val="TOC8"/>
        <w:rPr>
          <w:sz w:val="24"/>
          <w:szCs w:val="24"/>
        </w:rPr>
      </w:pPr>
      <w:r>
        <w:rPr>
          <w:szCs w:val="24"/>
        </w:rPr>
        <w:instrText>94.</w:instrText>
      </w:r>
      <w:r>
        <w:rPr>
          <w:szCs w:val="24"/>
        </w:rPr>
        <w:tab/>
        <w:instrText>Lodging returns and paying duty</w:instrText>
      </w:r>
      <w:r>
        <w:tab/>
      </w:r>
      <w:r>
        <w:fldChar w:fldCharType="begin"/>
      </w:r>
      <w:r>
        <w:instrText xml:space="preserve"> PAGEREF _Toc170193415 \h </w:instrText>
      </w:r>
      <w:r>
        <w:fldChar w:fldCharType="separate"/>
      </w:r>
      <w:r>
        <w:instrText>296</w:instrText>
      </w:r>
      <w:r>
        <w:fldChar w:fldCharType="end"/>
      </w:r>
    </w:p>
    <w:p>
      <w:pPr>
        <w:pStyle w:val="TOC8"/>
        <w:rPr>
          <w:sz w:val="24"/>
          <w:szCs w:val="24"/>
        </w:rPr>
      </w:pPr>
      <w:r>
        <w:rPr>
          <w:szCs w:val="24"/>
        </w:rPr>
        <w:instrText>94A.</w:instrText>
      </w:r>
      <w:r>
        <w:rPr>
          <w:szCs w:val="24"/>
        </w:rPr>
        <w:tab/>
        <w:instrText>Calculating the amount of duty payable on a return</w:instrText>
      </w:r>
      <w:r>
        <w:tab/>
      </w:r>
      <w:r>
        <w:fldChar w:fldCharType="begin"/>
      </w:r>
      <w:r>
        <w:instrText xml:space="preserve"> PAGEREF _Toc170193416 \h </w:instrText>
      </w:r>
      <w:r>
        <w:fldChar w:fldCharType="separate"/>
      </w:r>
      <w:r>
        <w:instrText>297</w:instrText>
      </w:r>
      <w:r>
        <w:fldChar w:fldCharType="end"/>
      </w:r>
    </w:p>
    <w:p>
      <w:pPr>
        <w:pStyle w:val="TOC8"/>
        <w:rPr>
          <w:sz w:val="24"/>
          <w:szCs w:val="24"/>
        </w:rPr>
      </w:pPr>
      <w:r>
        <w:rPr>
          <w:szCs w:val="24"/>
        </w:rPr>
        <w:instrText>94B.</w:instrText>
      </w:r>
      <w:r>
        <w:rPr>
          <w:szCs w:val="24"/>
        </w:rPr>
        <w:tab/>
        <w:instrText>Return period of an insurer</w:instrText>
      </w:r>
      <w:r>
        <w:tab/>
      </w:r>
      <w:r>
        <w:fldChar w:fldCharType="begin"/>
      </w:r>
      <w:r>
        <w:instrText xml:space="preserve"> PAGEREF _Toc170193417 \h </w:instrText>
      </w:r>
      <w:r>
        <w:fldChar w:fldCharType="separate"/>
      </w:r>
      <w:r>
        <w:instrText>298</w:instrText>
      </w:r>
      <w:r>
        <w:fldChar w:fldCharType="end"/>
      </w:r>
    </w:p>
    <w:p>
      <w:pPr>
        <w:pStyle w:val="TOC4"/>
        <w:tabs>
          <w:tab w:val="right" w:pos="7086"/>
        </w:tabs>
        <w:rPr>
          <w:b w:val="0"/>
          <w:sz w:val="24"/>
          <w:szCs w:val="24"/>
        </w:rPr>
      </w:pPr>
      <w:r>
        <w:rPr>
          <w:szCs w:val="26"/>
        </w:rPr>
        <w:instrText>Division 4 — Duty payable by insured persons</w:instrText>
      </w:r>
    </w:p>
    <w:p>
      <w:pPr>
        <w:pStyle w:val="TOC8"/>
        <w:rPr>
          <w:sz w:val="24"/>
          <w:szCs w:val="24"/>
        </w:rPr>
      </w:pPr>
      <w:r>
        <w:rPr>
          <w:szCs w:val="24"/>
        </w:rPr>
        <w:instrText>95.</w:instrText>
      </w:r>
      <w:r>
        <w:rPr>
          <w:szCs w:val="24"/>
        </w:rPr>
        <w:tab/>
        <w:instrText>Meaning of insurer in this Division</w:instrText>
      </w:r>
      <w:r>
        <w:tab/>
      </w:r>
      <w:r>
        <w:fldChar w:fldCharType="begin"/>
      </w:r>
      <w:r>
        <w:instrText xml:space="preserve"> PAGEREF _Toc170193419 \h </w:instrText>
      </w:r>
      <w:r>
        <w:fldChar w:fldCharType="separate"/>
      </w:r>
      <w:r>
        <w:instrText>298</w:instrText>
      </w:r>
      <w:r>
        <w:fldChar w:fldCharType="end"/>
      </w:r>
    </w:p>
    <w:p>
      <w:pPr>
        <w:pStyle w:val="TOC8"/>
        <w:rPr>
          <w:sz w:val="24"/>
          <w:szCs w:val="24"/>
        </w:rPr>
      </w:pPr>
      <w:r>
        <w:rPr>
          <w:szCs w:val="24"/>
        </w:rPr>
        <w:instrText>95A.</w:instrText>
      </w:r>
      <w:r>
        <w:rPr>
          <w:szCs w:val="24"/>
        </w:rPr>
        <w:tab/>
        <w:instrText>Insured person to lodge statement and pay duty</w:instrText>
      </w:r>
      <w:r>
        <w:tab/>
      </w:r>
      <w:r>
        <w:fldChar w:fldCharType="begin"/>
      </w:r>
      <w:r>
        <w:instrText xml:space="preserve"> PAGEREF _Toc170193420 \h </w:instrText>
      </w:r>
      <w:r>
        <w:fldChar w:fldCharType="separate"/>
      </w:r>
      <w:r>
        <w:instrText>298</w:instrText>
      </w:r>
      <w:r>
        <w:fldChar w:fldCharType="end"/>
      </w:r>
    </w:p>
    <w:p>
      <w:pPr>
        <w:pStyle w:val="TOC8"/>
        <w:rPr>
          <w:sz w:val="24"/>
          <w:szCs w:val="24"/>
        </w:rPr>
      </w:pPr>
      <w:r>
        <w:rPr>
          <w:szCs w:val="24"/>
        </w:rPr>
        <w:instrText>95B.</w:instrText>
      </w:r>
      <w:r>
        <w:rPr>
          <w:szCs w:val="24"/>
        </w:rPr>
        <w:tab/>
        <w:instrText>Insurer and intermediary to notify Commissioner of contracts of insurance</w:instrText>
      </w:r>
      <w:r>
        <w:tab/>
      </w:r>
      <w:r>
        <w:fldChar w:fldCharType="begin"/>
      </w:r>
      <w:r>
        <w:instrText xml:space="preserve"> PAGEREF _Toc170193421 \h </w:instrText>
      </w:r>
      <w:r>
        <w:fldChar w:fldCharType="separate"/>
      </w:r>
      <w:r>
        <w:instrText>299</w:instrText>
      </w:r>
      <w:r>
        <w:fldChar w:fldCharType="end"/>
      </w:r>
    </w:p>
    <w:p>
      <w:pPr>
        <w:pStyle w:val="TOC4"/>
        <w:tabs>
          <w:tab w:val="right" w:pos="7086"/>
        </w:tabs>
        <w:rPr>
          <w:b w:val="0"/>
          <w:sz w:val="24"/>
          <w:szCs w:val="24"/>
        </w:rPr>
      </w:pPr>
      <w:r>
        <w:rPr>
          <w:szCs w:val="26"/>
        </w:rPr>
        <w:instrText>Division 5 — General provisions</w:instrText>
      </w:r>
    </w:p>
    <w:p>
      <w:pPr>
        <w:pStyle w:val="TOC8"/>
        <w:rPr>
          <w:sz w:val="24"/>
          <w:szCs w:val="24"/>
        </w:rPr>
      </w:pPr>
      <w:r>
        <w:rPr>
          <w:szCs w:val="24"/>
        </w:rPr>
        <w:instrText>96.</w:instrText>
      </w:r>
      <w:r>
        <w:rPr>
          <w:szCs w:val="24"/>
        </w:rPr>
        <w:tab/>
        <w:instrText>Apportionment of premiums and instalments</w:instrText>
      </w:r>
      <w:r>
        <w:tab/>
      </w:r>
      <w:r>
        <w:fldChar w:fldCharType="begin"/>
      </w:r>
      <w:r>
        <w:instrText xml:space="preserve"> PAGEREF _Toc170193423 \h </w:instrText>
      </w:r>
      <w:r>
        <w:fldChar w:fldCharType="separate"/>
      </w:r>
      <w:r>
        <w:instrText>300</w:instrText>
      </w:r>
      <w:r>
        <w:fldChar w:fldCharType="end"/>
      </w:r>
    </w:p>
    <w:p>
      <w:pPr>
        <w:pStyle w:val="TOC8"/>
        <w:rPr>
          <w:sz w:val="24"/>
          <w:szCs w:val="24"/>
        </w:rPr>
      </w:pPr>
      <w:r>
        <w:rPr>
          <w:szCs w:val="24"/>
        </w:rPr>
        <w:instrText>96A.</w:instrText>
      </w:r>
      <w:r>
        <w:rPr>
          <w:szCs w:val="24"/>
        </w:rPr>
        <w:tab/>
        <w:instrText>Refunds</w:instrText>
      </w:r>
      <w:r>
        <w:tab/>
      </w:r>
      <w:r>
        <w:fldChar w:fldCharType="begin"/>
      </w:r>
      <w:r>
        <w:instrText xml:space="preserve"> PAGEREF _Toc170193424 \h </w:instrText>
      </w:r>
      <w:r>
        <w:fldChar w:fldCharType="separate"/>
      </w:r>
      <w:r>
        <w:instrText>301</w:instrText>
      </w:r>
      <w:r>
        <w:fldChar w:fldCharType="end"/>
      </w:r>
    </w:p>
    <w:p>
      <w:pPr>
        <w:pStyle w:val="TOC8"/>
        <w:rPr>
          <w:sz w:val="24"/>
          <w:szCs w:val="24"/>
        </w:rPr>
      </w:pPr>
      <w:r>
        <w:rPr>
          <w:szCs w:val="24"/>
        </w:rPr>
        <w:instrText>96B.</w:instrText>
      </w:r>
      <w:r>
        <w:rPr>
          <w:szCs w:val="24"/>
        </w:rPr>
        <w:tab/>
        <w:instrText>Records</w:instrText>
      </w:r>
      <w:r>
        <w:tab/>
      </w:r>
      <w:r>
        <w:fldChar w:fldCharType="begin"/>
      </w:r>
      <w:r>
        <w:instrText xml:space="preserve"> PAGEREF _Toc170193425 \h </w:instrText>
      </w:r>
      <w:r>
        <w:fldChar w:fldCharType="separate"/>
      </w:r>
      <w:r>
        <w:instrText>301</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 — Interpretation in Part IVB</w:instrText>
      </w:r>
    </w:p>
    <w:p>
      <w:pPr>
        <w:pStyle w:val="TOC8"/>
        <w:rPr>
          <w:sz w:val="24"/>
          <w:szCs w:val="24"/>
        </w:rPr>
      </w:pPr>
      <w:r>
        <w:rPr>
          <w:szCs w:val="24"/>
        </w:rPr>
        <w:instrText>112I.</w:instrText>
      </w:r>
      <w:r>
        <w:rPr>
          <w:szCs w:val="24"/>
        </w:rPr>
        <w:tab/>
        <w:instrText>Commercial hire business</w:instrText>
      </w:r>
      <w:r>
        <w:tab/>
      </w:r>
      <w:r>
        <w:fldChar w:fldCharType="begin"/>
      </w:r>
      <w:r>
        <w:instrText xml:space="preserve"> PAGEREF _Toc170193428 \h </w:instrText>
      </w:r>
      <w:r>
        <w:fldChar w:fldCharType="separate"/>
      </w:r>
      <w:r>
        <w:instrText>303</w:instrText>
      </w:r>
      <w:r>
        <w:fldChar w:fldCharType="end"/>
      </w:r>
    </w:p>
    <w:p>
      <w:pPr>
        <w:pStyle w:val="TOC8"/>
        <w:rPr>
          <w:sz w:val="24"/>
          <w:szCs w:val="24"/>
        </w:rPr>
      </w:pPr>
      <w:r>
        <w:rPr>
          <w:szCs w:val="24"/>
        </w:rPr>
        <w:instrText>112IA.</w:instrText>
      </w:r>
      <w:r>
        <w:rPr>
          <w:szCs w:val="24"/>
        </w:rPr>
        <w:tab/>
        <w:instrText>Goods</w:instrText>
      </w:r>
      <w:r>
        <w:tab/>
      </w:r>
      <w:r>
        <w:fldChar w:fldCharType="begin"/>
      </w:r>
      <w:r>
        <w:instrText xml:space="preserve"> PAGEREF _Toc170193429 \h </w:instrText>
      </w:r>
      <w:r>
        <w:fldChar w:fldCharType="separate"/>
      </w:r>
      <w:r>
        <w:instrText>303</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_Toc170193430 \h </w:instrText>
      </w:r>
      <w:r>
        <w:fldChar w:fldCharType="separate"/>
      </w:r>
      <w:r>
        <w:instrText>303</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_Toc170193431 \h </w:instrText>
      </w:r>
      <w:r>
        <w:fldChar w:fldCharType="separate"/>
      </w:r>
      <w:r>
        <w:instrText>305</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_Toc170193432 \h </w:instrText>
      </w:r>
      <w:r>
        <w:fldChar w:fldCharType="separate"/>
      </w:r>
      <w:r>
        <w:instrText>305</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_Toc170193433 \h </w:instrText>
      </w:r>
      <w:r>
        <w:fldChar w:fldCharType="separate"/>
      </w:r>
      <w:r>
        <w:instrText>306</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_Toc170193434 \h </w:instrText>
      </w:r>
      <w:r>
        <w:fldChar w:fldCharType="separate"/>
      </w:r>
      <w:r>
        <w:instrText>307</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_Toc170193436 \h </w:instrText>
      </w:r>
      <w:r>
        <w:fldChar w:fldCharType="separate"/>
      </w:r>
      <w:r>
        <w:instrText>308</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_Toc170193437 \h </w:instrText>
      </w:r>
      <w:r>
        <w:fldChar w:fldCharType="separate"/>
      </w:r>
      <w:r>
        <w:instrText>308</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_Toc170193438 \h </w:instrText>
      </w:r>
      <w:r>
        <w:fldChar w:fldCharType="separate"/>
      </w:r>
      <w:r>
        <w:instrText>309</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_Toc170193440 \h </w:instrText>
      </w:r>
      <w:r>
        <w:fldChar w:fldCharType="separate"/>
      </w:r>
      <w:r>
        <w:instrText>309</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_Toc170193442 \h </w:instrText>
      </w:r>
      <w:r>
        <w:fldChar w:fldCharType="separate"/>
      </w:r>
      <w:r>
        <w:instrText>310</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_Toc170193443 \h </w:instrText>
      </w:r>
      <w:r>
        <w:fldChar w:fldCharType="separate"/>
      </w:r>
      <w:r>
        <w:instrText>311</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_Toc170193444 \h </w:instrText>
      </w:r>
      <w:r>
        <w:fldChar w:fldCharType="separate"/>
      </w:r>
      <w:r>
        <w:instrText>312</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_Toc170193445 \h </w:instrText>
      </w:r>
      <w:r>
        <w:fldChar w:fldCharType="separate"/>
      </w:r>
      <w:r>
        <w:instrText>312</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_Toc170193446 \h </w:instrText>
      </w:r>
      <w:r>
        <w:fldChar w:fldCharType="separate"/>
      </w:r>
      <w:r>
        <w:instrText>313</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_Toc170193448 \h </w:instrText>
      </w:r>
      <w:r>
        <w:fldChar w:fldCharType="separate"/>
      </w:r>
      <w:r>
        <w:instrText>314</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_Toc170193449 \h </w:instrText>
      </w:r>
      <w:r>
        <w:fldChar w:fldCharType="separate"/>
      </w:r>
      <w:r>
        <w:instrText>315</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_Toc170193450 \h </w:instrText>
      </w:r>
      <w:r>
        <w:fldChar w:fldCharType="separate"/>
      </w:r>
      <w:r>
        <w:instrText>316</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_Toc170193452 \h </w:instrText>
      </w:r>
      <w:r>
        <w:fldChar w:fldCharType="separate"/>
      </w:r>
      <w:r>
        <w:instrText>316</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_Toc170193453 \h </w:instrText>
      </w:r>
      <w:r>
        <w:fldChar w:fldCharType="separate"/>
      </w:r>
      <w:r>
        <w:instrText>317</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_Toc170193454 \h </w:instrText>
      </w:r>
      <w:r>
        <w:fldChar w:fldCharType="separate"/>
      </w:r>
      <w:r>
        <w:instrText>317</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_Toc170193455 \h </w:instrText>
      </w:r>
      <w:r>
        <w:fldChar w:fldCharType="separate"/>
      </w:r>
      <w:r>
        <w:instrText>318</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_Toc170193457 \h </w:instrText>
      </w:r>
      <w:r>
        <w:fldChar w:fldCharType="separate"/>
      </w:r>
      <w:r>
        <w:instrText>320</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_Toc170193458 \h </w:instrText>
      </w:r>
      <w:r>
        <w:fldChar w:fldCharType="separate"/>
      </w:r>
      <w:r>
        <w:instrText>320</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_Toc170193459 \h </w:instrText>
      </w:r>
      <w:r>
        <w:fldChar w:fldCharType="separate"/>
      </w:r>
      <w:r>
        <w:instrText>321</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Interpretation in Part IVD</w:instrText>
      </w:r>
      <w:r>
        <w:tab/>
      </w:r>
      <w:r>
        <w:fldChar w:fldCharType="begin"/>
      </w:r>
      <w:r>
        <w:instrText xml:space="preserve"> PAGEREF _Toc170193461 \h </w:instrText>
      </w:r>
      <w:r>
        <w:fldChar w:fldCharType="separate"/>
      </w:r>
      <w:r>
        <w:instrText>322</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_Toc170193462 \h </w:instrText>
      </w:r>
      <w:r>
        <w:fldChar w:fldCharType="separate"/>
      </w:r>
      <w:r>
        <w:instrText>323</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_Toc170193463 \h </w:instrText>
      </w:r>
      <w:r>
        <w:fldChar w:fldCharType="separate"/>
      </w:r>
      <w:r>
        <w:instrText>324</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_Toc170193464 \h </w:instrText>
      </w:r>
      <w:r>
        <w:fldChar w:fldCharType="separate"/>
      </w:r>
      <w:r>
        <w:instrText>325</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_Toc170193466 \h </w:instrText>
      </w:r>
      <w:r>
        <w:fldChar w:fldCharType="separate"/>
      </w:r>
      <w:r>
        <w:instrText>326</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_Toc170193468 \h </w:instrText>
      </w:r>
      <w:r>
        <w:fldChar w:fldCharType="separate"/>
      </w:r>
      <w:r>
        <w:instrText>328</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_Toc170193469 \h </w:instrText>
      </w:r>
      <w:r>
        <w:fldChar w:fldCharType="separate"/>
      </w:r>
      <w:r>
        <w:instrText>328</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_Toc170193470 \h </w:instrText>
      </w:r>
      <w:r>
        <w:fldChar w:fldCharType="separate"/>
      </w:r>
      <w:r>
        <w:instrText>329</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_Toc170193471 \h </w:instrText>
      </w:r>
      <w:r>
        <w:fldChar w:fldCharType="separate"/>
      </w:r>
      <w:r>
        <w:instrText>330</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_Toc170193472 \h </w:instrText>
      </w:r>
      <w:r>
        <w:fldChar w:fldCharType="separate"/>
      </w:r>
      <w:r>
        <w:instrText>331</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_Toc170193478 \h </w:instrText>
      </w:r>
      <w:r>
        <w:fldChar w:fldCharType="separate"/>
      </w:r>
      <w:r>
        <w:instrText>349</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_Toc170193479 \h </w:instrText>
      </w:r>
      <w:r>
        <w:fldChar w:fldCharType="separate"/>
      </w:r>
      <w:r>
        <w:instrText>362</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Stamp Act 1921 </w:t>
      </w:r>
    </w:p>
    <w:p>
      <w:pPr>
        <w:pStyle w:val="LongTitle"/>
        <w:rPr>
          <w:snapToGrid w:val="0"/>
        </w:rPr>
      </w:pPr>
      <w:r>
        <w:rPr>
          <w:snapToGrid w:val="0"/>
        </w:rPr>
        <w:t xml:space="preserve">An Act to amend and consolidate the law relating to stamp duties upon instruments and to impose certain stamp duties, and for other relative purposes. </w:t>
      </w:r>
    </w:p>
    <w:p>
      <w:pPr>
        <w:pStyle w:val="Heading2"/>
      </w:pPr>
      <w:bookmarkStart w:id="2" w:name="_Toc58902506"/>
      <w:bookmarkStart w:id="3" w:name="_Toc76899495"/>
      <w:bookmarkStart w:id="4" w:name="_Toc78090397"/>
      <w:bookmarkStart w:id="5" w:name="_Toc88886765"/>
      <w:bookmarkStart w:id="6" w:name="_Toc90443381"/>
      <w:bookmarkStart w:id="7" w:name="_Toc90452732"/>
      <w:bookmarkStart w:id="8" w:name="_Toc100029323"/>
      <w:bookmarkStart w:id="9" w:name="_Toc100031396"/>
      <w:bookmarkStart w:id="10" w:name="_Toc100458455"/>
      <w:bookmarkStart w:id="11" w:name="_Toc101671871"/>
      <w:bookmarkStart w:id="12" w:name="_Toc101672128"/>
      <w:bookmarkStart w:id="13" w:name="_Toc102799154"/>
      <w:bookmarkStart w:id="14" w:name="_Toc102981828"/>
      <w:bookmarkStart w:id="15" w:name="_Toc103403141"/>
      <w:bookmarkStart w:id="16" w:name="_Toc103403398"/>
      <w:bookmarkStart w:id="17" w:name="_Toc103747397"/>
      <w:bookmarkStart w:id="18" w:name="_Toc107054826"/>
      <w:bookmarkStart w:id="19" w:name="_Toc113874273"/>
      <w:bookmarkStart w:id="20" w:name="_Toc113956689"/>
      <w:bookmarkStart w:id="21" w:name="_Toc116717245"/>
      <w:bookmarkStart w:id="22" w:name="_Toc116813272"/>
      <w:bookmarkStart w:id="23" w:name="_Toc122332924"/>
      <w:bookmarkStart w:id="24" w:name="_Toc122861894"/>
      <w:bookmarkStart w:id="25" w:name="_Toc122862490"/>
      <w:bookmarkStart w:id="26" w:name="_Toc122921097"/>
      <w:bookmarkStart w:id="27" w:name="_Toc122921357"/>
      <w:bookmarkStart w:id="28" w:name="_Toc122947302"/>
      <w:bookmarkStart w:id="29" w:name="_Toc124046138"/>
      <w:bookmarkStart w:id="30" w:name="_Toc131415723"/>
      <w:bookmarkStart w:id="31" w:name="_Toc131416022"/>
      <w:bookmarkStart w:id="32" w:name="_Toc17019320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00739862"/>
      <w:bookmarkStart w:id="34" w:name="_Toc520101053"/>
      <w:bookmarkStart w:id="35" w:name="_Toc520532952"/>
      <w:bookmarkStart w:id="36" w:name="_Toc49223859"/>
      <w:bookmarkStart w:id="37" w:name="_Toc107054827"/>
      <w:bookmarkStart w:id="38" w:name="_Toc131416023"/>
      <w:bookmarkStart w:id="39" w:name="_Toc170193206"/>
      <w:r>
        <w:rPr>
          <w:rStyle w:val="CharSectno"/>
        </w:rPr>
        <w:t>1</w:t>
      </w:r>
      <w:r>
        <w:rPr>
          <w:snapToGrid w:val="0"/>
        </w:rPr>
        <w:t>.</w:t>
      </w:r>
      <w:r>
        <w:rPr>
          <w:snapToGrid w:val="0"/>
        </w:rPr>
        <w:tab/>
        <w:t>Short title and commencement</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 xml:space="preserve">Repealed by No. 37 of 1979 s. 3.] </w:t>
      </w:r>
    </w:p>
    <w:p>
      <w:pPr>
        <w:pStyle w:val="Ednotesection"/>
        <w:ind w:left="890" w:hanging="890"/>
      </w:pPr>
      <w:bookmarkStart w:id="40" w:name="_Toc500739865"/>
      <w:bookmarkStart w:id="41" w:name="_Toc520101056"/>
      <w:bookmarkStart w:id="42" w:name="_Toc520532955"/>
      <w:r>
        <w:t>[</w:t>
      </w:r>
      <w:r>
        <w:rPr>
          <w:b/>
        </w:rPr>
        <w:t>2A, 3.</w:t>
      </w:r>
      <w:r>
        <w:tab/>
        <w:t xml:space="preserve">Repealed by No. 2 of 2003 s. 4.] </w:t>
      </w:r>
    </w:p>
    <w:p>
      <w:pPr>
        <w:pStyle w:val="Heading5"/>
        <w:rPr>
          <w:snapToGrid w:val="0"/>
        </w:rPr>
      </w:pPr>
      <w:bookmarkStart w:id="43" w:name="_Toc49223860"/>
      <w:bookmarkStart w:id="44" w:name="_Toc107054828"/>
      <w:bookmarkStart w:id="45" w:name="_Toc131416024"/>
      <w:bookmarkStart w:id="46" w:name="_Toc170193207"/>
      <w:r>
        <w:rPr>
          <w:rStyle w:val="CharSectno"/>
        </w:rPr>
        <w:t>4</w:t>
      </w:r>
      <w:r>
        <w:rPr>
          <w:snapToGrid w:val="0"/>
        </w:rPr>
        <w:t>.</w:t>
      </w:r>
      <w:r>
        <w:rPr>
          <w:snapToGrid w:val="0"/>
        </w:rPr>
        <w:tab/>
        <w:t>Interpretation</w:t>
      </w:r>
      <w:bookmarkEnd w:id="40"/>
      <w:bookmarkEnd w:id="41"/>
      <w:bookmarkEnd w:id="42"/>
      <w:bookmarkEnd w:id="43"/>
      <w:bookmarkEnd w:id="44"/>
      <w:bookmarkEnd w:id="45"/>
      <w:bookmarkEnd w:id="46"/>
      <w:r>
        <w:rPr>
          <w:snapToGrid w:val="0"/>
        </w:rPr>
        <w:t xml:space="preserve"> </w:t>
      </w:r>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 xml:space="preserve">a section 76AG statement; </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r>
        <w:rPr>
          <w:rFonts w:ascii="Times" w:hAnsi="Times"/>
          <w:i w:val="0"/>
          <w:vertAlign w:val="superscript"/>
        </w:rPr>
        <w:t> 2</w:t>
      </w:r>
      <w:r>
        <w:t xml:space="preserve">.] </w:t>
      </w:r>
    </w:p>
    <w:p>
      <w:pPr>
        <w:pStyle w:val="Heading5"/>
      </w:pPr>
      <w:bookmarkStart w:id="47" w:name="_Toc500739866"/>
      <w:bookmarkStart w:id="48" w:name="_Toc520101057"/>
      <w:bookmarkStart w:id="49" w:name="_Toc520532956"/>
      <w:bookmarkStart w:id="50" w:name="_Toc49223861"/>
      <w:bookmarkStart w:id="51" w:name="_Toc107054829"/>
      <w:bookmarkStart w:id="52" w:name="_Toc131416025"/>
      <w:bookmarkStart w:id="53" w:name="_Toc170193208"/>
      <w:r>
        <w:rPr>
          <w:rStyle w:val="CharSectno"/>
        </w:rPr>
        <w:t>4A</w:t>
      </w:r>
      <w:r>
        <w:t>.</w:t>
      </w:r>
      <w:r>
        <w:tab/>
        <w:t>Treatment of amounts payable for GST</w:t>
      </w:r>
      <w:bookmarkEnd w:id="47"/>
      <w:bookmarkEnd w:id="48"/>
      <w:bookmarkEnd w:id="49"/>
      <w:bookmarkEnd w:id="50"/>
      <w:bookmarkEnd w:id="51"/>
      <w:bookmarkEnd w:id="52"/>
      <w:bookmarkEnd w:id="53"/>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4" w:name="_Toc76899499"/>
      <w:bookmarkStart w:id="55" w:name="_Toc78090401"/>
      <w:bookmarkStart w:id="56" w:name="_Toc88886769"/>
      <w:bookmarkStart w:id="57" w:name="_Toc90443385"/>
      <w:bookmarkStart w:id="58" w:name="_Toc90452736"/>
      <w:bookmarkStart w:id="59" w:name="_Toc100029327"/>
      <w:bookmarkStart w:id="60" w:name="_Toc100031400"/>
      <w:bookmarkStart w:id="61" w:name="_Toc100458459"/>
      <w:bookmarkStart w:id="62" w:name="_Toc101671875"/>
      <w:bookmarkStart w:id="63" w:name="_Toc101672132"/>
      <w:bookmarkStart w:id="64" w:name="_Toc102799158"/>
      <w:bookmarkStart w:id="65" w:name="_Toc102981832"/>
      <w:bookmarkStart w:id="66" w:name="_Toc103403145"/>
      <w:bookmarkStart w:id="67" w:name="_Toc103403402"/>
      <w:bookmarkStart w:id="68" w:name="_Toc103747401"/>
      <w:bookmarkStart w:id="69" w:name="_Toc107054830"/>
      <w:bookmarkStart w:id="70" w:name="_Toc113874277"/>
      <w:bookmarkStart w:id="71" w:name="_Toc113956693"/>
      <w:bookmarkStart w:id="72" w:name="_Toc116717249"/>
      <w:bookmarkStart w:id="73" w:name="_Toc116813276"/>
      <w:bookmarkStart w:id="74" w:name="_Toc122332928"/>
      <w:bookmarkStart w:id="75" w:name="_Toc122861898"/>
      <w:bookmarkStart w:id="76" w:name="_Toc122862494"/>
      <w:bookmarkStart w:id="77" w:name="_Toc122921101"/>
      <w:bookmarkStart w:id="78" w:name="_Toc122921361"/>
      <w:bookmarkStart w:id="79" w:name="_Toc122947306"/>
      <w:bookmarkStart w:id="80" w:name="_Toc124046142"/>
      <w:bookmarkStart w:id="81" w:name="_Toc131415727"/>
      <w:bookmarkStart w:id="82" w:name="_Toc131416026"/>
      <w:bookmarkStart w:id="83" w:name="_Toc170193209"/>
      <w:bookmarkStart w:id="84" w:name="_Toc58902510"/>
      <w:r>
        <w:rPr>
          <w:rStyle w:val="CharPartNo"/>
        </w:rPr>
        <w:t>Part II</w:t>
      </w:r>
      <w:r>
        <w:rPr>
          <w:rStyle w:val="CharDivNo"/>
        </w:rPr>
        <w:t> </w:t>
      </w:r>
      <w:r>
        <w:t>—</w:t>
      </w:r>
      <w:r>
        <w:rPr>
          <w:rStyle w:val="CharDivText"/>
        </w:rPr>
        <w:t> </w:t>
      </w:r>
      <w:r>
        <w:rPr>
          <w:rStyle w:val="CharPartText"/>
        </w:rPr>
        <w:t>Conditional contracts (interpretation)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tabs>
          <w:tab w:val="left" w:pos="851"/>
        </w:tabs>
      </w:pPr>
      <w:r>
        <w:tab/>
        <w:t>[Heading inserted by No. 12 of 2004 s. 15.]</w:t>
      </w:r>
    </w:p>
    <w:p>
      <w:pPr>
        <w:pStyle w:val="Heading5"/>
      </w:pPr>
      <w:bookmarkStart w:id="85" w:name="_Toc107054831"/>
      <w:bookmarkStart w:id="86" w:name="_Toc131416027"/>
      <w:bookmarkStart w:id="87" w:name="_Toc170193210"/>
      <w:r>
        <w:rPr>
          <w:rStyle w:val="CharSectno"/>
        </w:rPr>
        <w:t>6</w:t>
      </w:r>
      <w:r>
        <w:t>.</w:t>
      </w:r>
      <w:r>
        <w:tab/>
        <w:t>Meaning of “eligible conditional contract”</w:t>
      </w:r>
      <w:bookmarkEnd w:id="85"/>
      <w:bookmarkEnd w:id="86"/>
      <w:bookmarkEnd w:id="87"/>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 xml:space="preserve">However, none of the following is an eligible conditional contract — </w:t>
      </w:r>
    </w:p>
    <w:p>
      <w:pPr>
        <w:pStyle w:val="Indenta"/>
      </w:pPr>
      <w:r>
        <w:tab/>
        <w:t>(a)</w:t>
      </w:r>
      <w:r>
        <w:tab/>
        <w:t>a put option and a call option (as defined in section 74B(1)) to which section 74B(6) applies;</w:t>
      </w:r>
    </w:p>
    <w:p>
      <w:pPr>
        <w:pStyle w:val="Indenta"/>
      </w:pPr>
      <w:r>
        <w:tab/>
        <w:t>(b)</w:t>
      </w:r>
      <w:r>
        <w:tab/>
        <w:t xml:space="preserve">a contract for the sale of a unit in a unit trust scheme as defined in section 63(1); </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88" w:name="_Toc107054832"/>
      <w:bookmarkStart w:id="89" w:name="_Toc131416028"/>
      <w:bookmarkStart w:id="90" w:name="_Toc170193211"/>
      <w:r>
        <w:rPr>
          <w:rStyle w:val="CharSectno"/>
        </w:rPr>
        <w:t>7</w:t>
      </w:r>
      <w:r>
        <w:t>.</w:t>
      </w:r>
      <w:r>
        <w:tab/>
        <w:t>Persons who are “related” for the purposes of this Part</w:t>
      </w:r>
      <w:bookmarkEnd w:id="88"/>
      <w:bookmarkEnd w:id="89"/>
      <w:bookmarkEnd w:id="90"/>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 xml:space="preserve">a corporation and a trustee, if —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 xml:space="preserve">For the purposes of subsection (1) —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91" w:name="_Toc107054833"/>
      <w:bookmarkStart w:id="92" w:name="_Toc131416029"/>
      <w:bookmarkStart w:id="93" w:name="_Toc170193212"/>
      <w:r>
        <w:rPr>
          <w:rStyle w:val="CharSectno"/>
        </w:rPr>
        <w:t>8</w:t>
      </w:r>
      <w:r>
        <w:t>.</w:t>
      </w:r>
      <w:r>
        <w:tab/>
        <w:t>Meaning of “general conditional contract”</w:t>
      </w:r>
      <w:bookmarkEnd w:id="91"/>
      <w:bookmarkEnd w:id="92"/>
      <w:bookmarkEnd w:id="93"/>
    </w:p>
    <w:p>
      <w:pPr>
        <w:pStyle w:val="Subsection"/>
      </w:pPr>
      <w:r>
        <w:tab/>
        <w:t>(1)</w:t>
      </w:r>
      <w:r>
        <w:tab/>
        <w:t xml:space="preserve">A </w:t>
      </w:r>
      <w:r>
        <w:rPr>
          <w:b/>
        </w:rPr>
        <w:t>“</w:t>
      </w:r>
      <w:r>
        <w:rPr>
          <w:rStyle w:val="CharDefText"/>
        </w:rPr>
        <w:t>general conditional contract</w:t>
      </w:r>
      <w:r>
        <w:rPr>
          <w:b/>
          <w:bCs/>
        </w:rPr>
        <w:t>”</w:t>
      </w:r>
      <w:r>
        <w:t xml:space="preserve"> is an eligible conditional contract, completion of which is conditional on the happening of one or more of the following events, as specified in the contract —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94" w:name="_Toc107054834"/>
      <w:bookmarkStart w:id="95" w:name="_Toc131416030"/>
      <w:bookmarkStart w:id="96" w:name="_Toc170193213"/>
      <w:r>
        <w:rPr>
          <w:rStyle w:val="CharSectno"/>
        </w:rPr>
        <w:t>9</w:t>
      </w:r>
      <w:r>
        <w:t>.</w:t>
      </w:r>
      <w:r>
        <w:tab/>
        <w:t>Meaning of “farming land conditional contract”</w:t>
      </w:r>
      <w:bookmarkEnd w:id="94"/>
      <w:bookmarkEnd w:id="95"/>
      <w:bookmarkEnd w:id="96"/>
    </w:p>
    <w:p>
      <w:pPr>
        <w:pStyle w:val="Subsection"/>
      </w:pPr>
      <w:r>
        <w:tab/>
        <w:t>(1)</w:t>
      </w:r>
      <w:r>
        <w:tab/>
        <w:t>A</w:t>
      </w:r>
      <w:r>
        <w:rPr>
          <w:b/>
        </w:rPr>
        <w:t xml:space="preserve"> “</w:t>
      </w:r>
      <w:r>
        <w:rPr>
          <w:rStyle w:val="CharDefText"/>
        </w:rPr>
        <w:t>farming land conditional contract</w:t>
      </w:r>
      <w:r>
        <w:rPr>
          <w:b/>
        </w:rPr>
        <w:t>”</w:t>
      </w:r>
      <w:r>
        <w:t xml:space="preserve"> is —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97" w:name="_Toc107054835"/>
      <w:bookmarkStart w:id="98" w:name="_Toc131416031"/>
      <w:bookmarkStart w:id="99" w:name="_Toc170193214"/>
      <w:r>
        <w:rPr>
          <w:rStyle w:val="CharSectno"/>
        </w:rPr>
        <w:t>10</w:t>
      </w:r>
      <w:r>
        <w:t>.</w:t>
      </w:r>
      <w:r>
        <w:tab/>
        <w:t>Meaning of “off</w:t>
      </w:r>
      <w:r>
        <w:noBreakHyphen/>
        <w:t>the</w:t>
      </w:r>
      <w:r>
        <w:noBreakHyphen/>
        <w:t>plan conditional contract”</w:t>
      </w:r>
      <w:bookmarkEnd w:id="97"/>
      <w:bookmarkEnd w:id="98"/>
      <w:bookmarkEnd w:id="99"/>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00" w:name="_Toc107054836"/>
      <w:bookmarkStart w:id="101" w:name="_Toc131416032"/>
      <w:bookmarkStart w:id="102" w:name="_Toc170193215"/>
      <w:r>
        <w:rPr>
          <w:rStyle w:val="CharSectno"/>
        </w:rPr>
        <w:t>11</w:t>
      </w:r>
      <w:r>
        <w:t>.</w:t>
      </w:r>
      <w:r>
        <w:tab/>
        <w:t>Meaning of “mining tenement conditional contract”</w:t>
      </w:r>
      <w:bookmarkEnd w:id="100"/>
      <w:bookmarkEnd w:id="101"/>
      <w:bookmarkEnd w:id="102"/>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 xml:space="preserve">a tenement, right or interest that is —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03" w:name="_Toc107054837"/>
      <w:bookmarkStart w:id="104" w:name="_Toc131416033"/>
      <w:bookmarkStart w:id="105" w:name="_Toc170193216"/>
      <w:r>
        <w:rPr>
          <w:rStyle w:val="CharSectno"/>
        </w:rPr>
        <w:t>12</w:t>
      </w:r>
      <w:r>
        <w:t>.</w:t>
      </w:r>
      <w:r>
        <w:tab/>
        <w:t>Meaning of “subdivision conditional contract”</w:t>
      </w:r>
      <w:bookmarkEnd w:id="103"/>
      <w:bookmarkEnd w:id="104"/>
      <w:bookmarkEnd w:id="105"/>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06" w:name="_Toc107054838"/>
      <w:bookmarkStart w:id="107" w:name="_Toc131416034"/>
      <w:bookmarkStart w:id="108" w:name="_Toc170193217"/>
      <w:r>
        <w:rPr>
          <w:rStyle w:val="CharSectno"/>
        </w:rPr>
        <w:t>13</w:t>
      </w:r>
      <w:r>
        <w:t>.</w:t>
      </w:r>
      <w:r>
        <w:tab/>
        <w:t>When a conditional contract becomes unconditional</w:t>
      </w:r>
      <w:bookmarkEnd w:id="106"/>
      <w:bookmarkEnd w:id="107"/>
      <w:bookmarkEnd w:id="108"/>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09" w:name="_Toc107054839"/>
      <w:bookmarkStart w:id="110" w:name="_Toc131416035"/>
      <w:bookmarkStart w:id="111" w:name="_Toc170193218"/>
      <w:r>
        <w:rPr>
          <w:rStyle w:val="CharSectno"/>
        </w:rPr>
        <w:t>14</w:t>
      </w:r>
      <w:r>
        <w:t>.</w:t>
      </w:r>
      <w:r>
        <w:tab/>
        <w:t>Termination of conditional contracts on relevant grounds</w:t>
      </w:r>
      <w:bookmarkEnd w:id="109"/>
      <w:bookmarkEnd w:id="110"/>
      <w:bookmarkEnd w:id="111"/>
    </w:p>
    <w:p>
      <w:pPr>
        <w:pStyle w:val="Subsection"/>
      </w:pPr>
      <w:r>
        <w:tab/>
      </w:r>
      <w:r>
        <w:tab/>
        <w:t xml:space="preserve">A general conditional contract is </w:t>
      </w:r>
      <w:r>
        <w:rPr>
          <w:b/>
        </w:rPr>
        <w:t>“</w:t>
      </w:r>
      <w:r>
        <w:rPr>
          <w:rStyle w:val="CharDefText"/>
        </w:rPr>
        <w:t>terminated on relevant grounds</w:t>
      </w:r>
      <w:r>
        <w:rPr>
          <w:b/>
        </w:rPr>
        <w:t>”</w:t>
      </w:r>
      <w:r>
        <w:t xml:space="preserve"> if —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 xml:space="preserve">Repealed by No. 2 of 2003 s. 7.] </w:t>
      </w:r>
    </w:p>
    <w:p>
      <w:pPr>
        <w:pStyle w:val="Heading2"/>
      </w:pPr>
      <w:bookmarkStart w:id="112" w:name="_Toc76899509"/>
      <w:bookmarkStart w:id="113" w:name="_Toc78090411"/>
      <w:bookmarkStart w:id="114" w:name="_Toc88886779"/>
      <w:bookmarkStart w:id="115" w:name="_Toc90443395"/>
      <w:bookmarkStart w:id="116" w:name="_Toc90452746"/>
      <w:bookmarkStart w:id="117" w:name="_Toc100029337"/>
      <w:bookmarkStart w:id="118" w:name="_Toc100031410"/>
      <w:bookmarkStart w:id="119" w:name="_Toc100458469"/>
      <w:bookmarkStart w:id="120" w:name="_Toc101671885"/>
      <w:bookmarkStart w:id="121" w:name="_Toc101672142"/>
      <w:bookmarkStart w:id="122" w:name="_Toc102799168"/>
      <w:bookmarkStart w:id="123" w:name="_Toc102981842"/>
      <w:bookmarkStart w:id="124" w:name="_Toc103403155"/>
      <w:bookmarkStart w:id="125" w:name="_Toc103403412"/>
      <w:bookmarkStart w:id="126" w:name="_Toc103747411"/>
      <w:bookmarkStart w:id="127" w:name="_Toc107054840"/>
      <w:bookmarkStart w:id="128" w:name="_Toc113874287"/>
      <w:bookmarkStart w:id="129" w:name="_Toc113956703"/>
      <w:bookmarkStart w:id="130" w:name="_Toc116717259"/>
      <w:bookmarkStart w:id="131" w:name="_Toc116813286"/>
      <w:bookmarkStart w:id="132" w:name="_Toc122332938"/>
      <w:bookmarkStart w:id="133" w:name="_Toc122861908"/>
      <w:bookmarkStart w:id="134" w:name="_Toc122862504"/>
      <w:bookmarkStart w:id="135" w:name="_Toc122921111"/>
      <w:bookmarkStart w:id="136" w:name="_Toc122921371"/>
      <w:bookmarkStart w:id="137" w:name="_Toc122947316"/>
      <w:bookmarkStart w:id="138" w:name="_Toc124046152"/>
      <w:bookmarkStart w:id="139" w:name="_Toc131415737"/>
      <w:bookmarkStart w:id="140" w:name="_Toc131416036"/>
      <w:bookmarkStart w:id="141" w:name="_Toc170193219"/>
      <w:r>
        <w:rPr>
          <w:rStyle w:val="CharPartNo"/>
        </w:rPr>
        <w:t>Part III</w:t>
      </w:r>
      <w:r>
        <w:rPr>
          <w:rStyle w:val="CharDivNo"/>
        </w:rPr>
        <w:t> </w:t>
      </w:r>
      <w:r>
        <w:t>—</w:t>
      </w:r>
      <w:r>
        <w:rPr>
          <w:rStyle w:val="CharDivText"/>
        </w:rPr>
        <w:t> </w:t>
      </w:r>
      <w:r>
        <w:rPr>
          <w:rStyle w:val="CharPartText"/>
        </w:rPr>
        <w:t>General provisions</w:t>
      </w:r>
      <w:bookmarkEnd w:id="8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500739879"/>
      <w:bookmarkStart w:id="143" w:name="_Toc520101070"/>
      <w:bookmarkStart w:id="144" w:name="_Toc520532969"/>
      <w:bookmarkStart w:id="145" w:name="_Toc49223862"/>
      <w:bookmarkStart w:id="146" w:name="_Toc107054841"/>
      <w:bookmarkStart w:id="147" w:name="_Toc131416037"/>
      <w:bookmarkStart w:id="148" w:name="_Toc170193220"/>
      <w:r>
        <w:rPr>
          <w:rStyle w:val="CharSectno"/>
        </w:rPr>
        <w:t>16</w:t>
      </w:r>
      <w:r>
        <w:rPr>
          <w:snapToGrid w:val="0"/>
        </w:rPr>
        <w:t>.</w:t>
      </w:r>
      <w:r>
        <w:rPr>
          <w:snapToGrid w:val="0"/>
        </w:rPr>
        <w:tab/>
        <w:t>Charge of duties on instruments</w:t>
      </w:r>
      <w:bookmarkEnd w:id="142"/>
      <w:bookmarkEnd w:id="143"/>
      <w:bookmarkEnd w:id="144"/>
      <w:bookmarkEnd w:id="145"/>
      <w:bookmarkEnd w:id="146"/>
      <w:bookmarkEnd w:id="147"/>
      <w:bookmarkEnd w:id="148"/>
      <w:r>
        <w:rPr>
          <w:snapToGrid w:val="0"/>
        </w:rPr>
        <w:t xml:space="preserve"> </w:t>
      </w:r>
    </w:p>
    <w:p>
      <w:pPr>
        <w:pStyle w:val="Subsection"/>
        <w:spacing w:before="140"/>
        <w:rPr>
          <w:snapToGrid w:val="0"/>
        </w:rPr>
      </w:pPr>
      <w:r>
        <w:rPr>
          <w:snapToGrid w:val="0"/>
        </w:rPr>
        <w:tab/>
        <w:t>(1)</w:t>
      </w:r>
      <w:r>
        <w:rPr>
          <w:snapToGrid w:val="0"/>
        </w:rPr>
        <w:tab/>
        <w:t>From and after the commencement of this Act </w:t>
      </w:r>
      <w:r>
        <w:rPr>
          <w:snapToGrid w:val="0"/>
          <w:vertAlign w:val="superscript"/>
        </w:rPr>
        <w:t>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 xml:space="preserve">[Section 16 amended by No. 21 of 1961 s. 2; No. 3 of 1971 s. 2; No. 37 of 1979 s. 14; No. 112 of 1982 s. 3; No. 98 of 1986 s. 4; No. 33 of 1987 s. 6; No. 41 of 1989 s. 7; No. 2 of 2003 s. 8; No. 12 of 2004 s. 16.] </w:t>
      </w:r>
    </w:p>
    <w:p>
      <w:pPr>
        <w:pStyle w:val="Heading5"/>
      </w:pPr>
      <w:bookmarkStart w:id="149" w:name="_Toc49223863"/>
      <w:bookmarkStart w:id="150" w:name="_Toc107054842"/>
      <w:bookmarkStart w:id="151" w:name="_Toc131416038"/>
      <w:bookmarkStart w:id="152" w:name="_Toc170193221"/>
      <w:bookmarkStart w:id="153" w:name="_Toc500739881"/>
      <w:bookmarkStart w:id="154" w:name="_Toc520101072"/>
      <w:bookmarkStart w:id="155" w:name="_Toc520532971"/>
      <w:r>
        <w:rPr>
          <w:rStyle w:val="CharSectno"/>
        </w:rPr>
        <w:t>17</w:t>
      </w:r>
      <w:r>
        <w:t>.</w:t>
      </w:r>
      <w:r>
        <w:tab/>
        <w:t>Liability to pay duty</w:t>
      </w:r>
      <w:bookmarkEnd w:id="149"/>
      <w:bookmarkEnd w:id="150"/>
      <w:bookmarkEnd w:id="151"/>
      <w:bookmarkEnd w:id="152"/>
    </w:p>
    <w:p>
      <w:pPr>
        <w:pStyle w:val="Subsection"/>
        <w:keepNext/>
      </w:pPr>
      <w:r>
        <w:tab/>
        <w:t>(1)</w:t>
      </w:r>
      <w:r>
        <w:tab/>
        <w:t xml:space="preserve">The person liable to pay duty on an instrument is —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 xml:space="preserve">[Section 17 inserted by No. 2 of 2003 s. 9; amended by No. 66 of 2003 s. 6.] </w:t>
      </w:r>
    </w:p>
    <w:p>
      <w:pPr>
        <w:pStyle w:val="Heading5"/>
      </w:pPr>
      <w:bookmarkStart w:id="156" w:name="_Toc49223864"/>
      <w:bookmarkStart w:id="157" w:name="_Toc107054843"/>
      <w:bookmarkStart w:id="158" w:name="_Toc131416039"/>
      <w:bookmarkStart w:id="159" w:name="_Toc170193222"/>
      <w:r>
        <w:rPr>
          <w:rStyle w:val="CharSectno"/>
        </w:rPr>
        <w:t>17A</w:t>
      </w:r>
      <w:r>
        <w:t>.</w:t>
      </w:r>
      <w:r>
        <w:tab/>
        <w:t>Time for payment of duty</w:t>
      </w:r>
      <w:bookmarkEnd w:id="156"/>
      <w:bookmarkEnd w:id="157"/>
      <w:bookmarkEnd w:id="158"/>
      <w:bookmarkEnd w:id="159"/>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 xml:space="preserve">[Section 17A inserted by No. 2 of 2003 s. 9.] </w:t>
      </w:r>
    </w:p>
    <w:p>
      <w:pPr>
        <w:pStyle w:val="Heading5"/>
      </w:pPr>
      <w:bookmarkStart w:id="160" w:name="_Toc107054844"/>
      <w:bookmarkStart w:id="161" w:name="_Toc131416040"/>
      <w:bookmarkStart w:id="162" w:name="_Toc170193223"/>
      <w:bookmarkStart w:id="163" w:name="_Toc49223865"/>
      <w:r>
        <w:rPr>
          <w:rStyle w:val="CharSectno"/>
        </w:rPr>
        <w:t>17AA</w:t>
      </w:r>
      <w:r>
        <w:t>.</w:t>
      </w:r>
      <w:r>
        <w:tab/>
        <w:t>Time for payment on certain conditional contracts</w:t>
      </w:r>
      <w:bookmarkEnd w:id="160"/>
      <w:bookmarkEnd w:id="161"/>
      <w:bookmarkEnd w:id="162"/>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64" w:name="_Toc107054845"/>
      <w:bookmarkStart w:id="165" w:name="_Toc131416041"/>
      <w:bookmarkStart w:id="166" w:name="_Toc170193224"/>
      <w:r>
        <w:rPr>
          <w:rStyle w:val="CharSectno"/>
        </w:rPr>
        <w:t>17B</w:t>
      </w:r>
      <w:r>
        <w:t>.</w:t>
      </w:r>
      <w:r>
        <w:tab/>
        <w:t>Requirement to lodge instrument</w:t>
      </w:r>
      <w:bookmarkEnd w:id="163"/>
      <w:bookmarkEnd w:id="164"/>
      <w:bookmarkEnd w:id="165"/>
      <w:bookmarkEnd w:id="166"/>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 xml:space="preserve">[Section 17B inserted by No. 2 of 2003 s. 9; amended by No. 66 of 2003 s. 7; No. 12 of 2004 s. 22.] </w:t>
      </w:r>
    </w:p>
    <w:p>
      <w:pPr>
        <w:pStyle w:val="Heading5"/>
      </w:pPr>
      <w:bookmarkStart w:id="167" w:name="_Toc107054846"/>
      <w:bookmarkStart w:id="168" w:name="_Toc131416042"/>
      <w:bookmarkStart w:id="169" w:name="_Toc170193225"/>
      <w:bookmarkStart w:id="170" w:name="_Toc49223866"/>
      <w:r>
        <w:rPr>
          <w:rStyle w:val="CharSectno"/>
        </w:rPr>
        <w:t>17BA</w:t>
      </w:r>
      <w:r>
        <w:t>.</w:t>
      </w:r>
      <w:r>
        <w:tab/>
        <w:t>Time for lodging certain conditional contracts</w:t>
      </w:r>
      <w:bookmarkEnd w:id="167"/>
      <w:bookmarkEnd w:id="168"/>
      <w:bookmarkEnd w:id="169"/>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 xml:space="preserve">If a general conditional contract is not required to be lodged under subsection (1), then the person who is, or may be, liable to pay duty on the contract must lodge the contract —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 xml:space="preserve">The person who is or may be liable to pay duty on a contract of any of the following kinds must lodge the contract with the Commissioner within 2 months after the day on which the contract was first executed — </w:t>
      </w:r>
    </w:p>
    <w:p>
      <w:pPr>
        <w:pStyle w:val="Indenta"/>
        <w:spacing w:before="60"/>
      </w:pPr>
      <w:r>
        <w:tab/>
        <w:t>(a)</w:t>
      </w:r>
      <w:r>
        <w:tab/>
        <w:t xml:space="preserve">a farming land conditional contract; </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71" w:name="_Toc107054847"/>
      <w:bookmarkStart w:id="172" w:name="_Toc131416043"/>
      <w:bookmarkStart w:id="173" w:name="_Toc170193226"/>
      <w:r>
        <w:rPr>
          <w:rStyle w:val="CharSectno"/>
        </w:rPr>
        <w:t>17C</w:t>
      </w:r>
      <w:r>
        <w:t>.</w:t>
      </w:r>
      <w:r>
        <w:tab/>
        <w:t>Instrument to be endorsed when duty paid etc.</w:t>
      </w:r>
      <w:bookmarkEnd w:id="170"/>
      <w:bookmarkEnd w:id="171"/>
      <w:bookmarkEnd w:id="172"/>
      <w:bookmarkEnd w:id="173"/>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 xml:space="preserve">then the Commissioner must —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 xml:space="preserve">The grant or transfer of a licence (as defined in section 76B) is taken to be endorsed in accordance with subsection (1) when it is granted or transferred. </w:t>
      </w:r>
    </w:p>
    <w:p>
      <w:pPr>
        <w:pStyle w:val="Subsection"/>
      </w:pPr>
      <w:r>
        <w:tab/>
        <w:t>(5)</w:t>
      </w:r>
      <w:r>
        <w:tab/>
        <w:t xml:space="preserve">An endorsement of an instrument, or on a copy or memorandum of an instrument, in a prescribed manner is </w:t>
      </w:r>
      <w:r>
        <w:rPr>
          <w:i/>
        </w:rPr>
        <w:t>prima facie</w:t>
      </w:r>
      <w:r>
        <w:t xml:space="preserv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pPr>
      <w:r>
        <w:tab/>
        <w:t xml:space="preserve">[Section 17C inserted by No. 2 of 2003 s. 9; amended by No. 66 of 2003 s. 8; No. 12 of 2004 s. 23.] </w:t>
      </w:r>
    </w:p>
    <w:p>
      <w:pPr>
        <w:pStyle w:val="Heading5"/>
        <w:rPr>
          <w:snapToGrid w:val="0"/>
        </w:rPr>
      </w:pPr>
      <w:bookmarkStart w:id="174" w:name="_Toc49223867"/>
      <w:bookmarkStart w:id="175" w:name="_Toc107054848"/>
      <w:bookmarkStart w:id="176" w:name="_Toc131416044"/>
      <w:bookmarkStart w:id="177" w:name="_Toc170193227"/>
      <w:r>
        <w:rPr>
          <w:rStyle w:val="CharSectno"/>
        </w:rPr>
        <w:t>18</w:t>
      </w:r>
      <w:r>
        <w:rPr>
          <w:snapToGrid w:val="0"/>
        </w:rPr>
        <w:t>.</w:t>
      </w:r>
      <w:r>
        <w:rPr>
          <w:snapToGrid w:val="0"/>
        </w:rPr>
        <w:tab/>
        <w:t>How instruments to be written</w:t>
      </w:r>
      <w:bookmarkEnd w:id="153"/>
      <w:bookmarkEnd w:id="154"/>
      <w:bookmarkEnd w:id="155"/>
      <w:bookmarkEnd w:id="174"/>
      <w:bookmarkEnd w:id="175"/>
      <w:bookmarkEnd w:id="176"/>
      <w:bookmarkEnd w:id="177"/>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 xml:space="preserve">[Section 18 inserted by No. 37 of 1979 s. 16; amended by No. 2 of 2003 s. 10.] </w:t>
      </w:r>
    </w:p>
    <w:p>
      <w:pPr>
        <w:pStyle w:val="Heading5"/>
        <w:rPr>
          <w:snapToGrid w:val="0"/>
        </w:rPr>
      </w:pPr>
      <w:bookmarkStart w:id="178" w:name="_Toc500739882"/>
      <w:bookmarkStart w:id="179" w:name="_Toc520101073"/>
      <w:bookmarkStart w:id="180" w:name="_Toc520532972"/>
      <w:bookmarkStart w:id="181" w:name="_Toc49223868"/>
      <w:bookmarkStart w:id="182" w:name="_Toc107054849"/>
      <w:bookmarkStart w:id="183" w:name="_Toc131416045"/>
      <w:bookmarkStart w:id="184" w:name="_Toc170193228"/>
      <w:r>
        <w:rPr>
          <w:rStyle w:val="CharSectno"/>
        </w:rPr>
        <w:t>19</w:t>
      </w:r>
      <w:r>
        <w:rPr>
          <w:snapToGrid w:val="0"/>
        </w:rPr>
        <w:t>.</w:t>
      </w:r>
      <w:r>
        <w:rPr>
          <w:snapToGrid w:val="0"/>
        </w:rPr>
        <w:tab/>
        <w:t>Instruments to be separately charged with duty in certain cases</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Except where express provision to the contrary is made by this or any other Act —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pPr>
      <w:bookmarkStart w:id="185" w:name="_Toc500739883"/>
      <w:bookmarkStart w:id="186" w:name="_Toc520101074"/>
      <w:bookmarkStart w:id="187" w:name="_Toc520532973"/>
      <w:r>
        <w:tab/>
        <w:t xml:space="preserve">[Section 19 amended by No. 2 of 2003 s. 11.] </w:t>
      </w:r>
    </w:p>
    <w:p>
      <w:pPr>
        <w:pStyle w:val="Heading5"/>
      </w:pPr>
      <w:bookmarkStart w:id="188" w:name="_Toc49223869"/>
      <w:bookmarkStart w:id="189" w:name="_Toc107054850"/>
      <w:bookmarkStart w:id="190" w:name="_Toc131416046"/>
      <w:bookmarkStart w:id="191" w:name="_Toc170193229"/>
      <w:bookmarkEnd w:id="185"/>
      <w:bookmarkEnd w:id="186"/>
      <w:bookmarkEnd w:id="187"/>
      <w:r>
        <w:rPr>
          <w:rStyle w:val="CharSectno"/>
        </w:rPr>
        <w:t>20</w:t>
      </w:r>
      <w:r>
        <w:t>.</w:t>
      </w:r>
      <w:r>
        <w:tab/>
        <w:t>Reduction of duty if matter not carried into effect</w:t>
      </w:r>
      <w:bookmarkEnd w:id="188"/>
      <w:bookmarkEnd w:id="189"/>
      <w:bookmarkEnd w:id="190"/>
      <w:bookmarkEnd w:id="191"/>
    </w:p>
    <w:p>
      <w:pPr>
        <w:pStyle w:val="Subsection"/>
      </w:pPr>
      <w:r>
        <w:tab/>
        <w:t>(1)</w:t>
      </w:r>
      <w:r>
        <w:tab/>
        <w:t xml:space="preserve">The amount of duty payable on an instrument is reduced by the amount of the full duty payable in respect of a matter included in the instrument if the Commissioner is satisfied that —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 xml:space="preserve">The amount of duty payable on an instrument is reduced in accordance with subsection (3) if the Commissioner is satisfied that — </w:t>
      </w:r>
    </w:p>
    <w:p>
      <w:pPr>
        <w:pStyle w:val="Indenta"/>
      </w:pPr>
      <w:r>
        <w:tab/>
        <w:t>(a)</w:t>
      </w:r>
      <w:r>
        <w:tab/>
        <w:t>a matter included in an instrument has not been, and will not be, carried into effect;</w:t>
      </w:r>
    </w:p>
    <w:p>
      <w:pPr>
        <w:pStyle w:val="Indenta"/>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 xml:space="preserve">A taxpayer receives a benefit in respect of a matter contained in an instrument chargeable as a conveyance or transfer of property if —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 xml:space="preserve">In this section —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pPr>
      <w:r>
        <w:tab/>
        <w:t xml:space="preserve">[Section 20 inserted by No. 2 of 2003 s. 12.] </w:t>
      </w:r>
    </w:p>
    <w:p>
      <w:pPr>
        <w:pStyle w:val="Ednotesection"/>
        <w:spacing w:before="200"/>
      </w:pPr>
      <w:r>
        <w:t>[</w:t>
      </w:r>
      <w:r>
        <w:rPr>
          <w:b/>
        </w:rPr>
        <w:t>21.</w:t>
      </w:r>
      <w:r>
        <w:rPr>
          <w:b/>
        </w:rPr>
        <w:tab/>
      </w:r>
      <w:r>
        <w:t xml:space="preserve">Repealed by No. 2 of 2003 s. 12.] </w:t>
      </w:r>
    </w:p>
    <w:p>
      <w:pPr>
        <w:pStyle w:val="Ednotesection"/>
        <w:spacing w:before="200"/>
        <w:ind w:left="890" w:hanging="890"/>
      </w:pPr>
      <w:r>
        <w:t>[</w:t>
      </w:r>
      <w:r>
        <w:rPr>
          <w:b/>
        </w:rPr>
        <w:t>22.</w:t>
      </w:r>
      <w:r>
        <w:tab/>
      </w:r>
      <w:r>
        <w:tab/>
        <w:t xml:space="preserve">Repealed by No. 37 of 1979 s. 18.] </w:t>
      </w:r>
    </w:p>
    <w:p>
      <w:pPr>
        <w:pStyle w:val="Ednotesection"/>
        <w:keepNext/>
        <w:spacing w:before="200"/>
      </w:pPr>
      <w:r>
        <w:t>[</w:t>
      </w:r>
      <w:r>
        <w:rPr>
          <w:b/>
        </w:rPr>
        <w:t>23.</w:t>
      </w:r>
      <w:r>
        <w:rPr>
          <w:b/>
        </w:rPr>
        <w:tab/>
      </w:r>
      <w:r>
        <w:t xml:space="preserve">Repealed by No. 2 of 2003 s. 12.] </w:t>
      </w:r>
    </w:p>
    <w:p>
      <w:pPr>
        <w:pStyle w:val="Ednotesection"/>
        <w:keepNext/>
        <w:spacing w:before="200"/>
        <w:ind w:left="890" w:hanging="890"/>
      </w:pPr>
      <w:r>
        <w:t>[</w:t>
      </w:r>
      <w:r>
        <w:rPr>
          <w:b/>
        </w:rPr>
        <w:t>24, 25.</w:t>
      </w:r>
      <w:r>
        <w:tab/>
        <w:t xml:space="preserve">Repealed by No. 37 of 1979 s. 20.] </w:t>
      </w:r>
    </w:p>
    <w:p>
      <w:pPr>
        <w:pStyle w:val="Heading5"/>
        <w:keepNext w:val="0"/>
        <w:keepLines w:val="0"/>
        <w:rPr>
          <w:snapToGrid w:val="0"/>
        </w:rPr>
      </w:pPr>
      <w:bookmarkStart w:id="192" w:name="_Toc500739886"/>
      <w:bookmarkStart w:id="193" w:name="_Toc520101077"/>
      <w:bookmarkStart w:id="194" w:name="_Toc520532976"/>
      <w:bookmarkStart w:id="195" w:name="_Toc49223870"/>
      <w:bookmarkStart w:id="196" w:name="_Toc107054851"/>
      <w:bookmarkStart w:id="197" w:name="_Toc131416047"/>
      <w:bookmarkStart w:id="198" w:name="_Toc170193230"/>
      <w:r>
        <w:rPr>
          <w:rStyle w:val="CharSectno"/>
        </w:rPr>
        <w:t>26</w:t>
      </w:r>
      <w:r>
        <w:rPr>
          <w:snapToGrid w:val="0"/>
        </w:rPr>
        <w:t>.</w:t>
      </w:r>
      <w:r>
        <w:rPr>
          <w:snapToGrid w:val="0"/>
        </w:rPr>
        <w:tab/>
        <w:t>Facts and circumstances affecting duty to be set forth in instrument</w:t>
      </w:r>
      <w:bookmarkEnd w:id="192"/>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keepNext/>
        <w:keepLines/>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 xml:space="preserve">[Section 26 amended by No. 113 of 1965 s. 4(1); No. 37 of 1979 s. 21; No. 81 of 1984 s. 8; No. 33 of 1987 s. 8; No. 20 of 1996 s. 18; No. 2 of 2003 s. 13.] </w:t>
      </w:r>
    </w:p>
    <w:p>
      <w:pPr>
        <w:pStyle w:val="Heading5"/>
        <w:spacing w:before="200"/>
        <w:rPr>
          <w:snapToGrid w:val="0"/>
        </w:rPr>
      </w:pPr>
      <w:bookmarkStart w:id="199" w:name="_Toc500739887"/>
      <w:bookmarkStart w:id="200" w:name="_Toc520101078"/>
      <w:bookmarkStart w:id="201" w:name="_Toc520532977"/>
      <w:bookmarkStart w:id="202" w:name="_Toc49223871"/>
      <w:bookmarkStart w:id="203" w:name="_Toc107054852"/>
      <w:bookmarkStart w:id="204" w:name="_Toc131416048"/>
      <w:bookmarkStart w:id="205" w:name="_Toc170193231"/>
      <w:r>
        <w:rPr>
          <w:rStyle w:val="CharSectno"/>
        </w:rPr>
        <w:t>27</w:t>
      </w:r>
      <w:r>
        <w:rPr>
          <w:snapToGrid w:val="0"/>
        </w:rPr>
        <w:t>.</w:t>
      </w:r>
      <w:r>
        <w:rPr>
          <w:snapToGrid w:val="0"/>
        </w:rPr>
        <w:tab/>
        <w:t>Instruments not stamped inadmissible except in criminal proceedings</w:t>
      </w:r>
      <w:bookmarkEnd w:id="199"/>
      <w:bookmarkEnd w:id="200"/>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 </w:t>
      </w:r>
    </w:p>
    <w:p>
      <w:pPr>
        <w:pStyle w:val="Indenta"/>
      </w:pPr>
      <w:r>
        <w:tab/>
        <w:t>(a)</w:t>
      </w:r>
      <w:r>
        <w:tab/>
        <w:t xml:space="preserve">affords any evidence of — </w:t>
      </w:r>
    </w:p>
    <w:p>
      <w:pPr>
        <w:pStyle w:val="Indenti"/>
        <w:spacing w:before="60"/>
      </w:pPr>
      <w:r>
        <w:tab/>
        <w:t>(i)</w:t>
      </w:r>
      <w:r>
        <w:tab/>
        <w:t>an acquisition to which section 31B applies;</w:t>
      </w:r>
    </w:p>
    <w:p>
      <w:pPr>
        <w:pStyle w:val="Indenti"/>
        <w:spacing w:before="60"/>
      </w:pPr>
      <w:r>
        <w:tab/>
        <w:t>(ii)</w:t>
      </w:r>
      <w:r>
        <w:tab/>
        <w:t>a transfer to which section 31C applies;</w:t>
      </w:r>
    </w:p>
    <w:p>
      <w:pPr>
        <w:pStyle w:val="Indenti"/>
        <w:spacing w:before="60"/>
      </w:pPr>
      <w:r>
        <w:tab/>
        <w:t>(iii)</w:t>
      </w:r>
      <w:r>
        <w:tab/>
        <w:t>a disposition to which section 73DAA(1) applies; or</w:t>
      </w:r>
    </w:p>
    <w:p>
      <w:pPr>
        <w:pStyle w:val="Indenti"/>
        <w:spacing w:before="60"/>
      </w:pPr>
      <w:r>
        <w:tab/>
        <w:t>(iv)</w:t>
      </w:r>
      <w:r>
        <w:tab/>
        <w:t>a transaction referred to in section 77A(1);</w:t>
      </w:r>
    </w:p>
    <w:p>
      <w:pPr>
        <w:pStyle w:val="Indenta"/>
        <w:spacing w:before="60"/>
      </w:pPr>
      <w:r>
        <w:tab/>
      </w:r>
      <w:r>
        <w:tab/>
        <w:t>and</w:t>
      </w:r>
    </w:p>
    <w:p>
      <w:pPr>
        <w:pStyle w:val="Indenta"/>
        <w:spacing w:before="60"/>
        <w:rPr>
          <w:snapToGrid w:val="0"/>
        </w:rPr>
      </w:pPr>
      <w:r>
        <w:rPr>
          <w:snapToGrid w:val="0"/>
        </w:rPr>
        <w:tab/>
        <w:t>(b)</w:t>
      </w:r>
      <w:r>
        <w:rPr>
          <w:snapToGrid w:val="0"/>
        </w:rPr>
        <w:tab/>
        <w:t>is a document — </w:t>
      </w:r>
    </w:p>
    <w:p>
      <w:pPr>
        <w:pStyle w:val="Indenti"/>
        <w:spacing w:before="60"/>
      </w:pPr>
      <w:r>
        <w:tab/>
        <w:t>(i)</w:t>
      </w:r>
      <w:r>
        <w:tab/>
        <w:t>relating to an acquisition, transaction, disposition or transfer for which a dutiable statement is required to be lodged under section 31B, 31C, 73DAA(1) or 77A; but</w:t>
      </w:r>
    </w:p>
    <w:p>
      <w:pPr>
        <w:pStyle w:val="Indenti"/>
        <w:spacing w:before="60"/>
        <w:rPr>
          <w:snapToGrid w:val="0"/>
        </w:rPr>
      </w:pPr>
      <w:r>
        <w:rPr>
          <w:snapToGrid w:val="0"/>
        </w:rPr>
        <w:tab/>
        <w:t>(ii)</w:t>
      </w:r>
      <w:r>
        <w:rPr>
          <w:snapToGrid w:val="0"/>
        </w:rPr>
        <w:tab/>
        <w:t>which is not itself chargeable with duty,</w:t>
      </w:r>
    </w:p>
    <w:p>
      <w:pPr>
        <w:pStyle w:val="Subsection"/>
        <w:spacing w:before="140"/>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spacing w:before="140"/>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 xml:space="preserve">[Section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 </w:t>
      </w:r>
    </w:p>
    <w:p>
      <w:pPr>
        <w:pStyle w:val="Heading5"/>
        <w:spacing w:before="180"/>
        <w:rPr>
          <w:snapToGrid w:val="0"/>
        </w:rPr>
      </w:pPr>
      <w:bookmarkStart w:id="206" w:name="_Toc500739888"/>
      <w:bookmarkStart w:id="207" w:name="_Toc520101079"/>
      <w:bookmarkStart w:id="208" w:name="_Toc520532978"/>
      <w:bookmarkStart w:id="209" w:name="_Toc49223872"/>
      <w:bookmarkStart w:id="210" w:name="_Toc107054853"/>
      <w:bookmarkStart w:id="211" w:name="_Toc131416049"/>
      <w:bookmarkStart w:id="212" w:name="_Toc170193232"/>
      <w:r>
        <w:rPr>
          <w:rStyle w:val="CharSectno"/>
        </w:rPr>
        <w:t>28</w:t>
      </w:r>
      <w:r>
        <w:rPr>
          <w:snapToGrid w:val="0"/>
        </w:rPr>
        <w:t>.</w:t>
      </w:r>
      <w:r>
        <w:rPr>
          <w:snapToGrid w:val="0"/>
        </w:rPr>
        <w:tab/>
        <w:t>No instrument to be registered, etc. unless stamped</w:t>
      </w:r>
      <w:bookmarkEnd w:id="206"/>
      <w:bookmarkEnd w:id="207"/>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A person whose duty it is to receive, register, enrol, enter or record —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 xml:space="preserve">If a caveat relates to an instrument which is liable to duty or a document referred to in section 27(2) the registrar must reject the caveat unless —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 xml:space="preserve">If a caveat relates to an instrument that is not liable to duty the registrar may reject it unless when it is lodged it is accompanied by a statutory declaration —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 xml:space="preserve">In subsections (4) and (5) — </w:t>
      </w:r>
    </w:p>
    <w:p>
      <w:pPr>
        <w:pStyle w:val="Defstart"/>
        <w:keepNext/>
      </w:pPr>
      <w:r>
        <w:tab/>
      </w:r>
      <w:r>
        <w:rPr>
          <w:b/>
        </w:rPr>
        <w:t>“</w:t>
      </w:r>
      <w:r>
        <w:rPr>
          <w:rStyle w:val="CharDefText"/>
        </w:rPr>
        <w:t>caveat</w:t>
      </w:r>
      <w:r>
        <w:rPr>
          <w:b/>
        </w:rPr>
        <w:t>”</w:t>
      </w:r>
      <w:r>
        <w:t xml:space="preserve"> means a caveat lodged under — </w:t>
      </w:r>
    </w:p>
    <w:p>
      <w:pPr>
        <w:pStyle w:val="Defpara"/>
      </w:pPr>
      <w:r>
        <w:tab/>
        <w:t>(a)</w:t>
      </w:r>
      <w:r>
        <w:tab/>
        <w:t xml:space="preserve">Part V of the </w:t>
      </w:r>
      <w:r>
        <w:rPr>
          <w:i/>
        </w:rPr>
        <w:t>Transfer of Land Act 1893</w:t>
      </w:r>
      <w:r>
        <w:t xml:space="preserve">; or </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 xml:space="preserve">[Section 28 inserted by No. 37 of 1979 s. 22; amended by No. 93 of 1982 s. 4; No. 81 of 1984 s. 9; No. 98 of 1986 s. 7; No. 33 of 1987 s. 10; No. 41 of 1989 s. 9; No. 36 of 2001 s. 15; No. 2 of 2003 s. 15; No. 66 of 2003 s. 10.] </w:t>
      </w:r>
    </w:p>
    <w:p>
      <w:pPr>
        <w:pStyle w:val="Heading5"/>
        <w:rPr>
          <w:snapToGrid w:val="0"/>
        </w:rPr>
      </w:pPr>
      <w:bookmarkStart w:id="213" w:name="_Toc500739889"/>
      <w:bookmarkStart w:id="214" w:name="_Toc520101080"/>
      <w:bookmarkStart w:id="215" w:name="_Toc520532979"/>
      <w:bookmarkStart w:id="216" w:name="_Toc49223873"/>
      <w:bookmarkStart w:id="217" w:name="_Toc107054854"/>
      <w:bookmarkStart w:id="218" w:name="_Toc131416050"/>
      <w:bookmarkStart w:id="219" w:name="_Toc170193233"/>
      <w:r>
        <w:rPr>
          <w:rStyle w:val="CharSectno"/>
        </w:rPr>
        <w:t>29</w:t>
      </w:r>
      <w:r>
        <w:rPr>
          <w:snapToGrid w:val="0"/>
        </w:rPr>
        <w:t>.</w:t>
      </w:r>
      <w:r>
        <w:rPr>
          <w:snapToGrid w:val="0"/>
        </w:rPr>
        <w:tab/>
      </w:r>
      <w:bookmarkEnd w:id="213"/>
      <w:bookmarkEnd w:id="214"/>
      <w:bookmarkEnd w:id="215"/>
      <w:r>
        <w:rPr>
          <w:snapToGrid w:val="0"/>
        </w:rPr>
        <w:t>Production of instruments as evidence</w:t>
      </w:r>
      <w:bookmarkEnd w:id="216"/>
      <w:bookmarkEnd w:id="217"/>
      <w:bookmarkEnd w:id="218"/>
      <w:bookmarkEnd w:id="219"/>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 xml:space="preserve">[Section 29 amended by No. 9 of 1974 s. 10; No. 37 of 1979 s. 23; No. 98 of 1986 s. 8; No. 33 of 1987 s. 11; No. 57 of 1997 s. 113(1); No. 36 of 2001 s. 16; No. 2 of 2003 s. 16; No. 66 of 2003 s. 11.] </w:t>
      </w:r>
    </w:p>
    <w:p>
      <w:pPr>
        <w:pStyle w:val="Heading5"/>
        <w:rPr>
          <w:snapToGrid w:val="0"/>
        </w:rPr>
      </w:pPr>
      <w:bookmarkStart w:id="220" w:name="_Toc500739890"/>
      <w:bookmarkStart w:id="221" w:name="_Toc520101081"/>
      <w:bookmarkStart w:id="222" w:name="_Toc520532980"/>
      <w:bookmarkStart w:id="223" w:name="_Toc49223874"/>
      <w:bookmarkStart w:id="224" w:name="_Toc107054855"/>
      <w:bookmarkStart w:id="225" w:name="_Toc131416051"/>
      <w:bookmarkStart w:id="226" w:name="_Toc170193234"/>
      <w:r>
        <w:rPr>
          <w:rStyle w:val="CharSectno"/>
        </w:rPr>
        <w:t>30</w:t>
      </w:r>
      <w:r>
        <w:rPr>
          <w:snapToGrid w:val="0"/>
        </w:rPr>
        <w:t>.</w:t>
      </w:r>
      <w:r>
        <w:rPr>
          <w:snapToGrid w:val="0"/>
        </w:rPr>
        <w:tab/>
        <w:t>Secondary evidence</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In proceedings in any court of civil judicature or before any arbitrator or referee, secondary evidence of —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 xml:space="preserve">[Section 30 inserted by No. 98 of 1986 s. 9; amended by No. 33 of 1987 s. 12; No. 36 of 2001 s. 17; No. 2 of 2003 s. 17; No. 66 of 2003 s. 12.] </w:t>
      </w:r>
    </w:p>
    <w:p>
      <w:pPr>
        <w:pStyle w:val="Heading5"/>
      </w:pPr>
      <w:bookmarkStart w:id="227" w:name="_Toc107054856"/>
      <w:bookmarkStart w:id="228" w:name="_Toc131416052"/>
      <w:bookmarkStart w:id="229" w:name="_Toc170193235"/>
      <w:r>
        <w:rPr>
          <w:rStyle w:val="CharSectno"/>
        </w:rPr>
        <w:t>31</w:t>
      </w:r>
      <w:r>
        <w:t>.</w:t>
      </w:r>
      <w:r>
        <w:tab/>
        <w:t>Stamped instruments as evidence</w:t>
      </w:r>
      <w:bookmarkEnd w:id="227"/>
      <w:bookmarkEnd w:id="228"/>
      <w:bookmarkEnd w:id="229"/>
    </w:p>
    <w:p>
      <w:pPr>
        <w:pStyle w:val="Subsection"/>
      </w:pPr>
      <w:r>
        <w:tab/>
      </w:r>
      <w:r>
        <w:tab/>
        <w:t xml:space="preserve">An instrument that has been stamped or is taken to have been stamped —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30" w:name="_Toc500739896"/>
      <w:bookmarkStart w:id="231" w:name="_Toc520101087"/>
      <w:bookmarkStart w:id="232" w:name="_Toc520532986"/>
      <w:r>
        <w:t>[</w:t>
      </w:r>
      <w:r>
        <w:rPr>
          <w:b/>
        </w:rPr>
        <w:t>31AA-31AC, 31A.</w:t>
      </w:r>
      <w:r>
        <w:tab/>
        <w:t xml:space="preserve">Repealed by No. 2 of 2003 s. 18.] </w:t>
      </w:r>
    </w:p>
    <w:p>
      <w:pPr>
        <w:pStyle w:val="Heading5"/>
      </w:pPr>
      <w:bookmarkStart w:id="233" w:name="_Toc107054857"/>
      <w:bookmarkStart w:id="234" w:name="_Toc131416053"/>
      <w:bookmarkStart w:id="235" w:name="_Toc170193236"/>
      <w:bookmarkStart w:id="236" w:name="_Toc49223876"/>
      <w:bookmarkStart w:id="237" w:name="_Toc500739897"/>
      <w:bookmarkStart w:id="238" w:name="_Toc520101088"/>
      <w:bookmarkStart w:id="239" w:name="_Toc520532987"/>
      <w:bookmarkEnd w:id="230"/>
      <w:bookmarkEnd w:id="231"/>
      <w:bookmarkEnd w:id="232"/>
      <w:r>
        <w:rPr>
          <w:rStyle w:val="CharSectno"/>
        </w:rPr>
        <w:t>31B</w:t>
      </w:r>
      <w:r>
        <w:t>.</w:t>
      </w:r>
      <w:r>
        <w:tab/>
        <w:t>Payment of duty on statements in absence of dutiable instrument</w:t>
      </w:r>
      <w:bookmarkEnd w:id="233"/>
      <w:bookmarkEnd w:id="234"/>
      <w:bookmarkEnd w:id="235"/>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 xml:space="preserve">Subject to subsection (8), this section applies to any of the following — </w:t>
      </w:r>
    </w:p>
    <w:p>
      <w:pPr>
        <w:pStyle w:val="Indenta"/>
      </w:pPr>
      <w:r>
        <w:tab/>
        <w:t>(a)</w:t>
      </w:r>
      <w:r>
        <w:tab/>
        <w:t xml:space="preserve">the acquisition of beneficial ownership of an estate or interest in —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 xml:space="preserve">Where —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 xml:space="preserve">This section does not apply to — </w:t>
      </w:r>
    </w:p>
    <w:p>
      <w:pPr>
        <w:pStyle w:val="Indenta"/>
      </w:pPr>
      <w:r>
        <w:tab/>
        <w:t>(a)</w:t>
      </w:r>
      <w:r>
        <w:tab/>
        <w:t xml:space="preserve">an acquisition effected by an instrument that is —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 xml:space="preserve">an acquisition evidenced by an instrument which, if the acquisition were effected by that instrument (irrespective of whether it is practicable or possible to do so), would be an acquisition effected by an instrument that is —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 xml:space="preserve">an acquisition which, if it were effected by an instrument (irrespective of whether it is practicable or possible to do so), would be effected by an instrument that is —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 xml:space="preserve">a transaction relating to chattels as referred to in subsection (3)(c) unless at least one of the transactions in the series relates to other property (as defined in section 70) and is —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40" w:name="_Toc107054858"/>
      <w:bookmarkStart w:id="241" w:name="_Toc131416054"/>
      <w:bookmarkStart w:id="242" w:name="_Toc170193237"/>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36"/>
      <w:bookmarkEnd w:id="240"/>
      <w:bookmarkEnd w:id="241"/>
      <w:bookmarkEnd w:id="242"/>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 xml:space="preserve">Repealed by No. 2 of 2003 s. 21.] </w:t>
      </w:r>
    </w:p>
    <w:p>
      <w:pPr>
        <w:pStyle w:val="Ednotesection"/>
      </w:pPr>
      <w:bookmarkStart w:id="243" w:name="_Toc500739898"/>
      <w:bookmarkStart w:id="244" w:name="_Toc520101089"/>
      <w:bookmarkStart w:id="245" w:name="_Toc520532988"/>
      <w:bookmarkEnd w:id="237"/>
      <w:bookmarkEnd w:id="238"/>
      <w:bookmarkEnd w:id="239"/>
      <w:r>
        <w:t>[</w:t>
      </w:r>
      <w:r>
        <w:rPr>
          <w:b/>
        </w:rPr>
        <w:t>32.</w:t>
      </w:r>
      <w:r>
        <w:tab/>
        <w:t xml:space="preserve">Repealed by No. 2 of 2003 s. 22.] </w:t>
      </w:r>
    </w:p>
    <w:p>
      <w:pPr>
        <w:pStyle w:val="Heading5"/>
      </w:pPr>
      <w:bookmarkStart w:id="246" w:name="_Toc49223877"/>
      <w:bookmarkStart w:id="247" w:name="_Toc107054859"/>
      <w:bookmarkStart w:id="248" w:name="_Toc131416055"/>
      <w:bookmarkStart w:id="249" w:name="_Toc170193238"/>
      <w:bookmarkStart w:id="250" w:name="_Toc500739899"/>
      <w:bookmarkStart w:id="251" w:name="_Toc520101090"/>
      <w:bookmarkStart w:id="252" w:name="_Toc520532989"/>
      <w:bookmarkEnd w:id="243"/>
      <w:bookmarkEnd w:id="244"/>
      <w:bookmarkEnd w:id="245"/>
      <w:r>
        <w:rPr>
          <w:rStyle w:val="CharSectno"/>
        </w:rPr>
        <w:t>33</w:t>
      </w:r>
      <w:r>
        <w:t>.</w:t>
      </w:r>
      <w:r>
        <w:tab/>
        <w:t>Valuation of land or other property</w:t>
      </w:r>
      <w:bookmarkEnd w:id="246"/>
      <w:bookmarkEnd w:id="247"/>
      <w:bookmarkEnd w:id="248"/>
      <w:bookmarkEnd w:id="249"/>
      <w:r>
        <w:t xml:space="preserve"> </w:t>
      </w:r>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 xml:space="preserve">When determining the unencumbered value of any land or other property for the purposes of a stamp Act —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 xml:space="preserve">An interest, agreement or arrangement is not to be disregarded if, in the Commissioner’s opinion — </w:t>
      </w:r>
    </w:p>
    <w:p>
      <w:pPr>
        <w:pStyle w:val="Indenta"/>
      </w:pPr>
      <w:r>
        <w:tab/>
        <w:t>(a)</w:t>
      </w:r>
      <w:r>
        <w:tab/>
        <w:t>it was not granted or made for the purpose of reducing the value of the land or other property; and</w:t>
      </w:r>
    </w:p>
    <w:p>
      <w:pPr>
        <w:pStyle w:val="Indenta"/>
      </w:pPr>
      <w:r>
        <w:tab/>
        <w:t>(b)</w:t>
      </w:r>
      <w:r>
        <w:tab/>
        <w:t xml:space="preserve">it was not granted to or made in favour of —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 xml:space="preserve">in the case of a relevant acquisition to which Division 3 of Part IIIBA applies — the person who acquired the majority interest or further interest; </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 xml:space="preserve">[Section 33 inserted by No. 2 of 2003 s. 22; amended by No. 11 of 2004 s. 10; 36 of 2005 s. 4.] </w:t>
      </w:r>
    </w:p>
    <w:p>
      <w:pPr>
        <w:pStyle w:val="Ednotesection"/>
      </w:pPr>
      <w:bookmarkStart w:id="253" w:name="_Toc500739900"/>
      <w:bookmarkStart w:id="254" w:name="_Toc520101091"/>
      <w:bookmarkStart w:id="255" w:name="_Toc520532990"/>
      <w:bookmarkEnd w:id="250"/>
      <w:bookmarkEnd w:id="251"/>
      <w:bookmarkEnd w:id="252"/>
      <w:r>
        <w:t>[</w:t>
      </w:r>
      <w:r>
        <w:rPr>
          <w:b/>
        </w:rPr>
        <w:t>33A.</w:t>
      </w:r>
      <w:r>
        <w:tab/>
        <w:t xml:space="preserve">Repealed by No. 2 of 2003 s. 22.] </w:t>
      </w:r>
    </w:p>
    <w:p>
      <w:pPr>
        <w:pStyle w:val="Heading5"/>
      </w:pPr>
      <w:bookmarkStart w:id="256" w:name="_Toc49223878"/>
      <w:bookmarkStart w:id="257" w:name="_Toc107054860"/>
      <w:bookmarkStart w:id="258" w:name="_Toc131416056"/>
      <w:bookmarkStart w:id="259" w:name="_Toc170193239"/>
      <w:bookmarkStart w:id="260" w:name="_Toc500739901"/>
      <w:bookmarkStart w:id="261" w:name="_Toc520101092"/>
      <w:bookmarkStart w:id="262" w:name="_Toc520532991"/>
      <w:bookmarkEnd w:id="253"/>
      <w:bookmarkEnd w:id="254"/>
      <w:bookmarkEnd w:id="255"/>
      <w:r>
        <w:rPr>
          <w:rStyle w:val="CharSectno"/>
        </w:rPr>
        <w:t>34</w:t>
      </w:r>
      <w:r>
        <w:t>.</w:t>
      </w:r>
      <w:r>
        <w:tab/>
        <w:t>Duplicates and counterparts</w:t>
      </w:r>
      <w:bookmarkEnd w:id="256"/>
      <w:bookmarkEnd w:id="257"/>
      <w:bookmarkEnd w:id="258"/>
      <w:bookmarkEnd w:id="259"/>
    </w:p>
    <w:p>
      <w:pPr>
        <w:pStyle w:val="Subsection"/>
      </w:pPr>
      <w:r>
        <w:tab/>
      </w:r>
      <w:r>
        <w:tab/>
        <w:t>A duplicate or counterpart of a stamped instrument is chargeable with duty under item 9 of the Second Schedule.</w:t>
      </w:r>
    </w:p>
    <w:p>
      <w:pPr>
        <w:pStyle w:val="Footnotesection"/>
      </w:pPr>
      <w:r>
        <w:tab/>
        <w:t xml:space="preserve">[Section 34 inserted by No. 2 of 2003 s. 22.] </w:t>
      </w:r>
    </w:p>
    <w:p>
      <w:pPr>
        <w:pStyle w:val="Ednotesection"/>
      </w:pPr>
      <w:bookmarkStart w:id="263" w:name="_Toc500739904"/>
      <w:bookmarkStart w:id="264" w:name="_Toc520101095"/>
      <w:bookmarkStart w:id="265" w:name="_Toc520532994"/>
      <w:bookmarkEnd w:id="260"/>
      <w:bookmarkEnd w:id="261"/>
      <w:bookmarkEnd w:id="262"/>
      <w:r>
        <w:t>[</w:t>
      </w:r>
      <w:r>
        <w:rPr>
          <w:b/>
        </w:rPr>
        <w:t>34A</w:t>
      </w:r>
      <w:r>
        <w:rPr>
          <w:b/>
        </w:rPr>
        <w:noBreakHyphen/>
        <w:t>34C.</w:t>
      </w:r>
      <w:r>
        <w:tab/>
        <w:t xml:space="preserve">Repealed by No. 2 of 2003 s. 22.] </w:t>
      </w:r>
    </w:p>
    <w:p>
      <w:pPr>
        <w:pStyle w:val="Heading5"/>
      </w:pPr>
      <w:bookmarkStart w:id="266" w:name="_Toc49223879"/>
      <w:bookmarkStart w:id="267" w:name="_Toc107054861"/>
      <w:bookmarkStart w:id="268" w:name="_Toc131416057"/>
      <w:bookmarkStart w:id="269" w:name="_Toc170193240"/>
      <w:bookmarkStart w:id="270" w:name="_Toc500739905"/>
      <w:bookmarkStart w:id="271" w:name="_Toc520101096"/>
      <w:bookmarkStart w:id="272" w:name="_Toc520532995"/>
      <w:bookmarkEnd w:id="263"/>
      <w:bookmarkEnd w:id="264"/>
      <w:bookmarkEnd w:id="265"/>
      <w:r>
        <w:rPr>
          <w:rStyle w:val="CharSectno"/>
        </w:rPr>
        <w:t>35</w:t>
      </w:r>
      <w:r>
        <w:t>.</w:t>
      </w:r>
      <w:r>
        <w:tab/>
        <w:t>Unlodged transfers — independent person’s obligations</w:t>
      </w:r>
      <w:bookmarkEnd w:id="266"/>
      <w:bookmarkEnd w:id="267"/>
      <w:bookmarkEnd w:id="268"/>
      <w:bookmarkEnd w:id="269"/>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 xml:space="preserve">A notification under subsection (2) must set out, to the extent that the information can be ascertained from the transfer or is otherwise known to the person —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 xml:space="preserve">[Section 35 inserted by No. 2 of 2003 s. 22; amended by No. 66 of 2003 s. 107(3).] </w:t>
      </w:r>
    </w:p>
    <w:p>
      <w:pPr>
        <w:pStyle w:val="Heading5"/>
        <w:rPr>
          <w:snapToGrid w:val="0"/>
        </w:rPr>
      </w:pPr>
      <w:bookmarkStart w:id="273" w:name="_Toc49223880"/>
      <w:bookmarkStart w:id="274" w:name="_Toc107054862"/>
      <w:bookmarkStart w:id="275" w:name="_Toc131416058"/>
      <w:bookmarkStart w:id="276" w:name="_Toc170193241"/>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 xml:space="preserve">[Section 36 amended by No. 93 of 1966 s. 5; No. 37 of 1979 s. 27; No. 2 of 2003 s. 23.] </w:t>
      </w:r>
    </w:p>
    <w:p>
      <w:pPr>
        <w:pStyle w:val="Ednotesection"/>
      </w:pPr>
      <w:bookmarkStart w:id="277" w:name="_Toc500739907"/>
      <w:bookmarkStart w:id="278" w:name="_Toc520101098"/>
      <w:bookmarkStart w:id="279" w:name="_Toc520532997"/>
      <w:r>
        <w:t>[</w:t>
      </w:r>
      <w:r>
        <w:rPr>
          <w:b/>
        </w:rPr>
        <w:t>37.</w:t>
      </w:r>
      <w:r>
        <w:tab/>
        <w:t xml:space="preserve">Repealed by No. 2 of 2003 s. 24.] </w:t>
      </w:r>
    </w:p>
    <w:p>
      <w:pPr>
        <w:pStyle w:val="Heading5"/>
      </w:pPr>
      <w:bookmarkStart w:id="280" w:name="_Toc49223881"/>
      <w:bookmarkStart w:id="281" w:name="_Toc107054863"/>
      <w:bookmarkStart w:id="282" w:name="_Toc131416059"/>
      <w:bookmarkStart w:id="283" w:name="_Toc170193242"/>
      <w:bookmarkStart w:id="284" w:name="_Toc500739908"/>
      <w:bookmarkStart w:id="285" w:name="_Toc520101099"/>
      <w:bookmarkStart w:id="286" w:name="_Toc520532998"/>
      <w:bookmarkEnd w:id="277"/>
      <w:bookmarkEnd w:id="278"/>
      <w:bookmarkEnd w:id="279"/>
      <w:r>
        <w:rPr>
          <w:rStyle w:val="CharSectno"/>
        </w:rPr>
        <w:t>38</w:t>
      </w:r>
      <w:r>
        <w:t>.</w:t>
      </w:r>
      <w:r>
        <w:tab/>
        <w:t>Instruments held in escrow</w:t>
      </w:r>
      <w:bookmarkEnd w:id="280"/>
      <w:bookmarkEnd w:id="281"/>
      <w:bookmarkEnd w:id="282"/>
      <w:bookmarkEnd w:id="283"/>
    </w:p>
    <w:p>
      <w:pPr>
        <w:pStyle w:val="Subsection"/>
      </w:pPr>
      <w:r>
        <w:tab/>
      </w:r>
      <w:r>
        <w:tab/>
        <w:t>For the purposes of a stamp Act an escrow is taken to be an instrument duly executed and delivered and is liable to duty accordingly.</w:t>
      </w:r>
    </w:p>
    <w:p>
      <w:pPr>
        <w:pStyle w:val="Footnotesection"/>
      </w:pPr>
      <w:r>
        <w:tab/>
        <w:t xml:space="preserve">[Section 38 inserted by No. 2 of 2003 s. 24.] </w:t>
      </w:r>
    </w:p>
    <w:p>
      <w:pPr>
        <w:pStyle w:val="Heading5"/>
      </w:pPr>
      <w:bookmarkStart w:id="287" w:name="_Toc107054864"/>
      <w:bookmarkStart w:id="288" w:name="_Toc131416060"/>
      <w:bookmarkStart w:id="289" w:name="_Toc170193243"/>
      <w:r>
        <w:rPr>
          <w:rStyle w:val="CharSectno"/>
        </w:rPr>
        <w:t>39</w:t>
      </w:r>
      <w:r>
        <w:t>.</w:t>
      </w:r>
      <w:r>
        <w:tab/>
        <w:t>Determining whether securities are situated in Western Australia</w:t>
      </w:r>
      <w:bookmarkEnd w:id="287"/>
      <w:bookmarkEnd w:id="288"/>
      <w:bookmarkEnd w:id="289"/>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284"/>
    <w:bookmarkEnd w:id="285"/>
    <w:bookmarkEnd w:id="286"/>
    <w:p>
      <w:pPr>
        <w:pStyle w:val="Ednotesection"/>
      </w:pPr>
      <w:r>
        <w:t>[</w:t>
      </w:r>
      <w:r>
        <w:rPr>
          <w:b/>
        </w:rPr>
        <w:t>39A.</w:t>
      </w:r>
      <w:r>
        <w:tab/>
        <w:t xml:space="preserve">Repealed by No. 2 of 2003 s. 24.] </w:t>
      </w:r>
    </w:p>
    <w:p>
      <w:pPr>
        <w:pStyle w:val="Heading5"/>
      </w:pPr>
      <w:bookmarkStart w:id="290" w:name="_Toc107054865"/>
      <w:bookmarkStart w:id="291" w:name="_Toc131416061"/>
      <w:bookmarkStart w:id="292" w:name="_Toc170193244"/>
      <w:r>
        <w:rPr>
          <w:rStyle w:val="CharSectno"/>
        </w:rPr>
        <w:t>40</w:t>
      </w:r>
      <w:r>
        <w:t>.</w:t>
      </w:r>
      <w:r>
        <w:tab/>
        <w:t>Valuing a marketable security or right in respect of shares</w:t>
      </w:r>
      <w:bookmarkEnd w:id="290"/>
      <w:bookmarkEnd w:id="291"/>
      <w:bookmarkEnd w:id="292"/>
    </w:p>
    <w:p>
      <w:pPr>
        <w:pStyle w:val="Subsection"/>
      </w:pPr>
      <w:r>
        <w:tab/>
        <w:t>(1)</w:t>
      </w:r>
      <w:r>
        <w:tab/>
        <w:t xml:space="preserve">The value of a marketable security or right in respect of shares is to be determined — </w:t>
      </w:r>
    </w:p>
    <w:p>
      <w:pPr>
        <w:pStyle w:val="Indenta"/>
      </w:pPr>
      <w:r>
        <w:tab/>
        <w:t>(a)</w:t>
      </w:r>
      <w:r>
        <w:tab/>
        <w:t xml:space="preserve">as if the constitution or governing rules of the issuer satisfied any requirements of the Australian Stock Exchange Limited that must be satisfied before the security or right could be quoted on the Australian Stock Exchange Limited; and </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 xml:space="preserve">Repealed by No. 37 of 1979 s. 30.] </w:t>
      </w:r>
    </w:p>
    <w:p>
      <w:pPr>
        <w:pStyle w:val="Ednotedivision"/>
      </w:pPr>
      <w:r>
        <w:t>[Headings before section 45 deleted by No. 37 of 1979 s. 31.]</w:t>
      </w:r>
    </w:p>
    <w:p>
      <w:pPr>
        <w:pStyle w:val="Ednotesection"/>
      </w:pPr>
      <w:r>
        <w:t>[</w:t>
      </w:r>
      <w:r>
        <w:rPr>
          <w:b/>
        </w:rPr>
        <w:t>45.</w:t>
      </w:r>
      <w:r>
        <w:tab/>
        <w:t xml:space="preserve">Repealed by No. 37 of 1979 s. 32.] </w:t>
      </w:r>
    </w:p>
    <w:p>
      <w:pPr>
        <w:pStyle w:val="Ednotesection"/>
      </w:pPr>
      <w:r>
        <w:t>[</w:t>
      </w:r>
      <w:r>
        <w:rPr>
          <w:b/>
        </w:rPr>
        <w:t>46</w:t>
      </w:r>
      <w:r>
        <w:rPr>
          <w:b/>
        </w:rPr>
        <w:noBreakHyphen/>
        <w:t>48.</w:t>
      </w:r>
      <w:r>
        <w:tab/>
        <w:t>Repealed by No. 72 of 1965 s. 6(b)</w:t>
      </w:r>
      <w:r>
        <w:noBreakHyphen/>
        <w:t xml:space="preserve">(d).] </w:t>
      </w:r>
    </w:p>
    <w:p>
      <w:pPr>
        <w:pStyle w:val="Ednotepart"/>
      </w:pPr>
      <w:r>
        <w:t>[Part IIIA (s. 49</w:t>
      </w:r>
      <w:r>
        <w:noBreakHyphen/>
        <w:t>50D) repealed by No. 66 of 2003 s. 16(1).]</w:t>
      </w:r>
    </w:p>
    <w:p>
      <w:pPr>
        <w:pStyle w:val="Ednotesection"/>
        <w:ind w:left="890" w:hanging="890"/>
      </w:pPr>
      <w:r>
        <w:t>[</w:t>
      </w:r>
      <w:r>
        <w:rPr>
          <w:b/>
        </w:rPr>
        <w:t>50E.</w:t>
      </w:r>
      <w:r>
        <w:tab/>
        <w:t xml:space="preserve">Repealed by No. 42 of 1993 s. 4.] </w:t>
      </w:r>
    </w:p>
    <w:p>
      <w:pPr>
        <w:pStyle w:val="Ednotesection"/>
        <w:ind w:left="890" w:hanging="890"/>
      </w:pPr>
      <w:r>
        <w:t>[</w:t>
      </w:r>
      <w:r>
        <w:rPr>
          <w:b/>
        </w:rPr>
        <w:t>51.</w:t>
      </w:r>
      <w:r>
        <w:tab/>
        <w:t xml:space="preserve">Repealed by No. 37 of 1979 s. 37.] </w:t>
      </w:r>
    </w:p>
    <w:p>
      <w:pPr>
        <w:pStyle w:val="Ednotesection"/>
        <w:ind w:left="890" w:hanging="890"/>
      </w:pPr>
      <w:r>
        <w:t>[</w:t>
      </w:r>
      <w:r>
        <w:rPr>
          <w:b/>
        </w:rPr>
        <w:t>52.</w:t>
      </w:r>
      <w:r>
        <w:tab/>
        <w:t xml:space="preserve">Repealed by No. 2 of 2003 s. 30.] </w:t>
      </w:r>
    </w:p>
    <w:p>
      <w:pPr>
        <w:pStyle w:val="Ednotesection"/>
        <w:ind w:left="890" w:hanging="890"/>
      </w:pPr>
      <w:r>
        <w:t>[</w:t>
      </w:r>
      <w:r>
        <w:rPr>
          <w:b/>
        </w:rPr>
        <w:t>53</w:t>
      </w:r>
      <w:r>
        <w:rPr>
          <w:b/>
        </w:rPr>
        <w:noBreakHyphen/>
        <w:t>60.</w:t>
      </w:r>
      <w:r>
        <w:tab/>
        <w:t xml:space="preserve">Repealed by No. 37 of 1979 s. 39.] </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293" w:name="_Toc58902538"/>
      <w:bookmarkStart w:id="294" w:name="_Toc76899535"/>
      <w:bookmarkStart w:id="295" w:name="_Toc78090437"/>
      <w:bookmarkStart w:id="296" w:name="_Toc88886805"/>
      <w:bookmarkStart w:id="297" w:name="_Toc90443421"/>
      <w:bookmarkStart w:id="298" w:name="_Toc90452772"/>
      <w:bookmarkStart w:id="299" w:name="_Toc100029363"/>
      <w:bookmarkStart w:id="300" w:name="_Toc100031436"/>
      <w:bookmarkStart w:id="301" w:name="_Toc100458495"/>
      <w:bookmarkStart w:id="302" w:name="_Toc101671911"/>
      <w:bookmarkStart w:id="303" w:name="_Toc101672168"/>
      <w:bookmarkStart w:id="304" w:name="_Toc102799194"/>
      <w:bookmarkStart w:id="305" w:name="_Toc102981868"/>
      <w:bookmarkStart w:id="306" w:name="_Toc103403181"/>
      <w:bookmarkStart w:id="307" w:name="_Toc103403438"/>
      <w:bookmarkStart w:id="308" w:name="_Toc103747437"/>
      <w:bookmarkStart w:id="309" w:name="_Toc107054866"/>
      <w:bookmarkStart w:id="310" w:name="_Toc113874313"/>
      <w:bookmarkStart w:id="311" w:name="_Toc113956729"/>
      <w:bookmarkStart w:id="312" w:name="_Toc116717285"/>
      <w:bookmarkStart w:id="313" w:name="_Toc116813312"/>
      <w:bookmarkStart w:id="314" w:name="_Toc122332964"/>
      <w:bookmarkStart w:id="315" w:name="_Toc122861934"/>
      <w:bookmarkStart w:id="316" w:name="_Toc122862530"/>
      <w:bookmarkStart w:id="317" w:name="_Toc122921137"/>
      <w:bookmarkStart w:id="318" w:name="_Toc122921397"/>
      <w:bookmarkStart w:id="319" w:name="_Toc122947342"/>
      <w:bookmarkStart w:id="320" w:name="_Toc124046178"/>
      <w:bookmarkStart w:id="321" w:name="_Toc131415763"/>
      <w:bookmarkStart w:id="322" w:name="_Toc131416062"/>
      <w:bookmarkStart w:id="323" w:name="_Toc170193245"/>
      <w:r>
        <w:rPr>
          <w:rStyle w:val="CharPartNo"/>
        </w:rPr>
        <w:t>Part IIIB</w:t>
      </w:r>
      <w:r>
        <w:rPr>
          <w:rStyle w:val="CharDivNo"/>
        </w:rPr>
        <w:t> </w:t>
      </w:r>
      <w:r>
        <w:t>—</w:t>
      </w:r>
      <w:r>
        <w:rPr>
          <w:rStyle w:val="CharDivText"/>
        </w:rPr>
        <w:t> </w:t>
      </w:r>
      <w:r>
        <w:rPr>
          <w:rStyle w:val="CharPartText"/>
        </w:rPr>
        <w:t>Conveyances and transfers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Footnoteheading"/>
        <w:tabs>
          <w:tab w:val="left" w:pos="923"/>
        </w:tabs>
        <w:rPr>
          <w:snapToGrid w:val="0"/>
        </w:rPr>
      </w:pPr>
      <w:r>
        <w:rPr>
          <w:snapToGrid w:val="0"/>
        </w:rPr>
        <w:tab/>
        <w:t xml:space="preserve">[Part heading inserted by No. 37 of 1979 s. 40.] </w:t>
      </w:r>
    </w:p>
    <w:p>
      <w:pPr>
        <w:pStyle w:val="Ednotedivision"/>
      </w:pPr>
      <w:bookmarkStart w:id="324" w:name="_Toc500739918"/>
      <w:bookmarkStart w:id="325" w:name="_Toc520101109"/>
      <w:bookmarkStart w:id="326" w:name="_Toc520533008"/>
      <w:r>
        <w:t>[Heading deleted by No. 2 of 2003 s. 31.]</w:t>
      </w:r>
    </w:p>
    <w:p>
      <w:pPr>
        <w:pStyle w:val="Heading5"/>
        <w:rPr>
          <w:snapToGrid w:val="0"/>
        </w:rPr>
      </w:pPr>
      <w:bookmarkStart w:id="327" w:name="_Toc49223888"/>
      <w:bookmarkStart w:id="328" w:name="_Toc107054867"/>
      <w:bookmarkStart w:id="329" w:name="_Toc131416063"/>
      <w:bookmarkStart w:id="330" w:name="_Toc170193246"/>
      <w:r>
        <w:rPr>
          <w:rStyle w:val="CharSectno"/>
        </w:rPr>
        <w:t>63</w:t>
      </w:r>
      <w:r>
        <w:rPr>
          <w:snapToGrid w:val="0"/>
        </w:rPr>
        <w:t>.</w:t>
      </w:r>
      <w:r>
        <w:rPr>
          <w:snapToGrid w:val="0"/>
        </w:rPr>
        <w:tab/>
        <w:t>Interpretation in Part IIIB</w:t>
      </w:r>
      <w:bookmarkEnd w:id="324"/>
      <w:bookmarkEnd w:id="325"/>
      <w:bookmarkEnd w:id="326"/>
      <w:bookmarkEnd w:id="327"/>
      <w:bookmarkEnd w:id="328"/>
      <w:bookmarkEnd w:id="329"/>
      <w:bookmarkEnd w:id="330"/>
    </w:p>
    <w:p>
      <w:pPr>
        <w:pStyle w:val="Subsection"/>
        <w:spacing w:before="140"/>
        <w:rPr>
          <w:snapToGrid w:val="0"/>
        </w:rPr>
      </w:pPr>
      <w:r>
        <w:rPr>
          <w:snapToGrid w:val="0"/>
        </w:rPr>
        <w:tab/>
        <w:t>(1)</w:t>
      </w:r>
      <w:r>
        <w:rPr>
          <w:snapToGrid w:val="0"/>
        </w:rPr>
        <w:tab/>
        <w:t>In this Part — </w:t>
      </w:r>
    </w:p>
    <w:p>
      <w:pPr>
        <w:pStyle w:val="Defstart"/>
        <w:spacing w:before="60"/>
      </w:pPr>
      <w:r>
        <w:rPr>
          <w:b/>
        </w:rPr>
        <w:tab/>
        <w:t>“</w:t>
      </w:r>
      <w:r>
        <w:rPr>
          <w:rStyle w:val="CharDefText"/>
        </w:rPr>
        <w:t>conveyance on sale</w:t>
      </w:r>
      <w:r>
        <w:rPr>
          <w:b/>
        </w:rPr>
        <w:t>”</w:t>
      </w:r>
      <w:r>
        <w:t xml:space="preserve"> includes —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xml:space="preserve">, in relation to a unit, includes —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 xml:space="preserve">in relation to a provisional public trust for which the prospectus or information memorandum has been, or is to be, lodged with the Australian Securities and Investments Commission — the period of one year beginning on —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 xml:space="preserve">For the purposes of sections 63AA(2a)(a) and 63AB(2)(g), the Commissioner may treat 2 or more parcels of land as a single parcel of land if the Commissioner is satisfied that it is appropriate to do so having regard to —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rPr>
          <w:snapToGrid w:val="0"/>
        </w:rPr>
      </w:pPr>
      <w:r>
        <w:rPr>
          <w:snapToGrid w:val="0"/>
        </w:rPr>
        <w:tab/>
        <w:t>(2)</w:t>
      </w:r>
      <w:r>
        <w:rPr>
          <w:snapToGrid w:val="0"/>
        </w:rPr>
        <w:tab/>
        <w:t xml:space="preserve">A unit trust scheme is a private unit trust scheme if at the time of any conveyance, transfer or </w:t>
      </w:r>
      <w:r>
        <w:t>other disposition of a unit —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 xml:space="preserve">For the purposes of subsection (2)(a) and (b)(ii) —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 xml:space="preserve">For the purposes of subsection (4), the following persons are related —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 xml:space="preserve">a trustee and a trustee of another trust if —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 xml:space="preserve">For the purposes of subsection (5) —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 xml:space="preserve">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rPr>
          <w:snapToGrid w:val="0"/>
        </w:rPr>
      </w:pPr>
      <w:r>
        <w:tab/>
        <w:t>(b)</w:t>
      </w:r>
      <w:r>
        <w:tab/>
        <w:t>such part of that property as the Commissioner determines.</w:t>
      </w:r>
    </w:p>
    <w:p>
      <w:pPr>
        <w:pStyle w:val="Footnotesection"/>
      </w:pPr>
      <w:r>
        <w:tab/>
        <w:t xml:space="preserve">[Section 63 inserted by No. 37 of 1979 s. 41; amended by No. 112 of 1982 s. 5; No. 33 of 1987 s. 15; No. 39 of 1994 s. 21; No. 48 of 1996 s. 44; No. 24 of 1999 s. 4; No. 3 of 2001 s. 18; No. 10 of 2001 s. 167; No. 36 of 2001 s. 26; No. 2 of 2003 s. 32; No. 66 of 2003 s. 17.] </w:t>
      </w:r>
    </w:p>
    <w:p>
      <w:pPr>
        <w:pStyle w:val="Heading5"/>
      </w:pPr>
      <w:bookmarkStart w:id="331" w:name="_Toc49223889"/>
      <w:bookmarkStart w:id="332" w:name="_Toc107054868"/>
      <w:bookmarkStart w:id="333" w:name="_Toc131416064"/>
      <w:bookmarkStart w:id="334" w:name="_Toc170193247"/>
      <w:bookmarkStart w:id="335" w:name="_Toc500739919"/>
      <w:bookmarkStart w:id="336" w:name="_Toc520101110"/>
      <w:bookmarkStart w:id="337" w:name="_Toc520533009"/>
      <w:r>
        <w:rPr>
          <w:rStyle w:val="CharSectno"/>
        </w:rPr>
        <w:t>63AA</w:t>
      </w:r>
      <w:r>
        <w:t>.</w:t>
      </w:r>
      <w:r>
        <w:tab/>
        <w:t>Registered unit trust schemes</w:t>
      </w:r>
      <w:bookmarkEnd w:id="331"/>
      <w:bookmarkEnd w:id="332"/>
      <w:bookmarkEnd w:id="333"/>
      <w:bookmarkEnd w:id="334"/>
    </w:p>
    <w:p>
      <w:pPr>
        <w:pStyle w:val="Subsection"/>
      </w:pPr>
      <w:r>
        <w:tab/>
        <w:t>(1)</w:t>
      </w:r>
      <w:r>
        <w:tab/>
        <w:t xml:space="preserve">In this section —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 xml:space="preserve">A unit trustee may apply to the Commissioner in an approved form for registration of a unit trust scheme. </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 xml:space="preserve">the Commissioner is satisfied that the unit trust scheme is eligible for registration under section 63AB(2) as a pooled investment trust or section 63AB(3) as an equity trust; </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 xml:space="preserve">trust if —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38" w:name="_Toc49223890"/>
      <w:bookmarkStart w:id="339" w:name="_Toc107054869"/>
      <w:bookmarkStart w:id="340" w:name="_Toc131416065"/>
      <w:bookmarkStart w:id="341" w:name="_Toc170193248"/>
      <w:r>
        <w:rPr>
          <w:rStyle w:val="CharSectno"/>
        </w:rPr>
        <w:t>63AB</w:t>
      </w:r>
      <w:r>
        <w:t>.</w:t>
      </w:r>
      <w:r>
        <w:tab/>
        <w:t>Criteria for registration of a unit trust scheme</w:t>
      </w:r>
      <w:bookmarkEnd w:id="338"/>
      <w:bookmarkEnd w:id="339"/>
      <w:bookmarkEnd w:id="340"/>
      <w:bookmarkEnd w:id="341"/>
    </w:p>
    <w:p>
      <w:pPr>
        <w:pStyle w:val="Subsection"/>
      </w:pPr>
      <w:r>
        <w:tab/>
        <w:t>(1)</w:t>
      </w:r>
      <w:r>
        <w:tab/>
        <w:t xml:space="preserve">In this section —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 xml:space="preserve">For the purposes of section 63AA(2), a unit trust scheme is eligible for registration as a pooled investment trust if it meets all of the following criteria —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pPr>
      <w:r>
        <w:tab/>
        <w:t>(c)</w:t>
      </w:r>
      <w:r>
        <w:tab/>
        <w:t xml:space="preserve">each unit holder in the scheme —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 xml:space="preserve">holds the unit in the unit holder’s capacity as a trustee of a master trust, being a trust by means of which the public may invest in managed funds; </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 xml:space="preserve">is a body corporate that the Commissioner is satisfied —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pPr>
      <w:r>
        <w:tab/>
        <w:t>(g)</w:t>
      </w:r>
      <w:r>
        <w:tab/>
        <w:t xml:space="preserve">either —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 xml:space="preserve">In subsection (2)(a) — </w:t>
      </w:r>
    </w:p>
    <w:p>
      <w:pPr>
        <w:pStyle w:val="Defstart"/>
      </w:pPr>
      <w:r>
        <w:rPr>
          <w:b/>
        </w:rPr>
        <w:tab/>
        <w:t>“</w:t>
      </w:r>
      <w:r>
        <w:rPr>
          <w:rStyle w:val="CharDefText"/>
        </w:rPr>
        <w:t>funds manager</w:t>
      </w:r>
      <w:r>
        <w:rPr>
          <w:b/>
        </w:rPr>
        <w:t>”</w:t>
      </w:r>
      <w:r>
        <w:t xml:space="preserve"> means — </w:t>
      </w:r>
    </w:p>
    <w:p>
      <w:pPr>
        <w:pStyle w:val="Defpara"/>
      </w:pPr>
      <w:r>
        <w:tab/>
        <w:t>(a)</w:t>
      </w:r>
      <w:r>
        <w:tab/>
        <w:t xml:space="preserve">a body corporate that, as its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 xml:space="preserve">For the purposes of section 63AA(2), a unit trust scheme is eligible for registration as an equity trust if it meets all of the following criteria — </w:t>
      </w:r>
    </w:p>
    <w:p>
      <w:pPr>
        <w:pStyle w:val="Indenta"/>
        <w:spacing w:before="140"/>
      </w:pPr>
      <w:r>
        <w:tab/>
        <w:t>(a)</w:t>
      </w:r>
      <w:r>
        <w:tab/>
        <w:t xml:space="preserve">the unit trustee, as trustee of the scheme, does not hold, and is not empowered or able to hold, any thing other than —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42" w:name="_Toc49223891"/>
      <w:bookmarkStart w:id="343" w:name="_Toc107054870"/>
      <w:bookmarkStart w:id="344" w:name="_Toc131416066"/>
      <w:bookmarkStart w:id="345" w:name="_Toc170193249"/>
      <w:r>
        <w:rPr>
          <w:rStyle w:val="CharSectno"/>
        </w:rPr>
        <w:t>63AC</w:t>
      </w:r>
      <w:r>
        <w:t>.</w:t>
      </w:r>
      <w:r>
        <w:tab/>
        <w:t>Interim registration</w:t>
      </w:r>
      <w:bookmarkEnd w:id="342"/>
      <w:bookmarkEnd w:id="343"/>
      <w:bookmarkEnd w:id="344"/>
      <w:bookmarkEnd w:id="345"/>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 xml:space="preserve">The Commissioner may grant the unit trust scheme interim registration as a pooled investment trust or an equity trust, as the case may be, for the start up period if —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pPr>
      <w:r>
        <w:tab/>
        <w:t>(2a)</w:t>
      </w:r>
      <w:r>
        <w:tab/>
        <w:t>If — </w:t>
      </w:r>
    </w:p>
    <w:p>
      <w:pPr>
        <w:pStyle w:val="Indenta"/>
      </w:pPr>
      <w:r>
        <w:tab/>
        <w:t>(a)</w:t>
      </w:r>
      <w:r>
        <w:tab/>
        <w:t>at the beginning of the start up period the body corporate that established and manages a unit trust scheme is not a funds manager (as defined in section 63AB(2a)); and</w:t>
      </w:r>
    </w:p>
    <w:p>
      <w:pPr>
        <w:pStyle w:val="Indenta"/>
        <w:keepNext/>
      </w:pPr>
      <w:r>
        <w:tab/>
        <w:t>(b)</w:t>
      </w:r>
      <w:r>
        <w:tab/>
        <w:t xml:space="preserve">the Commissioner is satisfied that —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46" w:name="_Toc49223892"/>
      <w:bookmarkStart w:id="347" w:name="_Toc107054871"/>
      <w:bookmarkStart w:id="348" w:name="_Toc131416067"/>
      <w:bookmarkStart w:id="349" w:name="_Toc170193250"/>
      <w:r>
        <w:rPr>
          <w:rStyle w:val="CharSectno"/>
        </w:rPr>
        <w:t>63AD</w:t>
      </w:r>
      <w:r>
        <w:t>.</w:t>
      </w:r>
      <w:r>
        <w:tab/>
        <w:t>Cancellation of registration or interim registration</w:t>
      </w:r>
      <w:bookmarkEnd w:id="346"/>
      <w:bookmarkEnd w:id="347"/>
      <w:bookmarkEnd w:id="348"/>
      <w:bookmarkEnd w:id="349"/>
    </w:p>
    <w:p>
      <w:pPr>
        <w:pStyle w:val="Subsection"/>
      </w:pPr>
      <w:r>
        <w:tab/>
        <w:t>(1)</w:t>
      </w:r>
      <w:r>
        <w:tab/>
        <w:t xml:space="preserve">For the purposes of this section and section 63AE, a disqualifying event occurs —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 xml:space="preserve">When the Commissioner receives a notice under subsection (2) —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 xml:space="preserve">notify the unit trustee of —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 xml:space="preserve">Cancellation under subsection (4) is taken to have had effect —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 xml:space="preserve">trust under section 63AA(2a), a disqualifying event is taken to have occurred and the Commissioner shall —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50" w:name="_Toc107054872"/>
      <w:bookmarkStart w:id="351" w:name="_Toc131416068"/>
      <w:bookmarkStart w:id="352" w:name="_Toc170193251"/>
      <w:bookmarkStart w:id="353" w:name="_Toc49223893"/>
      <w:r>
        <w:rPr>
          <w:rStyle w:val="CharSectno"/>
        </w:rPr>
        <w:t>63ADA</w:t>
      </w:r>
      <w:r>
        <w:t>.</w:t>
      </w:r>
      <w:r>
        <w:tab/>
        <w:t>Registration of private unit trust scheme as provisional public trust</w:t>
      </w:r>
      <w:bookmarkEnd w:id="350"/>
      <w:bookmarkEnd w:id="351"/>
      <w:bookmarkEnd w:id="352"/>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 xml:space="preserve">The Commissioner may register the unit trust scheme as a provisional public trust for the start up period if satisfied that —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 xml:space="preserve">The Commissioner —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 </w:t>
      </w:r>
    </w:p>
    <w:p>
      <w:pPr>
        <w:pStyle w:val="Footnotesection"/>
      </w:pPr>
      <w:r>
        <w:tab/>
        <w:t>[Section 63ADA inserted by No. 66 of 2003 s. 22.]</w:t>
      </w:r>
    </w:p>
    <w:p>
      <w:pPr>
        <w:pStyle w:val="Heading5"/>
      </w:pPr>
      <w:bookmarkStart w:id="354" w:name="_Toc107054873"/>
      <w:bookmarkStart w:id="355" w:name="_Toc131416069"/>
      <w:bookmarkStart w:id="356" w:name="_Toc170193252"/>
      <w:r>
        <w:rPr>
          <w:rStyle w:val="CharSectno"/>
        </w:rPr>
        <w:t>63ADB</w:t>
      </w:r>
      <w:r>
        <w:t>.</w:t>
      </w:r>
      <w:r>
        <w:tab/>
        <w:t>Cancellation of registration of provisional public trust</w:t>
      </w:r>
      <w:bookmarkEnd w:id="354"/>
      <w:bookmarkEnd w:id="355"/>
      <w:bookmarkEnd w:id="356"/>
    </w:p>
    <w:p>
      <w:pPr>
        <w:pStyle w:val="Subsection"/>
      </w:pPr>
      <w:r>
        <w:tab/>
        <w:t>(1)</w:t>
      </w:r>
      <w:r>
        <w:tab/>
        <w:t xml:space="preserve">For the purposes of this section and section 63AE a disqualifying event occurs in relation to a unit trust scheme that has been registered as a provisional public trust —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 xml:space="preserve">without limiting paragraph (a), if —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 xml:space="preserve">If a disqualifying event occurs —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 xml:space="preserve">If the Commissioner has not been notified of the occurrence of a disqualifying event but is satisfied that a disqualifying event has occurred — </w:t>
      </w:r>
    </w:p>
    <w:p>
      <w:pPr>
        <w:pStyle w:val="Indenta"/>
      </w:pPr>
      <w:r>
        <w:tab/>
        <w:t>(a)</w:t>
      </w:r>
      <w:r>
        <w:tab/>
        <w:t>a disqualifying event is taken to have occurred and subsection (3)(a) and (b) apply; and</w:t>
      </w:r>
    </w:p>
    <w:p>
      <w:pPr>
        <w:pStyle w:val="Indenta"/>
      </w:pPr>
      <w:r>
        <w:tab/>
        <w:t>(b)</w:t>
      </w:r>
      <w:r>
        <w:tab/>
        <w:t xml:space="preserve">the Commissioner must notify the unit trustee of —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 xml:space="preserve">If the Commissioner is satisfied that a provisional public trust is being used as part of a scheme or arrangement with the collateral purpose of avoiding or reducing the duty that otherwise would be or might become payable on the conveyance or transfer of trust property —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 xml:space="preserve">For the purposes of subsection (5), if a conveyance or transfer of the trust property of a provisional public trust —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57" w:name="_Toc107054874"/>
      <w:bookmarkStart w:id="358" w:name="_Toc131416070"/>
      <w:bookmarkStart w:id="359" w:name="_Toc170193253"/>
      <w:r>
        <w:rPr>
          <w:rStyle w:val="CharSectno"/>
        </w:rPr>
        <w:t>63AE</w:t>
      </w:r>
      <w:r>
        <w:t>.</w:t>
      </w:r>
      <w:r>
        <w:tab/>
        <w:t>Dutiable statement about disqualifying event and subsequent transfers or dispositions</w:t>
      </w:r>
      <w:bookmarkEnd w:id="353"/>
      <w:bookmarkEnd w:id="357"/>
      <w:bookmarkEnd w:id="358"/>
      <w:bookmarkEnd w:id="359"/>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 xml:space="preserve">The dutiable statement must —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 xml:space="preserve">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 </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60" w:name="_Toc49223894"/>
      <w:bookmarkStart w:id="361" w:name="_Toc107054875"/>
      <w:bookmarkStart w:id="362" w:name="_Toc131416071"/>
      <w:bookmarkStart w:id="363" w:name="_Toc170193254"/>
      <w:r>
        <w:rPr>
          <w:rStyle w:val="CharSectno"/>
        </w:rPr>
        <w:t>63AF</w:t>
      </w:r>
      <w:r>
        <w:t>.</w:t>
      </w:r>
      <w:r>
        <w:tab/>
        <w:t>Duty chargeable on the dutiable statement</w:t>
      </w:r>
      <w:bookmarkEnd w:id="360"/>
      <w:bookmarkEnd w:id="361"/>
      <w:bookmarkEnd w:id="362"/>
      <w:bookmarkEnd w:id="363"/>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w:t>
      </w:r>
      <w:r>
        <w:rPr>
          <w:rFonts w:ascii="Times" w:hAnsi="Times"/>
          <w:i w:val="0"/>
          <w:vertAlign w:val="superscript"/>
        </w:rPr>
        <w:t> 4</w:t>
      </w:r>
      <w:r>
        <w:t xml:space="preserve"> s. 24.]</w:t>
      </w:r>
    </w:p>
    <w:p>
      <w:pPr>
        <w:pStyle w:val="Heading5"/>
        <w:tabs>
          <w:tab w:val="left" w:pos="6096"/>
        </w:tabs>
      </w:pPr>
      <w:bookmarkStart w:id="364" w:name="_Toc107054876"/>
      <w:bookmarkStart w:id="365" w:name="_Toc131416072"/>
      <w:bookmarkStart w:id="366" w:name="_Toc170193255"/>
      <w:bookmarkStart w:id="367" w:name="_Toc49223895"/>
      <w:r>
        <w:rPr>
          <w:rStyle w:val="CharSectno"/>
        </w:rPr>
        <w:t>63AG</w:t>
      </w:r>
      <w:r>
        <w:t>.</w:t>
      </w:r>
      <w:r>
        <w:tab/>
        <w:t>When unit trust scheme becomes private unit trust scheme</w:t>
      </w:r>
      <w:bookmarkEnd w:id="364"/>
      <w:bookmarkEnd w:id="365"/>
      <w:bookmarkEnd w:id="366"/>
    </w:p>
    <w:p>
      <w:pPr>
        <w:pStyle w:val="Subsection"/>
        <w:tabs>
          <w:tab w:val="left" w:pos="6096"/>
        </w:tabs>
      </w:pPr>
      <w:r>
        <w:tab/>
        <w:t>(1)</w:t>
      </w:r>
      <w:r>
        <w:tab/>
        <w:t xml:space="preserve">In this section and sections 63AH, 63AI and 63AJ — </w:t>
      </w:r>
    </w:p>
    <w:p>
      <w:pPr>
        <w:pStyle w:val="Defstart"/>
        <w:tabs>
          <w:tab w:val="left" w:pos="6096"/>
        </w:tabs>
      </w:pPr>
      <w:r>
        <w:rPr>
          <w:b/>
        </w:rPr>
        <w:tab/>
        <w:t>“</w:t>
      </w:r>
      <w:r>
        <w:rPr>
          <w:rStyle w:val="CharDefText"/>
        </w:rPr>
        <w:t>aggregated dispositions</w:t>
      </w:r>
      <w:r>
        <w:rPr>
          <w:b/>
        </w:rPr>
        <w:t>”</w:t>
      </w:r>
      <w:r>
        <w:t xml:space="preserve"> means dispositions that —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 xml:space="preserve">If —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 xml:space="preserve">For the purposes of subsection (3), dispositions of units in a unit trust scheme are together taken to form substantially one disposition if those dispositions are made in response to —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 xml:space="preserve">If —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 xml:space="preserve">Subject to subsection (10), duty is chargeable under section 73D in respect of the dispositions that comprise —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r>
        <w:rPr>
          <w:i w:val="0"/>
          <w:vertAlign w:val="superscript"/>
        </w:rPr>
        <w:t> 4</w:t>
      </w:r>
      <w:r>
        <w:t>.]</w:t>
      </w:r>
    </w:p>
    <w:p>
      <w:pPr>
        <w:pStyle w:val="Heading5"/>
        <w:tabs>
          <w:tab w:val="left" w:pos="6096"/>
        </w:tabs>
      </w:pPr>
      <w:bookmarkStart w:id="368" w:name="_Toc107054877"/>
      <w:bookmarkStart w:id="369" w:name="_Toc131416073"/>
      <w:bookmarkStart w:id="370" w:name="_Toc170193256"/>
      <w:r>
        <w:rPr>
          <w:rStyle w:val="CharSectno"/>
        </w:rPr>
        <w:t>63AH</w:t>
      </w:r>
      <w:r>
        <w:t>.</w:t>
      </w:r>
      <w:r>
        <w:tab/>
        <w:t>Liability for duty on aggregated dispositions</w:t>
      </w:r>
      <w:bookmarkEnd w:id="368"/>
      <w:bookmarkEnd w:id="369"/>
      <w:bookmarkEnd w:id="370"/>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 xml:space="preserve">If —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71" w:name="_Toc107054878"/>
      <w:bookmarkStart w:id="372" w:name="_Toc131416074"/>
      <w:bookmarkStart w:id="373" w:name="_Toc170193257"/>
      <w:r>
        <w:rPr>
          <w:rStyle w:val="CharSectno"/>
        </w:rPr>
        <w:t>63AI</w:t>
      </w:r>
      <w:r>
        <w:t>.</w:t>
      </w:r>
      <w:r>
        <w:tab/>
        <w:t>Interstate security duty</w:t>
      </w:r>
      <w:bookmarkEnd w:id="371"/>
      <w:bookmarkEnd w:id="372"/>
      <w:bookmarkEnd w:id="373"/>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 xml:space="preserve">In subsection (1) —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374" w:name="_Toc107054879"/>
      <w:bookmarkStart w:id="375" w:name="_Toc131416075"/>
      <w:bookmarkStart w:id="376" w:name="_Toc170193258"/>
      <w:r>
        <w:rPr>
          <w:rStyle w:val="CharSectno"/>
        </w:rPr>
        <w:t>63AJ</w:t>
      </w:r>
      <w:r>
        <w:t>.</w:t>
      </w:r>
      <w:r>
        <w:tab/>
        <w:t>Dutiable statement to be lodged</w:t>
      </w:r>
      <w:bookmarkEnd w:id="374"/>
      <w:bookmarkEnd w:id="375"/>
      <w:bookmarkEnd w:id="376"/>
    </w:p>
    <w:p>
      <w:pPr>
        <w:pStyle w:val="Subsection"/>
        <w:tabs>
          <w:tab w:val="left" w:pos="6096"/>
        </w:tabs>
      </w:pPr>
      <w:r>
        <w:tab/>
        <w:t>(1)</w:t>
      </w:r>
      <w:r>
        <w:tab/>
        <w:t xml:space="preserve">If duty is chargeable under section 73D because of section 63AG in respect of the aggregated dispositions, the unit trustee of the unit trust scheme concerned must lodge with the Commissioner —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377" w:name="_Toc107054880"/>
      <w:bookmarkStart w:id="378" w:name="_Toc131416076"/>
      <w:bookmarkStart w:id="379" w:name="_Toc170193259"/>
      <w:r>
        <w:rPr>
          <w:rStyle w:val="CharSectno"/>
        </w:rPr>
        <w:t>63A</w:t>
      </w:r>
      <w:r>
        <w:rPr>
          <w:snapToGrid w:val="0"/>
        </w:rPr>
        <w:t>.</w:t>
      </w:r>
      <w:r>
        <w:rPr>
          <w:snapToGrid w:val="0"/>
        </w:rPr>
        <w:tab/>
        <w:t>Duty on certain decrees and orders</w:t>
      </w:r>
      <w:bookmarkEnd w:id="335"/>
      <w:bookmarkEnd w:id="336"/>
      <w:bookmarkEnd w:id="337"/>
      <w:bookmarkEnd w:id="367"/>
      <w:bookmarkEnd w:id="377"/>
      <w:bookmarkEnd w:id="378"/>
      <w:bookmarkEnd w:id="379"/>
      <w:r>
        <w:rPr>
          <w:snapToGrid w:val="0"/>
        </w:rPr>
        <w:t xml:space="preserve"> </w:t>
      </w:r>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 xml:space="preserve">[Section 63A inserted by No. 37 of 1979 s. 41; amended by No. 2 of 2003 s. 39; No. 66 of 2003 s. 26.] </w:t>
      </w:r>
    </w:p>
    <w:p>
      <w:pPr>
        <w:pStyle w:val="Heading5"/>
        <w:rPr>
          <w:snapToGrid w:val="0"/>
        </w:rPr>
      </w:pPr>
      <w:bookmarkStart w:id="380" w:name="_Toc500739920"/>
      <w:bookmarkStart w:id="381" w:name="_Toc520101111"/>
      <w:bookmarkStart w:id="382" w:name="_Toc520533010"/>
      <w:bookmarkStart w:id="383" w:name="_Toc49223896"/>
      <w:bookmarkStart w:id="384" w:name="_Toc107054881"/>
      <w:bookmarkStart w:id="385" w:name="_Toc131416077"/>
      <w:bookmarkStart w:id="386" w:name="_Toc170193260"/>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 xml:space="preserve">[Section 64 amended by No. 93 of 1966 s. 6; No. 48 of 1996 s. 32.] </w:t>
      </w:r>
    </w:p>
    <w:p>
      <w:pPr>
        <w:pStyle w:val="Heading5"/>
        <w:rPr>
          <w:snapToGrid w:val="0"/>
        </w:rPr>
      </w:pPr>
      <w:bookmarkStart w:id="387" w:name="_Toc500739921"/>
      <w:bookmarkStart w:id="388" w:name="_Toc520101112"/>
      <w:bookmarkStart w:id="389" w:name="_Toc520533011"/>
      <w:bookmarkStart w:id="390" w:name="_Toc49223897"/>
      <w:bookmarkStart w:id="391" w:name="_Toc107054882"/>
      <w:bookmarkStart w:id="392" w:name="_Toc131416078"/>
      <w:bookmarkStart w:id="393" w:name="_Toc170193261"/>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When the consideration or any part of the consideration for a conveyance on sale consists of money payable periodically —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 xml:space="preserve">[Section 65 inserted by No. 37 of 1979 s. 42; amended by No. 2 of 2003 s. 40.] </w:t>
      </w:r>
    </w:p>
    <w:p>
      <w:pPr>
        <w:pStyle w:val="Heading5"/>
        <w:rPr>
          <w:snapToGrid w:val="0"/>
        </w:rPr>
      </w:pPr>
      <w:bookmarkStart w:id="394" w:name="_Toc500739922"/>
      <w:bookmarkStart w:id="395" w:name="_Toc520101113"/>
      <w:bookmarkStart w:id="396" w:name="_Toc520533012"/>
      <w:bookmarkStart w:id="397" w:name="_Toc49223898"/>
      <w:bookmarkStart w:id="398" w:name="_Toc107054883"/>
      <w:bookmarkStart w:id="399" w:name="_Toc131416079"/>
      <w:bookmarkStart w:id="400" w:name="_Toc170193262"/>
      <w:r>
        <w:rPr>
          <w:rStyle w:val="CharSectno"/>
        </w:rPr>
        <w:t>66</w:t>
      </w:r>
      <w:r>
        <w:rPr>
          <w:snapToGrid w:val="0"/>
        </w:rPr>
        <w:t>.</w:t>
      </w:r>
      <w:r>
        <w:rPr>
          <w:snapToGrid w:val="0"/>
        </w:rPr>
        <w:tab/>
        <w:t>How conveyances in consideration of a debt or subject to future payment, etc., to be charged</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 xml:space="preserve">[Section 66 amended by No. 93 of 1966 s. 7; No. 112 of 1982 s. 6; No. 33 of 1987 s. 16; No. 48 of 1996 s. 33; No. 2 of 2003 s. 41.] </w:t>
      </w:r>
    </w:p>
    <w:p>
      <w:pPr>
        <w:pStyle w:val="Heading5"/>
        <w:rPr>
          <w:snapToGrid w:val="0"/>
        </w:rPr>
      </w:pPr>
      <w:bookmarkStart w:id="401" w:name="_Toc500739923"/>
      <w:bookmarkStart w:id="402" w:name="_Toc520101114"/>
      <w:bookmarkStart w:id="403" w:name="_Toc520533013"/>
      <w:bookmarkStart w:id="404" w:name="_Toc49223899"/>
      <w:bookmarkStart w:id="405" w:name="_Toc107054884"/>
      <w:bookmarkStart w:id="406" w:name="_Toc131416080"/>
      <w:bookmarkStart w:id="407" w:name="_Toc170193263"/>
      <w:r>
        <w:rPr>
          <w:rStyle w:val="CharSectno"/>
        </w:rPr>
        <w:t>67</w:t>
      </w:r>
      <w:r>
        <w:rPr>
          <w:snapToGrid w:val="0"/>
        </w:rPr>
        <w:t>.</w:t>
      </w:r>
      <w:r>
        <w:rPr>
          <w:snapToGrid w:val="0"/>
        </w:rPr>
        <w:tab/>
        <w:t>Duty where conveyance is partly in consideration of improvements made or to be made on property</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 xml:space="preserve">[Section 67 amended by No. 37 of 1979 s. 43; No. 81 of 1984 s. 14; No. 2 of 2003 s. 42.] </w:t>
      </w:r>
    </w:p>
    <w:p>
      <w:pPr>
        <w:pStyle w:val="Ednotesection"/>
        <w:ind w:left="890" w:hanging="890"/>
      </w:pPr>
      <w:r>
        <w:t>[</w:t>
      </w:r>
      <w:r>
        <w:rPr>
          <w:b/>
        </w:rPr>
        <w:t>68.</w:t>
      </w:r>
      <w:r>
        <w:tab/>
      </w:r>
      <w:r>
        <w:tab/>
        <w:t xml:space="preserve">Repealed by No. 37 of 1979 s. 44.] </w:t>
      </w:r>
    </w:p>
    <w:p>
      <w:pPr>
        <w:pStyle w:val="Heading5"/>
        <w:rPr>
          <w:snapToGrid w:val="0"/>
        </w:rPr>
      </w:pPr>
      <w:bookmarkStart w:id="408" w:name="_Toc500739924"/>
      <w:bookmarkStart w:id="409" w:name="_Toc520101115"/>
      <w:bookmarkStart w:id="410" w:name="_Toc520533014"/>
      <w:bookmarkStart w:id="411" w:name="_Toc49223900"/>
      <w:bookmarkStart w:id="412" w:name="_Toc107054885"/>
      <w:bookmarkStart w:id="413" w:name="_Toc131416081"/>
      <w:bookmarkStart w:id="414" w:name="_Toc170193264"/>
      <w:r>
        <w:rPr>
          <w:rStyle w:val="CharSectno"/>
        </w:rPr>
        <w:t>69</w:t>
      </w:r>
      <w:r>
        <w:rPr>
          <w:snapToGrid w:val="0"/>
        </w:rPr>
        <w:t>.</w:t>
      </w:r>
      <w:r>
        <w:rPr>
          <w:snapToGrid w:val="0"/>
        </w:rPr>
        <w:tab/>
        <w:t>Conveyance duty in cases where conveyance made at request or by direction of intermediary</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sections 73 and 74, where —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r>
        <w:rPr>
          <w:i w:val="0"/>
          <w:vertAlign w:val="superscript"/>
        </w:rPr>
        <w:t> 4</w:t>
      </w:r>
      <w:r>
        <w:t xml:space="preserve">.] </w:t>
      </w:r>
    </w:p>
    <w:p>
      <w:pPr>
        <w:pStyle w:val="Heading5"/>
      </w:pPr>
      <w:bookmarkStart w:id="415" w:name="_Toc500739925"/>
      <w:bookmarkStart w:id="416" w:name="_Toc520101116"/>
      <w:bookmarkStart w:id="417" w:name="_Toc520533015"/>
      <w:bookmarkStart w:id="418" w:name="_Toc49223901"/>
      <w:bookmarkStart w:id="419" w:name="_Toc107054886"/>
      <w:bookmarkStart w:id="420" w:name="_Toc131416082"/>
      <w:bookmarkStart w:id="421" w:name="_Toc170193265"/>
      <w:r>
        <w:rPr>
          <w:rStyle w:val="CharSectno"/>
        </w:rPr>
        <w:t>70</w:t>
      </w:r>
      <w:r>
        <w:t>.</w:t>
      </w:r>
      <w:r>
        <w:tab/>
        <w:t>Certain transfers of chattels dutiable</w:t>
      </w:r>
      <w:bookmarkEnd w:id="415"/>
      <w:bookmarkEnd w:id="416"/>
      <w:bookmarkEnd w:id="417"/>
      <w:bookmarkEnd w:id="418"/>
      <w:bookmarkEnd w:id="419"/>
      <w:bookmarkEnd w:id="420"/>
      <w:bookmarkEnd w:id="421"/>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 xml:space="preserve">goods, wares or merchandise referred to in item 2(7), (7a) or (7b) of the Third Schedule; </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22" w:name="_Toc500739926"/>
      <w:bookmarkStart w:id="423" w:name="_Toc520101117"/>
      <w:bookmarkStart w:id="424" w:name="_Toc520533016"/>
      <w:bookmarkStart w:id="425" w:name="_Toc49223902"/>
      <w:bookmarkStart w:id="426" w:name="_Toc107054887"/>
      <w:bookmarkStart w:id="427" w:name="_Toc131416083"/>
      <w:bookmarkStart w:id="428" w:name="_Toc170193266"/>
      <w:r>
        <w:rPr>
          <w:rStyle w:val="CharSectno"/>
        </w:rPr>
        <w:t>71</w:t>
      </w:r>
      <w:r>
        <w:rPr>
          <w:snapToGrid w:val="0"/>
        </w:rPr>
        <w:t>.</w:t>
      </w:r>
      <w:r>
        <w:rPr>
          <w:snapToGrid w:val="0"/>
        </w:rPr>
        <w:tab/>
      </w:r>
      <w:bookmarkEnd w:id="422"/>
      <w:bookmarkEnd w:id="423"/>
      <w:bookmarkEnd w:id="424"/>
      <w:bookmarkEnd w:id="425"/>
      <w:r>
        <w:rPr>
          <w:snapToGrid w:val="0"/>
        </w:rPr>
        <w:t>Duty charged for 2 or more instruments of conveyance</w:t>
      </w:r>
      <w:bookmarkEnd w:id="426"/>
      <w:bookmarkEnd w:id="427"/>
      <w:bookmarkEnd w:id="428"/>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 xml:space="preserve">[Section 71 amended by No. 37 of 1979 s. 46; No. 2 of 2003 s. 45.] </w:t>
      </w:r>
    </w:p>
    <w:p>
      <w:pPr>
        <w:pStyle w:val="Ednotedivision"/>
      </w:pPr>
      <w:bookmarkStart w:id="429" w:name="_Toc500739927"/>
      <w:bookmarkStart w:id="430" w:name="_Toc520101118"/>
      <w:bookmarkStart w:id="431" w:name="_Toc520533017"/>
      <w:r>
        <w:t>[Heading deleted by No. 2 of 2003 s. 46.]</w:t>
      </w:r>
    </w:p>
    <w:p>
      <w:pPr>
        <w:pStyle w:val="Heading5"/>
        <w:rPr>
          <w:snapToGrid w:val="0"/>
        </w:rPr>
      </w:pPr>
      <w:bookmarkStart w:id="432" w:name="_Toc49223903"/>
      <w:bookmarkStart w:id="433" w:name="_Toc107054888"/>
      <w:bookmarkStart w:id="434" w:name="_Toc131416084"/>
      <w:bookmarkStart w:id="435" w:name="_Toc170193267"/>
      <w:r>
        <w:rPr>
          <w:rStyle w:val="CharSectno"/>
        </w:rPr>
        <w:t>72</w:t>
      </w:r>
      <w:r>
        <w:rPr>
          <w:snapToGrid w:val="0"/>
        </w:rPr>
        <w:t>.</w:t>
      </w:r>
      <w:r>
        <w:rPr>
          <w:snapToGrid w:val="0"/>
        </w:rPr>
        <w:tab/>
        <w:t>Transfer or assignment of mortgages for value</w:t>
      </w:r>
      <w:bookmarkEnd w:id="429"/>
      <w:bookmarkEnd w:id="430"/>
      <w:bookmarkEnd w:id="431"/>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 xml:space="preserve">[Section 72 inserted by No. 20 of 1996 s. 23; amended by No. 2 of 2003 s. 47; No. 66 of 2003 s. 29.] </w:t>
      </w:r>
    </w:p>
    <w:p>
      <w:pPr>
        <w:pStyle w:val="Ednotedivision"/>
      </w:pPr>
      <w:bookmarkStart w:id="436" w:name="_Toc500739928"/>
      <w:bookmarkStart w:id="437" w:name="_Toc520101119"/>
      <w:bookmarkStart w:id="438" w:name="_Toc520533018"/>
      <w:r>
        <w:t>[Heading deleted by No. 2 of 2003 s. 48.]</w:t>
      </w:r>
    </w:p>
    <w:p>
      <w:pPr>
        <w:pStyle w:val="Heading5"/>
        <w:rPr>
          <w:snapToGrid w:val="0"/>
        </w:rPr>
      </w:pPr>
      <w:bookmarkStart w:id="439" w:name="_Toc49223904"/>
      <w:bookmarkStart w:id="440" w:name="_Toc107054889"/>
      <w:bookmarkStart w:id="441" w:name="_Toc131416085"/>
      <w:bookmarkStart w:id="442" w:name="_Toc170193268"/>
      <w:r>
        <w:rPr>
          <w:rStyle w:val="CharSectno"/>
        </w:rPr>
        <w:t>73</w:t>
      </w:r>
      <w:r>
        <w:rPr>
          <w:snapToGrid w:val="0"/>
        </w:rPr>
        <w:t>.</w:t>
      </w:r>
      <w:r>
        <w:rPr>
          <w:snapToGrid w:val="0"/>
        </w:rPr>
        <w:tab/>
        <w:t>As to conveyances on any occasion except sale or mortgage</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 xml:space="preserve">[Section 73 amended by No. 35 of 1941 s. 2; No. 113 of 1965 s. 8(1); No. 63 of 1977 s. 2; No. 37 of 1979 s. 47; No. 112 of 1982 s. 7; No. 81 of 1984 s. 15; No. 2 of 2003 s. 49.] </w:t>
      </w:r>
    </w:p>
    <w:p>
      <w:pPr>
        <w:pStyle w:val="Heading5"/>
        <w:rPr>
          <w:snapToGrid w:val="0"/>
        </w:rPr>
      </w:pPr>
      <w:bookmarkStart w:id="443" w:name="_Toc500739929"/>
      <w:bookmarkStart w:id="444" w:name="_Toc520101120"/>
      <w:bookmarkStart w:id="445" w:name="_Toc520533019"/>
      <w:bookmarkStart w:id="446" w:name="_Toc49223905"/>
      <w:bookmarkStart w:id="447" w:name="_Toc107054890"/>
      <w:bookmarkStart w:id="448" w:name="_Toc131416086"/>
      <w:bookmarkStart w:id="449" w:name="_Toc170193269"/>
      <w:r>
        <w:rPr>
          <w:rStyle w:val="CharSectno"/>
        </w:rPr>
        <w:t>73A</w:t>
      </w:r>
      <w:r>
        <w:rPr>
          <w:snapToGrid w:val="0"/>
        </w:rPr>
        <w:t>.</w:t>
      </w:r>
      <w:r>
        <w:rPr>
          <w:snapToGrid w:val="0"/>
        </w:rPr>
        <w:tab/>
        <w:t>Conveyance subject to an option</w:t>
      </w:r>
      <w:bookmarkEnd w:id="443"/>
      <w:bookmarkEnd w:id="444"/>
      <w:bookmarkEnd w:id="445"/>
      <w:bookmarkEnd w:id="446"/>
      <w:bookmarkEnd w:id="447"/>
      <w:bookmarkEnd w:id="448"/>
      <w:bookmarkEnd w:id="449"/>
      <w:r>
        <w:rPr>
          <w:snapToGrid w:val="0"/>
        </w:rPr>
        <w:t xml:space="preserve"> </w:t>
      </w:r>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 </w:t>
      </w:r>
    </w:p>
    <w:p>
      <w:pPr>
        <w:pStyle w:val="Indenta"/>
      </w:pPr>
      <w:r>
        <w:tab/>
        <w:t>(a)</w:t>
      </w:r>
      <w:r>
        <w:tab/>
        <w:t xml:space="preserve">the amount paid by way of consideration for the granting of the option; and </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 xml:space="preserve">on the expiry, referred to in subsection (5)(a), of the time within which the option could have been exercised, </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 xml:space="preserve">[Section 73A inserted by No. 63 of 1977 s. 3; amended by No. 37 of 1979 s. 48; No. 81 of 1984 s. 16; No. 2 of 2003 s. 50.] </w:t>
      </w:r>
    </w:p>
    <w:p>
      <w:pPr>
        <w:pStyle w:val="Heading5"/>
        <w:rPr>
          <w:snapToGrid w:val="0"/>
        </w:rPr>
      </w:pPr>
      <w:bookmarkStart w:id="450" w:name="_Toc500739930"/>
      <w:bookmarkStart w:id="451" w:name="_Toc520101121"/>
      <w:bookmarkStart w:id="452" w:name="_Toc520533020"/>
      <w:bookmarkStart w:id="453" w:name="_Toc49223906"/>
      <w:bookmarkStart w:id="454" w:name="_Toc107054891"/>
      <w:bookmarkStart w:id="455" w:name="_Toc131416087"/>
      <w:bookmarkStart w:id="456" w:name="_Toc170193270"/>
      <w:r>
        <w:rPr>
          <w:rStyle w:val="CharSectno"/>
        </w:rPr>
        <w:t>73AA</w:t>
      </w:r>
      <w:r>
        <w:rPr>
          <w:snapToGrid w:val="0"/>
        </w:rPr>
        <w:t>.</w:t>
      </w:r>
      <w:r>
        <w:rPr>
          <w:snapToGrid w:val="0"/>
        </w:rPr>
        <w:tab/>
        <w:t>Duty on conveyance not passing a beneficial interest</w:t>
      </w:r>
      <w:bookmarkEnd w:id="450"/>
      <w:bookmarkEnd w:id="451"/>
      <w:bookmarkEnd w:id="452"/>
      <w:bookmarkEnd w:id="453"/>
      <w:bookmarkEnd w:id="454"/>
      <w:bookmarkEnd w:id="455"/>
      <w:bookmarkEnd w:id="456"/>
      <w:r>
        <w:rPr>
          <w:snapToGrid w:val="0"/>
        </w:rPr>
        <w:t xml:space="preserve"> </w:t>
      </w:r>
    </w:p>
    <w:p>
      <w:pPr>
        <w:pStyle w:val="Subsection"/>
        <w:spacing w:before="140"/>
        <w:rPr>
          <w:snapToGrid w:val="0"/>
        </w:rPr>
      </w:pPr>
      <w:r>
        <w:rPr>
          <w:snapToGrid w:val="0"/>
        </w:rPr>
        <w:tab/>
        <w:t>(1)</w:t>
      </w:r>
      <w:r>
        <w:rPr>
          <w:snapToGrid w:val="0"/>
        </w:rPr>
        <w:tab/>
        <w:t>A conveyance or transfer —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 xml:space="preserve">[Section 73AA inserted by No. 81 of 1984 s. 17; amended by No. 33 of 1987 s. 18; No. 20 of 1996 s. 24; No. 2 of 2003 s. 51.] </w:t>
      </w:r>
    </w:p>
    <w:p>
      <w:pPr>
        <w:pStyle w:val="Heading5"/>
      </w:pPr>
      <w:bookmarkStart w:id="457" w:name="_Toc107054892"/>
      <w:bookmarkStart w:id="458" w:name="_Toc131416088"/>
      <w:bookmarkStart w:id="459" w:name="_Toc170193271"/>
      <w:bookmarkStart w:id="460" w:name="_Toc500739931"/>
      <w:bookmarkStart w:id="461" w:name="_Toc520101122"/>
      <w:bookmarkStart w:id="462" w:name="_Toc520533021"/>
      <w:bookmarkStart w:id="463" w:name="_Toc49223907"/>
      <w:r>
        <w:rPr>
          <w:rStyle w:val="CharSectno"/>
        </w:rPr>
        <w:t>73AB</w:t>
      </w:r>
      <w:r>
        <w:t>.</w:t>
      </w:r>
      <w:r>
        <w:tab/>
        <w:t>Duty on conveyance to correct error</w:t>
      </w:r>
      <w:bookmarkEnd w:id="457"/>
      <w:bookmarkEnd w:id="458"/>
      <w:bookmarkEnd w:id="459"/>
    </w:p>
    <w:p>
      <w:pPr>
        <w:pStyle w:val="Subsection"/>
      </w:pPr>
      <w:r>
        <w:tab/>
      </w:r>
      <w:r>
        <w:tab/>
        <w:t xml:space="preserve">If the Commissioner is satisfied that — </w:t>
      </w:r>
    </w:p>
    <w:p>
      <w:pPr>
        <w:pStyle w:val="Indenta"/>
      </w:pPr>
      <w:r>
        <w:tab/>
        <w:t>(a)</w:t>
      </w:r>
      <w:r>
        <w:tab/>
        <w:t>a conveyance or transfer of property (the</w:t>
      </w:r>
      <w:r>
        <w:rPr>
          <w:b/>
        </w:rPr>
        <w:t xml:space="preserve"> “</w:t>
      </w:r>
      <w:r>
        <w:rPr>
          <w:rStyle w:val="CharDefText"/>
        </w:rPr>
        <w:t>correcting transfer</w:t>
      </w:r>
      <w:r>
        <w:rPr>
          <w:b/>
        </w:rPr>
        <w:t>”</w:t>
      </w:r>
      <w:r>
        <w:t xml:space="preserve">) is solely for the purpose of correcting the effect of an error in respect of —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64" w:name="_Toc107054893"/>
      <w:bookmarkStart w:id="465" w:name="_Toc131416089"/>
      <w:bookmarkStart w:id="466" w:name="_Toc170193272"/>
      <w:r>
        <w:rPr>
          <w:rStyle w:val="CharSectno"/>
        </w:rPr>
        <w:t>73B</w:t>
      </w:r>
      <w:r>
        <w:rPr>
          <w:snapToGrid w:val="0"/>
        </w:rPr>
        <w:t>.</w:t>
      </w:r>
      <w:r>
        <w:rPr>
          <w:snapToGrid w:val="0"/>
        </w:rPr>
        <w:tab/>
        <w:t>Conveyance agreement subject to unilateral determination</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 </w:t>
      </w:r>
    </w:p>
    <w:p>
      <w:pPr>
        <w:pStyle w:val="Footnotesection"/>
      </w:pPr>
      <w:r>
        <w:tab/>
        <w:t xml:space="preserve">[Section 73B inserted by No. 37 of 1979 s. 49; amended by No. 81 of 1984 s. 18; No. 2 of 2003 s. 52.] </w:t>
      </w:r>
    </w:p>
    <w:p>
      <w:pPr>
        <w:pStyle w:val="Heading5"/>
        <w:rPr>
          <w:snapToGrid w:val="0"/>
        </w:rPr>
      </w:pPr>
      <w:bookmarkStart w:id="467" w:name="_Toc500739932"/>
      <w:bookmarkStart w:id="468" w:name="_Toc520101123"/>
      <w:bookmarkStart w:id="469" w:name="_Toc520533022"/>
      <w:bookmarkStart w:id="470" w:name="_Toc49223908"/>
      <w:bookmarkStart w:id="471" w:name="_Toc107054894"/>
      <w:bookmarkStart w:id="472" w:name="_Toc131416090"/>
      <w:bookmarkStart w:id="473" w:name="_Toc170193273"/>
      <w:r>
        <w:rPr>
          <w:rStyle w:val="CharSectno"/>
        </w:rPr>
        <w:t>73C</w:t>
      </w:r>
      <w:r>
        <w:rPr>
          <w:snapToGrid w:val="0"/>
        </w:rPr>
        <w:t>.</w:t>
      </w:r>
      <w:r>
        <w:rPr>
          <w:snapToGrid w:val="0"/>
        </w:rPr>
        <w:tab/>
        <w:t>Option to purchase with right to renew</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 </w:t>
      </w:r>
    </w:p>
    <w:p>
      <w:pPr>
        <w:pStyle w:val="Footnotesection"/>
      </w:pPr>
      <w:r>
        <w:tab/>
        <w:t xml:space="preserve">[Section 73C inserted by No. 93 of 1982 s. 5; amended by No. 81 of 1984 s. 19; No. 2 of 2003 s. 53.] </w:t>
      </w:r>
    </w:p>
    <w:p>
      <w:pPr>
        <w:pStyle w:val="Heading5"/>
        <w:rPr>
          <w:snapToGrid w:val="0"/>
        </w:rPr>
      </w:pPr>
      <w:bookmarkStart w:id="474" w:name="_Toc500739933"/>
      <w:bookmarkStart w:id="475" w:name="_Toc520101124"/>
      <w:bookmarkStart w:id="476" w:name="_Toc520533023"/>
      <w:bookmarkStart w:id="477" w:name="_Toc49223909"/>
      <w:bookmarkStart w:id="478" w:name="_Toc107054895"/>
      <w:bookmarkStart w:id="479" w:name="_Toc131416091"/>
      <w:bookmarkStart w:id="480" w:name="_Toc170193274"/>
      <w:r>
        <w:rPr>
          <w:rStyle w:val="CharSectno"/>
        </w:rPr>
        <w:t>73D</w:t>
      </w:r>
      <w:r>
        <w:rPr>
          <w:snapToGrid w:val="0"/>
        </w:rPr>
        <w:t>.</w:t>
      </w:r>
      <w:r>
        <w:rPr>
          <w:snapToGrid w:val="0"/>
        </w:rPr>
        <w:tab/>
        <w:t>Disposition of units in unit trust schemes</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 xml:space="preserve">This section applies to a disposition in relation to a unit in a unit trust scheme if the trust property of the scheme comprises or includes —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spacing w:before="120"/>
        <w:rPr>
          <w:snapToGrid w:val="0"/>
        </w:rPr>
      </w:pPr>
      <w:r>
        <w:rPr>
          <w:snapToGrid w:val="0"/>
        </w:rPr>
        <w:tab/>
        <w:t>(5a)</w:t>
      </w:r>
      <w:r>
        <w:rPr>
          <w:snapToGrid w:val="0"/>
        </w:rPr>
        <w:tab/>
        <w:t>Where a disposition, or a series of dispositions —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 xml:space="preserve">Subject to subsection (12) and section 73DC, this section does not apply to a disposition of a unit in a unit trust scheme during any period that the unit trust scheme is — </w:t>
      </w:r>
    </w:p>
    <w:p>
      <w:pPr>
        <w:pStyle w:val="Indenta"/>
      </w:pPr>
      <w:r>
        <w:tab/>
        <w:t>(a)</w:t>
      </w:r>
      <w:r>
        <w:tab/>
        <w:t xml:space="preserve">registered under section 63AA(2); </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 xml:space="preserve">If —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r>
        <w:rPr>
          <w:snapToGrid w:val="0"/>
        </w:rPr>
        <w:t xml:space="preserve"> </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481" w:name="_Toc107054896"/>
      <w:bookmarkStart w:id="482" w:name="_Toc131416092"/>
      <w:bookmarkStart w:id="483" w:name="_Toc170193275"/>
      <w:bookmarkStart w:id="484" w:name="_Toc500739934"/>
      <w:bookmarkStart w:id="485" w:name="_Toc520101125"/>
      <w:bookmarkStart w:id="486" w:name="_Toc520533024"/>
      <w:bookmarkStart w:id="487" w:name="_Toc49223910"/>
      <w:r>
        <w:rPr>
          <w:rStyle w:val="CharSectno"/>
        </w:rPr>
        <w:t>73DAA</w:t>
      </w:r>
      <w:r>
        <w:t>.</w:t>
      </w:r>
      <w:r>
        <w:tab/>
        <w:t>Dutiable statement required if transfer or instrument not lodged</w:t>
      </w:r>
      <w:bookmarkEnd w:id="481"/>
      <w:bookmarkEnd w:id="482"/>
      <w:bookmarkEnd w:id="483"/>
    </w:p>
    <w:p>
      <w:pPr>
        <w:pStyle w:val="Subsection"/>
      </w:pPr>
      <w:r>
        <w:tab/>
        <w:t>(1)</w:t>
      </w:r>
      <w:r>
        <w:tab/>
        <w:t xml:space="preserve">Subject to subsection (3) if, for a disposition in relation to a unit —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 xml:space="preserve">In subsection (1) — </w:t>
      </w:r>
    </w:p>
    <w:p>
      <w:pPr>
        <w:pStyle w:val="Defstart"/>
      </w:pPr>
      <w:r>
        <w:rPr>
          <w:b/>
        </w:rPr>
        <w:tab/>
        <w:t>“</w:t>
      </w:r>
      <w:r>
        <w:rPr>
          <w:rStyle w:val="CharDefText"/>
        </w:rPr>
        <w:t>liable person</w:t>
      </w:r>
      <w:r>
        <w:rPr>
          <w:b/>
        </w:rPr>
        <w:t>”</w:t>
      </w:r>
      <w:r>
        <w:t xml:space="preserve"> means —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488" w:name="_Toc107054897"/>
      <w:bookmarkStart w:id="489" w:name="_Toc131416093"/>
      <w:bookmarkStart w:id="490" w:name="_Toc170193276"/>
      <w:r>
        <w:rPr>
          <w:rStyle w:val="CharSectno"/>
        </w:rPr>
        <w:t>73DA</w:t>
      </w:r>
      <w:r>
        <w:rPr>
          <w:snapToGrid w:val="0"/>
        </w:rPr>
        <w:t>.</w:t>
      </w:r>
      <w:r>
        <w:rPr>
          <w:snapToGrid w:val="0"/>
        </w:rPr>
        <w:tab/>
      </w:r>
      <w:bookmarkEnd w:id="484"/>
      <w:bookmarkEnd w:id="485"/>
      <w:bookmarkEnd w:id="486"/>
      <w:r>
        <w:rPr>
          <w:snapToGrid w:val="0"/>
        </w:rPr>
        <w:t>Holdings of majority interest unit trustee</w:t>
      </w:r>
      <w:bookmarkEnd w:id="487"/>
      <w:bookmarkEnd w:id="488"/>
      <w:bookmarkEnd w:id="489"/>
      <w:bookmarkEnd w:id="490"/>
      <w:r>
        <w:rPr>
          <w:snapToGrid w:val="0"/>
        </w:rPr>
        <w:t xml:space="preserve"> </w:t>
      </w:r>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 xml:space="preserve">[Section 73DA inserted by No. 33 of 1987 s. 20; amended by No. 22 of 1998 s. 35; No. 60 of 2000 s. 20(2); No. 2 of 2003 s. 55; No. 11 of 2004 s. 12.] </w:t>
      </w:r>
    </w:p>
    <w:p>
      <w:pPr>
        <w:pStyle w:val="Heading5"/>
      </w:pPr>
      <w:bookmarkStart w:id="491" w:name="_Toc107054898"/>
      <w:bookmarkStart w:id="492" w:name="_Toc131416094"/>
      <w:bookmarkStart w:id="493" w:name="_Toc170193277"/>
      <w:bookmarkStart w:id="494" w:name="_Toc500739935"/>
      <w:bookmarkStart w:id="495" w:name="_Toc520101126"/>
      <w:bookmarkStart w:id="496" w:name="_Toc520533025"/>
      <w:bookmarkStart w:id="497" w:name="_Toc49223911"/>
      <w:r>
        <w:rPr>
          <w:rStyle w:val="CharSectno"/>
        </w:rPr>
        <w:t>73DB</w:t>
      </w:r>
      <w:r>
        <w:t>.</w:t>
      </w:r>
      <w:r>
        <w:tab/>
        <w:t>Interpretation for sections 73DC, 73DD and 73DE</w:t>
      </w:r>
      <w:bookmarkEnd w:id="491"/>
      <w:bookmarkEnd w:id="492"/>
      <w:bookmarkEnd w:id="493"/>
    </w:p>
    <w:p>
      <w:pPr>
        <w:pStyle w:val="Subsection"/>
        <w:keepNext/>
        <w:keepLines/>
      </w:pPr>
      <w:r>
        <w:tab/>
        <w:t>(1)</w:t>
      </w:r>
      <w:r>
        <w:tab/>
        <w:t xml:space="preserve">In sections 73DC, 73DD and 73DE —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 xml:space="preserve">For the purposes of section 73DC, 73DD and 73DE, a person and another person are related if —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498" w:name="_Toc107054899"/>
      <w:bookmarkStart w:id="499" w:name="_Toc131416095"/>
      <w:bookmarkStart w:id="500" w:name="_Toc170193278"/>
      <w:r>
        <w:rPr>
          <w:rStyle w:val="CharSectno"/>
        </w:rPr>
        <w:t>73DC</w:t>
      </w:r>
      <w:r>
        <w:t>.</w:t>
      </w:r>
      <w:r>
        <w:tab/>
        <w:t>Acquisition of majority interest or further interest in pooled investment trust</w:t>
      </w:r>
      <w:bookmarkEnd w:id="498"/>
      <w:bookmarkEnd w:id="499"/>
      <w:bookmarkEnd w:id="500"/>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xml:space="preserve">) made when the unit trust scheme was not — </w:t>
      </w:r>
    </w:p>
    <w:p>
      <w:pPr>
        <w:pStyle w:val="Indenta"/>
      </w:pPr>
      <w:r>
        <w:tab/>
        <w:t>(a)</w:t>
      </w:r>
      <w:r>
        <w:tab/>
        <w:t>registered under section 63AA(2); or</w:t>
      </w:r>
    </w:p>
    <w:p>
      <w:pPr>
        <w:pStyle w:val="Indenta"/>
      </w:pPr>
      <w:r>
        <w:tab/>
        <w:t>(b)</w:t>
      </w:r>
      <w:r>
        <w:tab/>
        <w:t xml:space="preserve">granted interim registration under section 63AC(2), </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 xml:space="preserve">Duty is chargeable under section 73D in respect of a disposition of a unit in a registered unit trust scheme that results in a person, or a person and a related person, acquiring a further interest in the scheme as if —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 xml:space="preserve">In subsection (8) —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01" w:name="_Toc107054900"/>
      <w:bookmarkStart w:id="502" w:name="_Toc131416096"/>
      <w:bookmarkStart w:id="503" w:name="_Toc170193279"/>
      <w:r>
        <w:rPr>
          <w:rStyle w:val="CharSectno"/>
        </w:rPr>
        <w:t>73DD</w:t>
      </w:r>
      <w:r>
        <w:t>.</w:t>
      </w:r>
      <w:r>
        <w:tab/>
        <w:t>Meaning of majority interest and further interest</w:t>
      </w:r>
      <w:bookmarkEnd w:id="501"/>
      <w:bookmarkEnd w:id="502"/>
      <w:bookmarkEnd w:id="503"/>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xml:space="preserve">) such that having acquired — </w:t>
      </w:r>
    </w:p>
    <w:p>
      <w:pPr>
        <w:pStyle w:val="Indenta"/>
        <w:spacing w:before="60"/>
      </w:pPr>
      <w:r>
        <w:tab/>
        <w:t>(a)</w:t>
      </w:r>
      <w:r>
        <w:tab/>
        <w:t>the relevant interest itself; or</w:t>
      </w:r>
    </w:p>
    <w:p>
      <w:pPr>
        <w:pStyle w:val="Indenta"/>
        <w:spacing w:before="60"/>
      </w:pPr>
      <w:r>
        <w:tab/>
        <w:t>(b)</w:t>
      </w:r>
      <w:r>
        <w:tab/>
        <w:t xml:space="preserve">the relevant interest when taken with each interest in the scheme that —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4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4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40"/>
      </w:pPr>
      <w:r>
        <w:tab/>
        <w:t>(4)</w:t>
      </w:r>
      <w:r>
        <w:tab/>
        <w:t xml:space="preserve">For the purposes of section 73DC, a person acquires a further interest in a registered unit trust scheme if —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 xml:space="preserve">For the purposes of this section, if —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 xml:space="preserve">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04" w:name="_Toc107054901"/>
      <w:bookmarkStart w:id="505" w:name="_Toc131416097"/>
      <w:bookmarkStart w:id="506" w:name="_Toc170193280"/>
      <w:r>
        <w:rPr>
          <w:rStyle w:val="CharSectno"/>
        </w:rPr>
        <w:t>73DE</w:t>
      </w:r>
      <w:r>
        <w:t>.</w:t>
      </w:r>
      <w:r>
        <w:tab/>
        <w:t>Dutiable statement to be lodged</w:t>
      </w:r>
      <w:bookmarkEnd w:id="504"/>
      <w:bookmarkEnd w:id="505"/>
      <w:bookmarkEnd w:id="506"/>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07" w:name="_Toc107054902"/>
      <w:bookmarkStart w:id="508" w:name="_Toc131416098"/>
      <w:bookmarkStart w:id="509" w:name="_Toc170193281"/>
      <w:r>
        <w:rPr>
          <w:rStyle w:val="CharSectno"/>
        </w:rPr>
        <w:t>73E</w:t>
      </w:r>
      <w:r>
        <w:rPr>
          <w:snapToGrid w:val="0"/>
        </w:rPr>
        <w:t>.</w:t>
      </w:r>
      <w:r>
        <w:rPr>
          <w:snapToGrid w:val="0"/>
        </w:rPr>
        <w:tab/>
        <w:t>Disposition of shares in discretionary trustee companies</w:t>
      </w:r>
      <w:bookmarkEnd w:id="494"/>
      <w:bookmarkEnd w:id="495"/>
      <w:bookmarkEnd w:id="496"/>
      <w:bookmarkEnd w:id="497"/>
      <w:bookmarkEnd w:id="507"/>
      <w:bookmarkEnd w:id="508"/>
      <w:bookmarkEnd w:id="509"/>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 xml:space="preserve">[Section 73E inserted by No. 112 of 1982 s. 8; amended by No. 39 of 1994 s. 21; No. 53 of 1999 s. 20; No. 10 of 2001 s. 168; No. 2 of 2003 s. 56; No. 21 of 2003 s. 26.] </w:t>
      </w:r>
    </w:p>
    <w:p>
      <w:pPr>
        <w:pStyle w:val="Heading5"/>
        <w:rPr>
          <w:snapToGrid w:val="0"/>
        </w:rPr>
      </w:pPr>
      <w:bookmarkStart w:id="510" w:name="_Toc500739936"/>
      <w:bookmarkStart w:id="511" w:name="_Toc520101127"/>
      <w:bookmarkStart w:id="512" w:name="_Toc520533026"/>
      <w:bookmarkStart w:id="513" w:name="_Toc49223912"/>
      <w:bookmarkStart w:id="514" w:name="_Toc107054903"/>
      <w:bookmarkStart w:id="515" w:name="_Toc131416099"/>
      <w:bookmarkStart w:id="516" w:name="_Toc170193282"/>
      <w:r>
        <w:rPr>
          <w:rStyle w:val="CharSectno"/>
        </w:rPr>
        <w:t>73F</w:t>
      </w:r>
      <w:r>
        <w:rPr>
          <w:snapToGrid w:val="0"/>
        </w:rPr>
        <w:t>.</w:t>
      </w:r>
      <w:r>
        <w:rPr>
          <w:snapToGrid w:val="0"/>
        </w:rPr>
        <w:tab/>
        <w:t>Acquisition of a licence to carry on a business activity</w:t>
      </w:r>
      <w:bookmarkEnd w:id="510"/>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business licence</w:t>
      </w:r>
      <w:r>
        <w:rPr>
          <w:b/>
        </w:rPr>
        <w:t>”</w:t>
      </w:r>
      <w:r>
        <w:t xml:space="preserve"> means —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spacing w:before="120"/>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 xml:space="preserve">[Section 73F inserted by No. 41 of 1995 s. 6; amended by No. 2 of 2003 s. 57.] </w:t>
      </w:r>
    </w:p>
    <w:p>
      <w:pPr>
        <w:pStyle w:val="Heading5"/>
      </w:pPr>
      <w:bookmarkStart w:id="517" w:name="_Toc107054904"/>
      <w:bookmarkStart w:id="518" w:name="_Toc131416100"/>
      <w:bookmarkStart w:id="519" w:name="_Toc170193283"/>
      <w:bookmarkStart w:id="520" w:name="_Toc500739937"/>
      <w:bookmarkStart w:id="521" w:name="_Toc520101128"/>
      <w:bookmarkStart w:id="522" w:name="_Toc520533027"/>
      <w:bookmarkStart w:id="523" w:name="_Toc49223913"/>
      <w:r>
        <w:rPr>
          <w:rStyle w:val="CharSectno"/>
        </w:rPr>
        <w:t>73G</w:t>
      </w:r>
      <w:r>
        <w:t>.</w:t>
      </w:r>
      <w:r>
        <w:tab/>
        <w:t>Farm</w:t>
      </w:r>
      <w:r>
        <w:noBreakHyphen/>
        <w:t>in agreements relating to mining tenements</w:t>
      </w:r>
      <w:bookmarkEnd w:id="517"/>
      <w:bookmarkEnd w:id="518"/>
      <w:bookmarkEnd w:id="519"/>
    </w:p>
    <w:p>
      <w:pPr>
        <w:pStyle w:val="Subsection"/>
      </w:pPr>
      <w:r>
        <w:tab/>
        <w:t>(1)</w:t>
      </w:r>
      <w:r>
        <w:tab/>
        <w:t xml:space="preserve">In this section —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 xml:space="preserve">in agreement is — </w:t>
      </w:r>
    </w:p>
    <w:p>
      <w:pPr>
        <w:pStyle w:val="Indenta"/>
        <w:spacing w:before="70"/>
      </w:pPr>
      <w:r>
        <w:tab/>
        <w:t>(a)</w:t>
      </w:r>
      <w:r>
        <w:tab/>
        <w:t xml:space="preserve">to the extent that —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 xml:space="preserve">to the extent that —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 xml:space="preserve">If the Commissioner is satisfied that —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 xml:space="preserve">then — </w:t>
      </w:r>
    </w:p>
    <w:p>
      <w:pPr>
        <w:pStyle w:val="Indenta"/>
      </w:pPr>
      <w:r>
        <w:tab/>
        <w:t>(d)</w:t>
      </w:r>
      <w:r>
        <w:tab/>
        <w:t xml:space="preserve">to the extent that —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 xml:space="preserve">to the extent that —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24" w:name="_Toc107054905"/>
      <w:bookmarkStart w:id="525" w:name="_Toc131416101"/>
      <w:bookmarkStart w:id="526" w:name="_Toc170193284"/>
      <w:r>
        <w:rPr>
          <w:rStyle w:val="CharSectno"/>
        </w:rPr>
        <w:t>74</w:t>
      </w:r>
      <w:r>
        <w:rPr>
          <w:snapToGrid w:val="0"/>
        </w:rPr>
        <w:t>.</w:t>
      </w:r>
      <w:r>
        <w:rPr>
          <w:snapToGrid w:val="0"/>
        </w:rPr>
        <w:tab/>
        <w:t>Certain contracts to be chargeable as conveyances on sale</w:t>
      </w:r>
      <w:bookmarkEnd w:id="520"/>
      <w:bookmarkEnd w:id="521"/>
      <w:bookmarkEnd w:id="522"/>
      <w:bookmarkEnd w:id="523"/>
      <w:bookmarkEnd w:id="524"/>
      <w:bookmarkEnd w:id="525"/>
      <w:bookmarkEnd w:id="526"/>
      <w:r>
        <w:rPr>
          <w:snapToGrid w:val="0"/>
        </w:rPr>
        <w:t xml:space="preserve"> </w:t>
      </w:r>
    </w:p>
    <w:p>
      <w:pPr>
        <w:pStyle w:val="Subsection"/>
      </w:pPr>
      <w:r>
        <w:tab/>
        <w:t>(1aa)</w:t>
      </w:r>
      <w:r>
        <w:tab/>
        <w:t xml:space="preserve">In this section —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 xml:space="preserve">Notwithstanding subsection (2), if — </w:t>
      </w:r>
    </w:p>
    <w:p>
      <w:pPr>
        <w:pStyle w:val="Indenta"/>
      </w:pPr>
      <w:r>
        <w:tab/>
        <w:t>(a)</w:t>
      </w:r>
      <w:r>
        <w:tab/>
        <w:t xml:space="preserve">the person named as purchaser in a contract or agreement referred to in subsection (1) entered into the contract or agreement with the intention that the property concerned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 xml:space="preserve">Notwithstanding subsection (2), if —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 xml:space="preserve">the Commissioner is satisfied that before the establishment of the scheme —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 xml:space="preserve">Notwithstanding subsection (2), if —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 xml:space="preserve">a conveyance or transfer of the property concerned by the vendor under the contract or agreement —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 xml:space="preserve">For the purposes of subsection (3c), the following persons are related to a purchaser who is an individual —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 xml:space="preserve">a corporation if —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 xml:space="preserve">a unit trustee in the unit trustee’s capacity as trustee of a unit trust if —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 xml:space="preserve">For the purposes of subsection (3c), a person is related to a purchaser that is a corporation if —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 xml:space="preserve">For the purposes of subsection (3c), a person is related to a purchaser that is a unit trustee if —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xml:space="preserve">) —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 xml:space="preserve">For the purposes of subsections (3d), (3e) and (3f)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 xml:space="preserve">[Section 74 inserted by No. 37 of 1979 s. 50; amended by No. 81 of 1984 s. 21; No. 2 of 2003 s. 58; No. 66 of 2003 s. 35.] </w:t>
      </w:r>
    </w:p>
    <w:p>
      <w:pPr>
        <w:pStyle w:val="Heading5"/>
        <w:rPr>
          <w:snapToGrid w:val="0"/>
        </w:rPr>
      </w:pPr>
      <w:bookmarkStart w:id="527" w:name="_Toc500739938"/>
      <w:bookmarkStart w:id="528" w:name="_Toc520101129"/>
      <w:bookmarkStart w:id="529" w:name="_Toc520533028"/>
      <w:bookmarkStart w:id="530" w:name="_Toc49223914"/>
      <w:bookmarkStart w:id="531" w:name="_Toc107054906"/>
      <w:bookmarkStart w:id="532" w:name="_Toc131416102"/>
      <w:bookmarkStart w:id="533" w:name="_Toc170193285"/>
      <w:r>
        <w:rPr>
          <w:rStyle w:val="CharSectno"/>
        </w:rPr>
        <w:t>74A</w:t>
      </w:r>
      <w:r>
        <w:rPr>
          <w:snapToGrid w:val="0"/>
        </w:rPr>
        <w:t>.</w:t>
      </w:r>
      <w:r>
        <w:rPr>
          <w:snapToGrid w:val="0"/>
        </w:rPr>
        <w:tab/>
        <w:t>Duty chargeable on certain conveyances of corporation property</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conveyance or transfer of any property —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 xml:space="preserve">a related corporation of the corporation or the shareholder; </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jc w:val="center"/>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44728"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 xml:space="preserve">[Section 74A inserted by No. 13 of 1997 s. 37; amended by No. 10 of 2001 s. 169; No. 2 of 2003 s. 59; No. 66 of 2003 s. 36.] </w:t>
      </w:r>
    </w:p>
    <w:p>
      <w:pPr>
        <w:pStyle w:val="Heading5"/>
      </w:pPr>
      <w:bookmarkStart w:id="534" w:name="_Toc107054907"/>
      <w:bookmarkStart w:id="535" w:name="_Toc131416103"/>
      <w:bookmarkStart w:id="536" w:name="_Toc170193286"/>
      <w:bookmarkStart w:id="537" w:name="_Toc500739939"/>
      <w:bookmarkStart w:id="538" w:name="_Toc520101130"/>
      <w:bookmarkStart w:id="539" w:name="_Toc520533029"/>
      <w:bookmarkStart w:id="540" w:name="_Toc49223915"/>
      <w:r>
        <w:rPr>
          <w:rStyle w:val="CharSectno"/>
        </w:rPr>
        <w:t>74B</w:t>
      </w:r>
      <w:r>
        <w:t>.</w:t>
      </w:r>
      <w:r>
        <w:tab/>
        <w:t>Transactions involving a call option and a put option</w:t>
      </w:r>
      <w:bookmarkEnd w:id="534"/>
      <w:bookmarkEnd w:id="535"/>
      <w:bookmarkEnd w:id="536"/>
    </w:p>
    <w:p>
      <w:pPr>
        <w:pStyle w:val="Subsection"/>
      </w:pPr>
      <w:r>
        <w:tab/>
        <w:t>(1)</w:t>
      </w:r>
      <w:r>
        <w:tab/>
        <w:t xml:space="preserve">In this section —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 xml:space="preserve">Subject to subsection (4), this subsection applies if, at the same time —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 xml:space="preserve">B has a right to require A, or a person referred to in paragraph (a), to purchase —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 xml:space="preserve">From the time when subsection (2) applies the call option is to be regarded as —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 xml:space="preserve">The consideration for the contract or acquisition mentioned in subsection (6) is taken to be — </w:t>
      </w:r>
    </w:p>
    <w:p>
      <w:pPr>
        <w:pStyle w:val="Indenta"/>
      </w:pPr>
      <w:r>
        <w:tab/>
        <w:t>(a)</w:t>
      </w:r>
      <w:r>
        <w:tab/>
        <w:t xml:space="preserve">the sum of —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 xml:space="preserve">If as a result of the call option or the put option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 xml:space="preserve">This subsection applies if —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 xml:space="preserve">From the time when subsection (9) applies the assignment of the call option is to be regarded as —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 xml:space="preserve">The consideration for the contract or acquisition mentioned in subsection (11) is taken to be — </w:t>
      </w:r>
    </w:p>
    <w:p>
      <w:pPr>
        <w:pStyle w:val="Indenta"/>
      </w:pPr>
      <w:r>
        <w:tab/>
        <w:t>(a)</w:t>
      </w:r>
      <w:r>
        <w:tab/>
        <w:t xml:space="preserve">the sum of —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 xml:space="preserve">If as a result of the right referred to in subsection (9)(a) or the right referred to in subsection (9)(b)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41" w:name="_Toc107054908"/>
      <w:bookmarkStart w:id="542" w:name="_Toc131416104"/>
      <w:bookmarkStart w:id="543" w:name="_Toc170193287"/>
      <w:r>
        <w:rPr>
          <w:rStyle w:val="CharSectno"/>
        </w:rPr>
        <w:t>74C</w:t>
      </w:r>
      <w:r>
        <w:t>.</w:t>
      </w:r>
      <w:r>
        <w:tab/>
        <w:t>Acquisition of certain business assets</w:t>
      </w:r>
      <w:bookmarkEnd w:id="541"/>
      <w:bookmarkEnd w:id="542"/>
      <w:bookmarkEnd w:id="543"/>
    </w:p>
    <w:p>
      <w:pPr>
        <w:pStyle w:val="Subsection"/>
      </w:pPr>
      <w:r>
        <w:tab/>
        <w:t>(1)</w:t>
      </w:r>
      <w:r>
        <w:tab/>
        <w:t xml:space="preserve">In this section — </w:t>
      </w:r>
    </w:p>
    <w:p>
      <w:pPr>
        <w:pStyle w:val="Defstart"/>
      </w:pPr>
      <w:r>
        <w:tab/>
      </w:r>
      <w:r>
        <w:rPr>
          <w:b/>
        </w:rPr>
        <w:t>“</w:t>
      </w:r>
      <w:r>
        <w:rPr>
          <w:rStyle w:val="CharDefText"/>
        </w:rPr>
        <w:t>business asset</w:t>
      </w:r>
      <w:r>
        <w:rPr>
          <w:b/>
        </w:rPr>
        <w:t>”</w:t>
      </w:r>
      <w:r>
        <w:t xml:space="preserve"> means —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Western Australia and elsewhere; </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xml:space="preserve">) — </w:t>
      </w:r>
    </w:p>
    <w:p>
      <w:pPr>
        <w:pStyle w:val="Defpara"/>
      </w:pPr>
      <w:r>
        <w:tab/>
        <w:t>(a)</w:t>
      </w:r>
      <w:r>
        <w:tab/>
        <w:t xml:space="preserve">to engage in the business of producing, supplying or providing commodities or services, or both, at a place other than the place of business of the franchisor as long as the franchisee does so under —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 xml:space="preserve">anything else that has the following characteristics —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 xml:space="preserve">a right to use or exploit —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 xml:space="preserve">This section applies if a business asset of a business is acquired by a person and, at any time in the year preceding the acquisition, the business has —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 xml:space="preserve">If a person —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 xml:space="preserve">If this section applies — </w:t>
      </w:r>
    </w:p>
    <w:p>
      <w:pPr>
        <w:pStyle w:val="Indenta"/>
      </w:pPr>
      <w:r>
        <w:tab/>
        <w:t>(a)</w:t>
      </w:r>
      <w:r>
        <w:tab/>
        <w:t>the business asset is to be regarded for the purposes of this Act as property; and</w:t>
      </w:r>
    </w:p>
    <w:p>
      <w:pPr>
        <w:pStyle w:val="Indenta"/>
      </w:pPr>
      <w:r>
        <w:tab/>
        <w:t>(b)</w:t>
      </w:r>
      <w:r>
        <w:tab/>
        <w:t xml:space="preserve">the acquisition of the business asset is to be regarded for the purposes of this Act as a transaction that transfers property and is chargeable with duty, </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Western Australia, duty is to be assessed on the amount determined using the following formula — </w:t>
      </w:r>
    </w:p>
    <w:p>
      <w:pPr>
        <w:pStyle w:val="Equation"/>
        <w:tabs>
          <w:tab w:val="left" w:pos="923"/>
        </w:tabs>
        <w:spacing w:before="60" w:after="60"/>
      </w:pPr>
      <w:r>
        <w:tab/>
      </w:r>
      <w:r>
        <w:rPr>
          <w:position w:val="-22"/>
        </w:rPr>
        <w:object w:dxaOrig="1960" w:dyaOrig="580">
          <v:shape id="_x0000_i1026" type="#_x0000_t75" style="width:98.25pt;height:29.25pt" o:ole="" fillcolor="window">
            <v:imagedata r:id="rId21" o:title=""/>
          </v:shape>
          <o:OLEObject Type="Embed" ProgID="Equation.3" ShapeID="_x0000_i1026" DrawAspect="Content" ObjectID="_1643744729" r:id="rId22"/>
        </w:object>
      </w:r>
    </w:p>
    <w:p>
      <w:pPr>
        <w:pStyle w:val="Subsection"/>
      </w:pPr>
      <w:r>
        <w:tab/>
      </w:r>
      <w:r>
        <w:tab/>
        <w:t xml:space="preserve">where —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pPr>
      <w:r>
        <w:tab/>
        <w:t>(9)</w:t>
      </w:r>
      <w:r>
        <w:tab/>
        <w:t xml:space="preserve">If neither the principal place of business nor the head office of the business is in Western Australia, duty is to be assessed on the amount determined using the following formula — </w:t>
      </w:r>
    </w:p>
    <w:p>
      <w:pPr>
        <w:pStyle w:val="Equation"/>
        <w:tabs>
          <w:tab w:val="left" w:pos="909"/>
        </w:tabs>
        <w:spacing w:before="60" w:after="60"/>
      </w:pPr>
      <w:r>
        <w:tab/>
      </w:r>
      <w:r>
        <w:rPr>
          <w:position w:val="-22"/>
        </w:rPr>
        <w:object w:dxaOrig="1640" w:dyaOrig="580">
          <v:shape id="_x0000_i1027" type="#_x0000_t75" style="width:81.75pt;height:29.25pt" o:ole="">
            <v:imagedata r:id="rId23" o:title=""/>
          </v:shape>
          <o:OLEObject Type="Embed" ProgID="Equation.3" ShapeID="_x0000_i1027" DrawAspect="Content" ObjectID="_1643744730" r:id="rId24"/>
        </w:object>
      </w:r>
    </w:p>
    <w:p>
      <w:pPr>
        <w:pStyle w:val="Subsection"/>
      </w:pPr>
      <w:r>
        <w:tab/>
      </w:r>
      <w:r>
        <w:tab/>
        <w:t xml:space="preserve">where — </w:t>
      </w:r>
    </w:p>
    <w:p>
      <w:pPr>
        <w:pStyle w:val="Indenta"/>
        <w:spacing w:before="60"/>
      </w:pPr>
      <w:r>
        <w:tab/>
        <w:t>A</w:t>
      </w:r>
      <w:r>
        <w:tab/>
        <w:t xml:space="preserve">is </w:t>
      </w:r>
      <w:r>
        <w:rPr>
          <w:snapToGrid w:val="0"/>
        </w:rPr>
        <w:t>the</w:t>
      </w:r>
      <w:r>
        <w:t xml:space="preserve"> dutiable amount; </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44" w:name="_Toc107054909"/>
      <w:bookmarkStart w:id="545" w:name="_Toc131416105"/>
      <w:bookmarkStart w:id="546" w:name="_Toc170193288"/>
      <w:r>
        <w:rPr>
          <w:rStyle w:val="CharSectno"/>
        </w:rPr>
        <w:t>75</w:t>
      </w:r>
      <w:r>
        <w:rPr>
          <w:snapToGrid w:val="0"/>
        </w:rPr>
        <w:t>.</w:t>
      </w:r>
      <w:r>
        <w:rPr>
          <w:snapToGrid w:val="0"/>
        </w:rPr>
        <w:tab/>
        <w:t>Duty chargeable on conveyance for less than full consideration</w:t>
      </w:r>
      <w:bookmarkEnd w:id="537"/>
      <w:bookmarkEnd w:id="538"/>
      <w:bookmarkEnd w:id="539"/>
      <w:bookmarkEnd w:id="540"/>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 xml:space="preserve">[Section 75 inserted by No. 81 of 1984 s. 22; amended by No. 33 of 1987 s. 21; No. 100 of 1987 s. 4; No. 39 of 1994 s. 14 and 21; No. 20 of 1996 s. 25; No. 13 of 1997 s. 42; No. 2 of 2003 s. 60; No. 66 of 2003 s. 38.] </w:t>
      </w:r>
    </w:p>
    <w:p>
      <w:pPr>
        <w:pStyle w:val="Heading5"/>
      </w:pPr>
      <w:bookmarkStart w:id="547" w:name="_Toc49223916"/>
      <w:bookmarkStart w:id="548" w:name="_Toc107054910"/>
      <w:bookmarkStart w:id="549" w:name="_Toc131416106"/>
      <w:bookmarkStart w:id="550" w:name="_Toc170193289"/>
      <w:bookmarkStart w:id="551" w:name="_Toc500739941"/>
      <w:bookmarkStart w:id="552" w:name="_Toc520101132"/>
      <w:bookmarkStart w:id="553" w:name="_Toc520533031"/>
      <w:r>
        <w:rPr>
          <w:rStyle w:val="CharSectno"/>
        </w:rPr>
        <w:t>75A</w:t>
      </w:r>
      <w:r>
        <w:t>.</w:t>
      </w:r>
      <w:r>
        <w:tab/>
        <w:t>Power to exempt instruments made for charitable or similar purposes</w:t>
      </w:r>
      <w:bookmarkEnd w:id="547"/>
      <w:bookmarkEnd w:id="548"/>
      <w:bookmarkEnd w:id="549"/>
      <w:bookmarkEnd w:id="550"/>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 xml:space="preserve">[Section 75A inserted by No. 2 of 2003 s. 61.] </w:t>
      </w:r>
    </w:p>
    <w:p>
      <w:pPr>
        <w:pStyle w:val="Ednotesection"/>
        <w:ind w:left="890" w:hanging="890"/>
      </w:pPr>
      <w:bookmarkStart w:id="554" w:name="_Toc500739942"/>
      <w:bookmarkStart w:id="555" w:name="_Toc520101133"/>
      <w:bookmarkStart w:id="556" w:name="_Toc520533032"/>
      <w:bookmarkEnd w:id="551"/>
      <w:bookmarkEnd w:id="552"/>
      <w:bookmarkEnd w:id="553"/>
      <w:r>
        <w:t>[</w:t>
      </w:r>
      <w:r>
        <w:rPr>
          <w:b/>
        </w:rPr>
        <w:t>75AA.</w:t>
      </w:r>
      <w:r>
        <w:tab/>
        <w:t xml:space="preserve">Repealed by No. 2 of 2003 s. 61.] </w:t>
      </w:r>
    </w:p>
    <w:p>
      <w:pPr>
        <w:pStyle w:val="Heading5"/>
        <w:rPr>
          <w:snapToGrid w:val="0"/>
        </w:rPr>
      </w:pPr>
      <w:bookmarkStart w:id="557" w:name="_Toc49223917"/>
      <w:bookmarkStart w:id="558" w:name="_Toc107054911"/>
      <w:bookmarkStart w:id="559" w:name="_Toc131416107"/>
      <w:bookmarkStart w:id="560" w:name="_Toc170193290"/>
      <w:r>
        <w:rPr>
          <w:rStyle w:val="CharSectno"/>
        </w:rPr>
        <w:t>75AB</w:t>
      </w:r>
      <w:r>
        <w:rPr>
          <w:snapToGrid w:val="0"/>
        </w:rPr>
        <w:t>.</w:t>
      </w:r>
      <w:r>
        <w:rPr>
          <w:snapToGrid w:val="0"/>
        </w:rPr>
        <w:tab/>
        <w:t>Power to exempt instruments made in respect of certain funds or schemes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 xml:space="preserve">[Section 75AB inserted by No. 37 of 1979 s. 51; amended by No. 81 of 1984 s. 25; No. 2 of 2003 s. 62; No. 28 of 2003 s. 189.] </w:t>
      </w:r>
    </w:p>
    <w:p>
      <w:pPr>
        <w:pStyle w:val="Heading5"/>
      </w:pPr>
      <w:bookmarkStart w:id="561" w:name="_Toc500739943"/>
      <w:bookmarkStart w:id="562" w:name="_Toc520101134"/>
      <w:bookmarkStart w:id="563" w:name="_Toc520533033"/>
      <w:bookmarkStart w:id="564" w:name="_Toc49223918"/>
      <w:bookmarkStart w:id="565" w:name="_Toc107054912"/>
      <w:bookmarkStart w:id="566" w:name="_Toc131416108"/>
      <w:bookmarkStart w:id="567" w:name="_Toc170193291"/>
      <w:r>
        <w:rPr>
          <w:rStyle w:val="CharSectno"/>
        </w:rPr>
        <w:t>75ABA</w:t>
      </w:r>
      <w:r>
        <w:t>.</w:t>
      </w:r>
      <w:r>
        <w:tab/>
        <w:t xml:space="preserve">Power to exempt transfers by bankruptcy trustee to </w:t>
      </w:r>
      <w:bookmarkEnd w:id="561"/>
      <w:bookmarkEnd w:id="562"/>
      <w:bookmarkEnd w:id="563"/>
      <w:bookmarkEnd w:id="564"/>
      <w:r>
        <w:t>bankrupt</w:t>
      </w:r>
      <w:bookmarkEnd w:id="565"/>
      <w:bookmarkEnd w:id="566"/>
      <w:bookmarkEnd w:id="567"/>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 xml:space="preserve">the Official Trustee in Bankruptcy; or </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68" w:name="_Toc500739944"/>
      <w:bookmarkStart w:id="569" w:name="_Toc520101135"/>
      <w:bookmarkStart w:id="570" w:name="_Toc520533034"/>
      <w:bookmarkStart w:id="571" w:name="_Toc49223919"/>
      <w:bookmarkStart w:id="572" w:name="_Toc107054913"/>
      <w:bookmarkStart w:id="573" w:name="_Toc131416109"/>
      <w:bookmarkStart w:id="574" w:name="_Toc170193292"/>
      <w:r>
        <w:rPr>
          <w:rStyle w:val="CharSectno"/>
        </w:rPr>
        <w:t>75AC</w:t>
      </w:r>
      <w:r>
        <w:rPr>
          <w:snapToGrid w:val="0"/>
        </w:rPr>
        <w:t>.</w:t>
      </w:r>
      <w:r>
        <w:rPr>
          <w:snapToGrid w:val="0"/>
        </w:rPr>
        <w:tab/>
        <w:t>Exchange of property</w:t>
      </w:r>
      <w:bookmarkEnd w:id="568"/>
      <w:bookmarkEnd w:id="569"/>
      <w:bookmarkEnd w:id="570"/>
      <w:bookmarkEnd w:id="571"/>
      <w:bookmarkEnd w:id="572"/>
      <w:bookmarkEnd w:id="573"/>
      <w:bookmarkEnd w:id="574"/>
      <w:r>
        <w:rPr>
          <w:snapToGrid w:val="0"/>
        </w:rPr>
        <w:t xml:space="preserve"> </w:t>
      </w:r>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 xml:space="preserve">[Section 75AC inserted by No. 20 of 1996 s. 27.] </w:t>
      </w:r>
    </w:p>
    <w:p>
      <w:pPr>
        <w:pStyle w:val="Heading5"/>
        <w:spacing w:before="200"/>
        <w:rPr>
          <w:snapToGrid w:val="0"/>
        </w:rPr>
      </w:pPr>
      <w:bookmarkStart w:id="575" w:name="_Toc500739945"/>
      <w:bookmarkStart w:id="576" w:name="_Toc520101136"/>
      <w:bookmarkStart w:id="577" w:name="_Toc520533035"/>
      <w:bookmarkStart w:id="578" w:name="_Toc49223920"/>
      <w:bookmarkStart w:id="579" w:name="_Toc107054914"/>
      <w:bookmarkStart w:id="580" w:name="_Toc131416110"/>
      <w:bookmarkStart w:id="581" w:name="_Toc170193293"/>
      <w:r>
        <w:rPr>
          <w:rStyle w:val="CharSectno"/>
        </w:rPr>
        <w:t>75AD</w:t>
      </w:r>
      <w:r>
        <w:rPr>
          <w:snapToGrid w:val="0"/>
        </w:rPr>
        <w:t>.</w:t>
      </w:r>
      <w:r>
        <w:rPr>
          <w:snapToGrid w:val="0"/>
        </w:rPr>
        <w:tab/>
        <w:t>Duty chargeable on partition of property</w:t>
      </w:r>
      <w:bookmarkEnd w:id="575"/>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 xml:space="preserve">[Section 75AD inserted by No. 37 of 1979 s. 51; amended by No. 39 of 1994 s. 14; No. 66 of 2003 s. 39.] </w:t>
      </w:r>
    </w:p>
    <w:p>
      <w:pPr>
        <w:pStyle w:val="Heading5"/>
        <w:spacing w:before="180"/>
      </w:pPr>
      <w:bookmarkStart w:id="582" w:name="_Toc49223921"/>
      <w:bookmarkStart w:id="583" w:name="_Toc107054915"/>
      <w:bookmarkStart w:id="584" w:name="_Toc131416111"/>
      <w:bookmarkStart w:id="585" w:name="_Toc170193294"/>
      <w:bookmarkStart w:id="586" w:name="_Toc500739947"/>
      <w:bookmarkStart w:id="587" w:name="_Toc520101138"/>
      <w:bookmarkStart w:id="588" w:name="_Toc520533037"/>
      <w:r>
        <w:rPr>
          <w:rStyle w:val="CharSectno"/>
        </w:rPr>
        <w:t>75AE</w:t>
      </w:r>
      <w:r>
        <w:t>.</w:t>
      </w:r>
      <w:r>
        <w:tab/>
        <w:t>Concessional rates for certain residential or business property</w:t>
      </w:r>
      <w:bookmarkEnd w:id="582"/>
      <w:bookmarkEnd w:id="583"/>
      <w:bookmarkEnd w:id="584"/>
      <w:bookmarkEnd w:id="585"/>
    </w:p>
    <w:p>
      <w:pPr>
        <w:pStyle w:val="Subsection"/>
        <w:spacing w:before="140"/>
      </w:pPr>
      <w:r>
        <w:tab/>
        <w:t>(1)</w:t>
      </w:r>
      <w:r>
        <w:tab/>
        <w:t xml:space="preserve">A conveyance or transfer of residential property or business property is chargeable with duty under item 4(5) of the Second Schedule if —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 xml:space="preserve">the property is conveyed or transferred to — </w:t>
      </w:r>
    </w:p>
    <w:p>
      <w:pPr>
        <w:pStyle w:val="Indenti"/>
        <w:spacing w:before="60"/>
      </w:pPr>
      <w:r>
        <w:tab/>
        <w:t>(i)</w:t>
      </w:r>
      <w:r>
        <w:tab/>
        <w:t xml:space="preserve">one person who is an eligible purchaser; </w:t>
      </w:r>
    </w:p>
    <w:p>
      <w:pPr>
        <w:pStyle w:val="Indenti"/>
        <w:spacing w:before="60"/>
      </w:pPr>
      <w:r>
        <w:tab/>
        <w:t>(ii)</w:t>
      </w:r>
      <w:r>
        <w:tab/>
        <w:t xml:space="preserve">in the case of business property — 2 or more purchasers all of whom are eligible purchasers; or </w:t>
      </w:r>
    </w:p>
    <w:p>
      <w:pPr>
        <w:pStyle w:val="Indenti"/>
      </w:pPr>
      <w:r>
        <w:tab/>
        <w:t>(iii)</w:t>
      </w:r>
      <w:r>
        <w:tab/>
        <w:t xml:space="preserve">in the case of residential property — 2 or more purchasers —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 xml:space="preserve">In this section —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xml:space="preserve">, in relation to a business property, means a person who —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xml:space="preserve">, in relation to a residential property, means — </w:t>
      </w:r>
    </w:p>
    <w:p>
      <w:pPr>
        <w:pStyle w:val="Defpara"/>
      </w:pPr>
      <w:r>
        <w:tab/>
        <w:t>(a)</w:t>
      </w:r>
      <w:r>
        <w:tab/>
        <w:t xml:space="preserve">an individual who —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 xml:space="preserve">In paragraph (b) of the definition of “eligible purchaser”, as defined in relation to residential property —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 xml:space="preserve">[Section 75AE inserted by No. 2 of 2003 s. 64; amended by No. 12 of 2004 s. 26; No. 11 of 2005 s. 9.] </w:t>
      </w:r>
    </w:p>
    <w:p>
      <w:pPr>
        <w:pStyle w:val="Heading5"/>
        <w:rPr>
          <w:snapToGrid w:val="0"/>
        </w:rPr>
      </w:pPr>
      <w:bookmarkStart w:id="589" w:name="_Toc49223922"/>
      <w:bookmarkStart w:id="590" w:name="_Toc107054916"/>
      <w:bookmarkStart w:id="591" w:name="_Toc131416112"/>
      <w:bookmarkStart w:id="592" w:name="_Toc170193295"/>
      <w:r>
        <w:rPr>
          <w:rStyle w:val="CharSectno"/>
        </w:rPr>
        <w:t>75AF</w:t>
      </w:r>
      <w:r>
        <w:rPr>
          <w:snapToGrid w:val="0"/>
        </w:rPr>
        <w:t>.</w:t>
      </w:r>
      <w:r>
        <w:rPr>
          <w:snapToGrid w:val="0"/>
        </w:rPr>
        <w:tab/>
        <w:t>Computation of duty for 2 or more instruments</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 xml:space="preserve">[Section 75AF inserted by No. 81 of 1984 s. 26; amended by No. 41 of 1989 s. 12; No. 2 of 2003 s. 65.] </w:t>
      </w:r>
    </w:p>
    <w:p>
      <w:pPr>
        <w:pStyle w:val="Heading5"/>
      </w:pPr>
      <w:bookmarkStart w:id="593" w:name="_Toc107054917"/>
      <w:bookmarkStart w:id="594" w:name="_Toc131416113"/>
      <w:bookmarkStart w:id="595" w:name="_Toc170193296"/>
      <w:r>
        <w:rPr>
          <w:rStyle w:val="CharSectno"/>
        </w:rPr>
        <w:t>75AG</w:t>
      </w:r>
      <w:r>
        <w:t>.</w:t>
      </w:r>
      <w:r>
        <w:tab/>
        <w:t>Reduction of duty or refund for first home owner</w:t>
      </w:r>
      <w:bookmarkEnd w:id="593"/>
      <w:bookmarkEnd w:id="594"/>
      <w:bookmarkEnd w:id="595"/>
    </w:p>
    <w:p>
      <w:pPr>
        <w:pStyle w:val="Subsection"/>
      </w:pPr>
      <w:r>
        <w:tab/>
        <w:t>(1)</w:t>
      </w:r>
      <w:r>
        <w:tab/>
        <w:t xml:space="preserve">Duty on an instrument of transfer of property referred to in the Second Schedule item 4(2) or (3) becomes chargeable at the rate set out in the respective subitem when the transferee, or each transferee, if there are more than one —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 xml:space="preserve">Subsection (1) does not apply to an instrument of transfer of property referred to in the Second Schedule item 4(2) or (3) if — </w:t>
      </w:r>
    </w:p>
    <w:p>
      <w:pPr>
        <w:pStyle w:val="Indenta"/>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 xml:space="preserve">The application may only be made within the period — </w:t>
      </w:r>
    </w:p>
    <w:p>
      <w:pPr>
        <w:pStyle w:val="Indenta"/>
      </w:pPr>
      <w:r>
        <w:tab/>
        <w:t>(a)</w:t>
      </w:r>
      <w:r>
        <w:tab/>
        <w:t>beginning on the commencement date of the eligible transaction to which the application relates; and</w:t>
      </w:r>
    </w:p>
    <w:p>
      <w:pPr>
        <w:pStyle w:val="Indenta"/>
      </w:pPr>
      <w:r>
        <w:tab/>
        <w:t>(b)</w:t>
      </w:r>
      <w:r>
        <w:tab/>
        <w:t xml:space="preserve">ending 12 months after the completion of the eligible transaction. </w:t>
      </w:r>
    </w:p>
    <w:p>
      <w:pPr>
        <w:pStyle w:val="Subsection"/>
      </w:pPr>
      <w:r>
        <w:tab/>
        <w:t>(5)</w:t>
      </w:r>
      <w:r>
        <w:tab/>
        <w:t xml:space="preserve">The application must —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 xml:space="preserve">For the purposes of this section and for the purposes of applying the Administration Act in relation to the operation of this section —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 xml:space="preserve">In this section, unless the contrary intention appears —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t>“</w:t>
      </w:r>
      <w:r>
        <w:rPr>
          <w:rStyle w:val="CharDefText"/>
        </w:rPr>
        <w:t>transferee</w:t>
      </w:r>
      <w:r>
        <w:rPr>
          <w:b/>
        </w:rPr>
        <w:t>”</w:t>
      </w:r>
      <w:r>
        <w:t xml:space="preserve">, in relation to property, means a person to whom the property is conveyed or transferred, except —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r>
      <w:r>
        <w:tab/>
        <w:t xml:space="preserve">Repealed by No. 48 of 1996 s. 41.] </w:t>
      </w:r>
    </w:p>
    <w:p>
      <w:pPr>
        <w:pStyle w:val="Heading5"/>
        <w:rPr>
          <w:snapToGrid w:val="0"/>
        </w:rPr>
      </w:pPr>
      <w:bookmarkStart w:id="596" w:name="_Toc500739949"/>
      <w:bookmarkStart w:id="597" w:name="_Toc520101140"/>
      <w:bookmarkStart w:id="598" w:name="_Toc520533039"/>
      <w:bookmarkStart w:id="599" w:name="_Toc49223924"/>
      <w:bookmarkStart w:id="600" w:name="_Toc107054918"/>
      <w:bookmarkStart w:id="601" w:name="_Toc131416114"/>
      <w:bookmarkStart w:id="602" w:name="_Toc170193297"/>
      <w:r>
        <w:rPr>
          <w:rStyle w:val="CharSectno"/>
        </w:rPr>
        <w:t>75C</w:t>
      </w:r>
      <w:r>
        <w:rPr>
          <w:snapToGrid w:val="0"/>
        </w:rPr>
        <w:t>.</w:t>
      </w:r>
      <w:r>
        <w:rPr>
          <w:snapToGrid w:val="0"/>
        </w:rPr>
        <w:tab/>
        <w:t>Power to exempt for certain conveyances between spouses</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 </w:t>
      </w:r>
    </w:p>
    <w:p>
      <w:pPr>
        <w:pStyle w:val="Defstart"/>
        <w:keepNext/>
        <w:keepLines/>
      </w:pPr>
      <w:r>
        <w:rPr>
          <w:b/>
        </w:rPr>
        <w:tab/>
        <w:t>“</w:t>
      </w:r>
      <w:r>
        <w:rPr>
          <w:rStyle w:val="CharDefText"/>
        </w:rPr>
        <w:t>lot</w:t>
      </w:r>
      <w:r>
        <w:rPr>
          <w:b/>
        </w:rPr>
        <w:t>”</w:t>
      </w:r>
      <w:r>
        <w:t xml:space="preserve"> means —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 xml:space="preserve">[Section 75C inserted by No. 100 of 1987 s. 5; amended by No. 3 of 1989 s. 7; No. 52 of 1991 s. 15; No. 20 of 1996 s. 30; No. 2 of 2003 s. 67; No. 28 of 2003 s. 190.] </w:t>
      </w:r>
    </w:p>
    <w:p>
      <w:pPr>
        <w:pStyle w:val="Heading5"/>
      </w:pPr>
      <w:bookmarkStart w:id="603" w:name="_Toc107054919"/>
      <w:bookmarkStart w:id="604" w:name="_Toc131416115"/>
      <w:bookmarkStart w:id="605" w:name="_Toc170193298"/>
      <w:r>
        <w:rPr>
          <w:rStyle w:val="CharSectno"/>
        </w:rPr>
        <w:t>75CA</w:t>
      </w:r>
      <w:r>
        <w:t>.</w:t>
      </w:r>
      <w:r>
        <w:tab/>
        <w:t>Refund where contingent consideration is not paid</w:t>
      </w:r>
      <w:bookmarkEnd w:id="603"/>
      <w:bookmarkEnd w:id="604"/>
      <w:bookmarkEnd w:id="605"/>
      <w:r>
        <w:t xml:space="preserve"> </w:t>
      </w:r>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 xml:space="preserve">duty was dependent on the happening of a future event, then if, on an application under subsection (2), it is shown to the satisfaction of the Commissioner that — </w:t>
      </w:r>
    </w:p>
    <w:p>
      <w:pPr>
        <w:pStyle w:val="Indenta"/>
      </w:pPr>
      <w:r>
        <w:tab/>
        <w:t>(a)</w:t>
      </w:r>
      <w:r>
        <w:tab/>
        <w:t xml:space="preserve">the contract was executed on or after the day on which this section came into operation; </w:t>
      </w:r>
    </w:p>
    <w:p>
      <w:pPr>
        <w:pStyle w:val="Indenta"/>
      </w:pPr>
      <w:r>
        <w:tab/>
        <w:t>(b)</w:t>
      </w:r>
      <w:r>
        <w:tab/>
        <w:t xml:space="preserve">the contingent consideration has not been paid; </w:t>
      </w:r>
    </w:p>
    <w:p>
      <w:pPr>
        <w:pStyle w:val="Indenta"/>
      </w:pPr>
      <w:r>
        <w:tab/>
        <w:t>(c)</w:t>
      </w:r>
      <w:r>
        <w:tab/>
        <w:t>the event did not happen, or did not happen within the time specified in the contract for the happening of the event; and</w:t>
      </w:r>
    </w:p>
    <w:p>
      <w:pPr>
        <w:pStyle w:val="Indenta"/>
      </w:pPr>
      <w:r>
        <w:tab/>
        <w:t>(d)</w:t>
      </w:r>
      <w:r>
        <w:tab/>
        <w:t xml:space="preserve">either — </w:t>
      </w:r>
    </w:p>
    <w:p>
      <w:pPr>
        <w:pStyle w:val="Indenti"/>
      </w:pPr>
      <w:r>
        <w:tab/>
        <w:t>(i)</w:t>
      </w:r>
      <w:r>
        <w:tab/>
        <w:t>the event cannot happen in the future; or</w:t>
      </w:r>
    </w:p>
    <w:p>
      <w:pPr>
        <w:pStyle w:val="Indenti"/>
      </w:pPr>
      <w:r>
        <w:tab/>
        <w:t>(ii)</w:t>
      </w:r>
      <w:r>
        <w:tab/>
        <w:t xml:space="preserve">the time specified in the contract for the happening of the event has passed or expired, </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 xml:space="preserve">cannot be made more than 5 years after the contract was executed. </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pPr>
      <w:bookmarkStart w:id="606" w:name="_Toc58902576"/>
      <w:bookmarkStart w:id="607" w:name="_Toc76899589"/>
      <w:bookmarkStart w:id="608" w:name="_Toc78090491"/>
      <w:bookmarkStart w:id="609" w:name="_Toc88886859"/>
      <w:bookmarkStart w:id="610" w:name="_Toc90443475"/>
      <w:bookmarkStart w:id="611" w:name="_Toc90452826"/>
      <w:bookmarkStart w:id="612" w:name="_Toc100029417"/>
      <w:bookmarkStart w:id="613" w:name="_Toc100031490"/>
      <w:bookmarkStart w:id="614" w:name="_Toc100458549"/>
      <w:bookmarkStart w:id="615" w:name="_Toc101671965"/>
      <w:bookmarkStart w:id="616" w:name="_Toc101672222"/>
      <w:bookmarkStart w:id="617" w:name="_Toc102799248"/>
      <w:bookmarkStart w:id="618" w:name="_Toc102981922"/>
      <w:bookmarkStart w:id="619" w:name="_Toc103403235"/>
      <w:bookmarkStart w:id="620" w:name="_Toc103403492"/>
      <w:bookmarkStart w:id="621" w:name="_Toc103747491"/>
      <w:bookmarkStart w:id="622" w:name="_Toc107054920"/>
      <w:bookmarkStart w:id="623" w:name="_Toc113874367"/>
      <w:bookmarkStart w:id="624" w:name="_Toc113956783"/>
      <w:bookmarkStart w:id="625" w:name="_Toc116717339"/>
      <w:bookmarkStart w:id="626" w:name="_Toc116813366"/>
      <w:bookmarkStart w:id="627" w:name="_Toc122333018"/>
      <w:bookmarkStart w:id="628" w:name="_Toc122861988"/>
      <w:bookmarkStart w:id="629" w:name="_Toc122862584"/>
      <w:bookmarkStart w:id="630" w:name="_Toc122921191"/>
      <w:bookmarkStart w:id="631" w:name="_Toc122921451"/>
      <w:bookmarkStart w:id="632" w:name="_Toc122947396"/>
      <w:bookmarkStart w:id="633" w:name="_Toc124046232"/>
      <w:bookmarkStart w:id="634" w:name="_Toc131415817"/>
      <w:bookmarkStart w:id="635" w:name="_Toc131416116"/>
      <w:bookmarkStart w:id="636" w:name="_Toc170193299"/>
      <w:r>
        <w:rPr>
          <w:rStyle w:val="CharPartNo"/>
        </w:rPr>
        <w:t>Part IIIBAA</w:t>
      </w:r>
      <w:r>
        <w:rPr>
          <w:rStyle w:val="CharDivNo"/>
        </w:rPr>
        <w:t> </w:t>
      </w:r>
      <w:r>
        <w:t>—</w:t>
      </w:r>
      <w:r>
        <w:rPr>
          <w:rStyle w:val="CharDivText"/>
        </w:rPr>
        <w:t> </w:t>
      </w:r>
      <w:r>
        <w:rPr>
          <w:rStyle w:val="CharPartText"/>
        </w:rPr>
        <w:t>Certain transfers of farming property</w:t>
      </w:r>
      <w:r>
        <w:t> </w:t>
      </w:r>
      <w:bookmarkEnd w:id="606"/>
      <w:bookmarkEnd w:id="607"/>
      <w:bookmarkEnd w:id="608"/>
      <w:bookmarkEnd w:id="609"/>
      <w:bookmarkEnd w:id="610"/>
      <w:bookmarkEnd w:id="611"/>
      <w:bookmarkEnd w:id="612"/>
      <w:bookmarkEnd w:id="613"/>
      <w:r>
        <w:rPr>
          <w:b w:val="0"/>
          <w:vertAlign w:val="superscript"/>
        </w:rPr>
        <w:t>5</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Footnoteheading"/>
        <w:tabs>
          <w:tab w:val="left" w:pos="909"/>
        </w:tabs>
        <w:rPr>
          <w:snapToGrid w:val="0"/>
        </w:rPr>
      </w:pPr>
      <w:r>
        <w:rPr>
          <w:snapToGrid w:val="0"/>
        </w:rPr>
        <w:tab/>
        <w:t xml:space="preserve">[Heading inserted by No. 79 of 1994 s. 4(1).] </w:t>
      </w:r>
    </w:p>
    <w:p>
      <w:pPr>
        <w:pStyle w:val="Heading5"/>
        <w:rPr>
          <w:snapToGrid w:val="0"/>
        </w:rPr>
      </w:pPr>
      <w:bookmarkStart w:id="637" w:name="_Toc500739950"/>
      <w:bookmarkStart w:id="638" w:name="_Toc520101141"/>
      <w:bookmarkStart w:id="639" w:name="_Toc520533040"/>
      <w:bookmarkStart w:id="640" w:name="_Toc49223925"/>
      <w:bookmarkStart w:id="641" w:name="_Toc107054921"/>
      <w:bookmarkStart w:id="642" w:name="_Toc131416117"/>
      <w:bookmarkStart w:id="643" w:name="_Toc170193300"/>
      <w:r>
        <w:rPr>
          <w:rStyle w:val="CharSectno"/>
        </w:rPr>
        <w:t>75D</w:t>
      </w:r>
      <w:r>
        <w:rPr>
          <w:snapToGrid w:val="0"/>
        </w:rPr>
        <w:t>.</w:t>
      </w:r>
      <w:r>
        <w:rPr>
          <w:snapToGrid w:val="0"/>
        </w:rPr>
        <w:tab/>
        <w:t>Interpretation</w:t>
      </w:r>
      <w:bookmarkEnd w:id="637"/>
      <w:bookmarkEnd w:id="638"/>
      <w:bookmarkEnd w:id="639"/>
      <w:bookmarkEnd w:id="640"/>
      <w:r>
        <w:rPr>
          <w:snapToGrid w:val="0"/>
        </w:rPr>
        <w:t xml:space="preserve"> in Part IIIBAA</w:t>
      </w:r>
      <w:bookmarkEnd w:id="641"/>
      <w:bookmarkEnd w:id="642"/>
      <w:bookmarkEnd w:id="643"/>
    </w:p>
    <w:p>
      <w:pPr>
        <w:pStyle w:val="Subsection"/>
        <w:rPr>
          <w:snapToGrid w:val="0"/>
        </w:rPr>
      </w:pPr>
      <w:r>
        <w:rPr>
          <w:snapToGrid w:val="0"/>
        </w:rPr>
        <w:tab/>
        <w:t>(1)</w:t>
      </w:r>
      <w:r>
        <w:rPr>
          <w:snapToGrid w:val="0"/>
        </w:rPr>
        <w:tab/>
        <w:t>In this Part —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 </w:t>
      </w:r>
    </w:p>
    <w:p>
      <w:pPr>
        <w:pStyle w:val="Defpara"/>
        <w:spacing w:before="60"/>
      </w:pPr>
      <w:r>
        <w:tab/>
        <w:t>(a)</w:t>
      </w:r>
      <w:r>
        <w:tab/>
        <w:t>the shares of which are not quoted on a financial market; and</w:t>
      </w:r>
    </w:p>
    <w:p>
      <w:pPr>
        <w:pStyle w:val="Defpara"/>
        <w:spacing w:before="60"/>
      </w:pPr>
      <w:r>
        <w:tab/>
        <w:t>(b)</w:t>
      </w:r>
      <w:r>
        <w:tab/>
        <w:t>which has assets which include —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 xml:space="preserve">[Section 75D inserted by No. 79 of 1994 s. 4(1); amended by No. 20 of 1996 s. 31; No. 57 of 1996 s. 6; No. 13 of 1997 s. 42; No. 53 of 1999 s. 21; No. 21 of 2003 s. 27; No. 2 of 2003 s. 68; No. 28 of 2003 s. 191; No. 66 of 2003 s. 42; No. 12 of 2004 s. 27.] </w:t>
      </w:r>
    </w:p>
    <w:p>
      <w:pPr>
        <w:pStyle w:val="Heading5"/>
        <w:rPr>
          <w:snapToGrid w:val="0"/>
        </w:rPr>
      </w:pPr>
      <w:bookmarkStart w:id="644" w:name="_Toc500739951"/>
      <w:bookmarkStart w:id="645" w:name="_Toc520101142"/>
      <w:bookmarkStart w:id="646" w:name="_Toc520533041"/>
      <w:bookmarkStart w:id="647" w:name="_Toc49223926"/>
      <w:bookmarkStart w:id="648" w:name="_Toc107054922"/>
      <w:bookmarkStart w:id="649" w:name="_Toc131416118"/>
      <w:bookmarkStart w:id="650" w:name="_Toc170193301"/>
      <w:r>
        <w:rPr>
          <w:rStyle w:val="CharSectno"/>
        </w:rPr>
        <w:t>75E</w:t>
      </w:r>
      <w:r>
        <w:rPr>
          <w:snapToGrid w:val="0"/>
        </w:rPr>
        <w:t>.</w:t>
      </w:r>
      <w:r>
        <w:rPr>
          <w:snapToGrid w:val="0"/>
        </w:rPr>
        <w:tab/>
        <w:t>Application of this Part</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 xml:space="preserve">This Part applies only where —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 xml:space="preserve">However, if —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 xml:space="preserve">[Section 75E inserted by No. 79 of 1994 s. 4(1); amended by No. 20 of 1996 s. 32; No. 2 of 2003 s. 69; No. 66 of 2003 s. 43; No. 12 of 2004 s. 28.] </w:t>
      </w:r>
    </w:p>
    <w:p>
      <w:pPr>
        <w:pStyle w:val="Heading5"/>
        <w:spacing w:before="120"/>
      </w:pPr>
      <w:bookmarkStart w:id="651" w:name="_Toc49223927"/>
      <w:bookmarkStart w:id="652" w:name="_Toc107054923"/>
      <w:bookmarkStart w:id="653" w:name="_Toc131416119"/>
      <w:bookmarkStart w:id="654" w:name="_Toc170193302"/>
      <w:bookmarkStart w:id="655" w:name="_Toc500739953"/>
      <w:bookmarkStart w:id="656" w:name="_Toc520101144"/>
      <w:bookmarkStart w:id="657" w:name="_Toc520533043"/>
      <w:r>
        <w:rPr>
          <w:rStyle w:val="CharSectno"/>
        </w:rPr>
        <w:t>75F</w:t>
      </w:r>
      <w:r>
        <w:t>.</w:t>
      </w:r>
      <w:r>
        <w:tab/>
        <w:t>Power to exempt for farming property</w:t>
      </w:r>
      <w:bookmarkEnd w:id="651"/>
      <w:bookmarkEnd w:id="652"/>
      <w:bookmarkEnd w:id="653"/>
      <w:bookmarkEnd w:id="654"/>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spacing w:before="120"/>
        <w:rPr>
          <w:snapToGrid w:val="0"/>
        </w:rPr>
      </w:pPr>
      <w:bookmarkStart w:id="658" w:name="_Toc49223928"/>
      <w:bookmarkStart w:id="659" w:name="_Toc107054924"/>
      <w:bookmarkStart w:id="660" w:name="_Toc131416120"/>
      <w:bookmarkStart w:id="661" w:name="_Toc170193303"/>
      <w:r>
        <w:rPr>
          <w:rStyle w:val="CharSectno"/>
        </w:rPr>
        <w:t>75G</w:t>
      </w:r>
      <w:r>
        <w:rPr>
          <w:snapToGrid w:val="0"/>
        </w:rPr>
        <w:t>.</w:t>
      </w:r>
      <w:r>
        <w:rPr>
          <w:snapToGrid w:val="0"/>
        </w:rPr>
        <w:tab/>
        <w:t>Partial exemption of duty</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Where the Commissioner is satisfied that an instrument of conveyance is an instrument to which this Part applies but —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 </w:t>
      </w:r>
    </w:p>
    <w:p>
      <w:pPr>
        <w:pStyle w:val="Equation"/>
        <w:tabs>
          <w:tab w:val="left" w:pos="1418"/>
        </w:tabs>
        <w:spacing w:before="60"/>
      </w:pPr>
      <w:r>
        <w:tab/>
      </w:r>
      <w:r>
        <w:rPr>
          <w:position w:val="-24"/>
        </w:rPr>
        <w:object w:dxaOrig="1440" w:dyaOrig="580">
          <v:shape id="_x0000_i1028" type="#_x0000_t75" style="width:1in;height:29.25pt" o:ole="" fillcolor="window">
            <v:imagedata r:id="rId25" o:title=""/>
          </v:shape>
          <o:OLEObject Type="Embed" ProgID="Equation.3" ShapeID="_x0000_i1028" DrawAspect="Content" ObjectID="_1643744731" r:id="rId26"/>
        </w:object>
      </w:r>
    </w:p>
    <w:p>
      <w:pPr>
        <w:pStyle w:val="Subsection"/>
        <w:rPr>
          <w:snapToGrid w:val="0"/>
        </w:rPr>
      </w:pPr>
      <w:r>
        <w:rPr>
          <w:snapToGrid w:val="0"/>
        </w:rPr>
        <w:tab/>
      </w:r>
      <w:r>
        <w:rPr>
          <w:snapToGrid w:val="0"/>
        </w:rPr>
        <w:tab/>
        <w:t>where —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 xml:space="preserve">[Section 75G inserted by No. 79 of 1994 s. 4(1); amended by No. 20 of 1996 s. 33; No. 2 of 2003 s. 71; No. 66 of 2003 s. 44.] </w:t>
      </w:r>
    </w:p>
    <w:p>
      <w:pPr>
        <w:pStyle w:val="Heading5"/>
      </w:pPr>
      <w:bookmarkStart w:id="662" w:name="_Toc49223929"/>
      <w:bookmarkStart w:id="663" w:name="_Toc107054925"/>
      <w:bookmarkStart w:id="664" w:name="_Toc131416121"/>
      <w:bookmarkStart w:id="665" w:name="_Toc170193304"/>
      <w:bookmarkStart w:id="666" w:name="_Toc500739955"/>
      <w:bookmarkStart w:id="667" w:name="_Toc520101146"/>
      <w:bookmarkStart w:id="668" w:name="_Toc520533045"/>
      <w:r>
        <w:rPr>
          <w:rStyle w:val="CharSectno"/>
        </w:rPr>
        <w:t>75H</w:t>
      </w:r>
      <w:r>
        <w:t>.</w:t>
      </w:r>
      <w:r>
        <w:tab/>
        <w:t>Application for exemption</w:t>
      </w:r>
      <w:bookmarkEnd w:id="662"/>
      <w:bookmarkEnd w:id="663"/>
      <w:bookmarkEnd w:id="664"/>
      <w:bookmarkEnd w:id="665"/>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669" w:name="_Toc49223930"/>
      <w:bookmarkStart w:id="670" w:name="_Toc107054926"/>
      <w:bookmarkStart w:id="671" w:name="_Toc131416122"/>
      <w:bookmarkStart w:id="672" w:name="_Toc170193305"/>
      <w:r>
        <w:rPr>
          <w:rStyle w:val="CharSectno"/>
        </w:rPr>
        <w:t>75HA</w:t>
      </w:r>
      <w:r>
        <w:rPr>
          <w:snapToGrid w:val="0"/>
        </w:rPr>
        <w:t>.</w:t>
      </w:r>
      <w:r>
        <w:rPr>
          <w:snapToGrid w:val="0"/>
        </w:rPr>
        <w:tab/>
        <w:t>Subsequent liability for duty in certain circumstances</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current exempted property</w:t>
      </w:r>
      <w:r>
        <w:rPr>
          <w:b/>
        </w:rPr>
        <w:t>”</w:t>
      </w:r>
      <w:r>
        <w:t xml:space="preserve"> means, when a taxable event occurs in relation to a discretionary trust, that part of —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 </w:t>
      </w:r>
    </w:p>
    <w:p>
      <w:pPr>
        <w:pStyle w:val="Indenta"/>
        <w:rPr>
          <w:snapToGrid w:val="0"/>
        </w:rPr>
      </w:pPr>
      <w:r>
        <w:rPr>
          <w:snapToGrid w:val="0"/>
        </w:rPr>
        <w:tab/>
        <w:t>(a)</w:t>
      </w:r>
      <w:r>
        <w:rPr>
          <w:snapToGrid w:val="0"/>
        </w:rPr>
        <w:tab/>
        <w:t>a person who is not a family member of the relevant transferor —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 xml:space="preserve">If the property conveyed by an instrument of conveyance was a share in a farming company, the discretionary trustee is not required to lodge a dutiable statement unless subsection (6) will apply if such a statement is lodged. </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 xml:space="preserve">[Section 75HA inserted by No. 20 of 1996 s. 34; amended by No. 60 of 2000 s. 20(3), (4) and (5); No. 2 of 2003 s. 73; No. 66 of 2003 s. 46 and 107(4).] </w:t>
      </w:r>
    </w:p>
    <w:p>
      <w:pPr>
        <w:pStyle w:val="Heading5"/>
      </w:pPr>
      <w:bookmarkStart w:id="673" w:name="_Toc49223931"/>
      <w:bookmarkStart w:id="674" w:name="_Toc107054927"/>
      <w:bookmarkStart w:id="675" w:name="_Toc131416123"/>
      <w:bookmarkStart w:id="676" w:name="_Toc170193306"/>
      <w:r>
        <w:rPr>
          <w:rStyle w:val="CharSectno"/>
        </w:rPr>
        <w:t>75I</w:t>
      </w:r>
      <w:r>
        <w:t>.</w:t>
      </w:r>
      <w:r>
        <w:tab/>
        <w:t>Part IIIBA companies</w:t>
      </w:r>
      <w:bookmarkEnd w:id="673"/>
      <w:bookmarkEnd w:id="674"/>
      <w:bookmarkEnd w:id="675"/>
      <w:bookmarkEnd w:id="676"/>
    </w:p>
    <w:p>
      <w:pPr>
        <w:pStyle w:val="Subsection"/>
      </w:pPr>
      <w:r>
        <w:tab/>
        <w:t>(1)</w:t>
      </w:r>
      <w:r>
        <w:tab/>
        <w:t xml:space="preserve">Where —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 xml:space="preserve">an instrument referred to in section 75E(1)(c), (d)(iii) or (e)(iii); and </w:t>
      </w:r>
    </w:p>
    <w:p>
      <w:pPr>
        <w:pStyle w:val="Indenti"/>
      </w:pPr>
      <w:r>
        <w:tab/>
        <w:t>(ii)</w:t>
      </w:r>
      <w:r>
        <w:tab/>
        <w:t xml:space="preserve">an instrument to which this Part applied; </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 xml:space="preserve">The amount of a partial exemption is the amount equal to R in the formula — </w:t>
      </w:r>
    </w:p>
    <w:p>
      <w:pPr>
        <w:pStyle w:val="Equation"/>
        <w:tabs>
          <w:tab w:val="left" w:pos="923"/>
        </w:tabs>
      </w:pPr>
      <w:r>
        <w:tab/>
      </w:r>
      <w:r>
        <w:rPr>
          <w:position w:val="-22"/>
        </w:rPr>
        <w:object w:dxaOrig="920" w:dyaOrig="580">
          <v:shape id="_x0000_i1029" type="#_x0000_t75" style="width:45.75pt;height:29.25pt" o:ole="" fillcolor="window">
            <v:imagedata r:id="rId27" o:title=""/>
          </v:shape>
          <o:OLEObject Type="Embed" ProgID="Equation.3" ShapeID="_x0000_i1029" DrawAspect="Content" ObjectID="_1643744732" r:id="rId28"/>
        </w:object>
      </w:r>
    </w:p>
    <w:p>
      <w:pPr>
        <w:pStyle w:val="Subsection"/>
      </w:pPr>
      <w:r>
        <w:tab/>
      </w:r>
      <w:r>
        <w:tab/>
        <w:t xml:space="preserve">where —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677" w:name="_Toc58902584"/>
      <w:bookmarkStart w:id="678" w:name="_Toc76899597"/>
      <w:bookmarkStart w:id="679" w:name="_Toc78090499"/>
      <w:bookmarkStart w:id="680" w:name="_Toc88886867"/>
      <w:bookmarkStart w:id="681" w:name="_Toc90443483"/>
      <w:bookmarkStart w:id="682" w:name="_Toc90452834"/>
      <w:bookmarkStart w:id="683" w:name="_Toc100029425"/>
      <w:bookmarkStart w:id="684" w:name="_Toc100031498"/>
      <w:bookmarkStart w:id="685" w:name="_Toc100458557"/>
      <w:bookmarkStart w:id="686" w:name="_Toc101671973"/>
      <w:bookmarkStart w:id="687" w:name="_Toc101672230"/>
      <w:bookmarkStart w:id="688" w:name="_Toc102799256"/>
      <w:bookmarkStart w:id="689" w:name="_Toc102981930"/>
      <w:bookmarkStart w:id="690" w:name="_Toc103403243"/>
      <w:bookmarkStart w:id="691" w:name="_Toc103403500"/>
      <w:bookmarkStart w:id="692" w:name="_Toc103747499"/>
      <w:bookmarkStart w:id="693" w:name="_Toc107054928"/>
      <w:bookmarkStart w:id="694" w:name="_Toc113874375"/>
      <w:bookmarkStart w:id="695" w:name="_Toc113956791"/>
      <w:bookmarkStart w:id="696" w:name="_Toc116717347"/>
      <w:bookmarkStart w:id="697" w:name="_Toc116813374"/>
      <w:bookmarkStart w:id="698" w:name="_Toc122333026"/>
      <w:bookmarkStart w:id="699" w:name="_Toc122861996"/>
      <w:bookmarkStart w:id="700" w:name="_Toc122862592"/>
      <w:bookmarkStart w:id="701" w:name="_Toc122921199"/>
      <w:bookmarkStart w:id="702" w:name="_Toc122921459"/>
      <w:bookmarkStart w:id="703" w:name="_Toc122947404"/>
      <w:bookmarkStart w:id="704" w:name="_Toc124046240"/>
      <w:bookmarkStart w:id="705" w:name="_Toc131415825"/>
      <w:bookmarkStart w:id="706" w:name="_Toc131416124"/>
      <w:bookmarkStart w:id="707" w:name="_Toc170193307"/>
      <w:r>
        <w:rPr>
          <w:rStyle w:val="CharPartNo"/>
        </w:rPr>
        <w:t>Part IIIBAAA</w:t>
      </w:r>
      <w:r>
        <w:rPr>
          <w:rStyle w:val="CharDivNo"/>
        </w:rPr>
        <w:t> </w:t>
      </w:r>
      <w:r>
        <w:t>—</w:t>
      </w:r>
      <w:r>
        <w:rPr>
          <w:rStyle w:val="CharDivText"/>
        </w:rPr>
        <w:t> </w:t>
      </w:r>
      <w:r>
        <w:rPr>
          <w:rStyle w:val="CharPartText"/>
        </w:rPr>
        <w:t>Exemptions for corporate reconstructions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Footnoteheading"/>
        <w:tabs>
          <w:tab w:val="left" w:pos="909"/>
        </w:tabs>
        <w:rPr>
          <w:snapToGrid w:val="0"/>
        </w:rPr>
      </w:pPr>
      <w:r>
        <w:rPr>
          <w:snapToGrid w:val="0"/>
        </w:rPr>
        <w:tab/>
        <w:t xml:space="preserve">[Heading inserted by No. 48 of 1996 s. 42.] </w:t>
      </w:r>
    </w:p>
    <w:p>
      <w:pPr>
        <w:pStyle w:val="Heading5"/>
        <w:rPr>
          <w:snapToGrid w:val="0"/>
        </w:rPr>
      </w:pPr>
      <w:bookmarkStart w:id="708" w:name="_Toc500739957"/>
      <w:bookmarkStart w:id="709" w:name="_Toc520101148"/>
      <w:bookmarkStart w:id="710" w:name="_Toc520533047"/>
      <w:bookmarkStart w:id="711" w:name="_Toc49223932"/>
      <w:bookmarkStart w:id="712" w:name="_Toc107054929"/>
      <w:bookmarkStart w:id="713" w:name="_Toc131416125"/>
      <w:bookmarkStart w:id="714" w:name="_Toc170193308"/>
      <w:r>
        <w:rPr>
          <w:rStyle w:val="CharSectno"/>
        </w:rPr>
        <w:t>75J</w:t>
      </w:r>
      <w:r>
        <w:rPr>
          <w:snapToGrid w:val="0"/>
        </w:rPr>
        <w:t>.</w:t>
      </w:r>
      <w:r>
        <w:rPr>
          <w:snapToGrid w:val="0"/>
        </w:rPr>
        <w:tab/>
        <w:t>Interpretation in Part</w:t>
      </w:r>
      <w:bookmarkEnd w:id="708"/>
      <w:bookmarkEnd w:id="709"/>
      <w:bookmarkEnd w:id="710"/>
      <w:bookmarkEnd w:id="711"/>
      <w:r>
        <w:rPr>
          <w:snapToGrid w:val="0"/>
        </w:rPr>
        <w:t xml:space="preserve"> IIIBAAA</w:t>
      </w:r>
      <w:bookmarkEnd w:id="712"/>
      <w:bookmarkEnd w:id="713"/>
      <w:bookmarkEnd w:id="714"/>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 </w:t>
      </w:r>
    </w:p>
    <w:p>
      <w:pPr>
        <w:pStyle w:val="Indenta"/>
        <w:keepNext/>
        <w:spacing w:before="60"/>
        <w:rPr>
          <w:snapToGrid w:val="0"/>
        </w:rPr>
      </w:pPr>
      <w:r>
        <w:rPr>
          <w:snapToGrid w:val="0"/>
        </w:rPr>
        <w:tab/>
        <w:t>(a)</w:t>
      </w:r>
      <w:r>
        <w:rPr>
          <w:snapToGrid w:val="0"/>
        </w:rPr>
        <w:tab/>
        <w:t>2 bodies corporate are associated if —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keepNext/>
        <w:spacing w:before="60"/>
        <w:rPr>
          <w:snapToGrid w:val="0"/>
        </w:rPr>
      </w:pPr>
      <w:r>
        <w:rPr>
          <w:snapToGrid w:val="0"/>
        </w:rPr>
        <w:tab/>
        <w:t>(c)</w:t>
      </w:r>
      <w:r>
        <w:rPr>
          <w:snapToGrid w:val="0"/>
        </w:rPr>
        <w:tab/>
        <w:t>if the claw</w:t>
      </w:r>
      <w:r>
        <w:rPr>
          <w:snapToGrid w:val="0"/>
        </w:rPr>
        <w:noBreakHyphen/>
        <w:t>back applies —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 xml:space="preserve">This subsection applies to issued share capital of a body corporate if the Commissioner is satisfied —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 xml:space="preserve">[Section 75J inserted by No. 48 of 1996 s. 42; amended by No. 51 of 1997 s. 5; No. 29 of 2000 s. 5; No. 60 of 2000 s. 20(6); No. 10 of 2001 s. 170; No. 36 of 2001 s. 19; No. 2 of 2003 s. 75; No. 66 of 2003 s. 48; No. 11 of 2005 s. 11.] </w:t>
      </w:r>
    </w:p>
    <w:p>
      <w:pPr>
        <w:pStyle w:val="Heading5"/>
      </w:pPr>
      <w:bookmarkStart w:id="715" w:name="_Toc520101149"/>
      <w:bookmarkStart w:id="716" w:name="_Toc520533048"/>
      <w:bookmarkStart w:id="717" w:name="_Toc49223933"/>
      <w:bookmarkStart w:id="718" w:name="_Toc107054930"/>
      <w:bookmarkStart w:id="719" w:name="_Toc131416126"/>
      <w:bookmarkStart w:id="720" w:name="_Toc170193309"/>
      <w:bookmarkStart w:id="721" w:name="_Toc500739958"/>
      <w:r>
        <w:rPr>
          <w:rStyle w:val="CharSectno"/>
        </w:rPr>
        <w:t>75JAA</w:t>
      </w:r>
      <w:r>
        <w:t>.</w:t>
      </w:r>
      <w:r>
        <w:tab/>
        <w:t>Meaning of dormant body corporate</w:t>
      </w:r>
      <w:bookmarkEnd w:id="715"/>
      <w:bookmarkEnd w:id="716"/>
      <w:bookmarkEnd w:id="717"/>
      <w:bookmarkEnd w:id="718"/>
      <w:bookmarkEnd w:id="719"/>
      <w:bookmarkEnd w:id="720"/>
    </w:p>
    <w:p>
      <w:pPr>
        <w:pStyle w:val="Subsection"/>
      </w:pPr>
      <w:r>
        <w:tab/>
      </w:r>
      <w:r>
        <w:tab/>
        <w:t xml:space="preserve">A body corporate is dormant throughout a particular period if, and only if, throughout that period the body —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22" w:name="_Toc520101150"/>
      <w:bookmarkStart w:id="723" w:name="_Toc520533049"/>
      <w:bookmarkStart w:id="724" w:name="_Toc49223934"/>
      <w:bookmarkStart w:id="725" w:name="_Toc107054931"/>
      <w:bookmarkStart w:id="726" w:name="_Toc131416127"/>
      <w:bookmarkStart w:id="727" w:name="_Toc170193310"/>
      <w:r>
        <w:rPr>
          <w:rStyle w:val="CharSectno"/>
        </w:rPr>
        <w:t>75JA</w:t>
      </w:r>
      <w:r>
        <w:rPr>
          <w:snapToGrid w:val="0"/>
        </w:rPr>
        <w:t>.</w:t>
      </w:r>
      <w:r>
        <w:rPr>
          <w:snapToGrid w:val="0"/>
        </w:rPr>
        <w:tab/>
        <w:t>Corporate reconstructions: exemptions</w:t>
      </w:r>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Ednotesubsection"/>
        <w:spacing w:before="140"/>
      </w:pPr>
      <w:r>
        <w:tab/>
        <w:t>[(4)-(6)</w:t>
      </w:r>
      <w:r>
        <w:tab/>
        <w:t>repealed]</w:t>
      </w:r>
    </w:p>
    <w:p>
      <w:pPr>
        <w:pStyle w:val="Footnotesection"/>
      </w:pPr>
      <w:r>
        <w:tab/>
        <w:t xml:space="preserve">[Section 75JA inserted by No. 48 of 1996 s. 42; amended by No. 51 of 1997 s. 6; No. 53 of 1999 s. 22; No. 2 of 2003 s. 76; No. 21 of 2003 s. 28(1); No. 66 of 2003 s. 49; No. 11 of 2004 s. 13; No. 12 of 2004 s. 30; No. 11 of 2005 s. 12.] </w:t>
      </w:r>
    </w:p>
    <w:p>
      <w:pPr>
        <w:pStyle w:val="Heading5"/>
        <w:rPr>
          <w:snapToGrid w:val="0"/>
        </w:rPr>
      </w:pPr>
      <w:bookmarkStart w:id="728" w:name="_Toc500739959"/>
      <w:bookmarkStart w:id="729" w:name="_Toc520101151"/>
      <w:bookmarkStart w:id="730" w:name="_Toc520533050"/>
      <w:bookmarkStart w:id="731" w:name="_Toc49223935"/>
      <w:bookmarkStart w:id="732" w:name="_Toc107054932"/>
      <w:bookmarkStart w:id="733" w:name="_Toc131416128"/>
      <w:bookmarkStart w:id="734" w:name="_Toc170193311"/>
      <w:r>
        <w:rPr>
          <w:rStyle w:val="CharSectno"/>
        </w:rPr>
        <w:t>75JB</w:t>
      </w:r>
      <w:r>
        <w:rPr>
          <w:snapToGrid w:val="0"/>
        </w:rPr>
        <w:t>.</w:t>
      </w:r>
      <w:r>
        <w:rPr>
          <w:snapToGrid w:val="0"/>
        </w:rPr>
        <w:tab/>
        <w:t>Corporate reorganisations: exemption from duty on conveyances between associated bodies corporate</w:t>
      </w:r>
      <w:bookmarkEnd w:id="728"/>
      <w:bookmarkEnd w:id="729"/>
      <w:bookmarkEnd w:id="730"/>
      <w:bookmarkEnd w:id="731"/>
      <w:bookmarkEnd w:id="732"/>
      <w:bookmarkEnd w:id="733"/>
      <w:bookmarkEnd w:id="73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 xml:space="preserve">and B has been dormant from when A and B became associated until B resolved to acquire the beneficial interest; </w:t>
      </w:r>
    </w:p>
    <w:p>
      <w:pPr>
        <w:pStyle w:val="Indenti"/>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 xml:space="preserve">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 xml:space="preserve">This section also applies if —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 xml:space="preserve">comes into operation evidences an agreement to transfer or assign an interest in a vehicle and </w:t>
      </w:r>
      <w:r>
        <w:t xml:space="preserve">includes the following information —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 xml:space="preserve">the purchase price (if applicable) of the vehicle; </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r>
        <w:rPr>
          <w:snapToGrid w:val="0"/>
        </w:rPr>
        <w:t>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 xml:space="preserve">section 75J(4) having applied to the issued share capital of A or B, a change is made to the purpose for which that body corporate is carried on; </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 xml:space="preserve">In subsections (5c) to (5j) — </w:t>
      </w:r>
    </w:p>
    <w:p>
      <w:pPr>
        <w:pStyle w:val="Defstart"/>
        <w:keepNext/>
      </w:pPr>
      <w:r>
        <w:tab/>
      </w:r>
      <w:r>
        <w:rPr>
          <w:b/>
        </w:rPr>
        <w:t>“</w:t>
      </w:r>
      <w:r>
        <w:rPr>
          <w:rStyle w:val="CharDefText"/>
        </w:rPr>
        <w:t>controlling body</w:t>
      </w:r>
      <w:r>
        <w:rPr>
          <w:b/>
        </w:rPr>
        <w:t>”</w:t>
      </w:r>
      <w:r>
        <w:t xml:space="preserve"> means —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 </w:t>
      </w:r>
    </w:p>
    <w:p>
      <w:pPr>
        <w:pStyle w:val="Defstart"/>
      </w:pPr>
      <w:r>
        <w:tab/>
      </w:r>
      <w:r>
        <w:rPr>
          <w:b/>
        </w:rPr>
        <w:t>“</w:t>
      </w:r>
      <w:r>
        <w:rPr>
          <w:rStyle w:val="CharDefText"/>
        </w:rPr>
        <w:t>qualifying period</w:t>
      </w:r>
      <w:r>
        <w:rPr>
          <w:b/>
        </w:rPr>
        <w:t>”</w:t>
      </w:r>
      <w:r>
        <w:t xml:space="preserve"> has the same meaning as it has in subsection (1)(d). </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 xml:space="preserve">owns and controls each of them. </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 xml:space="preserve">the association between A and B which satisfied the requirement of subsection (1)(c) was a prescribed relationship for the whole or a part of the qualifying period; or </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 xml:space="preserve">own and control B; and </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pPr>
      <w:r>
        <w:tab/>
        <w:t>(5j)</w:t>
      </w:r>
      <w:r>
        <w:tab/>
        <w:t>If the claw</w:t>
      </w:r>
      <w:r>
        <w:rPr>
          <w:snapToGrid w:val="0"/>
        </w:rPr>
        <w:noBreakHyphen/>
      </w:r>
      <w:r>
        <w:t xml:space="preserve">back is waived under subsection (5g) —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keepLines/>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w:t>
      </w:r>
      <w:r>
        <w:rPr>
          <w:i w:val="0"/>
          <w:vertAlign w:val="superscript"/>
        </w:rPr>
        <w:t> 4</w:t>
      </w:r>
      <w:r>
        <w:t xml:space="preserve">; No. 11 of 2004 s. 14; No. 12 of 2004 s. 31; No. 11 of 2005 s. 13.] </w:t>
      </w:r>
    </w:p>
    <w:p>
      <w:pPr>
        <w:pStyle w:val="Heading5"/>
      </w:pPr>
      <w:bookmarkStart w:id="735" w:name="_Toc500739960"/>
      <w:bookmarkStart w:id="736" w:name="_Toc520101152"/>
      <w:bookmarkStart w:id="737" w:name="_Toc520533051"/>
      <w:bookmarkStart w:id="738" w:name="_Toc49223936"/>
      <w:bookmarkStart w:id="739" w:name="_Toc107054933"/>
      <w:bookmarkStart w:id="740" w:name="_Toc131416129"/>
      <w:bookmarkStart w:id="741" w:name="_Toc170193312"/>
      <w:r>
        <w:rPr>
          <w:rStyle w:val="CharSectno"/>
        </w:rPr>
        <w:t>75JBA</w:t>
      </w:r>
      <w:r>
        <w:t>.</w:t>
      </w:r>
      <w:r>
        <w:tab/>
        <w:t>Operation of claw</w:t>
      </w:r>
      <w:r>
        <w:rPr>
          <w:snapToGrid w:val="0"/>
        </w:rPr>
        <w:noBreakHyphen/>
      </w:r>
      <w:r>
        <w:t>back: application for pre</w:t>
      </w:r>
      <w:r>
        <w:noBreakHyphen/>
        <w:t>determination in certain cases</w:t>
      </w:r>
      <w:bookmarkEnd w:id="735"/>
      <w:bookmarkEnd w:id="736"/>
      <w:bookmarkEnd w:id="737"/>
      <w:bookmarkEnd w:id="738"/>
      <w:bookmarkEnd w:id="739"/>
      <w:bookmarkEnd w:id="740"/>
      <w:bookmarkEnd w:id="741"/>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spacing w:before="140"/>
        <w:rPr>
          <w:snapToGrid w:val="0"/>
        </w:rPr>
      </w:pPr>
      <w:r>
        <w:rPr>
          <w:snapToGrid w:val="0"/>
        </w:rPr>
        <w:tab/>
        <w:t>(5)</w:t>
      </w:r>
      <w:r>
        <w:rPr>
          <w:snapToGrid w:val="0"/>
        </w:rPr>
        <w:tab/>
        <w:t>If the Commissioner is given sufficient information to do so the Commissioner shall make the requested determination.</w:t>
      </w:r>
    </w:p>
    <w:p>
      <w:pPr>
        <w:pStyle w:val="Subsection"/>
        <w:spacing w:before="140"/>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42" w:name="_Toc500739961"/>
      <w:bookmarkStart w:id="743" w:name="_Toc520101153"/>
      <w:bookmarkStart w:id="744" w:name="_Toc520533052"/>
      <w:bookmarkStart w:id="745" w:name="_Toc49223937"/>
      <w:bookmarkStart w:id="746" w:name="_Toc107054934"/>
      <w:bookmarkStart w:id="747" w:name="_Toc131416130"/>
      <w:bookmarkStart w:id="748" w:name="_Toc170193313"/>
      <w:r>
        <w:rPr>
          <w:rStyle w:val="CharSectno"/>
        </w:rPr>
        <w:t>75JC</w:t>
      </w:r>
      <w:r>
        <w:rPr>
          <w:snapToGrid w:val="0"/>
        </w:rPr>
        <w:t>.</w:t>
      </w:r>
      <w:r>
        <w:rPr>
          <w:snapToGrid w:val="0"/>
        </w:rPr>
        <w:tab/>
        <w:t>Corporate reorganisations: application for pre</w:t>
      </w:r>
      <w:r>
        <w:rPr>
          <w:snapToGrid w:val="0"/>
        </w:rPr>
        <w:noBreakHyphen/>
        <w:t>determination</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 xml:space="preserve">[Section 75JC inserted by No. 48 of 1996 s. 42; amended by No. 36 of 2001 s. 20; No. 2 of 2003 s. 79; No. 66 of 2003 s. 52; No. 11 of 2005 s. 14.] </w:t>
      </w:r>
    </w:p>
    <w:p>
      <w:pPr>
        <w:pStyle w:val="Heading5"/>
        <w:rPr>
          <w:snapToGrid w:val="0"/>
        </w:rPr>
      </w:pPr>
      <w:bookmarkStart w:id="749" w:name="_Toc500739962"/>
      <w:bookmarkStart w:id="750" w:name="_Toc520101154"/>
      <w:bookmarkStart w:id="751" w:name="_Toc520533053"/>
      <w:bookmarkStart w:id="752" w:name="_Toc49223938"/>
      <w:bookmarkStart w:id="753" w:name="_Toc107054935"/>
      <w:bookmarkStart w:id="754" w:name="_Toc131416131"/>
      <w:bookmarkStart w:id="755" w:name="_Toc170193314"/>
      <w:r>
        <w:rPr>
          <w:rStyle w:val="CharSectno"/>
        </w:rPr>
        <w:t>75JD</w:t>
      </w:r>
      <w:r>
        <w:rPr>
          <w:snapToGrid w:val="0"/>
        </w:rPr>
        <w:t>.</w:t>
      </w:r>
      <w:r>
        <w:rPr>
          <w:snapToGrid w:val="0"/>
        </w:rPr>
        <w:tab/>
        <w:t>Corporate reorganisations: application for exemption</w:t>
      </w:r>
      <w:bookmarkEnd w:id="749"/>
      <w:bookmarkEnd w:id="750"/>
      <w:bookmarkEnd w:id="751"/>
      <w:bookmarkEnd w:id="752"/>
      <w:bookmarkEnd w:id="753"/>
      <w:bookmarkEnd w:id="754"/>
      <w:bookmarkEnd w:id="755"/>
      <w:r>
        <w:rPr>
          <w:snapToGrid w:val="0"/>
        </w:rPr>
        <w:t xml:space="preserve"> </w:t>
      </w:r>
    </w:p>
    <w:p>
      <w:pPr>
        <w:pStyle w:val="Subsection"/>
      </w:pPr>
      <w:r>
        <w:tab/>
        <w:t>(1)</w:t>
      </w:r>
      <w:r>
        <w:tab/>
        <w:t xml:space="preserve">An application for an exemption under section 75JA or 75JB must be made in an approved form. </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 xml:space="preserve">In subsection (4) —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 xml:space="preserve">[Section 75JD inserted by No. 48 of 1996 s. 42; amended by No. 2 of 2003 s. 80; No. 66 of 2003 s. 53; No. 11 of 2005 s. 15; No. 12 of 2005 s. 7.] </w:t>
      </w:r>
    </w:p>
    <w:p>
      <w:pPr>
        <w:pStyle w:val="Heading5"/>
      </w:pPr>
      <w:bookmarkStart w:id="756" w:name="_Toc500739963"/>
      <w:bookmarkStart w:id="757" w:name="_Toc520101155"/>
      <w:bookmarkStart w:id="758" w:name="_Toc520533054"/>
      <w:bookmarkStart w:id="759" w:name="_Toc49223939"/>
      <w:bookmarkStart w:id="760" w:name="_Toc107054936"/>
      <w:bookmarkStart w:id="761" w:name="_Toc131416132"/>
      <w:bookmarkStart w:id="762" w:name="_Toc170193315"/>
      <w:r>
        <w:rPr>
          <w:rStyle w:val="CharSectno"/>
        </w:rPr>
        <w:t>75JDA</w:t>
      </w:r>
      <w:r>
        <w:t>.</w:t>
      </w:r>
      <w:r>
        <w:tab/>
        <w:t>Exemption may be withheld in certain cases</w:t>
      </w:r>
      <w:bookmarkEnd w:id="756"/>
      <w:bookmarkEnd w:id="757"/>
      <w:bookmarkEnd w:id="758"/>
      <w:bookmarkEnd w:id="759"/>
      <w:bookmarkEnd w:id="760"/>
      <w:bookmarkEnd w:id="761"/>
      <w:bookmarkEnd w:id="762"/>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763" w:name="_Toc500739964"/>
      <w:bookmarkStart w:id="764" w:name="_Toc520101156"/>
      <w:bookmarkStart w:id="765" w:name="_Toc520533055"/>
      <w:bookmarkStart w:id="766" w:name="_Toc49223940"/>
      <w:bookmarkStart w:id="767" w:name="_Toc107054937"/>
      <w:bookmarkStart w:id="768" w:name="_Toc131416133"/>
      <w:bookmarkStart w:id="769" w:name="_Toc170193316"/>
      <w:r>
        <w:rPr>
          <w:rStyle w:val="CharSectno"/>
        </w:rPr>
        <w:t>75JE</w:t>
      </w:r>
      <w:r>
        <w:rPr>
          <w:snapToGrid w:val="0"/>
        </w:rPr>
        <w:t>.</w:t>
      </w:r>
      <w:r>
        <w:rPr>
          <w:snapToGrid w:val="0"/>
        </w:rPr>
        <w:tab/>
        <w:t>Claw</w:t>
      </w:r>
      <w:r>
        <w:rPr>
          <w:snapToGrid w:val="0"/>
        </w:rPr>
        <w:noBreakHyphen/>
        <w:t>back (instruments)</w:t>
      </w:r>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If this section applies to an instrument</w:t>
      </w:r>
      <w:r>
        <w:t xml:space="preserve"> that has been exempted from duty under section 75JB(3)</w:t>
      </w:r>
      <w:r>
        <w:rPr>
          <w:snapToGrid w:val="0"/>
        </w:rPr>
        <w:t> —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Ednotepara"/>
        <w:rPr>
          <w:snapToGrid w:val="0"/>
        </w:rPr>
      </w:pPr>
      <w:r>
        <w:rPr>
          <w:snapToGrid w:val="0"/>
        </w:rPr>
        <w:tab/>
        <w:t>[(da)</w:t>
      </w:r>
      <w:r>
        <w:rPr>
          <w:snapToGrid w:val="0"/>
        </w:rPr>
        <w:tab/>
        <w:t>deleted]</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 xml:space="preserve">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 xml:space="preserve">For the purposes of subsection (2)(a) — </w:t>
      </w:r>
    </w:p>
    <w:p>
      <w:pPr>
        <w:pStyle w:val="Indenta"/>
      </w:pPr>
      <w:r>
        <w:tab/>
        <w:t>(a)</w:t>
      </w:r>
      <w:r>
        <w:tab/>
        <w:t>the amount to be assessed is the amount of duty that would have been payable when the licence was transferred if the exemption certificate had not been in existence; and</w:t>
      </w:r>
    </w:p>
    <w:p>
      <w:pPr>
        <w:pStyle w:val="Indenta"/>
      </w:pPr>
      <w:r>
        <w:tab/>
        <w:t>(b)</w:t>
      </w:r>
      <w:r>
        <w:tab/>
        <w:t>section 76E(2) and (3) apply to the assessment as if the Commissioner were the Director General as defined in section 76B.</w:t>
      </w:r>
    </w:p>
    <w:p>
      <w:pPr>
        <w:pStyle w:val="Footnotesection"/>
        <w:keepLines w:val="0"/>
      </w:pPr>
      <w:r>
        <w:tab/>
        <w:t xml:space="preserve">[Section 75JE inserted by No. 48 of 1996 s. 42; amended by No. 51 of 1997 s. 8; No. 29 of 2000 s. 9; No. 10 of 2001 s. 172; No. 36 of 2001 s. 21; No. 2 of 2003 s. 82; No. 66 of 2003 s. 55; No. 11 of 2005 s. 16.] </w:t>
      </w:r>
    </w:p>
    <w:p>
      <w:pPr>
        <w:pStyle w:val="Heading5"/>
        <w:rPr>
          <w:snapToGrid w:val="0"/>
        </w:rPr>
      </w:pPr>
      <w:bookmarkStart w:id="770" w:name="_Toc500739965"/>
      <w:bookmarkStart w:id="771" w:name="_Toc520101157"/>
      <w:bookmarkStart w:id="772" w:name="_Toc520533056"/>
      <w:bookmarkStart w:id="773" w:name="_Toc49223941"/>
      <w:bookmarkStart w:id="774" w:name="_Toc107054938"/>
      <w:bookmarkStart w:id="775" w:name="_Toc131416134"/>
      <w:bookmarkStart w:id="776" w:name="_Toc170193317"/>
      <w:r>
        <w:rPr>
          <w:rStyle w:val="CharSectno"/>
        </w:rPr>
        <w:t>75JF</w:t>
      </w:r>
      <w:r>
        <w:rPr>
          <w:snapToGrid w:val="0"/>
        </w:rPr>
        <w:t>.</w:t>
      </w:r>
      <w:r>
        <w:rPr>
          <w:snapToGrid w:val="0"/>
        </w:rPr>
        <w:tab/>
        <w:t>Claw</w:t>
      </w:r>
      <w:r>
        <w:rPr>
          <w:snapToGrid w:val="0"/>
        </w:rPr>
        <w:noBreakHyphen/>
        <w:t>back (Part IIIBA statements)</w:t>
      </w:r>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If this section applies to a Part IIIBA statement —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rPr>
          <w:snapToGrid w:val="0"/>
        </w:rPr>
      </w:pPr>
      <w:r>
        <w:rPr>
          <w:snapToGrid w:val="0"/>
        </w:rPr>
        <w:tab/>
        <w:t>(d)</w:t>
      </w:r>
      <w:r>
        <w:rPr>
          <w:snapToGrid w:val="0"/>
        </w:rPr>
        <w:tab/>
        <w:t>these persons are jointly and severally liable to pay the duty and</w:t>
      </w:r>
      <w:r>
        <w:t xml:space="preserve"> penalty tax —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 xml:space="preserve">[Section 75JF inserted by No. 48 of 1996 s. 42; amended by No. 29 of 2000 s. 9; No. 10 of 2001 s. 172; No. 2 of 2003 s. 83; No. 66 of 2003 s. 56; No. 11 of 2004 s. 15.] </w:t>
      </w:r>
    </w:p>
    <w:p>
      <w:pPr>
        <w:pStyle w:val="Heading5"/>
        <w:rPr>
          <w:snapToGrid w:val="0"/>
        </w:rPr>
      </w:pPr>
      <w:bookmarkStart w:id="777" w:name="_Toc500739966"/>
      <w:bookmarkStart w:id="778" w:name="_Toc520101158"/>
      <w:bookmarkStart w:id="779" w:name="_Toc520533057"/>
      <w:bookmarkStart w:id="780" w:name="_Toc49223942"/>
      <w:bookmarkStart w:id="781" w:name="_Toc107054939"/>
      <w:bookmarkStart w:id="782" w:name="_Toc131416135"/>
      <w:bookmarkStart w:id="783" w:name="_Toc170193318"/>
      <w:r>
        <w:rPr>
          <w:rStyle w:val="CharSectno"/>
        </w:rPr>
        <w:t>75JG</w:t>
      </w:r>
      <w:r>
        <w:rPr>
          <w:snapToGrid w:val="0"/>
        </w:rPr>
        <w:t>.</w:t>
      </w:r>
      <w:r>
        <w:rPr>
          <w:snapToGrid w:val="0"/>
        </w:rPr>
        <w:tab/>
        <w:t>Offences and recovery of duty etc.</w:t>
      </w:r>
      <w:bookmarkEnd w:id="777"/>
      <w:bookmarkEnd w:id="778"/>
      <w:bookmarkEnd w:id="779"/>
      <w:bookmarkEnd w:id="780"/>
      <w:bookmarkEnd w:id="781"/>
      <w:bookmarkEnd w:id="782"/>
      <w:bookmarkEnd w:id="783"/>
      <w:r>
        <w:rPr>
          <w:snapToGrid w:val="0"/>
        </w:rPr>
        <w:t xml:space="preserve"> </w:t>
      </w:r>
    </w:p>
    <w:p>
      <w:pPr>
        <w:pStyle w:val="Subsection"/>
      </w:pPr>
      <w:r>
        <w:tab/>
        <w:t>(1)</w:t>
      </w:r>
      <w:r>
        <w:tab/>
        <w:t>If a person contravenes section 75JA(3)(c) or 75JB(4) or (5f)(c) —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 xml:space="preserve">[Section 75JG inserted by No. 48 of 1996 s. 42; amended by No. 29 of 2000 s. 10; No. 10 of 2001 s. 173; No. 2 of 2003 s. 84; No. 11 of 2005 s. 17.] </w:t>
      </w:r>
    </w:p>
    <w:p>
      <w:pPr>
        <w:pStyle w:val="Heading2"/>
      </w:pPr>
      <w:bookmarkStart w:id="784" w:name="_Toc58902596"/>
      <w:bookmarkStart w:id="785" w:name="_Toc76899609"/>
      <w:bookmarkStart w:id="786" w:name="_Toc78090511"/>
      <w:bookmarkStart w:id="787" w:name="_Toc88886879"/>
      <w:bookmarkStart w:id="788" w:name="_Toc90443495"/>
      <w:bookmarkStart w:id="789" w:name="_Toc90452846"/>
      <w:bookmarkStart w:id="790" w:name="_Toc100029437"/>
      <w:bookmarkStart w:id="791" w:name="_Toc100031510"/>
      <w:bookmarkStart w:id="792" w:name="_Toc100458569"/>
      <w:bookmarkStart w:id="793" w:name="_Toc101671985"/>
      <w:bookmarkStart w:id="794" w:name="_Toc101672242"/>
      <w:bookmarkStart w:id="795" w:name="_Toc102799268"/>
      <w:bookmarkStart w:id="796" w:name="_Toc102981942"/>
      <w:bookmarkStart w:id="797" w:name="_Toc103403255"/>
      <w:bookmarkStart w:id="798" w:name="_Toc103403512"/>
      <w:bookmarkStart w:id="799" w:name="_Toc103747511"/>
      <w:bookmarkStart w:id="800" w:name="_Toc107054940"/>
      <w:bookmarkStart w:id="801" w:name="_Toc113874387"/>
      <w:bookmarkStart w:id="802" w:name="_Toc113956803"/>
      <w:bookmarkStart w:id="803" w:name="_Toc116717359"/>
      <w:bookmarkStart w:id="804" w:name="_Toc116813386"/>
      <w:bookmarkStart w:id="805" w:name="_Toc122333038"/>
      <w:bookmarkStart w:id="806" w:name="_Toc122862008"/>
      <w:bookmarkStart w:id="807" w:name="_Toc122862604"/>
      <w:bookmarkStart w:id="808" w:name="_Toc122921211"/>
      <w:bookmarkStart w:id="809" w:name="_Toc122921471"/>
      <w:bookmarkStart w:id="810" w:name="_Toc122947416"/>
      <w:bookmarkStart w:id="811" w:name="_Toc124046252"/>
      <w:bookmarkStart w:id="812" w:name="_Toc131415837"/>
      <w:bookmarkStart w:id="813" w:name="_Toc131416136"/>
      <w:bookmarkStart w:id="814" w:name="_Toc170193319"/>
      <w:r>
        <w:rPr>
          <w:rStyle w:val="CharPartNo"/>
        </w:rPr>
        <w:t>Part IIIBA</w:t>
      </w:r>
      <w:r>
        <w:t> — </w:t>
      </w:r>
      <w:r>
        <w:rPr>
          <w:rStyle w:val="CharPartText"/>
        </w:rPr>
        <w:t>Duty on change of control of certain land</w:t>
      </w:r>
      <w:r>
        <w:rPr>
          <w:rStyle w:val="CharPartText"/>
        </w:rPr>
        <w:noBreakHyphen/>
        <w:t>owning corporations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15" w:name="_Toc58902597"/>
      <w:bookmarkStart w:id="816" w:name="_Toc76899610"/>
      <w:bookmarkStart w:id="817" w:name="_Toc78090512"/>
      <w:bookmarkStart w:id="818" w:name="_Toc88886880"/>
      <w:bookmarkStart w:id="819" w:name="_Toc90443496"/>
      <w:bookmarkStart w:id="820" w:name="_Toc90452847"/>
      <w:bookmarkStart w:id="821" w:name="_Toc100029438"/>
      <w:bookmarkStart w:id="822" w:name="_Toc100031511"/>
      <w:bookmarkStart w:id="823" w:name="_Toc100458570"/>
      <w:bookmarkStart w:id="824" w:name="_Toc101671986"/>
      <w:bookmarkStart w:id="825" w:name="_Toc101672243"/>
      <w:bookmarkStart w:id="826" w:name="_Toc102799269"/>
      <w:bookmarkStart w:id="827" w:name="_Toc102981943"/>
      <w:bookmarkStart w:id="828" w:name="_Toc103403256"/>
      <w:bookmarkStart w:id="829" w:name="_Toc103403513"/>
      <w:bookmarkStart w:id="830" w:name="_Toc103747512"/>
      <w:bookmarkStart w:id="831" w:name="_Toc107054941"/>
      <w:bookmarkStart w:id="832" w:name="_Toc113874388"/>
      <w:bookmarkStart w:id="833" w:name="_Toc113956804"/>
      <w:bookmarkStart w:id="834" w:name="_Toc116717360"/>
      <w:bookmarkStart w:id="835" w:name="_Toc116813387"/>
      <w:bookmarkStart w:id="836" w:name="_Toc122333039"/>
      <w:bookmarkStart w:id="837" w:name="_Toc122862009"/>
      <w:bookmarkStart w:id="838" w:name="_Toc122862605"/>
      <w:bookmarkStart w:id="839" w:name="_Toc122921212"/>
      <w:bookmarkStart w:id="840" w:name="_Toc122921472"/>
      <w:bookmarkStart w:id="841" w:name="_Toc122947417"/>
      <w:bookmarkStart w:id="842" w:name="_Toc124046253"/>
      <w:bookmarkStart w:id="843" w:name="_Toc131415838"/>
      <w:bookmarkStart w:id="844" w:name="_Toc131416137"/>
      <w:bookmarkStart w:id="845" w:name="_Toc170193320"/>
      <w:r>
        <w:rPr>
          <w:rStyle w:val="CharDivNo"/>
        </w:rPr>
        <w:t>Division 1</w:t>
      </w:r>
      <w:r>
        <w:rPr>
          <w:snapToGrid w:val="0"/>
        </w:rPr>
        <w:t> — </w:t>
      </w:r>
      <w:r>
        <w:rPr>
          <w:rStyle w:val="CharDivText"/>
        </w:rPr>
        <w:t xml:space="preserve">Provisions applicable to </w:t>
      </w:r>
      <w:bookmarkEnd w:id="815"/>
      <w:r>
        <w:rPr>
          <w:rStyle w:val="CharDivText"/>
        </w:rPr>
        <w:t>this Part</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tabs>
          <w:tab w:val="left" w:pos="923"/>
        </w:tabs>
        <w:ind w:left="937" w:hanging="937"/>
        <w:rPr>
          <w:snapToGrid w:val="0"/>
        </w:rPr>
      </w:pPr>
      <w:r>
        <w:rPr>
          <w:snapToGrid w:val="0"/>
        </w:rPr>
        <w:tab/>
        <w:t xml:space="preserve">[Heading inserted by No. 33 of 1987 s. 22; amended by No. 11 of 2004 s. 16.] </w:t>
      </w:r>
    </w:p>
    <w:p>
      <w:pPr>
        <w:pStyle w:val="Heading5"/>
        <w:rPr>
          <w:snapToGrid w:val="0"/>
        </w:rPr>
      </w:pPr>
      <w:bookmarkStart w:id="846" w:name="_Toc500739967"/>
      <w:bookmarkStart w:id="847" w:name="_Toc520101159"/>
      <w:bookmarkStart w:id="848" w:name="_Toc520533058"/>
      <w:bookmarkStart w:id="849" w:name="_Toc49223943"/>
      <w:bookmarkStart w:id="850" w:name="_Toc107054942"/>
      <w:bookmarkStart w:id="851" w:name="_Toc131416138"/>
      <w:bookmarkStart w:id="852" w:name="_Toc170193321"/>
      <w:r>
        <w:rPr>
          <w:rStyle w:val="CharSectno"/>
        </w:rPr>
        <w:t>76</w:t>
      </w:r>
      <w:r>
        <w:rPr>
          <w:snapToGrid w:val="0"/>
        </w:rPr>
        <w:t>.</w:t>
      </w:r>
      <w:r>
        <w:rPr>
          <w:snapToGrid w:val="0"/>
        </w:rPr>
        <w:tab/>
        <w:t>Interpretation in Part IIIBA</w:t>
      </w:r>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3</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rPr>
          <w:snapToGrid w:val="0"/>
        </w:rPr>
      </w:pPr>
      <w:r>
        <w:rPr>
          <w:snapToGrid w:val="0"/>
        </w:rPr>
        <w:tab/>
        <w:t>(2)</w:t>
      </w:r>
      <w:r>
        <w:rPr>
          <w:snapToGrid w:val="0"/>
        </w:rPr>
        <w:tab/>
        <w:t>For the purposes of sections 76AI(3)(c)</w:t>
      </w:r>
      <w:r>
        <w:t xml:space="preserve">, 76AP(3)(c), 76ATB(4)(d) and 76ATI(4)(d) </w:t>
      </w:r>
      <w:r>
        <w:rPr>
          <w:snapToGrid w:val="0"/>
        </w:rPr>
        <w:t>the following — </w:t>
      </w:r>
    </w:p>
    <w:p>
      <w:pPr>
        <w:pStyle w:val="Indenta"/>
        <w:rPr>
          <w:snapToGrid w:val="0"/>
        </w:rPr>
      </w:pPr>
      <w:r>
        <w:rPr>
          <w:snapToGrid w:val="0"/>
        </w:rPr>
        <w:tab/>
        <w:t>(a)</w:t>
      </w:r>
      <w:r>
        <w:rPr>
          <w:snapToGrid w:val="0"/>
        </w:rPr>
        <w:tab/>
        <w:t>are associated persons in relation to a corporation —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keepNext/>
        <w:keepLines/>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keepNext/>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8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8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inserted by No. 33 of 1987 s. 22; amended by No. 39 of 1994 s. 21; No. 57 of 1996 s. 7; No. 13 of 1997 s. 32 and 42; No. 22 of 1998 s. 36; No. 60 of 2000 s. 4; No. 10 of 2001 s. 174; No. 2 of 2003 s. 85; No. 28 of 2003 s. 192; No. 66 of 2003 s. 57; No. 11 of 2004 s. 17.] </w:t>
      </w:r>
    </w:p>
    <w:p>
      <w:pPr>
        <w:pStyle w:val="Heading5"/>
      </w:pPr>
      <w:bookmarkStart w:id="853" w:name="_Toc49223944"/>
      <w:bookmarkStart w:id="854" w:name="_Toc107054943"/>
      <w:bookmarkStart w:id="855" w:name="_Toc131416139"/>
      <w:bookmarkStart w:id="856" w:name="_Toc170193322"/>
      <w:r>
        <w:rPr>
          <w:rStyle w:val="CharSectno"/>
        </w:rPr>
        <w:t>76A</w:t>
      </w:r>
      <w:r>
        <w:t>.</w:t>
      </w:r>
      <w:r>
        <w:tab/>
        <w:t>Relevant acquisitions by trustees</w:t>
      </w:r>
      <w:bookmarkEnd w:id="853"/>
      <w:bookmarkEnd w:id="854"/>
      <w:bookmarkEnd w:id="855"/>
      <w:bookmarkEnd w:id="856"/>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 xml:space="preserve">If the combined interest in the WA company or corporation of a beneficiary and any person related to the beneficiary is greater than the combined interest of the trustee and any person related to the trustee —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857" w:name="_Toc49223945"/>
      <w:bookmarkStart w:id="858" w:name="_Toc107054944"/>
      <w:bookmarkStart w:id="859" w:name="_Toc131416140"/>
      <w:bookmarkStart w:id="860" w:name="_Toc170193323"/>
      <w:r>
        <w:rPr>
          <w:rStyle w:val="CharSectno"/>
        </w:rPr>
        <w:t>76AA</w:t>
      </w:r>
      <w:r>
        <w:t>.</w:t>
      </w:r>
      <w:r>
        <w:tab/>
        <w:t>Assessment in the absence of a dutiable statement</w:t>
      </w:r>
      <w:bookmarkEnd w:id="857"/>
      <w:bookmarkEnd w:id="858"/>
      <w:bookmarkEnd w:id="859"/>
      <w:bookmarkEnd w:id="860"/>
      <w:r>
        <w:t xml:space="preserve"> </w:t>
      </w:r>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 </w:t>
      </w:r>
    </w:p>
    <w:p>
      <w:pPr>
        <w:pStyle w:val="Indenta"/>
        <w:spacing w:before="60"/>
      </w:pPr>
      <w:r>
        <w:tab/>
        <w:t>(a)</w:t>
      </w:r>
      <w:r>
        <w:tab/>
        <w:t>the corporation were a corporation to which Division 3 or 3b applies;</w:t>
      </w:r>
    </w:p>
    <w:p>
      <w:pPr>
        <w:pStyle w:val="Indenta"/>
        <w:spacing w:before="60"/>
      </w:pPr>
      <w:r>
        <w:tab/>
        <w:t>(b)</w:t>
      </w:r>
      <w:r>
        <w:tab/>
        <w:t xml:space="preserve">an acquisition had occurred; and </w:t>
      </w:r>
    </w:p>
    <w:p>
      <w:pPr>
        <w:pStyle w:val="Indenta"/>
        <w:spacing w:before="60"/>
      </w:pPr>
      <w:r>
        <w:tab/>
        <w:t>(c)</w:t>
      </w:r>
      <w:r>
        <w:tab/>
        <w:t xml:space="preserve">the acquisition resulted in a person having an entitlement referred to in section 76AR(1) or 76ATK(1) to such an extent as the Commissioner may determine. </w:t>
      </w:r>
    </w:p>
    <w:p>
      <w:pPr>
        <w:pStyle w:val="Footnotesection"/>
      </w:pPr>
      <w:r>
        <w:tab/>
        <w:t>[Section 76AA inserted by No. 2 of 2003 s. 86; amended by No. 66 of 2003 s. 59; No. 11 of 2004 s. 19.]</w:t>
      </w:r>
    </w:p>
    <w:p>
      <w:pPr>
        <w:pStyle w:val="Heading5"/>
      </w:pPr>
      <w:bookmarkStart w:id="861" w:name="_Toc107054945"/>
      <w:bookmarkStart w:id="862" w:name="_Toc131416141"/>
      <w:bookmarkStart w:id="863" w:name="_Toc170193324"/>
      <w:r>
        <w:rPr>
          <w:rStyle w:val="CharSectno"/>
        </w:rPr>
        <w:t>76AB</w:t>
      </w:r>
      <w:r>
        <w:t>.</w:t>
      </w:r>
      <w:r>
        <w:tab/>
        <w:t>Request that Commissioner determine whether dutiable statement is required to be lodged</w:t>
      </w:r>
      <w:bookmarkEnd w:id="861"/>
      <w:bookmarkEnd w:id="862"/>
      <w:bookmarkEnd w:id="863"/>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 xml:space="preserve">A request under subsection (1) must be made in an approved form and must include — </w:t>
      </w:r>
    </w:p>
    <w:p>
      <w:pPr>
        <w:pStyle w:val="Indenta"/>
        <w:spacing w:before="60"/>
      </w:pPr>
      <w:r>
        <w:tab/>
        <w:t>(a)</w:t>
      </w:r>
      <w:r>
        <w:tab/>
        <w:t xml:space="preserve">the information that would be required under — </w:t>
      </w:r>
    </w:p>
    <w:p>
      <w:pPr>
        <w:pStyle w:val="Indenti"/>
        <w:spacing w:before="60"/>
      </w:pPr>
      <w:r>
        <w:tab/>
        <w:t>(i)</w:t>
      </w:r>
      <w:r>
        <w:tab/>
        <w:t>section 76AG(4)(a) to (f);</w:t>
      </w:r>
    </w:p>
    <w:p>
      <w:pPr>
        <w:pStyle w:val="Indenti"/>
      </w:pPr>
      <w:r>
        <w:tab/>
        <w:t>(ii)</w:t>
      </w:r>
      <w:r>
        <w:tab/>
        <w:t xml:space="preserve">section 76AN(3)(a) to (f); </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 xml:space="preserve">If a request is made by a person under subsection (1) as to whether a dutiable statement is required to be lodged by that person and that request complies with subsection (2) —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 xml:space="preserve">If at the end of the specified period the Commissioner does not have sufficient information and evidence to make the requested determination —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864" w:name="_Toc58902601"/>
      <w:bookmarkStart w:id="865" w:name="_Toc76899615"/>
      <w:bookmarkStart w:id="866" w:name="_Toc78090517"/>
      <w:bookmarkStart w:id="867" w:name="_Toc88886885"/>
      <w:bookmarkStart w:id="868" w:name="_Toc90443501"/>
      <w:bookmarkStart w:id="869" w:name="_Toc90452852"/>
      <w:bookmarkStart w:id="870" w:name="_Toc100029443"/>
      <w:bookmarkStart w:id="871" w:name="_Toc100031516"/>
      <w:bookmarkStart w:id="872" w:name="_Toc100458575"/>
      <w:bookmarkStart w:id="873" w:name="_Toc101671991"/>
      <w:bookmarkStart w:id="874" w:name="_Toc101672248"/>
      <w:bookmarkStart w:id="875" w:name="_Toc102799274"/>
      <w:bookmarkStart w:id="876" w:name="_Toc102981948"/>
      <w:bookmarkStart w:id="877" w:name="_Toc103403261"/>
      <w:bookmarkStart w:id="878" w:name="_Toc103403518"/>
      <w:bookmarkStart w:id="879" w:name="_Toc103747517"/>
      <w:bookmarkStart w:id="880" w:name="_Toc107054946"/>
      <w:bookmarkStart w:id="881" w:name="_Toc113874393"/>
      <w:bookmarkStart w:id="882" w:name="_Toc113956809"/>
      <w:bookmarkStart w:id="883" w:name="_Toc116717365"/>
      <w:bookmarkStart w:id="884" w:name="_Toc116813392"/>
      <w:bookmarkStart w:id="885" w:name="_Toc122333044"/>
      <w:bookmarkStart w:id="886" w:name="_Toc122862014"/>
      <w:bookmarkStart w:id="887" w:name="_Toc122862610"/>
      <w:bookmarkStart w:id="888" w:name="_Toc122921217"/>
      <w:bookmarkStart w:id="889" w:name="_Toc122921477"/>
      <w:bookmarkStart w:id="890" w:name="_Toc122947422"/>
      <w:bookmarkStart w:id="891" w:name="_Toc124046258"/>
      <w:bookmarkStart w:id="892" w:name="_Toc131415843"/>
      <w:bookmarkStart w:id="893" w:name="_Toc131416142"/>
      <w:bookmarkStart w:id="894" w:name="_Toc170193325"/>
      <w:r>
        <w:rPr>
          <w:rStyle w:val="CharDivNo"/>
        </w:rPr>
        <w:t>Division 2</w:t>
      </w:r>
      <w:r>
        <w:rPr>
          <w:snapToGrid w:val="0"/>
        </w:rPr>
        <w:t> — </w:t>
      </w:r>
      <w:r>
        <w:rPr>
          <w:rStyle w:val="CharDivText"/>
        </w:rPr>
        <w:t>Companies taken to be registered in Western Australia</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heading"/>
        <w:tabs>
          <w:tab w:val="left" w:pos="923"/>
        </w:tabs>
        <w:ind w:left="937" w:hanging="937"/>
        <w:rPr>
          <w:snapToGrid w:val="0"/>
        </w:rPr>
      </w:pPr>
      <w:r>
        <w:rPr>
          <w:snapToGrid w:val="0"/>
        </w:rPr>
        <w:tab/>
        <w:t xml:space="preserve">[Heading inserted by No. 33 of 1987 s. 22; amended by No. 10 of 2001 s. 175; No. 2 of 2003 s. 87.] </w:t>
      </w:r>
    </w:p>
    <w:p>
      <w:pPr>
        <w:pStyle w:val="Heading5"/>
        <w:rPr>
          <w:snapToGrid w:val="0"/>
        </w:rPr>
      </w:pPr>
      <w:bookmarkStart w:id="895" w:name="_Toc500739975"/>
      <w:bookmarkStart w:id="896" w:name="_Toc520101167"/>
      <w:bookmarkStart w:id="897" w:name="_Toc520533066"/>
      <w:bookmarkStart w:id="898" w:name="_Toc49223946"/>
      <w:bookmarkStart w:id="899" w:name="_Toc107054947"/>
      <w:bookmarkStart w:id="900" w:name="_Toc131416143"/>
      <w:bookmarkStart w:id="901" w:name="_Toc170193326"/>
      <w:r>
        <w:rPr>
          <w:rStyle w:val="CharSectno"/>
        </w:rPr>
        <w:t>76AG</w:t>
      </w:r>
      <w:r>
        <w:rPr>
          <w:snapToGrid w:val="0"/>
        </w:rPr>
        <w:t>.</w:t>
      </w:r>
      <w:r>
        <w:rPr>
          <w:snapToGrid w:val="0"/>
        </w:rPr>
        <w:tab/>
      </w:r>
      <w:bookmarkEnd w:id="895"/>
      <w:bookmarkEnd w:id="896"/>
      <w:bookmarkEnd w:id="897"/>
      <w:bookmarkEnd w:id="898"/>
      <w:r>
        <w:rPr>
          <w:snapToGrid w:val="0"/>
        </w:rPr>
        <w:t>Preparation of dutiable statement</w:t>
      </w:r>
      <w:bookmarkEnd w:id="899"/>
      <w:bookmarkEnd w:id="900"/>
      <w:bookmarkEnd w:id="901"/>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 xml:space="preserve">; </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 xml:space="preserve">[Section 76AG inserted by No. 33 of 1987 s. 22; amended by No. 41 of 1989 s. 15; No. 39 of 1994 s. 21; No. 22 of 1998 s. 38 and 39; No. 60 of 2000 s. 7; No. 3 of 2001 s. 20; No. 2 of 2003 s. 88; No. 66 of 2003 s. 61.] </w:t>
      </w:r>
    </w:p>
    <w:p>
      <w:pPr>
        <w:pStyle w:val="Heading5"/>
        <w:rPr>
          <w:snapToGrid w:val="0"/>
        </w:rPr>
      </w:pPr>
      <w:bookmarkStart w:id="902" w:name="_Toc500739976"/>
      <w:bookmarkStart w:id="903" w:name="_Toc520101168"/>
      <w:bookmarkStart w:id="904" w:name="_Toc520533067"/>
      <w:bookmarkStart w:id="905" w:name="_Toc49223947"/>
      <w:bookmarkStart w:id="906" w:name="_Toc107054948"/>
      <w:bookmarkStart w:id="907" w:name="_Toc131416144"/>
      <w:bookmarkStart w:id="908" w:name="_Toc170193327"/>
      <w:r>
        <w:rPr>
          <w:rStyle w:val="CharSectno"/>
        </w:rPr>
        <w:t>76AH</w:t>
      </w:r>
      <w:r>
        <w:rPr>
          <w:snapToGrid w:val="0"/>
        </w:rPr>
        <w:t>.</w:t>
      </w:r>
      <w:r>
        <w:rPr>
          <w:snapToGrid w:val="0"/>
        </w:rPr>
        <w:tab/>
        <w:t>Statement chargeable with duty</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 </w:t>
      </w:r>
      <w:r>
        <w:t>section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 </w:t>
      </w:r>
    </w:p>
    <w:p>
      <w:pPr>
        <w:pStyle w:val="Indenta"/>
      </w:pPr>
      <w:r>
        <w:tab/>
        <w:t>(aa)</w:t>
      </w:r>
      <w:r>
        <w:tab/>
        <w:t xml:space="preserve">where the section 76AG statement relates to a relevant acquisition within section 76AJ(1)(a)(ii), the duty —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80"/>
      </w:pPr>
      <w:r>
        <w:tab/>
      </w:r>
      <w:r>
        <w:rPr>
          <w:position w:val="-26"/>
        </w:rPr>
        <w:object w:dxaOrig="1620" w:dyaOrig="600">
          <v:shape id="_x0000_i1030" type="#_x0000_t75" style="width:81pt;height:30pt" o:ole="" fillcolor="window">
            <v:imagedata r:id="rId29" o:title=""/>
          </v:shape>
          <o:OLEObject Type="Embed" ProgID="Equation.3" ShapeID="_x0000_i1030" DrawAspect="Content" ObjectID="_1643744733" r:id="rId30"/>
        </w:object>
      </w:r>
    </w:p>
    <w:p>
      <w:pPr>
        <w:pStyle w:val="Subsection"/>
        <w:keepNext/>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 xml:space="preserve">[Section 76AH inserted by No. 33 of 1987 s. 22; amended by No. 39 of 1994 s. 14 and 21; No. 22 of 1998 s. 38 and 40; No. 60 of 2000 s. 8; No. 36 of 2001 s. 22; No. 2 of 2003 s. 89; No. 66 of 2003 s. 62; No. 11 of 2004 s. 21.] </w:t>
      </w:r>
    </w:p>
    <w:p>
      <w:pPr>
        <w:pStyle w:val="Heading5"/>
        <w:spacing w:before="200"/>
        <w:rPr>
          <w:snapToGrid w:val="0"/>
        </w:rPr>
      </w:pPr>
      <w:bookmarkStart w:id="909" w:name="_Toc500739977"/>
      <w:bookmarkStart w:id="910" w:name="_Toc520101169"/>
      <w:bookmarkStart w:id="911" w:name="_Toc520533068"/>
      <w:bookmarkStart w:id="912" w:name="_Toc49223948"/>
      <w:bookmarkStart w:id="913" w:name="_Toc107054949"/>
      <w:bookmarkStart w:id="914" w:name="_Toc131416145"/>
      <w:bookmarkStart w:id="915" w:name="_Toc170193328"/>
      <w:r>
        <w:rPr>
          <w:rStyle w:val="CharSectno"/>
        </w:rPr>
        <w:t>76AI</w:t>
      </w:r>
      <w:r>
        <w:rPr>
          <w:snapToGrid w:val="0"/>
        </w:rPr>
        <w:t>.</w:t>
      </w:r>
      <w:r>
        <w:rPr>
          <w:snapToGrid w:val="0"/>
        </w:rPr>
        <w:tab/>
        <w:t>Companies to which this Division applies</w:t>
      </w:r>
      <w:bookmarkEnd w:id="909"/>
      <w:bookmarkEnd w:id="910"/>
      <w:bookmarkEnd w:id="911"/>
      <w:bookmarkEnd w:id="912"/>
      <w:bookmarkEnd w:id="913"/>
      <w:bookmarkEnd w:id="914"/>
      <w:bookmarkEnd w:id="915"/>
      <w:r>
        <w:rPr>
          <w:snapToGrid w:val="0"/>
        </w:rPr>
        <w:t xml:space="preserve"> </w:t>
      </w:r>
    </w:p>
    <w:p>
      <w:pPr>
        <w:pStyle w:val="Subsection"/>
      </w:pPr>
      <w:r>
        <w:tab/>
        <w:t>(1)</w:t>
      </w:r>
      <w:r>
        <w:tab/>
        <w:t>This Division applies to a WA company if it is a land</w:t>
      </w:r>
      <w:r>
        <w:noBreakHyphen/>
        <w:t xml:space="preserve">holder within the meaning in subsection (2) unless —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 xml:space="preserve">For the purposes of subsection (1)(b) the Commissioner may take into account any matter that the Commissioner considers is relevant but must take into account —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 xml:space="preserve">[Section 76AI inserted by No. 33 of 1987 s. 22; amended by No. 39 of 1994 s. 21; No. 57 of 1997 s. 113(2); No. 53 of 1999 s. 23; No. 60 of 2000 s. 9; No. 3 of 2001 s. 25; No. 10 of 2001 s. 176; No. 2 of 2003 s. 90; No. 21 of 2003 s. 28; No. 66 of 2003 s. 63; No. 11 of 2004 s. 22; No. 11 of 2005 s. 18, 19 and 22.] </w:t>
      </w:r>
    </w:p>
    <w:p>
      <w:pPr>
        <w:pStyle w:val="Heading5"/>
      </w:pPr>
      <w:bookmarkStart w:id="916" w:name="_Toc500739978"/>
      <w:bookmarkStart w:id="917" w:name="_Toc520101170"/>
      <w:bookmarkStart w:id="918" w:name="_Toc520533069"/>
      <w:bookmarkStart w:id="919" w:name="_Toc49223949"/>
      <w:bookmarkStart w:id="920" w:name="_Toc107054950"/>
      <w:bookmarkStart w:id="921" w:name="_Toc131416146"/>
      <w:bookmarkStart w:id="922" w:name="_Toc170193329"/>
      <w:r>
        <w:rPr>
          <w:rStyle w:val="CharSectno"/>
        </w:rPr>
        <w:t>76AJ</w:t>
      </w:r>
      <w:r>
        <w:t>.</w:t>
      </w:r>
      <w:r>
        <w:tab/>
        <w:t>Meaning of “</w:t>
      </w:r>
      <w:r>
        <w:rPr>
          <w:rStyle w:val="CharDefText"/>
          <w:b/>
        </w:rPr>
        <w:t>relevant acquisition</w:t>
      </w:r>
      <w:r>
        <w:t>”</w:t>
      </w:r>
      <w:bookmarkEnd w:id="916"/>
      <w:bookmarkEnd w:id="917"/>
      <w:bookmarkEnd w:id="918"/>
      <w:bookmarkEnd w:id="919"/>
      <w:bookmarkEnd w:id="920"/>
      <w:bookmarkEnd w:id="921"/>
      <w:bookmarkEnd w:id="922"/>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923" w:author="Isobel Bond" w:date="2006-03-27T14:07: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numberingChange w:id="924" w:author="Isobel Bond" w:date="2006-03-27T14:07:00Z" w:original=""/>
        </w:fldChar>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25" w:name="_Toc500739979"/>
      <w:bookmarkStart w:id="926" w:name="_Toc520101171"/>
      <w:bookmarkStart w:id="927" w:name="_Toc520533070"/>
      <w:bookmarkStart w:id="928" w:name="_Toc49223950"/>
      <w:bookmarkStart w:id="929" w:name="_Toc107054951"/>
      <w:bookmarkStart w:id="930" w:name="_Toc131416147"/>
      <w:bookmarkStart w:id="931" w:name="_Toc170193330"/>
      <w:r>
        <w:rPr>
          <w:rStyle w:val="CharSectno"/>
        </w:rPr>
        <w:t>76AK</w:t>
      </w:r>
      <w:r>
        <w:t>.</w:t>
      </w:r>
      <w:r>
        <w:tab/>
        <w:t>Meaning of “</w:t>
      </w:r>
      <w:r>
        <w:rPr>
          <w:rStyle w:val="CharDefText"/>
          <w:b/>
        </w:rPr>
        <w:t>interest</w:t>
      </w:r>
      <w:r>
        <w:t>”, “majority interest” or “</w:t>
      </w:r>
      <w:r>
        <w:rPr>
          <w:rStyle w:val="CharDefText"/>
          <w:b/>
        </w:rPr>
        <w:t>further interest</w:t>
      </w:r>
      <w:bookmarkEnd w:id="925"/>
      <w:bookmarkEnd w:id="926"/>
      <w:bookmarkEnd w:id="927"/>
      <w:bookmarkEnd w:id="928"/>
      <w:r>
        <w:t>”</w:t>
      </w:r>
      <w:bookmarkEnd w:id="929"/>
      <w:bookmarkEnd w:id="930"/>
      <w:bookmarkEnd w:id="931"/>
      <w:r>
        <w:t xml:space="preserve"> </w:t>
      </w:r>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32" w:name="_Toc500739980"/>
      <w:bookmarkStart w:id="933" w:name="_Toc520101172"/>
      <w:bookmarkStart w:id="934" w:name="_Toc520533071"/>
      <w:bookmarkStart w:id="935" w:name="_Toc49223951"/>
      <w:bookmarkStart w:id="936" w:name="_Toc107054952"/>
      <w:bookmarkStart w:id="937" w:name="_Toc131416148"/>
      <w:bookmarkStart w:id="938" w:name="_Toc170193331"/>
      <w:r>
        <w:rPr>
          <w:rStyle w:val="CharSectno"/>
        </w:rPr>
        <w:t>76AL</w:t>
      </w:r>
      <w:r>
        <w:rPr>
          <w:snapToGrid w:val="0"/>
        </w:rPr>
        <w:t>.</w:t>
      </w:r>
      <w:r>
        <w:rPr>
          <w:snapToGrid w:val="0"/>
        </w:rPr>
        <w:tab/>
        <w:t>How dutiable value is determined</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 xml:space="preserve">Where the relevant acquisition is within section 76AJ(1)(a)(ii) the dutiable value —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 xml:space="preserve">[Section 76AL inserted by No. 33 of 1987 s. 22; amended by No. 39 of 1994 s. 21; No. 22 of 1998 s. 38; No. 60 of 2000 s. 11; No. 2 of 2003 s. 91; No. 11 of 2004 s. 24.] </w:t>
      </w:r>
    </w:p>
    <w:p>
      <w:pPr>
        <w:pStyle w:val="Heading5"/>
        <w:rPr>
          <w:snapToGrid w:val="0"/>
        </w:rPr>
      </w:pPr>
      <w:bookmarkStart w:id="939" w:name="_Toc500739981"/>
      <w:bookmarkStart w:id="940" w:name="_Toc520101173"/>
      <w:bookmarkStart w:id="941" w:name="_Toc520533072"/>
      <w:bookmarkStart w:id="942" w:name="_Toc49223952"/>
      <w:bookmarkStart w:id="943" w:name="_Toc107054953"/>
      <w:bookmarkStart w:id="944" w:name="_Toc131416149"/>
      <w:bookmarkStart w:id="945" w:name="_Toc170193332"/>
      <w:r>
        <w:rPr>
          <w:rStyle w:val="CharSectno"/>
        </w:rPr>
        <w:t>76AM</w:t>
      </w:r>
      <w:r>
        <w:rPr>
          <w:snapToGrid w:val="0"/>
        </w:rPr>
        <w:t>.</w:t>
      </w:r>
      <w:r>
        <w:rPr>
          <w:snapToGrid w:val="0"/>
        </w:rPr>
        <w:tab/>
        <w:t>Liability for duty</w:t>
      </w:r>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 xml:space="preserve">[Section 76AM inserted by No. 33 of 1987 s. 22; amended by No. 39 of 1994 s. 21; No. 60 of 2000 s. 12; No. 2 of 2003 s. 92; No. 66 of 2003 s. 65.] </w:t>
      </w:r>
    </w:p>
    <w:p>
      <w:pPr>
        <w:pStyle w:val="Heading3"/>
        <w:keepLines/>
      </w:pPr>
      <w:bookmarkStart w:id="946" w:name="_Toc58902609"/>
      <w:bookmarkStart w:id="947" w:name="_Toc76899623"/>
      <w:bookmarkStart w:id="948" w:name="_Toc78090525"/>
      <w:bookmarkStart w:id="949" w:name="_Toc88886893"/>
      <w:bookmarkStart w:id="950" w:name="_Toc90443509"/>
      <w:bookmarkStart w:id="951" w:name="_Toc90452860"/>
      <w:bookmarkStart w:id="952" w:name="_Toc100029451"/>
      <w:bookmarkStart w:id="953" w:name="_Toc100031524"/>
      <w:bookmarkStart w:id="954" w:name="_Toc100458583"/>
      <w:bookmarkStart w:id="955" w:name="_Toc101671999"/>
      <w:bookmarkStart w:id="956" w:name="_Toc101672256"/>
      <w:bookmarkStart w:id="957" w:name="_Toc102799282"/>
      <w:bookmarkStart w:id="958" w:name="_Toc102981956"/>
      <w:bookmarkStart w:id="959" w:name="_Toc103403269"/>
      <w:bookmarkStart w:id="960" w:name="_Toc103403526"/>
      <w:bookmarkStart w:id="961" w:name="_Toc103747525"/>
      <w:bookmarkStart w:id="962" w:name="_Toc107054954"/>
      <w:bookmarkStart w:id="963" w:name="_Toc113874401"/>
      <w:bookmarkStart w:id="964" w:name="_Toc113956817"/>
      <w:bookmarkStart w:id="965" w:name="_Toc116717373"/>
      <w:bookmarkStart w:id="966" w:name="_Toc116813400"/>
      <w:bookmarkStart w:id="967" w:name="_Toc122333052"/>
      <w:bookmarkStart w:id="968" w:name="_Toc122862022"/>
      <w:bookmarkStart w:id="969" w:name="_Toc122862618"/>
      <w:bookmarkStart w:id="970" w:name="_Toc122921225"/>
      <w:bookmarkStart w:id="971" w:name="_Toc122921485"/>
      <w:bookmarkStart w:id="972" w:name="_Toc122947430"/>
      <w:bookmarkStart w:id="973" w:name="_Toc124046266"/>
      <w:bookmarkStart w:id="974" w:name="_Toc131415851"/>
      <w:bookmarkStart w:id="975" w:name="_Toc131416150"/>
      <w:bookmarkStart w:id="976" w:name="_Toc170193333"/>
      <w:bookmarkStart w:id="977" w:name="_Toc500739982"/>
      <w:r>
        <w:rPr>
          <w:rStyle w:val="CharDivNo"/>
        </w:rPr>
        <w:t>Division 3</w:t>
      </w:r>
      <w:r>
        <w:t> — </w:t>
      </w:r>
      <w:r>
        <w:rPr>
          <w:rStyle w:val="CharDivText"/>
        </w:rPr>
        <w:t>Corporations incorporated, or taken to be registered, outside Western Australia, and certain other companies not within Division 2</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978" w:name="_Toc520101174"/>
      <w:bookmarkStart w:id="979" w:name="_Toc520533073"/>
      <w:bookmarkStart w:id="980" w:name="_Toc49223953"/>
      <w:bookmarkStart w:id="981" w:name="_Toc107054955"/>
      <w:bookmarkStart w:id="982" w:name="_Toc131416151"/>
      <w:bookmarkStart w:id="983" w:name="_Toc170193334"/>
      <w:r>
        <w:rPr>
          <w:rStyle w:val="CharSectno"/>
        </w:rPr>
        <w:t>76AN</w:t>
      </w:r>
      <w:r>
        <w:rPr>
          <w:snapToGrid w:val="0"/>
        </w:rPr>
        <w:t>.</w:t>
      </w:r>
      <w:r>
        <w:rPr>
          <w:snapToGrid w:val="0"/>
        </w:rPr>
        <w:tab/>
      </w:r>
      <w:bookmarkEnd w:id="977"/>
      <w:bookmarkEnd w:id="978"/>
      <w:bookmarkEnd w:id="979"/>
      <w:bookmarkEnd w:id="980"/>
      <w:r>
        <w:rPr>
          <w:snapToGrid w:val="0"/>
        </w:rPr>
        <w:t>Preparation of dutiable statement</w:t>
      </w:r>
      <w:bookmarkEnd w:id="981"/>
      <w:bookmarkEnd w:id="982"/>
      <w:bookmarkEnd w:id="983"/>
      <w:r>
        <w:rPr>
          <w:snapToGrid w:val="0"/>
        </w:rPr>
        <w:t xml:space="preserve"> </w:t>
      </w:r>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 xml:space="preserve">the corporation’s estimate of the unencumbered value of those chattels; </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984" w:name="_Toc500739983"/>
      <w:bookmarkStart w:id="985" w:name="_Toc520101175"/>
      <w:bookmarkStart w:id="986" w:name="_Toc520533074"/>
      <w:bookmarkStart w:id="987" w:name="_Toc49223954"/>
      <w:bookmarkStart w:id="988" w:name="_Toc107054956"/>
      <w:bookmarkStart w:id="989" w:name="_Toc131416152"/>
      <w:bookmarkStart w:id="990" w:name="_Toc170193335"/>
      <w:r>
        <w:rPr>
          <w:rStyle w:val="CharSectno"/>
        </w:rPr>
        <w:t>76AO</w:t>
      </w:r>
      <w:r>
        <w:rPr>
          <w:snapToGrid w:val="0"/>
        </w:rPr>
        <w:t>.</w:t>
      </w:r>
      <w:r>
        <w:rPr>
          <w:snapToGrid w:val="0"/>
        </w:rPr>
        <w:tab/>
        <w:t>Statement chargeable with duty</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 </w:t>
      </w:r>
    </w:p>
    <w:p>
      <w:pPr>
        <w:pStyle w:val="Indenta"/>
      </w:pPr>
      <w:r>
        <w:tab/>
        <w:t>(aa)</w:t>
      </w:r>
      <w:r>
        <w:tab/>
        <w:t xml:space="preserve">where the section 76AN statement relates to a relevant acquisition within section 76AQ(1)(a)(ii), the duty —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keepNext/>
        <w:keepLines/>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after="6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60"/>
        <w:rPr>
          <w:snapToGrid w:val="0"/>
        </w:rPr>
      </w:pPr>
      <w:r>
        <w:rPr>
          <w:snapToGrid w:val="0"/>
        </w:rPr>
        <w:tab/>
      </w:r>
      <w:r>
        <w:rPr>
          <w:snapToGrid w:val="0"/>
          <w:position w:val="-26"/>
        </w:rPr>
        <w:object w:dxaOrig="1660" w:dyaOrig="600">
          <v:shape id="_x0000_i1031" type="#_x0000_t75" style="width:83.25pt;height:30pt" o:ole="">
            <v:imagedata r:id="rId31" o:title=""/>
          </v:shape>
          <o:OLEObject Type="Embed" ProgID="Equation.3" ShapeID="_x0000_i1031" DrawAspect="Content" ObjectID="_1643744734" r:id="rId32"/>
        </w:object>
      </w:r>
    </w:p>
    <w:p>
      <w:pPr>
        <w:pStyle w:val="Subsection"/>
        <w:keepNext/>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 xml:space="preserve">[Section 76AO inserted by No. 33 of 1987 s. 22; amended by No. 39 of 1994 s. 14; No. 22 of 1998 s. 38 and 42; No. 60 of 2000 s. 14; No. 36 of 2001 s. 22; No. 2 of 2003 s. 95; No. 66 of 2003 s. 67; No. 11 of 2004 s. 25.] </w:t>
      </w:r>
    </w:p>
    <w:p>
      <w:pPr>
        <w:pStyle w:val="Heading5"/>
        <w:rPr>
          <w:snapToGrid w:val="0"/>
        </w:rPr>
      </w:pPr>
      <w:bookmarkStart w:id="991" w:name="_Toc500739984"/>
      <w:bookmarkStart w:id="992" w:name="_Toc520101176"/>
      <w:bookmarkStart w:id="993" w:name="_Toc520533075"/>
      <w:bookmarkStart w:id="994" w:name="_Toc49223955"/>
      <w:bookmarkStart w:id="995" w:name="_Toc107054957"/>
      <w:bookmarkStart w:id="996" w:name="_Toc131416153"/>
      <w:bookmarkStart w:id="997" w:name="_Toc170193336"/>
      <w:r>
        <w:rPr>
          <w:rStyle w:val="CharSectno"/>
        </w:rPr>
        <w:t>76AP</w:t>
      </w:r>
      <w:r>
        <w:rPr>
          <w:snapToGrid w:val="0"/>
        </w:rPr>
        <w:t>.</w:t>
      </w:r>
      <w:r>
        <w:rPr>
          <w:snapToGrid w:val="0"/>
        </w:rPr>
        <w:tab/>
        <w:t>Corporations to which this Division applies</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This Division applies to a corporation if — </w:t>
      </w:r>
    </w:p>
    <w:p>
      <w:pPr>
        <w:pStyle w:val="Indenta"/>
        <w:spacing w:before="60"/>
        <w:rPr>
          <w:snapToGrid w:val="0"/>
        </w:rPr>
      </w:pPr>
      <w:r>
        <w:rPr>
          <w:snapToGrid w:val="0"/>
        </w:rPr>
        <w:tab/>
        <w:t>(a)</w:t>
      </w:r>
      <w:r>
        <w:rPr>
          <w:snapToGrid w:val="0"/>
        </w:rPr>
        <w:tab/>
        <w:t>it is —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 xml:space="preserve">unless —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 xml:space="preserve">For the purposes of subsection (1)(e) the Commissioner may take into account any matter that the Commissioner considers is relevant but must take into account —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 </w:t>
      </w:r>
    </w:p>
    <w:p>
      <w:pPr>
        <w:pStyle w:val="Indenta"/>
        <w:spacing w:before="60"/>
        <w:rPr>
          <w:snapToGrid w:val="0"/>
        </w:rPr>
      </w:pPr>
      <w:r>
        <w:rPr>
          <w:snapToGrid w:val="0"/>
        </w:rPr>
        <w:tab/>
        <w:t>(a)</w:t>
      </w:r>
      <w:r>
        <w:rPr>
          <w:snapToGrid w:val="0"/>
        </w:rPr>
        <w:tab/>
        <w:t>the trustee of a trust is entitled to that land or property and the corporation —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 xml:space="preserve">In determining the entitlement of an entity to land for the purposes of this section or section 76AS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 xml:space="preserve">[Section 76AP inserted by No. 33 of 1987 s. 22; amended by No. 39 of 1994 s. 21; No. 53 of 1999 s. 24; No. 60 of 2000 s. 15; No. 3 of 2001 s. 26; No. 10 of 2001 s. 178; No. 2 of 2003 s. 96; No. 21 of 2003 s. 28; No. 66 of 2003 s. 68; No. 11 of 2004 s. 26; No. 11 of 2005 s. 18, 20 and 23.] </w:t>
      </w:r>
    </w:p>
    <w:p>
      <w:pPr>
        <w:pStyle w:val="Heading5"/>
        <w:spacing w:before="240"/>
      </w:pPr>
      <w:bookmarkStart w:id="998" w:name="_Toc492201394"/>
      <w:bookmarkStart w:id="999" w:name="_Toc500739985"/>
      <w:bookmarkStart w:id="1000" w:name="_Toc520101177"/>
      <w:bookmarkStart w:id="1001" w:name="_Toc520533076"/>
      <w:bookmarkStart w:id="1002" w:name="_Toc49223956"/>
      <w:bookmarkStart w:id="1003" w:name="_Toc107054958"/>
      <w:bookmarkStart w:id="1004" w:name="_Toc131416154"/>
      <w:bookmarkStart w:id="1005" w:name="_Toc170193337"/>
      <w:r>
        <w:rPr>
          <w:rStyle w:val="CharSectno"/>
        </w:rPr>
        <w:t>76AQ</w:t>
      </w:r>
      <w:r>
        <w:t>.</w:t>
      </w:r>
      <w:r>
        <w:tab/>
        <w:t>Meaning of “</w:t>
      </w:r>
      <w:r>
        <w:rPr>
          <w:rStyle w:val="CharDefText"/>
          <w:b/>
        </w:rPr>
        <w:t>relevant acquisition</w:t>
      </w:r>
      <w:r>
        <w:t>”</w:t>
      </w:r>
      <w:bookmarkEnd w:id="998"/>
      <w:bookmarkEnd w:id="999"/>
      <w:bookmarkEnd w:id="1000"/>
      <w:bookmarkEnd w:id="1001"/>
      <w:bookmarkEnd w:id="1002"/>
      <w:bookmarkEnd w:id="1003"/>
      <w:bookmarkEnd w:id="1004"/>
      <w:bookmarkEnd w:id="1005"/>
    </w:p>
    <w:p>
      <w:pPr>
        <w:pStyle w:val="Subsection"/>
        <w:spacing w:before="180"/>
      </w:pPr>
      <w:r>
        <w:tab/>
        <w:t>(1)</w:t>
      </w:r>
      <w:r>
        <w:tab/>
        <w:t>An acquisition is a relevant acquisition for the purposes of this Division — </w:t>
      </w:r>
    </w:p>
    <w:p>
      <w:pPr>
        <w:pStyle w:val="Indenta"/>
        <w:spacing w:before="100"/>
      </w:pPr>
      <w:r>
        <w:tab/>
        <w:t>(a)</w:t>
      </w:r>
      <w:r>
        <w:tab/>
        <w:t>if by that acquisition a person acquires a majority interest in a corporation by acquiring an interest — </w:t>
      </w:r>
    </w:p>
    <w:p>
      <w:pPr>
        <w:pStyle w:val="Indenti"/>
        <w:spacing w:before="100"/>
      </w:pPr>
      <w:r>
        <w:tab/>
        <w:t>(i)</w:t>
      </w:r>
      <w:r>
        <w:tab/>
        <w:t>that is itself a majority interest in the corporation; or</w:t>
      </w:r>
    </w:p>
    <w:p>
      <w:pPr>
        <w:pStyle w:val="Indenti"/>
        <w:spacing w:before="100"/>
      </w:pPr>
      <w:r>
        <w:tab/>
        <w:t>(ii)</w:t>
      </w:r>
      <w:r>
        <w:tab/>
        <w:t xml:space="preserve">that is, when taken with each previous acquisition of an interest in the corporation made by the person on or after the relevant day for that acquisition, a majority interest in the corporation; </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006" w:author="Isobel Bond" w:date="2006-03-27T14:07: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1007" w:author="Isobel Bond" w:date="2006-03-27T14:07: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008" w:name="_Toc500739986"/>
      <w:bookmarkStart w:id="1009" w:name="_Toc520101178"/>
      <w:bookmarkStart w:id="1010" w:name="_Toc520533077"/>
      <w:bookmarkStart w:id="1011" w:name="_Toc49223957"/>
      <w:bookmarkStart w:id="1012" w:name="_Toc107054959"/>
      <w:bookmarkStart w:id="1013" w:name="_Toc131416155"/>
      <w:bookmarkStart w:id="1014" w:name="_Toc170193338"/>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008"/>
      <w:bookmarkEnd w:id="1009"/>
      <w:bookmarkEnd w:id="1010"/>
      <w:bookmarkEnd w:id="1011"/>
      <w:r>
        <w:t>”</w:t>
      </w:r>
      <w:bookmarkEnd w:id="1012"/>
      <w:bookmarkEnd w:id="1013"/>
      <w:bookmarkEnd w:id="1014"/>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rPr>
          <w:spacing w:val="-4"/>
        </w:rPr>
      </w:pPr>
      <w:r>
        <w:rPr>
          <w:spacing w:val="-4"/>
        </w:rPr>
        <w:tab/>
        <w:t>(2)</w:t>
      </w:r>
      <w:r>
        <w:rPr>
          <w:spacing w:val="-4"/>
        </w:rP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spacing w:val="-4"/>
        </w:rPr>
        <w:t>“</w:t>
      </w:r>
      <w:r>
        <w:rPr>
          <w:rStyle w:val="CharDefText"/>
          <w:spacing w:val="-4"/>
        </w:rPr>
        <w:t>majority interest</w:t>
      </w:r>
      <w:r>
        <w:rPr>
          <w:b/>
          <w:spacing w:val="-4"/>
        </w:rPr>
        <w:t>”</w:t>
      </w:r>
      <w:r>
        <w:rPr>
          <w:spacing w:val="-4"/>
        </w:rPr>
        <w:t xml:space="preserve"> has a corresponding meaning.</w:t>
      </w:r>
    </w:p>
    <w:p>
      <w:pPr>
        <w:pStyle w:val="Subsection"/>
      </w:pPr>
      <w:r>
        <w:tab/>
        <w:t>(3)</w:t>
      </w:r>
      <w:r>
        <w:tab/>
        <w:t>For the purposes of this Division, a person acquires a further interest in a corporation if —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 </w:t>
      </w:r>
    </w:p>
    <w:p>
      <w:pPr>
        <w:pStyle w:val="Indenta"/>
      </w:pPr>
      <w:r>
        <w:tab/>
        <w:t>(a)</w:t>
      </w:r>
      <w:r>
        <w:tab/>
        <w:t>means a corporation —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pPr>
      <w:r>
        <w:tab/>
        <w:t>(b)</w:t>
      </w:r>
      <w:r>
        <w:tab/>
        <w:t>is deemed to include —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 </w:t>
      </w:r>
    </w:p>
    <w:p>
      <w:pPr>
        <w:pStyle w:val="IndentI0"/>
      </w:pPr>
      <w:r>
        <w:tab/>
        <w:t>(I)</w:t>
      </w:r>
      <w:r>
        <w:tab/>
        <w:t>is entitled to a share or interest in the trust whether vested or contingent; or</w:t>
      </w:r>
    </w:p>
    <w:p>
      <w:pPr>
        <w:pStyle w:val="IndentI0"/>
      </w:pPr>
      <w:r>
        <w:tab/>
        <w:t>(II)</w:t>
      </w:r>
      <w:r>
        <w:tab/>
        <w:t xml:space="preserve">in the case of a discretionary trust, may benefit from that trust; </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15" w:name="_Toc500739987"/>
      <w:bookmarkStart w:id="1016" w:name="_Toc520101179"/>
      <w:bookmarkStart w:id="1017" w:name="_Toc520533078"/>
      <w:bookmarkStart w:id="1018" w:name="_Toc49223958"/>
      <w:bookmarkStart w:id="1019" w:name="_Toc107054960"/>
      <w:bookmarkStart w:id="1020" w:name="_Toc131416156"/>
      <w:bookmarkStart w:id="1021" w:name="_Toc170193339"/>
      <w:r>
        <w:rPr>
          <w:rStyle w:val="CharSectno"/>
        </w:rPr>
        <w:t>76AS</w:t>
      </w:r>
      <w:r>
        <w:rPr>
          <w:snapToGrid w:val="0"/>
        </w:rPr>
        <w:t>.</w:t>
      </w:r>
      <w:r>
        <w:rPr>
          <w:snapToGrid w:val="0"/>
        </w:rPr>
        <w:tab/>
        <w:t>How dutiable value is determined</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 xml:space="preserve">Where the relevant acquisition is within section 76AQ(1)(a)(ii) the dutiable value —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 xml:space="preserve">[Section 76AS inserted by No. 33 of 1987 s. 22; amended by No. 22 of 1998 s. 38; No. 60 of 2000 s. 17; No. 2 of 2003 s. 97; No. 11 of 2004 s. 28.] </w:t>
      </w:r>
    </w:p>
    <w:p>
      <w:pPr>
        <w:pStyle w:val="Heading3"/>
      </w:pPr>
      <w:bookmarkStart w:id="1022" w:name="_Toc76899630"/>
      <w:bookmarkStart w:id="1023" w:name="_Toc78090532"/>
      <w:bookmarkStart w:id="1024" w:name="_Toc88886900"/>
      <w:bookmarkStart w:id="1025" w:name="_Toc90443516"/>
      <w:bookmarkStart w:id="1026" w:name="_Toc90452867"/>
      <w:bookmarkStart w:id="1027" w:name="_Toc100029458"/>
      <w:bookmarkStart w:id="1028" w:name="_Toc100031531"/>
      <w:bookmarkStart w:id="1029" w:name="_Toc100458590"/>
      <w:bookmarkStart w:id="1030" w:name="_Toc101672006"/>
      <w:bookmarkStart w:id="1031" w:name="_Toc101672263"/>
      <w:bookmarkStart w:id="1032" w:name="_Toc102799289"/>
      <w:bookmarkStart w:id="1033" w:name="_Toc102981963"/>
      <w:bookmarkStart w:id="1034" w:name="_Toc103403276"/>
      <w:bookmarkStart w:id="1035" w:name="_Toc103403533"/>
      <w:bookmarkStart w:id="1036" w:name="_Toc103747532"/>
      <w:bookmarkStart w:id="1037" w:name="_Toc107054961"/>
      <w:bookmarkStart w:id="1038" w:name="_Toc113874408"/>
      <w:bookmarkStart w:id="1039" w:name="_Toc113956824"/>
      <w:bookmarkStart w:id="1040" w:name="_Toc116717380"/>
      <w:bookmarkStart w:id="1041" w:name="_Toc116813407"/>
      <w:bookmarkStart w:id="1042" w:name="_Toc122333059"/>
      <w:bookmarkStart w:id="1043" w:name="_Toc122862029"/>
      <w:bookmarkStart w:id="1044" w:name="_Toc122862625"/>
      <w:bookmarkStart w:id="1045" w:name="_Toc122921232"/>
      <w:bookmarkStart w:id="1046" w:name="_Toc122921492"/>
      <w:bookmarkStart w:id="1047" w:name="_Toc122947437"/>
      <w:bookmarkStart w:id="1048" w:name="_Toc124046273"/>
      <w:bookmarkStart w:id="1049" w:name="_Toc131415858"/>
      <w:bookmarkStart w:id="1050" w:name="_Toc131416157"/>
      <w:bookmarkStart w:id="1051" w:name="_Toc170193340"/>
      <w:bookmarkStart w:id="1052" w:name="_Toc58902616"/>
      <w:r>
        <w:rPr>
          <w:rStyle w:val="CharDivNo"/>
        </w:rPr>
        <w:t>Division 3a</w:t>
      </w:r>
      <w:r>
        <w:t> — </w:t>
      </w:r>
      <w:r>
        <w:rPr>
          <w:rStyle w:val="CharDivText"/>
        </w:rPr>
        <w:t>Listed companies taken to be registered in Western Australia</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tabs>
          <w:tab w:val="left" w:pos="851"/>
        </w:tabs>
      </w:pPr>
      <w:r>
        <w:tab/>
        <w:t>[Heading inserted by No. 11 of 2004 s. 29.]</w:t>
      </w:r>
    </w:p>
    <w:p>
      <w:pPr>
        <w:pStyle w:val="Heading5"/>
      </w:pPr>
      <w:bookmarkStart w:id="1053" w:name="_Toc107054962"/>
      <w:bookmarkStart w:id="1054" w:name="_Toc131416158"/>
      <w:bookmarkStart w:id="1055" w:name="_Toc170193341"/>
      <w:r>
        <w:rPr>
          <w:rStyle w:val="CharSectno"/>
        </w:rPr>
        <w:t>76AT</w:t>
      </w:r>
      <w:r>
        <w:t>.</w:t>
      </w:r>
      <w:r>
        <w:tab/>
        <w:t>Preparation of dutiable statement</w:t>
      </w:r>
      <w:bookmarkEnd w:id="1053"/>
      <w:bookmarkEnd w:id="1054"/>
      <w:bookmarkEnd w:id="1055"/>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person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person shall —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 xml:space="preserve">the person’s estimate of the unencumbered value of all land and chattels in Western Australia to which the WA company is entitled as at the date of the acquisition; </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 xml:space="preserve">A dutiable statement under subsection (4)(c) in respect of a relevant period shall include the following information —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 xml:space="preserve">in relation to each additional interest acquired during the relevant period —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056" w:name="_Toc107054963"/>
      <w:bookmarkStart w:id="1057" w:name="_Toc131416159"/>
      <w:bookmarkStart w:id="1058" w:name="_Toc170193342"/>
      <w:r>
        <w:rPr>
          <w:rStyle w:val="CharSectno"/>
        </w:rPr>
        <w:t>76ATA</w:t>
      </w:r>
      <w:r>
        <w:t>.</w:t>
      </w:r>
      <w:r>
        <w:tab/>
        <w:t>Statement chargeable with duty</w:t>
      </w:r>
      <w:bookmarkEnd w:id="1056"/>
      <w:bookmarkEnd w:id="1057"/>
      <w:bookmarkEnd w:id="1058"/>
      <w:r>
        <w:t xml:space="preserve"> </w:t>
      </w:r>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 xml:space="preserve">where the section 76AT statement relates to a relevant acquisition within section 76ATC(1)(a)(ii), the duty —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 xml:space="preserve">unless paragraph (d) applies, where the section 76AT statement relates to a relevant acquisition within section 76ATC(1)(b), the duty —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 xml:space="preserve">where approval has been granted under section 76AT(4), the duty —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after="60"/>
      </w:pPr>
      <w:r>
        <w:tab/>
        <w:t>(2)</w:t>
      </w:r>
      <w:r>
        <w:tab/>
        <w:t xml:space="preserve">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object w:dxaOrig="1660" w:dyaOrig="600">
          <v:shape id="_x0000_i1032" type="#_x0000_t75" style="width:83.25pt;height:30pt" o:ole="">
            <v:imagedata r:id="rId33" o:title=""/>
          </v:shape>
          <o:OLEObject Type="Embed" ProgID="Equation.3" ShapeID="_x0000_i1032" DrawAspect="Content" ObjectID="_1643744735" r:id="rId34"/>
        </w:object>
      </w:r>
    </w:p>
    <w:p>
      <w:pPr>
        <w:pStyle w:val="Subsection"/>
        <w:spacing w:before="80"/>
      </w:pPr>
      <w:r>
        <w:tab/>
      </w:r>
      <w:r>
        <w:tab/>
        <w:t xml:space="preserve">where —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3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3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2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pPr>
      <w:bookmarkStart w:id="1059" w:name="_Toc107054964"/>
      <w:bookmarkStart w:id="1060" w:name="_Toc131416160"/>
      <w:bookmarkStart w:id="1061" w:name="_Toc170193343"/>
      <w:r>
        <w:rPr>
          <w:rStyle w:val="CharSectno"/>
        </w:rPr>
        <w:t>76ATB</w:t>
      </w:r>
      <w:r>
        <w:t>.</w:t>
      </w:r>
      <w:r>
        <w:tab/>
        <w:t>Meaning of “listed land</w:t>
      </w:r>
      <w:r>
        <w:noBreakHyphen/>
        <w:t>holder WA company”</w:t>
      </w:r>
      <w:bookmarkEnd w:id="1059"/>
      <w:bookmarkEnd w:id="1060"/>
      <w:bookmarkEnd w:id="1061"/>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 xml:space="preserve">the notice is to contain reasons for the determination; </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WA company, or of any subsidiary within the meaning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 xml:space="preserve">money lent by the WA company or a subsidiary to —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by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 xml:space="preserve">Without limiting the meaning of “entitled”, a WA company is deemed to be entitled to land or property to the extent that a subsidiary is entitled to that land or property, and for the purposes of this subsection a subsidiary is —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 xml:space="preserve">the trustee of any trust where the WA company or a subsidiary corporation of the WA company, as defined in paragraph (a) —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 xml:space="preserve">any corporation, where the trustee of a trust in which the WA company or a subsidiary corporation —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062" w:name="_Toc107054965"/>
      <w:bookmarkStart w:id="1063" w:name="_Toc131416161"/>
      <w:bookmarkStart w:id="1064" w:name="_Toc170193344"/>
      <w:r>
        <w:rPr>
          <w:rStyle w:val="CharSectno"/>
        </w:rPr>
        <w:t>76ATC</w:t>
      </w:r>
      <w:r>
        <w:t>.</w:t>
      </w:r>
      <w:r>
        <w:tab/>
        <w:t>Meaning of “relevant acquisition”</w:t>
      </w:r>
      <w:bookmarkEnd w:id="1062"/>
      <w:bookmarkEnd w:id="1063"/>
      <w:bookmarkEnd w:id="1064"/>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 xml:space="preserve">if by that acquisition a person acquires a controlling interest in a WA company by acquiring an interest —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065" w:name="_Toc107054966"/>
      <w:bookmarkStart w:id="1066" w:name="_Toc131416162"/>
      <w:bookmarkStart w:id="1067" w:name="_Toc170193345"/>
      <w:r>
        <w:rPr>
          <w:rStyle w:val="CharSectno"/>
        </w:rPr>
        <w:t>76ATD</w:t>
      </w:r>
      <w:r>
        <w:t>.</w:t>
      </w:r>
      <w:r>
        <w:tab/>
        <w:t>Meaning of “interest”, “controlling interest” or “additional interest”</w:t>
      </w:r>
      <w:bookmarkEnd w:id="1065"/>
      <w:bookmarkEnd w:id="1066"/>
      <w:bookmarkEnd w:id="1067"/>
      <w:r>
        <w:t xml:space="preserve"> </w:t>
      </w:r>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3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keepNext/>
      </w:pPr>
      <w:r>
        <w:tab/>
        <w:t>(3)</w:t>
      </w:r>
      <w:r>
        <w:tab/>
        <w:t xml:space="preserve">For the purposes of this Division, a person acquires an </w:t>
      </w:r>
      <w:r>
        <w:rPr>
          <w:b/>
        </w:rPr>
        <w:t>“</w:t>
      </w:r>
      <w:r>
        <w:rPr>
          <w:rStyle w:val="CharDefText"/>
        </w:rPr>
        <w:t>additional interest</w:t>
      </w:r>
      <w:r>
        <w:rPr>
          <w:b/>
        </w:rPr>
        <w:t>”</w:t>
      </w:r>
      <w:r>
        <w:t xml:space="preserve"> in a WA company if —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068" w:name="_Toc107054967"/>
      <w:bookmarkStart w:id="1069" w:name="_Toc131416163"/>
      <w:bookmarkStart w:id="1070" w:name="_Toc170193346"/>
      <w:r>
        <w:rPr>
          <w:rStyle w:val="CharSectno"/>
        </w:rPr>
        <w:t>76ATE</w:t>
      </w:r>
      <w:r>
        <w:t>.</w:t>
      </w:r>
      <w:r>
        <w:tab/>
        <w:t>How dutiable value is determined</w:t>
      </w:r>
      <w:bookmarkEnd w:id="1068"/>
      <w:bookmarkEnd w:id="1069"/>
      <w:bookmarkEnd w:id="1070"/>
    </w:p>
    <w:p>
      <w:pPr>
        <w:pStyle w:val="Subsection"/>
        <w:spacing w:before="14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4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 xml:space="preserve">Where the relevant acquisition is within section 76ATC(1)(a)(ii) the dutiable value —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80"/>
      </w:pPr>
      <w:r>
        <w:tab/>
        <w:t>(5)</w:t>
      </w:r>
      <w:r>
        <w:tab/>
        <w:t xml:space="preserve">Unless subsection (6) applies, where the relevant acquisition is within section 76ATC(1)(b) the dutiable value —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 xml:space="preserve">Where approval has been granted under section 76AT(4) the dutiable value —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 xml:space="preserve">For the purposes of subsections (3), (4), (5) and (6), the unencumbered value of the land and chattels to which a WA company is entitled at any time is the sum of — </w:t>
      </w:r>
    </w:p>
    <w:p>
      <w:pPr>
        <w:pStyle w:val="Indenta"/>
        <w:spacing w:before="60"/>
      </w:pPr>
      <w:r>
        <w:tab/>
        <w:t>(a)</w:t>
      </w:r>
      <w:r>
        <w:tab/>
        <w:t>in the case of land and chattels to which the WA company is entitled without reference to subsection (6) of section 76ATB, the unencumbered value of the land and chattels at that time; and</w:t>
      </w:r>
    </w:p>
    <w:p>
      <w:pPr>
        <w:pStyle w:val="Indenta"/>
        <w:keepNext/>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76ATE inserted by No. 11 of 2004 s. 29.]</w:t>
      </w:r>
    </w:p>
    <w:p>
      <w:pPr>
        <w:pStyle w:val="Heading5"/>
      </w:pPr>
      <w:bookmarkStart w:id="1071" w:name="_Toc107054968"/>
      <w:bookmarkStart w:id="1072" w:name="_Toc131416164"/>
      <w:bookmarkStart w:id="1073" w:name="_Toc170193347"/>
      <w:r>
        <w:rPr>
          <w:rStyle w:val="CharSectno"/>
        </w:rPr>
        <w:t>76ATF</w:t>
      </w:r>
      <w:r>
        <w:t>.</w:t>
      </w:r>
      <w:r>
        <w:tab/>
        <w:t>Liability for duty</w:t>
      </w:r>
      <w:bookmarkEnd w:id="1071"/>
      <w:bookmarkEnd w:id="1072"/>
      <w:bookmarkEnd w:id="1073"/>
      <w:r>
        <w:t xml:space="preserve"> </w:t>
      </w:r>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074" w:name="_Toc76899638"/>
      <w:bookmarkStart w:id="1075" w:name="_Toc78090540"/>
      <w:bookmarkStart w:id="1076" w:name="_Toc88886908"/>
      <w:bookmarkStart w:id="1077" w:name="_Toc90443524"/>
      <w:bookmarkStart w:id="1078" w:name="_Toc90452875"/>
      <w:bookmarkStart w:id="1079" w:name="_Toc100029466"/>
      <w:bookmarkStart w:id="1080" w:name="_Toc100031539"/>
      <w:bookmarkStart w:id="1081" w:name="_Toc100458598"/>
      <w:bookmarkStart w:id="1082" w:name="_Toc101672014"/>
      <w:bookmarkStart w:id="1083" w:name="_Toc101672271"/>
      <w:bookmarkStart w:id="1084" w:name="_Toc102799297"/>
      <w:bookmarkStart w:id="1085" w:name="_Toc102981971"/>
      <w:bookmarkStart w:id="1086" w:name="_Toc103403284"/>
      <w:bookmarkStart w:id="1087" w:name="_Toc103403541"/>
      <w:bookmarkStart w:id="1088" w:name="_Toc103747540"/>
      <w:bookmarkStart w:id="1089" w:name="_Toc107054969"/>
      <w:bookmarkStart w:id="1090" w:name="_Toc113874416"/>
      <w:bookmarkStart w:id="1091" w:name="_Toc113956832"/>
      <w:bookmarkStart w:id="1092" w:name="_Toc116717388"/>
      <w:bookmarkStart w:id="1093" w:name="_Toc116813415"/>
      <w:bookmarkStart w:id="1094" w:name="_Toc122333067"/>
      <w:bookmarkStart w:id="1095" w:name="_Toc122862037"/>
      <w:bookmarkStart w:id="1096" w:name="_Toc122862633"/>
      <w:bookmarkStart w:id="1097" w:name="_Toc122921240"/>
      <w:bookmarkStart w:id="1098" w:name="_Toc122921500"/>
      <w:bookmarkStart w:id="1099" w:name="_Toc122947445"/>
      <w:bookmarkStart w:id="1100" w:name="_Toc124046281"/>
      <w:bookmarkStart w:id="1101" w:name="_Toc131415866"/>
      <w:bookmarkStart w:id="1102" w:name="_Toc131416165"/>
      <w:bookmarkStart w:id="1103" w:name="_Toc170193348"/>
      <w:r>
        <w:rPr>
          <w:rStyle w:val="CharDivNo"/>
        </w:rPr>
        <w:t>Division 3b</w:t>
      </w:r>
      <w:r>
        <w:t> — </w:t>
      </w:r>
      <w:r>
        <w:rPr>
          <w:rStyle w:val="CharDivText"/>
        </w:rPr>
        <w:t>Listed corporations incorporated, or taken to be registered, outside Western Australia, and certain other companies not within Division 3a</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Footnoteheading"/>
        <w:tabs>
          <w:tab w:val="left" w:pos="851"/>
        </w:tabs>
      </w:pPr>
      <w:r>
        <w:tab/>
        <w:t>[Heading inserted by No. 11 of 2004 s. 29.]</w:t>
      </w:r>
    </w:p>
    <w:p>
      <w:pPr>
        <w:pStyle w:val="Heading5"/>
      </w:pPr>
      <w:bookmarkStart w:id="1104" w:name="_Toc107054970"/>
      <w:bookmarkStart w:id="1105" w:name="_Toc131416166"/>
      <w:bookmarkStart w:id="1106" w:name="_Toc170193349"/>
      <w:r>
        <w:rPr>
          <w:rStyle w:val="CharSectno"/>
        </w:rPr>
        <w:t>76ATG</w:t>
      </w:r>
      <w:r>
        <w:t>.</w:t>
      </w:r>
      <w:r>
        <w:tab/>
        <w:t>Preparation of dutiable statement</w:t>
      </w:r>
      <w:bookmarkEnd w:id="1104"/>
      <w:bookmarkEnd w:id="1105"/>
      <w:bookmarkEnd w:id="1106"/>
      <w:r>
        <w:t xml:space="preserve"> </w:t>
      </w:r>
    </w:p>
    <w:p>
      <w:pPr>
        <w:pStyle w:val="Subsection"/>
      </w:pPr>
      <w:r>
        <w:tab/>
        <w:t>(1)</w:t>
      </w:r>
      <w:r>
        <w:tab/>
        <w:t xml:space="preserve">Where by a relevant acquisition a person acquires a controlling interest in —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corporation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corporation shall —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 xml:space="preserve">the corporation’s estimate of the unencumbered value of those chattels; </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 xml:space="preserve">A dutiable statement under subsection (4)(c) in respect of a relevant period shall include the following information —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 xml:space="preserve">in relation to each additional interest acquired during the relevant period —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 xml:space="preserve">In deciding whether or not to make a determination under subsection (11) the Commissioner may have regard to —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107" w:name="_Toc107054971"/>
      <w:bookmarkStart w:id="1108" w:name="_Toc131416167"/>
      <w:bookmarkStart w:id="1109" w:name="_Toc170193350"/>
      <w:r>
        <w:rPr>
          <w:rStyle w:val="CharSectno"/>
        </w:rPr>
        <w:t>76ATH</w:t>
      </w:r>
      <w:r>
        <w:t>.</w:t>
      </w:r>
      <w:r>
        <w:tab/>
        <w:t>Statement chargeable with duty</w:t>
      </w:r>
      <w:bookmarkEnd w:id="1107"/>
      <w:bookmarkEnd w:id="1108"/>
      <w:bookmarkEnd w:id="1109"/>
      <w:r>
        <w:t xml:space="preserve"> </w:t>
      </w:r>
    </w:p>
    <w:p>
      <w:pPr>
        <w:pStyle w:val="Subsection"/>
      </w:pPr>
      <w:r>
        <w:tab/>
        <w:t>(1)</w:t>
      </w:r>
      <w:r>
        <w:tab/>
        <w:t xml:space="preserve">A section 76ATG statement is chargeable, in accordance with section 76ATL, with duty at the rate provided for in item 4(1) of the Second Schedule calculated as follows —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 xml:space="preserve">where the section 76ATG statement relates to a relevant acquisition within section 76ATJ(1)(a)(ii), the duty —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 xml:space="preserve">unless paragraph (d) applies, where the section 76ATG statement relates to a relevant acquisition within section 76ATJ(1)(b), the duty —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 xml:space="preserve">where approval has been granted under section 76ATG(4) the duty —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 xml:space="preserve">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object w:dxaOrig="1660" w:dyaOrig="600">
          <v:shape id="_x0000_i1033" type="#_x0000_t75" style="width:83.25pt;height:30pt" o:ole="">
            <v:imagedata r:id="rId33" o:title=""/>
          </v:shape>
          <o:OLEObject Type="Embed" ProgID="Equation.3" ShapeID="_x0000_i1033" DrawAspect="Content" ObjectID="_1643744736" r:id="rId35"/>
        </w:object>
      </w:r>
    </w:p>
    <w:p>
      <w:pPr>
        <w:pStyle w:val="Subsection"/>
        <w:spacing w:before="60" w:after="60"/>
      </w:pPr>
      <w:r>
        <w:tab/>
      </w:r>
      <w:r>
        <w:tab/>
        <w:t xml:space="preserve">where —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 xml:space="preserve">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110" w:name="_Toc107054972"/>
      <w:bookmarkStart w:id="1111" w:name="_Toc131416168"/>
      <w:bookmarkStart w:id="1112" w:name="_Toc170193351"/>
      <w:r>
        <w:rPr>
          <w:rStyle w:val="CharSectno"/>
        </w:rPr>
        <w:t>76ATI</w:t>
      </w:r>
      <w:r>
        <w:t>.</w:t>
      </w:r>
      <w:r>
        <w:tab/>
        <w:t>Meaning of “listed land</w:t>
      </w:r>
      <w:r>
        <w:rPr>
          <w:snapToGrid w:val="0"/>
        </w:rPr>
        <w:noBreakHyphen/>
      </w:r>
      <w:r>
        <w:t>holder corporation”</w:t>
      </w:r>
      <w:bookmarkEnd w:id="1110"/>
      <w:bookmarkEnd w:id="1111"/>
      <w:bookmarkEnd w:id="1112"/>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 </w:t>
      </w:r>
    </w:p>
    <w:p>
      <w:pPr>
        <w:pStyle w:val="Indenta"/>
      </w:pPr>
      <w:r>
        <w:tab/>
        <w:t>(a)</w:t>
      </w:r>
      <w:r>
        <w:tab/>
        <w:t xml:space="preserve">it is — </w:t>
      </w:r>
    </w:p>
    <w:p>
      <w:pPr>
        <w:pStyle w:val="Indenti"/>
      </w:pPr>
      <w:r>
        <w:tab/>
        <w:t>(i)</w:t>
      </w:r>
      <w:r>
        <w:tab/>
        <w:t xml:space="preserve">a body corporate that is taken to be registered outside Western Australia (for the purposes of the Corporations Act) or that is otherwise formed or incorporated outside Western Australia, not being a body corporate that is —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pPr>
      <w:r>
        <w:tab/>
        <w:t>(2)</w:t>
      </w:r>
      <w:r>
        <w:tab/>
        <w:t>A corporation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 xml:space="preserve">If the Commissioner makes a determination under subsection (2) — </w:t>
      </w:r>
    </w:p>
    <w:p>
      <w:pPr>
        <w:pStyle w:val="Indenta"/>
      </w:pPr>
      <w:r>
        <w:tab/>
        <w:t>(a)</w:t>
      </w:r>
      <w:r>
        <w:tab/>
        <w:t>the Commissioner is to give notice of it to the corporation;</w:t>
      </w:r>
    </w:p>
    <w:p>
      <w:pPr>
        <w:pStyle w:val="Indenta"/>
      </w:pPr>
      <w:r>
        <w:tab/>
        <w:t>(b)</w:t>
      </w:r>
      <w:r>
        <w:tab/>
        <w:t xml:space="preserve">the notice is to contain reasons for the determination; </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corporation, or of a trustee or another corporation referred to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 xml:space="preserve">money lent by the corporation or a trustee or a related corporation referred to in subsection (6) to —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pPr>
      <w:r>
        <w:tab/>
        <w:t>(f)</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pPr>
      <w:r>
        <w:tab/>
        <w:t>(6)</w:t>
      </w:r>
      <w:r>
        <w:tab/>
        <w:t xml:space="preserve">Without limiting the meaning of “entitled”, a corporation is deemed to be entitled to land or property where — </w:t>
      </w:r>
    </w:p>
    <w:p>
      <w:pPr>
        <w:pStyle w:val="Indenta"/>
        <w:spacing w:before="60"/>
      </w:pPr>
      <w:r>
        <w:tab/>
        <w:t>(a)</w:t>
      </w:r>
      <w:r>
        <w:tab/>
        <w:t xml:space="preserve">the trustee of a trust is entitled to that land or property and the corporation — </w:t>
      </w:r>
    </w:p>
    <w:p>
      <w:pPr>
        <w:pStyle w:val="Indenti"/>
        <w:spacing w:before="60"/>
      </w:pPr>
      <w:r>
        <w:tab/>
        <w:t>(i)</w:t>
      </w:r>
      <w:r>
        <w:tab/>
        <w:t>has a share or interest in the trust whether vested or contingent; or</w:t>
      </w:r>
    </w:p>
    <w:p>
      <w:pPr>
        <w:pStyle w:val="Indenti"/>
        <w:spacing w:before="60"/>
      </w:pPr>
      <w:r>
        <w:tab/>
        <w:t>(ii)</w:t>
      </w:r>
      <w:r>
        <w:tab/>
        <w:t>in the case of a discretionary trust, may benefit from that trust,</w:t>
      </w:r>
    </w:p>
    <w:p>
      <w:pPr>
        <w:pStyle w:val="Indenta"/>
        <w:spacing w:before="60"/>
      </w:pPr>
      <w:r>
        <w:tab/>
      </w:r>
      <w:r>
        <w:tab/>
        <w:t>but an entitlement under subparagraph (i) is limited to the extent of that share or interest;</w:t>
      </w:r>
    </w:p>
    <w:p>
      <w:pPr>
        <w:pStyle w:val="Indenta"/>
        <w:spacing w:before="60"/>
      </w:pPr>
      <w:r>
        <w:tab/>
        <w:t>(b)</w:t>
      </w:r>
      <w:r>
        <w:tab/>
        <w:t xml:space="preserve">in a case where the entitlement to participate referred to in section 76ATK(2) relates to the corporation itself, any of the following corporations is entitled to that land or property — </w:t>
      </w:r>
    </w:p>
    <w:p>
      <w:pPr>
        <w:pStyle w:val="Indenti"/>
        <w:spacing w:before="60"/>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76ATK(2) relates to a holding corporation (as defined in section 76ATK(4)(a))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 xml:space="preserve">In determining the entitlement of an entity to land for the purposes of this section or section 76ATL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113" w:name="_Toc107054973"/>
      <w:bookmarkStart w:id="1114" w:name="_Toc131416169"/>
      <w:bookmarkStart w:id="1115" w:name="_Toc170193352"/>
      <w:r>
        <w:rPr>
          <w:rStyle w:val="CharSectno"/>
        </w:rPr>
        <w:t>76ATJ</w:t>
      </w:r>
      <w:r>
        <w:t>.</w:t>
      </w:r>
      <w:r>
        <w:tab/>
        <w:t>Meaning o</w:t>
      </w:r>
      <w:r>
        <w:rPr>
          <w:rFonts w:ascii="Times" w:hAnsi="Times"/>
          <w:spacing w:val="40"/>
        </w:rPr>
        <w:t>f</w:t>
      </w:r>
      <w:r>
        <w:t xml:space="preserve"> “relevant acquisition”</w:t>
      </w:r>
      <w:bookmarkEnd w:id="1113"/>
      <w:bookmarkEnd w:id="1114"/>
      <w:bookmarkEnd w:id="1115"/>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 </w:t>
      </w:r>
    </w:p>
    <w:p>
      <w:pPr>
        <w:pStyle w:val="Indenta"/>
      </w:pPr>
      <w:r>
        <w:tab/>
        <w:t>(a)</w:t>
      </w:r>
      <w:r>
        <w:tab/>
        <w:t xml:space="preserve">if by that acquisition a person acquires a controlling interest in a corporation by acquiring an interest — </w:t>
      </w:r>
    </w:p>
    <w:p>
      <w:pPr>
        <w:pStyle w:val="Indenti"/>
      </w:pPr>
      <w:r>
        <w:tab/>
        <w:t>(i)</w:t>
      </w:r>
      <w:r>
        <w:tab/>
        <w:t>that is itself a controlling interest in the corporation; or</w:t>
      </w:r>
    </w:p>
    <w:p>
      <w:pPr>
        <w:pStyle w:val="Indenti"/>
      </w:pPr>
      <w:r>
        <w:tab/>
        <w:t>(ii)</w:t>
      </w:r>
      <w:r>
        <w:tab/>
        <w:t xml:space="preserve">that is, when taken with each previous acquisition of an interest in the corporation made by the person, a controlling interest in the corporation; </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116" w:name="_Toc107054974"/>
      <w:bookmarkStart w:id="1117" w:name="_Toc131416170"/>
      <w:bookmarkStart w:id="1118" w:name="_Toc170193353"/>
      <w:r>
        <w:rPr>
          <w:rStyle w:val="CharSectno"/>
        </w:rPr>
        <w:t>76ATK</w:t>
      </w:r>
      <w:r>
        <w:t>.</w:t>
      </w:r>
      <w:r>
        <w:tab/>
        <w:t>Meaning of “interest”, “controlling interest” or “additional interest”</w:t>
      </w:r>
      <w:bookmarkEnd w:id="1116"/>
      <w:bookmarkEnd w:id="1117"/>
      <w:bookmarkEnd w:id="1118"/>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 xml:space="preserve">In this section — </w:t>
      </w:r>
    </w:p>
    <w:p>
      <w:pPr>
        <w:pStyle w:val="Defstart"/>
      </w:pPr>
      <w:r>
        <w:rPr>
          <w:b/>
        </w:rPr>
        <w:tab/>
        <w:t>“</w:t>
      </w:r>
      <w:r>
        <w:rPr>
          <w:rStyle w:val="CharDefText"/>
        </w:rPr>
        <w:t>holding corporation</w:t>
      </w:r>
      <w:r>
        <w:rPr>
          <w:b/>
        </w:rPr>
        <w:t>”</w:t>
      </w:r>
      <w:r>
        <w:t xml:space="preserve"> in relation to a corporation — </w:t>
      </w:r>
    </w:p>
    <w:p>
      <w:pPr>
        <w:pStyle w:val="Defpara"/>
      </w:pPr>
      <w:r>
        <w:tab/>
        <w:t>(a)</w:t>
      </w:r>
      <w:r>
        <w:tab/>
        <w:t xml:space="preserve">means a corporation —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 xml:space="preserve">is deemed to include — </w:t>
      </w:r>
    </w:p>
    <w:p>
      <w:pPr>
        <w:pStyle w:val="Defsubpara"/>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 xml:space="preserve">a corporation, if in respect of any trust referred to in subparagraph (i) that corporation — </w:t>
      </w:r>
    </w:p>
    <w:p>
      <w:pPr>
        <w:pStyle w:val="Defitem"/>
      </w:pPr>
      <w:r>
        <w:tab/>
        <w:t>(I)</w:t>
      </w:r>
      <w:r>
        <w:tab/>
        <w:t>is entitled to a share or interest in the trust whether vested or contingent; or</w:t>
      </w:r>
    </w:p>
    <w:p>
      <w:pPr>
        <w:pStyle w:val="Defitem"/>
      </w:pPr>
      <w:r>
        <w:tab/>
        <w:t>(II)</w:t>
      </w:r>
      <w:r>
        <w:tab/>
        <w:t xml:space="preserve">in the case of a discretionary trust, may benefit from that trust; </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119" w:name="_Toc107054975"/>
      <w:bookmarkStart w:id="1120" w:name="_Toc131416171"/>
      <w:bookmarkStart w:id="1121" w:name="_Toc170193354"/>
      <w:r>
        <w:rPr>
          <w:rStyle w:val="CharSectno"/>
        </w:rPr>
        <w:t>76ATL</w:t>
      </w:r>
      <w:r>
        <w:t>.</w:t>
      </w:r>
      <w:r>
        <w:tab/>
        <w:t>How dutiable value is determined</w:t>
      </w:r>
      <w:bookmarkEnd w:id="1119"/>
      <w:bookmarkEnd w:id="1120"/>
      <w:bookmarkEnd w:id="1121"/>
      <w:r>
        <w:t xml:space="preserve"> </w:t>
      </w:r>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 xml:space="preserve">Where the relevant acquisition is within section 76ATJ(1)(a)(ii) the dutiable value —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 xml:space="preserve">Unless subsection (6) applies, where the relevant acquisition is within section 76ATJ(1)(b) the dutiable value —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 xml:space="preserve">Where approval has been granted under section 76ATG(4) the dutiable value —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 xml:space="preserve">For the purposes of subsections (3), (4), (5) and (6) the unencumbered value of the land and chattels to which a corporation is entitled at any time is the sum of —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122" w:name="_Toc76899645"/>
      <w:bookmarkStart w:id="1123" w:name="_Toc78090547"/>
      <w:bookmarkStart w:id="1124" w:name="_Toc88886915"/>
      <w:bookmarkStart w:id="1125" w:name="_Toc90443531"/>
      <w:bookmarkStart w:id="1126" w:name="_Toc90452882"/>
      <w:bookmarkStart w:id="1127" w:name="_Toc100029473"/>
      <w:bookmarkStart w:id="1128" w:name="_Toc100031546"/>
      <w:bookmarkStart w:id="1129" w:name="_Toc100458605"/>
      <w:bookmarkStart w:id="1130" w:name="_Toc101672021"/>
      <w:bookmarkStart w:id="1131" w:name="_Toc101672278"/>
      <w:bookmarkStart w:id="1132" w:name="_Toc102799304"/>
      <w:bookmarkStart w:id="1133" w:name="_Toc102981978"/>
      <w:bookmarkStart w:id="1134" w:name="_Toc103403291"/>
      <w:bookmarkStart w:id="1135" w:name="_Toc103403548"/>
      <w:bookmarkStart w:id="1136" w:name="_Toc103747547"/>
      <w:bookmarkStart w:id="1137" w:name="_Toc107054976"/>
      <w:bookmarkStart w:id="1138" w:name="_Toc113874423"/>
      <w:bookmarkStart w:id="1139" w:name="_Toc113956839"/>
      <w:bookmarkStart w:id="1140" w:name="_Toc116717395"/>
      <w:bookmarkStart w:id="1141" w:name="_Toc116813422"/>
      <w:bookmarkStart w:id="1142" w:name="_Toc122333074"/>
      <w:bookmarkStart w:id="1143" w:name="_Toc122862044"/>
      <w:bookmarkStart w:id="1144" w:name="_Toc122862640"/>
      <w:bookmarkStart w:id="1145" w:name="_Toc122921247"/>
      <w:bookmarkStart w:id="1146" w:name="_Toc122921507"/>
      <w:bookmarkStart w:id="1147" w:name="_Toc122947452"/>
      <w:bookmarkStart w:id="1148" w:name="_Toc124046288"/>
      <w:bookmarkStart w:id="1149" w:name="_Toc131415873"/>
      <w:bookmarkStart w:id="1150" w:name="_Toc131416172"/>
      <w:bookmarkStart w:id="1151" w:name="_Toc170193355"/>
      <w:r>
        <w:rPr>
          <w:rStyle w:val="CharDivNo"/>
        </w:rPr>
        <w:t>Division 4</w:t>
      </w:r>
      <w:r>
        <w:t> — </w:t>
      </w:r>
      <w:r>
        <w:rPr>
          <w:rStyle w:val="CharDivText"/>
        </w:rPr>
        <w:t>Reassessment of liability for duty</w:t>
      </w:r>
      <w:bookmarkEnd w:id="1052"/>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DivText"/>
        </w:rPr>
        <w:t xml:space="preserve"> </w:t>
      </w:r>
    </w:p>
    <w:p>
      <w:pPr>
        <w:pStyle w:val="Footnoteheading"/>
        <w:keepNext/>
        <w:keepLines/>
        <w:tabs>
          <w:tab w:val="left" w:pos="923"/>
        </w:tabs>
        <w:ind w:left="937" w:hanging="937"/>
      </w:pPr>
      <w:r>
        <w:tab/>
        <w:t>[Heading inserted by No. 60 of 2000 s. 19.]</w:t>
      </w:r>
    </w:p>
    <w:p>
      <w:pPr>
        <w:pStyle w:val="Heading5"/>
      </w:pPr>
      <w:bookmarkStart w:id="1152" w:name="_Toc49223959"/>
      <w:bookmarkStart w:id="1153" w:name="_Toc107054977"/>
      <w:bookmarkStart w:id="1154" w:name="_Toc131416173"/>
      <w:bookmarkStart w:id="1155" w:name="_Toc170193356"/>
      <w:r>
        <w:rPr>
          <w:rStyle w:val="CharSectno"/>
        </w:rPr>
        <w:t>76AU</w:t>
      </w:r>
      <w:r>
        <w:t>.</w:t>
      </w:r>
      <w:r>
        <w:tab/>
        <w:t>Reassessment where deeming provision applied</w:t>
      </w:r>
      <w:bookmarkEnd w:id="1152"/>
      <w:bookmarkEnd w:id="1153"/>
      <w:bookmarkEnd w:id="1154"/>
      <w:bookmarkEnd w:id="1155"/>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pPr>
      <w:r>
        <w:tab/>
        <w:t>(ii)</w:t>
      </w:r>
      <w:r>
        <w:tab/>
        <w:t>the amount of the duty would have been less;</w:t>
      </w:r>
    </w:p>
    <w:p>
      <w:pPr>
        <w:pStyle w:val="Indenta"/>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156" w:name="_Toc76899647"/>
      <w:bookmarkStart w:id="1157" w:name="_Toc78090549"/>
      <w:bookmarkStart w:id="1158" w:name="_Toc88886917"/>
      <w:bookmarkStart w:id="1159" w:name="_Toc90443533"/>
      <w:bookmarkStart w:id="1160" w:name="_Toc90452884"/>
      <w:bookmarkStart w:id="1161" w:name="_Toc100029475"/>
      <w:bookmarkStart w:id="1162" w:name="_Toc100031548"/>
      <w:bookmarkStart w:id="1163" w:name="_Toc100458607"/>
      <w:bookmarkStart w:id="1164" w:name="_Toc101672023"/>
      <w:bookmarkStart w:id="1165" w:name="_Toc101672280"/>
      <w:bookmarkStart w:id="1166" w:name="_Toc102799306"/>
      <w:bookmarkStart w:id="1167" w:name="_Toc102981980"/>
      <w:bookmarkStart w:id="1168" w:name="_Toc103403293"/>
      <w:bookmarkStart w:id="1169" w:name="_Toc103403550"/>
      <w:bookmarkStart w:id="1170" w:name="_Toc103747549"/>
      <w:bookmarkStart w:id="1171" w:name="_Toc107054978"/>
      <w:bookmarkStart w:id="1172" w:name="_Toc113874425"/>
      <w:bookmarkStart w:id="1173" w:name="_Toc113956841"/>
      <w:bookmarkStart w:id="1174" w:name="_Toc116717397"/>
      <w:bookmarkStart w:id="1175" w:name="_Toc116813424"/>
      <w:bookmarkStart w:id="1176" w:name="_Toc122333076"/>
      <w:bookmarkStart w:id="1177" w:name="_Toc122862046"/>
      <w:bookmarkStart w:id="1178" w:name="_Toc122862642"/>
      <w:bookmarkStart w:id="1179" w:name="_Toc122921249"/>
      <w:bookmarkStart w:id="1180" w:name="_Toc122921509"/>
      <w:bookmarkStart w:id="1181" w:name="_Toc122947454"/>
      <w:bookmarkStart w:id="1182" w:name="_Toc124046290"/>
      <w:bookmarkStart w:id="1183" w:name="_Toc131415875"/>
      <w:bookmarkStart w:id="1184" w:name="_Toc131416174"/>
      <w:bookmarkStart w:id="1185" w:name="_Toc170193357"/>
      <w:r>
        <w:rPr>
          <w:rStyle w:val="CharDivNo"/>
        </w:rPr>
        <w:t>Division 5</w:t>
      </w:r>
      <w:r>
        <w:t> — </w:t>
      </w:r>
      <w:r>
        <w:rPr>
          <w:rStyle w:val="CharDivText"/>
        </w:rPr>
        <w:t>Avoidance of duty</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tabs>
          <w:tab w:val="left" w:pos="851"/>
        </w:tabs>
        <w:spacing w:before="100"/>
      </w:pPr>
      <w:r>
        <w:tab/>
        <w:t>[Heading inserted by No. 11 of 2004 s. 31.]</w:t>
      </w:r>
    </w:p>
    <w:p>
      <w:pPr>
        <w:pStyle w:val="Heading5"/>
        <w:spacing w:before="200"/>
      </w:pPr>
      <w:bookmarkStart w:id="1186" w:name="_Toc107054979"/>
      <w:bookmarkStart w:id="1187" w:name="_Toc131416175"/>
      <w:bookmarkStart w:id="1188" w:name="_Toc170193358"/>
      <w:r>
        <w:rPr>
          <w:rStyle w:val="CharSectno"/>
        </w:rPr>
        <w:t>76AV</w:t>
      </w:r>
      <w:r>
        <w:t>.</w:t>
      </w:r>
      <w:r>
        <w:tab/>
        <w:t>Commissioner may determine that an obligation to lodge a statement has been avoided</w:t>
      </w:r>
      <w:bookmarkEnd w:id="1186"/>
      <w:bookmarkEnd w:id="1187"/>
      <w:bookmarkEnd w:id="1188"/>
    </w:p>
    <w:p>
      <w:pPr>
        <w:pStyle w:val="Subsection"/>
        <w:spacing w:before="140"/>
      </w:pPr>
      <w:r>
        <w:tab/>
        <w:t>(1)</w:t>
      </w:r>
      <w:r>
        <w:tab/>
        <w:t xml:space="preserve">This Division applies to an arrangement or scheme (the </w:t>
      </w:r>
      <w:r>
        <w:rPr>
          <w:b/>
        </w:rPr>
        <w:t>“</w:t>
      </w:r>
      <w:r>
        <w:rPr>
          <w:rStyle w:val="CharDefText"/>
        </w:rPr>
        <w:t>scheme</w:t>
      </w:r>
      <w:r>
        <w:rPr>
          <w:b/>
        </w:rPr>
        <w:t>”</w:t>
      </w:r>
      <w:r>
        <w:t xml:space="preserve">) if the Commissioner determines that, but for the scheme —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 xml:space="preserve">For the purposes of subsection (2) the Commissioner may have regard to —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189" w:name="_Toc107054980"/>
      <w:bookmarkStart w:id="1190" w:name="_Toc131416176"/>
      <w:bookmarkStart w:id="1191" w:name="_Toc170193359"/>
      <w:r>
        <w:rPr>
          <w:rStyle w:val="CharSectno"/>
        </w:rPr>
        <w:t>76AW</w:t>
      </w:r>
      <w:r>
        <w:t>.</w:t>
      </w:r>
      <w:r>
        <w:tab/>
        <w:t>Liability to pay duty that has been avoided</w:t>
      </w:r>
      <w:bookmarkEnd w:id="1189"/>
      <w:bookmarkEnd w:id="1190"/>
      <w:bookmarkEnd w:id="1191"/>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192" w:name="_Toc107054981"/>
      <w:bookmarkStart w:id="1193" w:name="_Toc131416177"/>
      <w:bookmarkStart w:id="1194" w:name="_Toc170193360"/>
      <w:r>
        <w:rPr>
          <w:rStyle w:val="CharSectno"/>
        </w:rPr>
        <w:t>76AX</w:t>
      </w:r>
      <w:r>
        <w:t>.</w:t>
      </w:r>
      <w:r>
        <w:tab/>
        <w:t>Reasons for determination that duty has been avoided</w:t>
      </w:r>
      <w:bookmarkEnd w:id="1192"/>
      <w:bookmarkEnd w:id="1193"/>
      <w:bookmarkEnd w:id="1194"/>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195" w:name="_Toc58902618"/>
      <w:bookmarkStart w:id="1196" w:name="_Toc76899651"/>
      <w:bookmarkStart w:id="1197" w:name="_Toc78090553"/>
      <w:bookmarkStart w:id="1198" w:name="_Toc88886921"/>
      <w:bookmarkStart w:id="1199" w:name="_Toc90443537"/>
      <w:bookmarkStart w:id="1200" w:name="_Toc90452888"/>
      <w:bookmarkStart w:id="1201" w:name="_Toc100029479"/>
      <w:bookmarkStart w:id="1202" w:name="_Toc100031552"/>
      <w:bookmarkStart w:id="1203" w:name="_Toc100458611"/>
      <w:bookmarkStart w:id="1204" w:name="_Toc101672027"/>
      <w:bookmarkStart w:id="1205" w:name="_Toc101672284"/>
      <w:bookmarkStart w:id="1206" w:name="_Toc102799310"/>
      <w:bookmarkStart w:id="1207" w:name="_Toc102981984"/>
      <w:bookmarkStart w:id="1208" w:name="_Toc103403297"/>
      <w:bookmarkStart w:id="1209" w:name="_Toc103403554"/>
      <w:bookmarkStart w:id="1210" w:name="_Toc103747553"/>
      <w:bookmarkStart w:id="1211" w:name="_Toc107054982"/>
      <w:bookmarkStart w:id="1212" w:name="_Toc113874429"/>
      <w:bookmarkStart w:id="1213" w:name="_Toc113956845"/>
      <w:bookmarkStart w:id="1214" w:name="_Toc116717401"/>
      <w:bookmarkStart w:id="1215" w:name="_Toc116813428"/>
      <w:bookmarkStart w:id="1216" w:name="_Toc122333080"/>
      <w:bookmarkStart w:id="1217" w:name="_Toc122862050"/>
      <w:bookmarkStart w:id="1218" w:name="_Toc122862646"/>
      <w:bookmarkStart w:id="1219" w:name="_Toc122921253"/>
      <w:bookmarkStart w:id="1220" w:name="_Toc122921513"/>
      <w:bookmarkStart w:id="1221" w:name="_Toc122947458"/>
      <w:bookmarkStart w:id="1222" w:name="_Toc124046294"/>
      <w:bookmarkStart w:id="1223" w:name="_Toc131415879"/>
      <w:bookmarkStart w:id="1224" w:name="_Toc131416178"/>
      <w:bookmarkStart w:id="1225" w:name="_Toc170193361"/>
      <w:r>
        <w:rPr>
          <w:rStyle w:val="CharPartNo"/>
        </w:rPr>
        <w:t>Part IIIC</w:t>
      </w:r>
      <w:r>
        <w:rPr>
          <w:rStyle w:val="CharDivNo"/>
        </w:rPr>
        <w:t> </w:t>
      </w:r>
      <w:r>
        <w:t>—</w:t>
      </w:r>
      <w:r>
        <w:rPr>
          <w:rStyle w:val="CharDivText"/>
        </w:rPr>
        <w:t> </w:t>
      </w:r>
      <w:r>
        <w:rPr>
          <w:rStyle w:val="CharPartText"/>
        </w:rPr>
        <w:t>Vehicle licences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tabs>
          <w:tab w:val="left" w:pos="923"/>
        </w:tabs>
        <w:ind w:left="937" w:hanging="937"/>
      </w:pPr>
      <w:r>
        <w:tab/>
        <w:t>[Heading inserted by No. 2 of 2003 s. 100.]</w:t>
      </w:r>
    </w:p>
    <w:p>
      <w:pPr>
        <w:pStyle w:val="Heading5"/>
      </w:pPr>
      <w:bookmarkStart w:id="1226" w:name="_Toc49223960"/>
      <w:bookmarkStart w:id="1227" w:name="_Toc107054983"/>
      <w:bookmarkStart w:id="1228" w:name="_Toc131416179"/>
      <w:bookmarkStart w:id="1229" w:name="_Toc170193362"/>
      <w:r>
        <w:rPr>
          <w:rStyle w:val="CharSectno"/>
        </w:rPr>
        <w:t>76B</w:t>
      </w:r>
      <w:r>
        <w:t>.</w:t>
      </w:r>
      <w:r>
        <w:tab/>
        <w:t>Interpretation in Part IIIC</w:t>
      </w:r>
      <w:bookmarkEnd w:id="1226"/>
      <w:bookmarkEnd w:id="1227"/>
      <w:bookmarkEnd w:id="1228"/>
      <w:bookmarkEnd w:id="1229"/>
    </w:p>
    <w:p>
      <w:pPr>
        <w:pStyle w:val="Subsection"/>
      </w:pPr>
      <w:r>
        <w:tab/>
        <w:t>(1)</w:t>
      </w:r>
      <w:r>
        <w:tab/>
        <w:t xml:space="preserve">In this Part —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 </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 </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t>“</w:t>
      </w:r>
      <w:r>
        <w:rPr>
          <w:rStyle w:val="CharDefText"/>
        </w:rPr>
        <w:t>market value</w:t>
      </w:r>
      <w:r>
        <w:t xml:space="preserve">” means — </w:t>
      </w:r>
    </w:p>
    <w:p>
      <w:pPr>
        <w:pStyle w:val="Defpara"/>
      </w:pPr>
      <w:r>
        <w:tab/>
        <w:t>(a)</w:t>
      </w:r>
      <w:r>
        <w:tab/>
        <w:t xml:space="preserve">in relation to a new vehicle —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 xml:space="preserve">the sum of —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xml:space="preserve">, in relation to a vehicle, includes any amount — </w:t>
      </w:r>
    </w:p>
    <w:p>
      <w:pPr>
        <w:pStyle w:val="Defpara"/>
        <w:spacing w:before="70"/>
      </w:pPr>
      <w:r>
        <w:tab/>
        <w:t>(a)</w:t>
      </w:r>
      <w:r>
        <w:tab/>
        <w:t>allowed by the seller on a trade</w:t>
      </w:r>
      <w:r>
        <w:noBreakHyphen/>
        <w:t>in or an exchange of any article;</w:t>
      </w:r>
    </w:p>
    <w:p>
      <w:pPr>
        <w:pStyle w:val="Defpara"/>
        <w:spacing w:before="70"/>
      </w:pPr>
      <w:r>
        <w:tab/>
        <w:t>(b)</w:t>
      </w:r>
      <w:r>
        <w:tab/>
        <w:t xml:space="preserve">paid to the seller for anything included with or incorporated into the vehicle; or </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 xml:space="preserve">a crane; </w:t>
      </w:r>
    </w:p>
    <w:p>
      <w:pPr>
        <w:pStyle w:val="Defpara"/>
        <w:spacing w:before="70"/>
      </w:pPr>
      <w:r>
        <w:tab/>
        <w:t>(b)</w:t>
      </w:r>
      <w:r>
        <w:tab/>
        <w:t xml:space="preserve">an excavator, road roller, road grader, bulldozer, mechanical shovel, plough, rotary hoe or similar plant; </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 xml:space="preserve">road sweeping equipment; </w:t>
      </w:r>
    </w:p>
    <w:p>
      <w:pPr>
        <w:pStyle w:val="Defpara"/>
        <w:spacing w:before="60"/>
      </w:pPr>
      <w:r>
        <w:tab/>
        <w:t>(h)</w:t>
      </w:r>
      <w:r>
        <w:tab/>
        <w:t xml:space="preserve">a refrigeration unit; </w:t>
      </w:r>
    </w:p>
    <w:p>
      <w:pPr>
        <w:pStyle w:val="Defpara"/>
        <w:spacing w:before="60"/>
      </w:pPr>
      <w:r>
        <w:tab/>
        <w:t>(i)</w:t>
      </w:r>
      <w:r>
        <w:tab/>
        <w:t>a stock crate;</w:t>
      </w:r>
    </w:p>
    <w:p>
      <w:pPr>
        <w:pStyle w:val="Defpara"/>
        <w:spacing w:before="60"/>
      </w:pPr>
      <w:r>
        <w:tab/>
        <w:t>(j)</w:t>
      </w:r>
      <w:r>
        <w:tab/>
        <w:t xml:space="preserve">a tank for transporting liquids; </w:t>
      </w:r>
    </w:p>
    <w:p>
      <w:pPr>
        <w:pStyle w:val="Defpara"/>
        <w:spacing w:before="60"/>
      </w:pPr>
      <w:r>
        <w:tab/>
        <w:t>(k)</w:t>
      </w:r>
      <w:r>
        <w:tab/>
        <w:t xml:space="preserve">equipment to make the vehicle habitable by a person in the course of a journey; or </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230" w:name="_Toc49223961"/>
      <w:bookmarkStart w:id="1231" w:name="_Toc107054984"/>
      <w:bookmarkStart w:id="1232" w:name="_Toc131416180"/>
      <w:bookmarkStart w:id="1233" w:name="_Toc170193363"/>
      <w:r>
        <w:rPr>
          <w:rStyle w:val="CharSectno"/>
        </w:rPr>
        <w:t>76C</w:t>
      </w:r>
      <w:r>
        <w:t>.</w:t>
      </w:r>
      <w:r>
        <w:tab/>
        <w:t>Non</w:t>
      </w:r>
      <w:r>
        <w:noBreakHyphen/>
        <w:t>beneficial change of ownership</w:t>
      </w:r>
      <w:bookmarkEnd w:id="1230"/>
      <w:bookmarkEnd w:id="1231"/>
      <w:bookmarkEnd w:id="1232"/>
      <w:bookmarkEnd w:id="1233"/>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 xml:space="preserve">acquired the legal ownership of the vehicle in his or her capacity as trustee, discretionary trustee or unit trustee (as the case requires); and </w:t>
      </w:r>
    </w:p>
    <w:p>
      <w:pPr>
        <w:pStyle w:val="Indenti"/>
      </w:pPr>
      <w:r>
        <w:tab/>
        <w:t>(ii)</w:t>
      </w:r>
      <w:r>
        <w:tab/>
        <w:t xml:space="preserve">paid duty on the grant or transfer to him or her of the licence. </w:t>
      </w:r>
    </w:p>
    <w:p>
      <w:pPr>
        <w:pStyle w:val="Subsection"/>
      </w:pPr>
      <w:r>
        <w:tab/>
        <w:t>(2)</w:t>
      </w:r>
      <w:r>
        <w:tab/>
        <w:t xml:space="preserve">An application for an authorisation is to be made to the Commissioner in an approved form. </w:t>
      </w:r>
    </w:p>
    <w:p>
      <w:pPr>
        <w:pStyle w:val="Subsection"/>
      </w:pPr>
      <w:r>
        <w:tab/>
        <w:t>(3)</w:t>
      </w:r>
      <w:r>
        <w:tab/>
        <w:t xml:space="preserve">For the purposes of subsection (1)(a), a change in the legal ownership of a vehicle does not change the beneficial ownership of the vehicle if —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 xml:space="preserve">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 </w:t>
      </w:r>
    </w:p>
    <w:p>
      <w:pPr>
        <w:pStyle w:val="Indenta"/>
        <w:spacing w:before="100"/>
      </w:pPr>
      <w:r>
        <w:tab/>
        <w:t>(e)</w:t>
      </w:r>
      <w:r>
        <w:tab/>
        <w:t>the legal ownership of the vehicle passes to the holder of a unit in a unit trust scheme from the unit trustee if the change in the legal ownership of the vehicle —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 xml:space="preserve">does not have the effect of varying, abrogating or altering the rights of the holder or holders of other units under the unit trust scheme in respect of the remaining trust property; </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234" w:name="_Toc49223962"/>
      <w:bookmarkStart w:id="1235" w:name="_Toc107054985"/>
      <w:bookmarkStart w:id="1236" w:name="_Toc131416181"/>
      <w:bookmarkStart w:id="1237" w:name="_Toc170193364"/>
      <w:r>
        <w:rPr>
          <w:rStyle w:val="CharSectno"/>
        </w:rPr>
        <w:t>76D</w:t>
      </w:r>
      <w:r>
        <w:t>.</w:t>
      </w:r>
      <w:r>
        <w:tab/>
        <w:t>Duty on the grant or transfer of a vehicle licence</w:t>
      </w:r>
      <w:bookmarkEnd w:id="1234"/>
      <w:bookmarkEnd w:id="1235"/>
      <w:bookmarkEnd w:id="1236"/>
      <w:bookmarkEnd w:id="1237"/>
    </w:p>
    <w:p>
      <w:pPr>
        <w:pStyle w:val="Subsection"/>
        <w:keepNext/>
      </w:pPr>
      <w:r>
        <w:tab/>
        <w:t>(1)</w:t>
      </w:r>
      <w:r>
        <w:tab/>
        <w:t>Subject to this section, duty is payable on the grant or transfer of a licence in accordance with item 14 of the Second Schedule.</w:t>
      </w:r>
    </w:p>
    <w:p>
      <w:pPr>
        <w:pStyle w:val="Subsection"/>
        <w:keepNext/>
      </w:pPr>
      <w:r>
        <w:tab/>
        <w:t>(2)</w:t>
      </w:r>
      <w:r>
        <w:tab/>
        <w:t xml:space="preserve">Subject to this section, duty is payable on the transfer of a licence in accordance with item 6 of the Second Schedule if —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 </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 xml:space="preserve">the dealer has acquired the vehicle to which the licence relates solely for the purpose of reselling it to another person; </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 xml:space="preserve">the dealer acquired the vehicle to which the licence relates solely for the purpose of — </w:t>
      </w:r>
    </w:p>
    <w:p>
      <w:pPr>
        <w:pStyle w:val="Indenti"/>
      </w:pPr>
      <w:r>
        <w:tab/>
        <w:t>(i)</w:t>
      </w:r>
      <w:r>
        <w:tab/>
        <w:t>selling it to another person in the ordinary course of the dealer’s business; or</w:t>
      </w:r>
    </w:p>
    <w:p>
      <w:pPr>
        <w:pStyle w:val="Indenti"/>
        <w:keepNext/>
      </w:pPr>
      <w:r>
        <w:tab/>
        <w:t>(ii)</w:t>
      </w:r>
      <w:r>
        <w:tab/>
        <w:t xml:space="preserve">demonstrating it to prospective purchasers; </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 xml:space="preserve">Duty is not payable on the grant or transfer of a licence to a dealer if — </w:t>
      </w:r>
    </w:p>
    <w:p>
      <w:pPr>
        <w:pStyle w:val="Indenta"/>
      </w:pPr>
      <w:r>
        <w:tab/>
        <w:t>(a)</w:t>
      </w:r>
      <w:r>
        <w:tab/>
        <w:t xml:space="preserve">the vehicle for which the licence was granted or transferred is to be loaned by the dealer —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xml:space="preserve">) is to be calculated on the net value of the vehicle if —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 xml:space="preserve">); </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 xml:space="preserve">if the original equipment is removed from vehicle B and vehicle B is used with different equipment, the original equipment will not be attached to any other vehicle for which the applicant intends to become the licence holder. </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238" w:name="_Toc49223963"/>
      <w:bookmarkStart w:id="1239" w:name="_Toc107054986"/>
      <w:bookmarkStart w:id="1240" w:name="_Toc131416182"/>
      <w:bookmarkStart w:id="1241" w:name="_Toc170193365"/>
      <w:r>
        <w:rPr>
          <w:rStyle w:val="CharSectno"/>
        </w:rPr>
        <w:t>76E</w:t>
      </w:r>
      <w:r>
        <w:t>.</w:t>
      </w:r>
      <w:r>
        <w:tab/>
        <w:t>Determination of value and assessment of duty</w:t>
      </w:r>
      <w:bookmarkEnd w:id="1238"/>
      <w:bookmarkEnd w:id="1239"/>
      <w:bookmarkEnd w:id="1240"/>
      <w:bookmarkEnd w:id="1241"/>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 xml:space="preserve">if section 76D(6) applies, the net value, </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242" w:name="_Toc49223964"/>
      <w:bookmarkStart w:id="1243" w:name="_Toc107054987"/>
      <w:bookmarkStart w:id="1244" w:name="_Toc131416183"/>
      <w:bookmarkStart w:id="1245" w:name="_Toc170193366"/>
      <w:r>
        <w:rPr>
          <w:rStyle w:val="CharSectno"/>
        </w:rPr>
        <w:t>76F</w:t>
      </w:r>
      <w:r>
        <w:t>.</w:t>
      </w:r>
      <w:r>
        <w:tab/>
        <w:t>Payment of duty</w:t>
      </w:r>
      <w:bookmarkEnd w:id="1242"/>
      <w:bookmarkEnd w:id="1243"/>
      <w:bookmarkEnd w:id="1244"/>
      <w:bookmarkEnd w:id="1245"/>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246" w:name="_Toc49223965"/>
      <w:bookmarkStart w:id="1247" w:name="_Toc107054988"/>
      <w:bookmarkStart w:id="1248" w:name="_Toc131416184"/>
      <w:bookmarkStart w:id="1249" w:name="_Toc170193367"/>
      <w:r>
        <w:rPr>
          <w:rStyle w:val="CharSectno"/>
        </w:rPr>
        <w:t>76G</w:t>
      </w:r>
      <w:r>
        <w:t>.</w:t>
      </w:r>
      <w:r>
        <w:tab/>
        <w:t>Applicant’s statement of value in application</w:t>
      </w:r>
      <w:bookmarkEnd w:id="1246"/>
      <w:bookmarkEnd w:id="1247"/>
      <w:bookmarkEnd w:id="1248"/>
      <w:bookmarkEnd w:id="1249"/>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250" w:name="_Toc49223966"/>
      <w:bookmarkStart w:id="1251" w:name="_Toc107054989"/>
      <w:bookmarkStart w:id="1252" w:name="_Toc131416185"/>
      <w:bookmarkStart w:id="1253" w:name="_Toc170193368"/>
      <w:r>
        <w:rPr>
          <w:rStyle w:val="CharSectno"/>
        </w:rPr>
        <w:t>76H</w:t>
      </w:r>
      <w:r>
        <w:t>.</w:t>
      </w:r>
      <w:r>
        <w:tab/>
        <w:t>Seller’s obligation to notify purchase price</w:t>
      </w:r>
      <w:bookmarkEnd w:id="1250"/>
      <w:bookmarkEnd w:id="1251"/>
      <w:bookmarkEnd w:id="1252"/>
      <w:bookmarkEnd w:id="1253"/>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 xml:space="preserve">A dealer who sells a new vehicle must, within 7 days after the sale, give to the Director General a statement signed by the dealer setting out —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254" w:name="_Toc49223967"/>
      <w:bookmarkStart w:id="1255" w:name="_Toc107054990"/>
      <w:bookmarkStart w:id="1256" w:name="_Toc131416186"/>
      <w:bookmarkStart w:id="1257" w:name="_Toc170193369"/>
      <w:r>
        <w:rPr>
          <w:rStyle w:val="CharSectno"/>
        </w:rPr>
        <w:t>76I</w:t>
      </w:r>
      <w:r>
        <w:t>.</w:t>
      </w:r>
      <w:r>
        <w:tab/>
        <w:t>Use of dealer registered vehicle for other purposes</w:t>
      </w:r>
      <w:bookmarkEnd w:id="1254"/>
      <w:bookmarkEnd w:id="1255"/>
      <w:bookmarkEnd w:id="1256"/>
      <w:bookmarkEnd w:id="1257"/>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258" w:name="_Toc49223968"/>
      <w:bookmarkStart w:id="1259" w:name="_Toc107054991"/>
      <w:bookmarkStart w:id="1260" w:name="_Toc131416187"/>
      <w:bookmarkStart w:id="1261" w:name="_Toc170193370"/>
      <w:r>
        <w:rPr>
          <w:rStyle w:val="CharSectno"/>
        </w:rPr>
        <w:t>76J</w:t>
      </w:r>
      <w:r>
        <w:t>.</w:t>
      </w:r>
      <w:r>
        <w:tab/>
        <w:t>Use of specialised equipment on another vehicle</w:t>
      </w:r>
      <w:bookmarkEnd w:id="1258"/>
      <w:bookmarkEnd w:id="1259"/>
      <w:bookmarkEnd w:id="1260"/>
      <w:bookmarkEnd w:id="1261"/>
    </w:p>
    <w:p>
      <w:pPr>
        <w:pStyle w:val="Subsection"/>
      </w:pPr>
      <w:r>
        <w:tab/>
        <w:t>(1)</w:t>
      </w:r>
      <w:r>
        <w:tab/>
        <w:t>If —</w:t>
      </w:r>
    </w:p>
    <w:p>
      <w:pPr>
        <w:pStyle w:val="Indenta"/>
      </w:pPr>
      <w:r>
        <w:tab/>
        <w:t>(a)</w:t>
      </w:r>
      <w:r>
        <w:tab/>
        <w:t xml:space="preserve">under section 76D(6) duty on the grant or transfer of a licence for an eligible vehicle to a person is calculated on the net value of the vehicle; and </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 xml:space="preserve">), </w:t>
      </w:r>
    </w:p>
    <w:p>
      <w:pPr>
        <w:pStyle w:val="Subsection"/>
      </w:pPr>
      <w:r>
        <w:tab/>
      </w:r>
      <w:r>
        <w:tab/>
        <w:t xml:space="preserve">the person must not attach the original equipment to any other vehicle for which the licensee intends to become the licence holder. </w:t>
      </w:r>
    </w:p>
    <w:p>
      <w:pPr>
        <w:pStyle w:val="Penstart"/>
      </w:pPr>
      <w:r>
        <w:tab/>
        <w:t>Penalty: $20 000.</w:t>
      </w:r>
    </w:p>
    <w:p>
      <w:pPr>
        <w:pStyle w:val="Subsection"/>
        <w:keepNext/>
      </w:pPr>
      <w:r>
        <w:tab/>
        <w:t>(2)</w:t>
      </w:r>
      <w:r>
        <w:tab/>
        <w:t>If a licensee contravenes subsection (1) —</w:t>
      </w:r>
    </w:p>
    <w:p>
      <w:pPr>
        <w:pStyle w:val="Indenta"/>
        <w:rPr>
          <w:snapToGrid w:val="0"/>
        </w:rPr>
      </w:pPr>
      <w:r>
        <w:rPr>
          <w:spacing w:val="-4"/>
        </w:rPr>
        <w:tab/>
        <w:t>(a)</w:t>
      </w:r>
      <w:r>
        <w:rPr>
          <w:spacing w:val="-4"/>
        </w:rPr>
        <w:tab/>
      </w:r>
      <w:r>
        <w:rPr>
          <w:snapToGrid w:val="0"/>
          <w:spacing w:val="-4"/>
        </w:rPr>
        <w:t xml:space="preserve">the grant or transfer of the licence is taken to be, and always to have been, chargeable with duty on the market value of the eligible vehicle including the specialised equipment attached to it;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262" w:name="_Toc49223969"/>
      <w:bookmarkStart w:id="1263" w:name="_Toc107054992"/>
      <w:bookmarkStart w:id="1264" w:name="_Toc131416188"/>
      <w:bookmarkStart w:id="1265" w:name="_Toc170193371"/>
      <w:r>
        <w:rPr>
          <w:rStyle w:val="CharSectno"/>
        </w:rPr>
        <w:t>76K</w:t>
      </w:r>
      <w:r>
        <w:t>.</w:t>
      </w:r>
      <w:r>
        <w:tab/>
        <w:t>Failure to apply for transfer of licence</w:t>
      </w:r>
      <w:bookmarkEnd w:id="1262"/>
      <w:bookmarkEnd w:id="1263"/>
      <w:bookmarkEnd w:id="1264"/>
      <w:bookmarkEnd w:id="1265"/>
      <w:r>
        <w:t xml:space="preserve"> </w:t>
      </w:r>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 xml:space="preserve">. </w:t>
      </w:r>
    </w:p>
    <w:p>
      <w:pPr>
        <w:pStyle w:val="Footnotesection"/>
      </w:pPr>
      <w:r>
        <w:tab/>
        <w:t>[Section 76K inserted by No. 2 of 2003 s. 100.]</w:t>
      </w:r>
    </w:p>
    <w:p>
      <w:pPr>
        <w:pStyle w:val="Heading5"/>
      </w:pPr>
      <w:bookmarkStart w:id="1266" w:name="_Toc49223970"/>
      <w:bookmarkStart w:id="1267" w:name="_Toc107054993"/>
      <w:bookmarkStart w:id="1268" w:name="_Toc131416189"/>
      <w:bookmarkStart w:id="1269" w:name="_Toc170193372"/>
      <w:r>
        <w:rPr>
          <w:rStyle w:val="CharSectno"/>
        </w:rPr>
        <w:t>76L</w:t>
      </w:r>
      <w:r>
        <w:t>.</w:t>
      </w:r>
      <w:r>
        <w:tab/>
        <w:t>Powers of Director General and Commissioner</w:t>
      </w:r>
      <w:bookmarkEnd w:id="1266"/>
      <w:bookmarkEnd w:id="1267"/>
      <w:bookmarkEnd w:id="1268"/>
      <w:bookmarkEnd w:id="1269"/>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270" w:name="_Toc49223971"/>
      <w:bookmarkStart w:id="1271" w:name="_Toc107054994"/>
      <w:bookmarkStart w:id="1272" w:name="_Toc131416190"/>
      <w:bookmarkStart w:id="1273" w:name="_Toc170193373"/>
      <w:r>
        <w:rPr>
          <w:rStyle w:val="CharSectno"/>
        </w:rPr>
        <w:t>76M</w:t>
      </w:r>
      <w:r>
        <w:t>.</w:t>
      </w:r>
      <w:r>
        <w:tab/>
        <w:t>Duty to be remitted to Commissioner</w:t>
      </w:r>
      <w:bookmarkEnd w:id="1270"/>
      <w:bookmarkEnd w:id="1271"/>
      <w:bookmarkEnd w:id="1272"/>
      <w:bookmarkEnd w:id="1273"/>
    </w:p>
    <w:p>
      <w:pPr>
        <w:pStyle w:val="Subsection"/>
      </w:pPr>
      <w:r>
        <w:tab/>
      </w:r>
      <w:r>
        <w:tab/>
        <w:t xml:space="preserve">The Director General must, in accordance with any agreement between the Director General and the Commissioner —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274" w:name="_Toc122241798"/>
      <w:bookmarkStart w:id="1275" w:name="_Toc122331086"/>
      <w:bookmarkStart w:id="1276" w:name="_Toc131416191"/>
      <w:bookmarkStart w:id="1277" w:name="_Toc170193374"/>
      <w:r>
        <w:rPr>
          <w:rStyle w:val="CharSectno"/>
        </w:rPr>
        <w:t>76N</w:t>
      </w:r>
      <w:r>
        <w:t>.</w:t>
      </w:r>
      <w:r>
        <w:tab/>
        <w:t>Records</w:t>
      </w:r>
      <w:bookmarkEnd w:id="1274"/>
      <w:bookmarkEnd w:id="1275"/>
      <w:bookmarkEnd w:id="1276"/>
      <w:bookmarkEnd w:id="127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278" w:name="_Toc58902631"/>
      <w:bookmarkStart w:id="1279" w:name="_Toc76899664"/>
      <w:bookmarkStart w:id="1280" w:name="_Toc78090566"/>
      <w:bookmarkStart w:id="1281" w:name="_Toc88886934"/>
      <w:bookmarkStart w:id="1282" w:name="_Toc90443550"/>
      <w:bookmarkStart w:id="1283" w:name="_Toc90452901"/>
      <w:bookmarkStart w:id="1284" w:name="_Toc100029492"/>
      <w:bookmarkStart w:id="1285" w:name="_Toc100031565"/>
      <w:bookmarkStart w:id="1286" w:name="_Toc100458624"/>
      <w:bookmarkStart w:id="1287" w:name="_Toc101672040"/>
      <w:bookmarkStart w:id="1288" w:name="_Toc101672297"/>
      <w:bookmarkStart w:id="1289" w:name="_Toc102799323"/>
      <w:bookmarkStart w:id="1290" w:name="_Toc102981997"/>
      <w:bookmarkStart w:id="1291" w:name="_Toc103403310"/>
      <w:bookmarkStart w:id="1292" w:name="_Toc103403567"/>
      <w:bookmarkStart w:id="1293" w:name="_Toc103747566"/>
      <w:bookmarkStart w:id="1294" w:name="_Toc107054995"/>
      <w:bookmarkStart w:id="1295" w:name="_Toc113874442"/>
      <w:bookmarkStart w:id="1296" w:name="_Toc113956858"/>
      <w:bookmarkStart w:id="1297" w:name="_Toc116717414"/>
      <w:bookmarkStart w:id="1298" w:name="_Toc116813441"/>
      <w:bookmarkStart w:id="1299" w:name="_Toc122333094"/>
      <w:bookmarkStart w:id="1300" w:name="_Toc122862064"/>
      <w:bookmarkStart w:id="1301" w:name="_Toc122862660"/>
      <w:bookmarkStart w:id="1302" w:name="_Toc122921267"/>
      <w:bookmarkStart w:id="1303" w:name="_Toc122921527"/>
      <w:bookmarkStart w:id="1304" w:name="_Toc122947472"/>
      <w:bookmarkStart w:id="1305" w:name="_Toc124046308"/>
      <w:bookmarkStart w:id="1306" w:name="_Toc131415893"/>
      <w:bookmarkStart w:id="1307" w:name="_Toc131416192"/>
      <w:bookmarkStart w:id="1308" w:name="_Toc170193375"/>
      <w:r>
        <w:rPr>
          <w:rStyle w:val="CharPartNo"/>
        </w:rPr>
        <w:t>Part IIID</w:t>
      </w:r>
      <w:r>
        <w:rPr>
          <w:rStyle w:val="CharDivNo"/>
        </w:rPr>
        <w:t> </w:t>
      </w:r>
      <w:r>
        <w:t>—</w:t>
      </w:r>
      <w:r>
        <w:rPr>
          <w:rStyle w:val="CharDivText"/>
        </w:rPr>
        <w:t> </w:t>
      </w:r>
      <w:r>
        <w:rPr>
          <w:rStyle w:val="CharPartText"/>
        </w:rPr>
        <w:t>Leases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56.] </w:t>
      </w:r>
    </w:p>
    <w:p>
      <w:pPr>
        <w:pStyle w:val="Heading5"/>
        <w:spacing w:before="200"/>
        <w:rPr>
          <w:snapToGrid w:val="0"/>
        </w:rPr>
      </w:pPr>
      <w:bookmarkStart w:id="1309" w:name="_Toc500739998"/>
      <w:bookmarkStart w:id="1310" w:name="_Toc520101190"/>
      <w:bookmarkStart w:id="1311" w:name="_Toc520533089"/>
      <w:bookmarkStart w:id="1312" w:name="_Toc49223972"/>
      <w:bookmarkStart w:id="1313" w:name="_Toc107054996"/>
      <w:bookmarkStart w:id="1314" w:name="_Toc131416193"/>
      <w:bookmarkStart w:id="1315" w:name="_Toc170193376"/>
      <w:r>
        <w:rPr>
          <w:rStyle w:val="CharSectno"/>
        </w:rPr>
        <w:t>77</w:t>
      </w:r>
      <w:r>
        <w:rPr>
          <w:snapToGrid w:val="0"/>
        </w:rPr>
        <w:t>.</w:t>
      </w:r>
      <w:r>
        <w:rPr>
          <w:snapToGrid w:val="0"/>
        </w:rPr>
        <w:tab/>
        <w:t>Agreement for any lease to be charged as a lease</w:t>
      </w:r>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316" w:name="_Toc107054997"/>
      <w:bookmarkStart w:id="1317" w:name="_Toc131416194"/>
      <w:bookmarkStart w:id="1318" w:name="_Toc170193377"/>
      <w:bookmarkStart w:id="1319" w:name="_Toc500739999"/>
      <w:bookmarkStart w:id="1320" w:name="_Toc520101191"/>
      <w:bookmarkStart w:id="1321" w:name="_Toc520533090"/>
      <w:bookmarkStart w:id="1322" w:name="_Toc49223973"/>
      <w:r>
        <w:rPr>
          <w:rStyle w:val="CharSectno"/>
        </w:rPr>
        <w:t>77A</w:t>
      </w:r>
      <w:r>
        <w:t>.</w:t>
      </w:r>
      <w:r>
        <w:tab/>
        <w:t>Offer to lease</w:t>
      </w:r>
      <w:bookmarkEnd w:id="1316"/>
      <w:bookmarkEnd w:id="1317"/>
      <w:bookmarkEnd w:id="1318"/>
    </w:p>
    <w:p>
      <w:pPr>
        <w:pStyle w:val="Subsection"/>
      </w:pPr>
      <w:r>
        <w:tab/>
        <w:t>(1)</w:t>
      </w:r>
      <w:r>
        <w:tab/>
        <w:t xml:space="preserve">Subject to subsection (2), where there is a transaction — </w:t>
      </w:r>
    </w:p>
    <w:p>
      <w:pPr>
        <w:pStyle w:val="Indenta"/>
      </w:pPr>
      <w:r>
        <w:tab/>
        <w:t>(a)</w:t>
      </w:r>
      <w:r>
        <w:tab/>
        <w:t xml:space="preserve">by which —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pPr>
      <w:r>
        <w:tab/>
        <w:t>(c)</w:t>
      </w:r>
      <w:r>
        <w:tab/>
        <w:t xml:space="preserve">which is not effected or evidenced by an instrument chargeable with </w:t>
      </w:r>
      <w:r>
        <w:rPr>
          <w:i/>
        </w:rPr>
        <w:t xml:space="preserve">ad valorem </w:t>
      </w:r>
      <w:r>
        <w:t>duty under item 12 of the Second Schedule,</w:t>
      </w:r>
    </w:p>
    <w:p>
      <w:pPr>
        <w:pStyle w:val="Subsection"/>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323" w:name="_Toc107054998"/>
      <w:bookmarkStart w:id="1324" w:name="_Toc131416195"/>
      <w:bookmarkStart w:id="1325" w:name="_Toc170193378"/>
      <w:r>
        <w:rPr>
          <w:rStyle w:val="CharSectno"/>
        </w:rPr>
        <w:t>78</w:t>
      </w:r>
      <w:r>
        <w:rPr>
          <w:snapToGrid w:val="0"/>
        </w:rPr>
        <w:t>.</w:t>
      </w:r>
      <w:r>
        <w:rPr>
          <w:snapToGrid w:val="0"/>
        </w:rPr>
        <w:tab/>
        <w:t>Leases: how to be charged in respect of produce, etc.</w:t>
      </w:r>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spacing w:val="-4"/>
        </w:rPr>
      </w:pPr>
      <w:r>
        <w:rPr>
          <w:snapToGrid w:val="0"/>
          <w:spacing w:val="-4"/>
        </w:rPr>
        <w:tab/>
        <w:t>(2)</w:t>
      </w:r>
      <w:r>
        <w:rPr>
          <w:snapToGrid w:val="0"/>
          <w:spacing w:val="-4"/>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326" w:name="_Toc500740000"/>
      <w:bookmarkStart w:id="1327" w:name="_Toc520101192"/>
      <w:bookmarkStart w:id="1328" w:name="_Toc520533091"/>
      <w:r>
        <w:tab/>
        <w:t>[Section 78 amended by No. 2 of 2003 s. 102.]</w:t>
      </w:r>
    </w:p>
    <w:p>
      <w:pPr>
        <w:pStyle w:val="Heading5"/>
        <w:rPr>
          <w:snapToGrid w:val="0"/>
        </w:rPr>
      </w:pPr>
      <w:bookmarkStart w:id="1329" w:name="_Toc49223974"/>
      <w:bookmarkStart w:id="1330" w:name="_Toc107054999"/>
      <w:bookmarkStart w:id="1331" w:name="_Toc131416196"/>
      <w:bookmarkStart w:id="1332" w:name="_Toc170193379"/>
      <w:r>
        <w:rPr>
          <w:rStyle w:val="CharSectno"/>
        </w:rPr>
        <w:t>79</w:t>
      </w:r>
      <w:r>
        <w:rPr>
          <w:snapToGrid w:val="0"/>
        </w:rPr>
        <w:t>.</w:t>
      </w:r>
      <w:r>
        <w:rPr>
          <w:snapToGrid w:val="0"/>
        </w:rPr>
        <w:tab/>
        <w:t>Directions as to duty in certain cases</w:t>
      </w:r>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 xml:space="preserve">[Section 79 amended by No. 37 of 1979 s. 58; No. 20 of 1996 s. 37; No. 2 of 2003 s. 103; No. 66 of 2003 s. 77.] </w:t>
      </w:r>
    </w:p>
    <w:p>
      <w:pPr>
        <w:pStyle w:val="Ednotesection"/>
      </w:pPr>
      <w:r>
        <w:t>[</w:t>
      </w:r>
      <w:r>
        <w:rPr>
          <w:b/>
        </w:rPr>
        <w:t>80.</w:t>
      </w:r>
      <w:r>
        <w:tab/>
        <w:t>Repealed by No. 66 of 2003 s. 78.]</w:t>
      </w:r>
    </w:p>
    <w:p>
      <w:pPr>
        <w:pStyle w:val="Heading5"/>
        <w:rPr>
          <w:snapToGrid w:val="0"/>
        </w:rPr>
      </w:pPr>
      <w:bookmarkStart w:id="1333" w:name="_Toc500740002"/>
      <w:bookmarkStart w:id="1334" w:name="_Toc520101194"/>
      <w:bookmarkStart w:id="1335" w:name="_Toc520533093"/>
      <w:bookmarkStart w:id="1336" w:name="_Toc49223976"/>
      <w:bookmarkStart w:id="1337" w:name="_Toc107055000"/>
      <w:bookmarkStart w:id="1338" w:name="_Toc131416197"/>
      <w:bookmarkStart w:id="1339" w:name="_Toc170193380"/>
      <w:r>
        <w:rPr>
          <w:rStyle w:val="CharSectno"/>
        </w:rPr>
        <w:t>80A</w:t>
      </w:r>
      <w:r>
        <w:rPr>
          <w:snapToGrid w:val="0"/>
        </w:rPr>
        <w:t>.</w:t>
      </w:r>
      <w:r>
        <w:rPr>
          <w:snapToGrid w:val="0"/>
        </w:rPr>
        <w:tab/>
        <w:t xml:space="preserve">Power </w:t>
      </w:r>
      <w:bookmarkEnd w:id="1333"/>
      <w:bookmarkEnd w:id="1334"/>
      <w:bookmarkEnd w:id="1335"/>
      <w:bookmarkEnd w:id="1336"/>
      <w:r>
        <w:rPr>
          <w:snapToGrid w:val="0"/>
        </w:rPr>
        <w:t>to exempt instruments made for charitable or similar purposes</w:t>
      </w:r>
      <w:bookmarkEnd w:id="1337"/>
      <w:bookmarkEnd w:id="1338"/>
      <w:bookmarkEnd w:id="1339"/>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 xml:space="preserve">[Section 80A inserted by No. 14 of 1983 s. 3; amended by No. 2 of 2003 s. 104.] </w:t>
      </w:r>
    </w:p>
    <w:p>
      <w:pPr>
        <w:pStyle w:val="Heading2"/>
      </w:pPr>
      <w:bookmarkStart w:id="1340" w:name="_Toc76899670"/>
      <w:bookmarkStart w:id="1341" w:name="_Toc78090572"/>
      <w:bookmarkStart w:id="1342" w:name="_Toc88886940"/>
      <w:bookmarkStart w:id="1343" w:name="_Toc90443556"/>
      <w:bookmarkStart w:id="1344" w:name="_Toc90452907"/>
      <w:bookmarkStart w:id="1345" w:name="_Toc100029498"/>
      <w:bookmarkStart w:id="1346" w:name="_Toc100031571"/>
      <w:bookmarkStart w:id="1347" w:name="_Toc100458630"/>
      <w:bookmarkStart w:id="1348" w:name="_Toc101672046"/>
      <w:bookmarkStart w:id="1349" w:name="_Toc101672303"/>
      <w:bookmarkStart w:id="1350" w:name="_Toc102799329"/>
      <w:bookmarkStart w:id="1351" w:name="_Toc102982003"/>
      <w:bookmarkStart w:id="1352" w:name="_Toc103403316"/>
      <w:bookmarkStart w:id="1353" w:name="_Toc103403573"/>
      <w:bookmarkStart w:id="1354" w:name="_Toc103747572"/>
      <w:bookmarkStart w:id="1355" w:name="_Toc107055001"/>
      <w:bookmarkStart w:id="1356" w:name="_Toc113874448"/>
      <w:bookmarkStart w:id="1357" w:name="_Toc113956864"/>
      <w:bookmarkStart w:id="1358" w:name="_Toc116717420"/>
      <w:bookmarkStart w:id="1359" w:name="_Toc116813447"/>
      <w:bookmarkStart w:id="1360" w:name="_Toc122333100"/>
      <w:bookmarkStart w:id="1361" w:name="_Toc122862070"/>
      <w:bookmarkStart w:id="1362" w:name="_Toc122862666"/>
      <w:bookmarkStart w:id="1363" w:name="_Toc122921273"/>
      <w:bookmarkStart w:id="1364" w:name="_Toc122921533"/>
      <w:bookmarkStart w:id="1365" w:name="_Toc122947478"/>
      <w:bookmarkStart w:id="1366" w:name="_Toc124046314"/>
      <w:bookmarkStart w:id="1367" w:name="_Toc131415899"/>
      <w:bookmarkStart w:id="1368" w:name="_Toc131416198"/>
      <w:bookmarkStart w:id="1369" w:name="_Toc170193381"/>
      <w:r>
        <w:rPr>
          <w:rStyle w:val="CharPartNo"/>
        </w:rPr>
        <w:t>Part IIIE</w:t>
      </w:r>
      <w:r>
        <w:rPr>
          <w:b w:val="0"/>
        </w:rPr>
        <w:t> </w:t>
      </w:r>
      <w:r>
        <w:t>—</w:t>
      </w:r>
      <w:r>
        <w:rPr>
          <w:b w:val="0"/>
        </w:rPr>
        <w:t> </w:t>
      </w:r>
      <w:r>
        <w:rPr>
          <w:rStyle w:val="CharPartText"/>
        </w:rPr>
        <w:t>Mortgage duty</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tabs>
          <w:tab w:val="left" w:pos="851"/>
        </w:tabs>
      </w:pPr>
      <w:r>
        <w:tab/>
        <w:t>[Heading inserted by No. 66 of 2003 s. 79.]</w:t>
      </w:r>
    </w:p>
    <w:p>
      <w:pPr>
        <w:pStyle w:val="Heading3"/>
      </w:pPr>
      <w:bookmarkStart w:id="1370" w:name="_Toc76899671"/>
      <w:bookmarkStart w:id="1371" w:name="_Toc78090573"/>
      <w:bookmarkStart w:id="1372" w:name="_Toc88886941"/>
      <w:bookmarkStart w:id="1373" w:name="_Toc90443557"/>
      <w:bookmarkStart w:id="1374" w:name="_Toc90452908"/>
      <w:bookmarkStart w:id="1375" w:name="_Toc100029499"/>
      <w:bookmarkStart w:id="1376" w:name="_Toc100031572"/>
      <w:bookmarkStart w:id="1377" w:name="_Toc100458631"/>
      <w:bookmarkStart w:id="1378" w:name="_Toc101672047"/>
      <w:bookmarkStart w:id="1379" w:name="_Toc101672304"/>
      <w:bookmarkStart w:id="1380" w:name="_Toc102799330"/>
      <w:bookmarkStart w:id="1381" w:name="_Toc102982004"/>
      <w:bookmarkStart w:id="1382" w:name="_Toc103403317"/>
      <w:bookmarkStart w:id="1383" w:name="_Toc103403574"/>
      <w:bookmarkStart w:id="1384" w:name="_Toc103747573"/>
      <w:bookmarkStart w:id="1385" w:name="_Toc107055002"/>
      <w:bookmarkStart w:id="1386" w:name="_Toc113874449"/>
      <w:bookmarkStart w:id="1387" w:name="_Toc113956865"/>
      <w:bookmarkStart w:id="1388" w:name="_Toc116717421"/>
      <w:bookmarkStart w:id="1389" w:name="_Toc116813448"/>
      <w:bookmarkStart w:id="1390" w:name="_Toc122333101"/>
      <w:bookmarkStart w:id="1391" w:name="_Toc122862071"/>
      <w:bookmarkStart w:id="1392" w:name="_Toc122862667"/>
      <w:bookmarkStart w:id="1393" w:name="_Toc122921274"/>
      <w:bookmarkStart w:id="1394" w:name="_Toc122921534"/>
      <w:bookmarkStart w:id="1395" w:name="_Toc122947479"/>
      <w:bookmarkStart w:id="1396" w:name="_Toc124046315"/>
      <w:bookmarkStart w:id="1397" w:name="_Toc131415900"/>
      <w:bookmarkStart w:id="1398" w:name="_Toc131416199"/>
      <w:bookmarkStart w:id="1399" w:name="_Toc170193382"/>
      <w:r>
        <w:rPr>
          <w:rStyle w:val="CharDivNo"/>
        </w:rPr>
        <w:t>Division 1</w:t>
      </w:r>
      <w:r>
        <w:t> — </w:t>
      </w:r>
      <w:r>
        <w:rPr>
          <w:rStyle w:val="CharDivText"/>
        </w:rPr>
        <w:t>Interpretation for this Part</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tabs>
          <w:tab w:val="left" w:pos="851"/>
        </w:tabs>
      </w:pPr>
      <w:r>
        <w:tab/>
        <w:t>[Heading inserted by No. 66 of 2003 s. 79.]</w:t>
      </w:r>
    </w:p>
    <w:p>
      <w:pPr>
        <w:pStyle w:val="Heading5"/>
      </w:pPr>
      <w:bookmarkStart w:id="1400" w:name="_Toc107055003"/>
      <w:bookmarkStart w:id="1401" w:name="_Toc131416200"/>
      <w:bookmarkStart w:id="1402" w:name="_Toc170193383"/>
      <w:r>
        <w:rPr>
          <w:rStyle w:val="CharSectno"/>
        </w:rPr>
        <w:t>81</w:t>
      </w:r>
      <w:r>
        <w:t>.</w:t>
      </w:r>
      <w:r>
        <w:tab/>
        <w:t>Definitions</w:t>
      </w:r>
      <w:bookmarkEnd w:id="1400"/>
      <w:bookmarkEnd w:id="1401"/>
      <w:bookmarkEnd w:id="1402"/>
    </w:p>
    <w:p>
      <w:pPr>
        <w:pStyle w:val="Subsection"/>
      </w:pPr>
      <w:r>
        <w:tab/>
      </w:r>
      <w:r>
        <w:tab/>
        <w:t xml:space="preserve">In this Part, unless the contrary intention appears —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403" w:name="_Toc107055004"/>
      <w:bookmarkStart w:id="1404" w:name="_Toc131416201"/>
      <w:bookmarkStart w:id="1405" w:name="_Toc170193384"/>
      <w:r>
        <w:rPr>
          <w:rStyle w:val="CharSectno"/>
        </w:rPr>
        <w:t>82</w:t>
      </w:r>
      <w:r>
        <w:t>.</w:t>
      </w:r>
      <w:r>
        <w:tab/>
        <w:t>Mortgages</w:t>
      </w:r>
      <w:bookmarkEnd w:id="1403"/>
      <w:bookmarkEnd w:id="1404"/>
      <w:bookmarkEnd w:id="1405"/>
    </w:p>
    <w:p>
      <w:pPr>
        <w:pStyle w:val="Subsection"/>
      </w:pPr>
      <w:r>
        <w:tab/>
        <w:t>(1)</w:t>
      </w:r>
      <w:r>
        <w:tab/>
        <w:t xml:space="preserve">For the purposes of this Part, a </w:t>
      </w:r>
      <w:r>
        <w:rPr>
          <w:b/>
        </w:rPr>
        <w:t>“</w:t>
      </w:r>
      <w:r>
        <w:rPr>
          <w:rStyle w:val="CharDefText"/>
        </w:rPr>
        <w:t>mortgage</w:t>
      </w:r>
      <w:r>
        <w:rPr>
          <w:b/>
        </w:rPr>
        <w:t>”</w:t>
      </w:r>
      <w:r>
        <w:t xml:space="preserve"> is an instrument that —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pPr>
      <w:r>
        <w:tab/>
        <w:t>(4)</w:t>
      </w:r>
      <w:r>
        <w:tab/>
        <w:t xml:space="preserve">An insured person is in Western Australia if —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406" w:name="_Toc107055005"/>
      <w:bookmarkStart w:id="1407" w:name="_Toc131416202"/>
      <w:bookmarkStart w:id="1408" w:name="_Toc170193385"/>
      <w:r>
        <w:rPr>
          <w:rStyle w:val="CharSectno"/>
        </w:rPr>
        <w:t>83</w:t>
      </w:r>
      <w:r>
        <w:t>.</w:t>
      </w:r>
      <w:r>
        <w:tab/>
        <w:t>Advances</w:t>
      </w:r>
      <w:bookmarkEnd w:id="1406"/>
      <w:bookmarkEnd w:id="1407"/>
      <w:bookmarkEnd w:id="1408"/>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 </w:t>
      </w:r>
    </w:p>
    <w:p>
      <w:pPr>
        <w:pStyle w:val="Indenta"/>
      </w:pPr>
      <w:r>
        <w:tab/>
        <w:t>(a)</w:t>
      </w:r>
      <w:r>
        <w:tab/>
        <w:t>a loan; or</w:t>
      </w:r>
    </w:p>
    <w:p>
      <w:pPr>
        <w:pStyle w:val="Indenta"/>
        <w:rPr>
          <w:spacing w:val="-4"/>
        </w:rPr>
      </w:pPr>
      <w:r>
        <w:rPr>
          <w:spacing w:val="-4"/>
        </w:rPr>
        <w:tab/>
        <w:t>(b)</w:t>
      </w:r>
      <w:r>
        <w:rPr>
          <w:spacing w:val="-4"/>
        </w:rPr>
        <w:tab/>
        <w:t xml:space="preserve">a bill facility that is one or more agreements, understandings or arrangements as a consequence of which a bill of exchange or promissory note —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 xml:space="preserve">Subsection (1)(b) applies whether or not the funds are obtained from —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409" w:name="_Toc107055006"/>
      <w:bookmarkStart w:id="1410" w:name="_Toc131416203"/>
      <w:bookmarkStart w:id="1411" w:name="_Toc170193386"/>
      <w:r>
        <w:rPr>
          <w:rStyle w:val="CharSectno"/>
        </w:rPr>
        <w:t>84</w:t>
      </w:r>
      <w:r>
        <w:t>.</w:t>
      </w:r>
      <w:r>
        <w:tab/>
        <w:t>Loans</w:t>
      </w:r>
      <w:bookmarkEnd w:id="1409"/>
      <w:bookmarkEnd w:id="1410"/>
      <w:bookmarkEnd w:id="1411"/>
    </w:p>
    <w:p>
      <w:pPr>
        <w:pStyle w:val="Subsection"/>
      </w:pPr>
      <w:r>
        <w:tab/>
      </w:r>
      <w:r>
        <w:tab/>
        <w:t xml:space="preserve">Each of the following is a </w:t>
      </w:r>
      <w:r>
        <w:rPr>
          <w:b/>
        </w:rPr>
        <w:t>“</w:t>
      </w:r>
      <w:r>
        <w:rPr>
          <w:rStyle w:val="CharDefText"/>
        </w:rPr>
        <w:t>loan</w:t>
      </w:r>
      <w:r>
        <w:rPr>
          <w:b/>
        </w:rPr>
        <w:t>”</w:t>
      </w:r>
      <w:r>
        <w:t xml:space="preserve"> —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pPr>
      <w:bookmarkStart w:id="1412" w:name="_Toc107055007"/>
      <w:bookmarkStart w:id="1413" w:name="_Toc131416204"/>
      <w:bookmarkStart w:id="1414" w:name="_Toc170193387"/>
      <w:r>
        <w:rPr>
          <w:rStyle w:val="CharSectno"/>
        </w:rPr>
        <w:t>85</w:t>
      </w:r>
      <w:r>
        <w:t>.</w:t>
      </w:r>
      <w:r>
        <w:tab/>
        <w:t>Home mortgages</w:t>
      </w:r>
      <w:bookmarkEnd w:id="1412"/>
      <w:bookmarkEnd w:id="1413"/>
      <w:bookmarkEnd w:id="1414"/>
    </w:p>
    <w:p>
      <w:pPr>
        <w:pStyle w:val="Subsection"/>
      </w:pPr>
      <w:r>
        <w:tab/>
        <w:t>(1)</w:t>
      </w:r>
      <w:r>
        <w:tab/>
        <w:t xml:space="preserve">A mortgage is a home mortgage if — </w:t>
      </w:r>
    </w:p>
    <w:p>
      <w:pPr>
        <w:pStyle w:val="Indenta"/>
      </w:pPr>
      <w:r>
        <w:tab/>
        <w:t>(a)</w:t>
      </w:r>
      <w:r>
        <w:tab/>
        <w:t>the mortgagor is an individual;</w:t>
      </w:r>
    </w:p>
    <w:p>
      <w:pPr>
        <w:pStyle w:val="Indenta"/>
      </w:pPr>
      <w:r>
        <w:tab/>
        <w:t>(b)</w:t>
      </w:r>
      <w:r>
        <w:tab/>
        <w:t>part or all of the secured amount is used for a dwellinghouse as provided by subsection (2); and</w:t>
      </w:r>
    </w:p>
    <w:p>
      <w:pPr>
        <w:pStyle w:val="Indenta"/>
      </w:pPr>
      <w:r>
        <w:tab/>
        <w:t>(c)</w:t>
      </w:r>
      <w:r>
        <w:tab/>
        <w:t>the dwellinghouse is being or will be used by the mortgagor as his or her sole or principal place of residence.</w:t>
      </w:r>
    </w:p>
    <w:p>
      <w:pPr>
        <w:pStyle w:val="Subsection"/>
      </w:pPr>
      <w:r>
        <w:tab/>
        <w:t>(2)</w:t>
      </w:r>
      <w:r>
        <w:tab/>
        <w:t xml:space="preserve">An amount is used for a dwellinghouse if it is used solely in or towards the cost of any of the following —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pPr>
      <w:r>
        <w:tab/>
        <w:t>[Section 85 inserted by No. 66 of 2003 s. 79.]</w:t>
      </w:r>
    </w:p>
    <w:p>
      <w:pPr>
        <w:pStyle w:val="Heading3"/>
      </w:pPr>
      <w:bookmarkStart w:id="1415" w:name="_Toc76899677"/>
      <w:bookmarkStart w:id="1416" w:name="_Toc78090579"/>
      <w:bookmarkStart w:id="1417" w:name="_Toc88886947"/>
      <w:bookmarkStart w:id="1418" w:name="_Toc90443563"/>
      <w:bookmarkStart w:id="1419" w:name="_Toc90452914"/>
      <w:bookmarkStart w:id="1420" w:name="_Toc100029505"/>
      <w:bookmarkStart w:id="1421" w:name="_Toc100031578"/>
      <w:bookmarkStart w:id="1422" w:name="_Toc100458637"/>
      <w:bookmarkStart w:id="1423" w:name="_Toc101672053"/>
      <w:bookmarkStart w:id="1424" w:name="_Toc101672310"/>
      <w:bookmarkStart w:id="1425" w:name="_Toc102799336"/>
      <w:bookmarkStart w:id="1426" w:name="_Toc102982010"/>
      <w:bookmarkStart w:id="1427" w:name="_Toc103403323"/>
      <w:bookmarkStart w:id="1428" w:name="_Toc103403580"/>
      <w:bookmarkStart w:id="1429" w:name="_Toc103747579"/>
      <w:bookmarkStart w:id="1430" w:name="_Toc107055008"/>
      <w:bookmarkStart w:id="1431" w:name="_Toc113874455"/>
      <w:bookmarkStart w:id="1432" w:name="_Toc113956871"/>
      <w:bookmarkStart w:id="1433" w:name="_Toc116717427"/>
      <w:bookmarkStart w:id="1434" w:name="_Toc116813454"/>
      <w:bookmarkStart w:id="1435" w:name="_Toc122333107"/>
      <w:bookmarkStart w:id="1436" w:name="_Toc122862077"/>
      <w:bookmarkStart w:id="1437" w:name="_Toc122862673"/>
      <w:bookmarkStart w:id="1438" w:name="_Toc122921280"/>
      <w:bookmarkStart w:id="1439" w:name="_Toc122921540"/>
      <w:bookmarkStart w:id="1440" w:name="_Toc122947485"/>
      <w:bookmarkStart w:id="1441" w:name="_Toc124046321"/>
      <w:bookmarkStart w:id="1442" w:name="_Toc131415906"/>
      <w:bookmarkStart w:id="1443" w:name="_Toc131416205"/>
      <w:bookmarkStart w:id="1444" w:name="_Toc170193388"/>
      <w:r>
        <w:rPr>
          <w:rStyle w:val="CharDivNo"/>
        </w:rPr>
        <w:t>Division 2</w:t>
      </w:r>
      <w:r>
        <w:rPr>
          <w:sz w:val="24"/>
        </w:rPr>
        <w:t> — </w:t>
      </w:r>
      <w:r>
        <w:rPr>
          <w:rStyle w:val="CharDivText"/>
        </w:rPr>
        <w:t>Liability for mortgage duty</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Footnoteheading"/>
        <w:tabs>
          <w:tab w:val="left" w:pos="851"/>
        </w:tabs>
      </w:pPr>
      <w:r>
        <w:tab/>
        <w:t>[Heading inserted by No. 66 of 2003 s. 79.]</w:t>
      </w:r>
    </w:p>
    <w:p>
      <w:pPr>
        <w:pStyle w:val="Heading5"/>
      </w:pPr>
      <w:bookmarkStart w:id="1445" w:name="_Toc107055009"/>
      <w:bookmarkStart w:id="1446" w:name="_Toc131416206"/>
      <w:bookmarkStart w:id="1447" w:name="_Toc170193389"/>
      <w:r>
        <w:rPr>
          <w:rStyle w:val="CharSectno"/>
        </w:rPr>
        <w:t>86</w:t>
      </w:r>
      <w:r>
        <w:t>.</w:t>
      </w:r>
      <w:r>
        <w:tab/>
        <w:t>Assessing mortgage duty</w:t>
      </w:r>
      <w:bookmarkEnd w:id="1445"/>
      <w:bookmarkEnd w:id="1446"/>
      <w:bookmarkEnd w:id="1447"/>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 xml:space="preserve">Subsections (2) and (3) do not apply to, or in relation to, a mortgage or other instrument if the Commissioner is satisfied that —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448" w:name="_Toc123698930"/>
      <w:bookmarkStart w:id="1449" w:name="_Toc131416207"/>
      <w:bookmarkStart w:id="1450" w:name="_Toc170193390"/>
      <w:bookmarkStart w:id="1451" w:name="_Toc107055010"/>
      <w:r>
        <w:rPr>
          <w:rStyle w:val="CharSectno"/>
        </w:rPr>
        <w:t>86A</w:t>
      </w:r>
      <w:r>
        <w:t>.</w:t>
      </w:r>
      <w:r>
        <w:tab/>
        <w:t>Exemption — refinancing home loans</w:t>
      </w:r>
      <w:bookmarkEnd w:id="1448"/>
      <w:bookmarkEnd w:id="1449"/>
      <w:bookmarkEnd w:id="145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 xml:space="preserve">If —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 xml:space="preserve">then —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452" w:name="_Toc123698931"/>
      <w:r>
        <w:tab/>
        <w:t>[Section 86A inserted by No. 34 of 2005 s. 10(1).]</w:t>
      </w:r>
    </w:p>
    <w:p>
      <w:pPr>
        <w:pStyle w:val="Heading5"/>
      </w:pPr>
      <w:bookmarkStart w:id="1453" w:name="_Toc131416208"/>
      <w:bookmarkStart w:id="1454" w:name="_Toc170193391"/>
      <w:r>
        <w:rPr>
          <w:rStyle w:val="CharSectno"/>
        </w:rPr>
        <w:t>86B</w:t>
      </w:r>
      <w:r>
        <w:t>.</w:t>
      </w:r>
      <w:r>
        <w:tab/>
        <w:t>Exemption — refinancing small business loans</w:t>
      </w:r>
      <w:bookmarkEnd w:id="1452"/>
      <w:bookmarkEnd w:id="1453"/>
      <w:bookmarkEnd w:id="1454"/>
    </w:p>
    <w:p>
      <w:pPr>
        <w:pStyle w:val="Subsection"/>
      </w:pPr>
      <w:r>
        <w:tab/>
        <w:t>(1)</w:t>
      </w:r>
      <w:r>
        <w:tab/>
        <w:t xml:space="preserve">Duty is not payable on a business mortgage to the extent to which —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 xml:space="preserve">Subsection (1) does not apply unless —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455" w:name="_Toc131416209"/>
      <w:bookmarkStart w:id="1456" w:name="_Toc170193392"/>
      <w:r>
        <w:rPr>
          <w:rStyle w:val="CharSectno"/>
        </w:rPr>
        <w:t>87</w:t>
      </w:r>
      <w:r>
        <w:t>.</w:t>
      </w:r>
      <w:r>
        <w:tab/>
        <w:t>Liability dates</w:t>
      </w:r>
      <w:bookmarkEnd w:id="1451"/>
      <w:bookmarkEnd w:id="1455"/>
      <w:bookmarkEnd w:id="1456"/>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 xml:space="preserve">Subsection (4) applies to an instrument of security that does not affect property in Western Australia when it is first executed if the instrument —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457" w:name="_Toc107055011"/>
      <w:bookmarkStart w:id="1458" w:name="_Toc131416210"/>
      <w:bookmarkStart w:id="1459" w:name="_Toc170193393"/>
      <w:r>
        <w:rPr>
          <w:rStyle w:val="CharSectno"/>
        </w:rPr>
        <w:t>88</w:t>
      </w:r>
      <w:r>
        <w:t>.</w:t>
      </w:r>
      <w:r>
        <w:tab/>
        <w:t>Stamping before advance</w:t>
      </w:r>
      <w:bookmarkEnd w:id="1457"/>
      <w:bookmarkEnd w:id="1458"/>
      <w:bookmarkEnd w:id="1459"/>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460" w:name="_Toc76899681"/>
      <w:bookmarkStart w:id="1461" w:name="_Toc78090583"/>
      <w:bookmarkStart w:id="1462" w:name="_Toc88886951"/>
      <w:bookmarkStart w:id="1463" w:name="_Toc90443567"/>
      <w:bookmarkStart w:id="1464" w:name="_Toc90452918"/>
      <w:bookmarkStart w:id="1465" w:name="_Toc100029509"/>
      <w:bookmarkStart w:id="1466" w:name="_Toc100031582"/>
      <w:bookmarkStart w:id="1467" w:name="_Toc100458641"/>
      <w:bookmarkStart w:id="1468" w:name="_Toc101672057"/>
      <w:bookmarkStart w:id="1469" w:name="_Toc101672314"/>
      <w:bookmarkStart w:id="1470" w:name="_Toc102799340"/>
      <w:bookmarkStart w:id="1471" w:name="_Toc102982014"/>
      <w:bookmarkStart w:id="1472" w:name="_Toc103403327"/>
      <w:bookmarkStart w:id="1473" w:name="_Toc103403584"/>
      <w:bookmarkStart w:id="1474" w:name="_Toc103747583"/>
      <w:bookmarkStart w:id="1475" w:name="_Toc107055012"/>
      <w:bookmarkStart w:id="1476" w:name="_Toc113874459"/>
      <w:bookmarkStart w:id="1477" w:name="_Toc113956875"/>
      <w:bookmarkStart w:id="1478" w:name="_Toc116717431"/>
      <w:bookmarkStart w:id="1479" w:name="_Toc116813458"/>
      <w:bookmarkStart w:id="1480" w:name="_Toc122333111"/>
      <w:bookmarkStart w:id="1481" w:name="_Toc122862081"/>
      <w:bookmarkStart w:id="1482" w:name="_Toc122862677"/>
      <w:bookmarkStart w:id="1483" w:name="_Toc122921284"/>
      <w:bookmarkStart w:id="1484" w:name="_Toc122921544"/>
      <w:bookmarkStart w:id="1485" w:name="_Toc122947489"/>
      <w:bookmarkStart w:id="1486" w:name="_Toc124046327"/>
      <w:bookmarkStart w:id="1487" w:name="_Toc131415912"/>
      <w:bookmarkStart w:id="1488" w:name="_Toc131416211"/>
      <w:bookmarkStart w:id="1489" w:name="_Toc170193394"/>
      <w:r>
        <w:rPr>
          <w:rStyle w:val="CharDivNo"/>
        </w:rPr>
        <w:t>Division 3</w:t>
      </w:r>
      <w:r>
        <w:t> — </w:t>
      </w:r>
      <w:r>
        <w:rPr>
          <w:rStyle w:val="CharDivText"/>
        </w:rPr>
        <w:t>Amount secured by a mortgage</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keepNext/>
        <w:tabs>
          <w:tab w:val="left" w:pos="851"/>
        </w:tabs>
      </w:pPr>
      <w:r>
        <w:tab/>
        <w:t>[Heading inserted by No. 66 of 2003 s. 79.]</w:t>
      </w:r>
    </w:p>
    <w:p>
      <w:pPr>
        <w:pStyle w:val="Heading5"/>
      </w:pPr>
      <w:bookmarkStart w:id="1490" w:name="_Toc107055013"/>
      <w:bookmarkStart w:id="1491" w:name="_Toc131416212"/>
      <w:bookmarkStart w:id="1492" w:name="_Toc170193395"/>
      <w:r>
        <w:rPr>
          <w:rStyle w:val="CharSectno"/>
        </w:rPr>
        <w:t>89</w:t>
      </w:r>
      <w:r>
        <w:t>.</w:t>
      </w:r>
      <w:r>
        <w:tab/>
        <w:t>The secured amount</w:t>
      </w:r>
      <w:bookmarkEnd w:id="1490"/>
      <w:bookmarkEnd w:id="1491"/>
      <w:bookmarkEnd w:id="1492"/>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 xml:space="preserve">However, if —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 xml:space="preserve">Mortgage duty is not payable on any part of the secured amount that is advanced for one or more of the following —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493" w:name="_Toc107055014"/>
      <w:bookmarkStart w:id="1494" w:name="_Toc131416213"/>
      <w:bookmarkStart w:id="1495" w:name="_Toc170193396"/>
      <w:r>
        <w:rPr>
          <w:rStyle w:val="CharSectno"/>
        </w:rPr>
        <w:t>90</w:t>
      </w:r>
      <w:r>
        <w:t>.</w:t>
      </w:r>
      <w:r>
        <w:tab/>
        <w:t>Contingent liabilities</w:t>
      </w:r>
      <w:bookmarkEnd w:id="1493"/>
      <w:bookmarkEnd w:id="1494"/>
      <w:bookmarkEnd w:id="1495"/>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xml:space="preserve">) —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 xml:space="preserve">This section —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496" w:name="_Toc107055015"/>
      <w:bookmarkStart w:id="1497" w:name="_Toc131416214"/>
      <w:bookmarkStart w:id="1498" w:name="_Toc170193397"/>
      <w:r>
        <w:rPr>
          <w:rStyle w:val="CharSectno"/>
        </w:rPr>
        <w:t>91</w:t>
      </w:r>
      <w:r>
        <w:t>.</w:t>
      </w:r>
      <w:r>
        <w:tab/>
        <w:t>Mortgage over property partly outside WA</w:t>
      </w:r>
      <w:bookmarkEnd w:id="1496"/>
      <w:bookmarkEnd w:id="1497"/>
      <w:bookmarkEnd w:id="1498"/>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 xml:space="preserve">For subsection (3), a referable point is any of the following prepared in the year before the liability date for the mortgage —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r>
        <w:rPr>
          <w:i w:val="0"/>
          <w:vertAlign w:val="superscript"/>
        </w:rPr>
        <w:t xml:space="preserve"> 2</w:t>
      </w:r>
      <w:r>
        <w:t>.]</w:t>
      </w:r>
    </w:p>
    <w:p>
      <w:pPr>
        <w:pStyle w:val="Heading5"/>
      </w:pPr>
      <w:bookmarkStart w:id="1499" w:name="_Toc107055016"/>
      <w:bookmarkStart w:id="1500" w:name="_Toc131416215"/>
      <w:bookmarkStart w:id="1501" w:name="_Toc170193398"/>
      <w:r>
        <w:rPr>
          <w:rStyle w:val="CharSectno"/>
        </w:rPr>
        <w:t>91A</w:t>
      </w:r>
      <w:r>
        <w:t>.</w:t>
      </w:r>
      <w:r>
        <w:tab/>
        <w:t>Mortgage packages</w:t>
      </w:r>
      <w:bookmarkEnd w:id="1499"/>
      <w:bookmarkEnd w:id="1500"/>
      <w:bookmarkEnd w:id="1501"/>
    </w:p>
    <w:p>
      <w:pPr>
        <w:pStyle w:val="Subsection"/>
      </w:pPr>
      <w:r>
        <w:tab/>
        <w:t>(1)</w:t>
      </w:r>
      <w:r>
        <w:tab/>
        <w:t xml:space="preserve">Two or more security instruments constitute a </w:t>
      </w:r>
      <w:r>
        <w:rPr>
          <w:b/>
        </w:rPr>
        <w:t>“</w:t>
      </w:r>
      <w:r>
        <w:rPr>
          <w:rStyle w:val="CharDefText"/>
        </w:rPr>
        <w:t>mortgage package</w:t>
      </w:r>
      <w:r>
        <w:rPr>
          <w:b/>
        </w:rPr>
        <w:t>”</w:t>
      </w:r>
      <w:r>
        <w:t xml:space="preserve"> if —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502" w:name="_Toc107055017"/>
      <w:bookmarkStart w:id="1503" w:name="_Toc131416216"/>
      <w:bookmarkStart w:id="1504" w:name="_Toc170193399"/>
      <w:r>
        <w:rPr>
          <w:rStyle w:val="CharSectno"/>
        </w:rPr>
        <w:t>91B</w:t>
      </w:r>
      <w:r>
        <w:t>.</w:t>
      </w:r>
      <w:r>
        <w:tab/>
        <w:t>Collateral mortgages</w:t>
      </w:r>
      <w:bookmarkEnd w:id="1502"/>
      <w:bookmarkEnd w:id="1503"/>
      <w:bookmarkEnd w:id="1504"/>
    </w:p>
    <w:p>
      <w:pPr>
        <w:pStyle w:val="Subsection"/>
      </w:pPr>
      <w:r>
        <w:tab/>
        <w:t>(1)</w:t>
      </w:r>
      <w:r>
        <w:tab/>
        <w:t xml:space="preserve">Mortgage duty is not imposed in relation to the part of the amount secured by a collateral mortgage that is secured by —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505" w:name="_Toc107055018"/>
      <w:bookmarkStart w:id="1506" w:name="_Toc131416217"/>
      <w:bookmarkStart w:id="1507" w:name="_Toc170193400"/>
      <w:r>
        <w:rPr>
          <w:rStyle w:val="CharSectno"/>
        </w:rPr>
        <w:t>91C</w:t>
      </w:r>
      <w:r>
        <w:t>.</w:t>
      </w:r>
      <w:r>
        <w:tab/>
        <w:t>Extent to which mortgage can be enforced</w:t>
      </w:r>
      <w:bookmarkEnd w:id="1505"/>
      <w:bookmarkEnd w:id="1506"/>
      <w:bookmarkEnd w:id="1507"/>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 xml:space="preserve">For subsection (1), mortgage duty has been paid on a mortgage or mortgage package affecting property that is partly in and partly outside Western Australia if —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508" w:name="_Toc107055019"/>
      <w:bookmarkStart w:id="1509" w:name="_Toc131416218"/>
      <w:bookmarkStart w:id="1510" w:name="_Toc170193401"/>
      <w:r>
        <w:rPr>
          <w:rStyle w:val="CharSectno"/>
        </w:rPr>
        <w:t>91D</w:t>
      </w:r>
      <w:r>
        <w:t>.</w:t>
      </w:r>
      <w:r>
        <w:tab/>
        <w:t>Use of stamped and collateral mortgages as security</w:t>
      </w:r>
      <w:bookmarkEnd w:id="1508"/>
      <w:bookmarkEnd w:id="1509"/>
      <w:bookmarkEnd w:id="1510"/>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511" w:name="_Toc107055020"/>
      <w:bookmarkStart w:id="1512" w:name="_Toc131416219"/>
      <w:bookmarkStart w:id="1513" w:name="_Toc170193402"/>
      <w:r>
        <w:rPr>
          <w:rStyle w:val="CharSectno"/>
        </w:rPr>
        <w:t>91E</w:t>
      </w:r>
      <w:r>
        <w:t>.</w:t>
      </w:r>
      <w:r>
        <w:tab/>
        <w:t>Multi</w:t>
      </w:r>
      <w:r>
        <w:noBreakHyphen/>
        <w:t>jurisdictional statement</w:t>
      </w:r>
      <w:bookmarkEnd w:id="1511"/>
      <w:bookmarkEnd w:id="1512"/>
      <w:bookmarkEnd w:id="1513"/>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514" w:name="_Toc107055021"/>
      <w:bookmarkStart w:id="1515" w:name="_Toc131416220"/>
      <w:bookmarkStart w:id="1516" w:name="_Toc170193403"/>
      <w:r>
        <w:rPr>
          <w:rStyle w:val="CharSectno"/>
        </w:rPr>
        <w:t>91F</w:t>
      </w:r>
      <w:r>
        <w:t>.</w:t>
      </w:r>
      <w:r>
        <w:tab/>
        <w:t>Exemptions for charitable or public purposes</w:t>
      </w:r>
      <w:bookmarkEnd w:id="1514"/>
      <w:bookmarkEnd w:id="1515"/>
      <w:bookmarkEnd w:id="1516"/>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rPr>
          <w:rStyle w:val="CharPartText"/>
        </w:rPr>
      </w:pPr>
      <w:bookmarkStart w:id="1517" w:name="_Toc128285588"/>
      <w:bookmarkStart w:id="1518" w:name="_Toc131415922"/>
      <w:bookmarkStart w:id="1519" w:name="_Toc131416221"/>
      <w:bookmarkStart w:id="1520" w:name="_Toc170193404"/>
      <w:r>
        <w:rPr>
          <w:rStyle w:val="CharPartNo"/>
        </w:rPr>
        <w:t>Part IIIF</w:t>
      </w:r>
      <w:r>
        <w:rPr>
          <w:b w:val="0"/>
        </w:rPr>
        <w:t> </w:t>
      </w:r>
      <w:r>
        <w:t>—</w:t>
      </w:r>
      <w:r>
        <w:rPr>
          <w:b w:val="0"/>
        </w:rPr>
        <w:t> </w:t>
      </w:r>
      <w:r>
        <w:rPr>
          <w:rStyle w:val="CharPartText"/>
        </w:rPr>
        <w:t>Insurance</w:t>
      </w:r>
      <w:bookmarkEnd w:id="1517"/>
      <w:bookmarkEnd w:id="1518"/>
      <w:bookmarkEnd w:id="1519"/>
      <w:bookmarkEnd w:id="1520"/>
    </w:p>
    <w:p>
      <w:pPr>
        <w:pStyle w:val="Footnoteheading"/>
      </w:pPr>
      <w:r>
        <w:tab/>
        <w:t>[Heading inserted by No. 36 of 2005 s. 6.]</w:t>
      </w:r>
    </w:p>
    <w:p>
      <w:pPr>
        <w:pStyle w:val="Heading3"/>
      </w:pPr>
      <w:bookmarkStart w:id="1521" w:name="_Toc128285589"/>
      <w:bookmarkStart w:id="1522" w:name="_Toc131415923"/>
      <w:bookmarkStart w:id="1523" w:name="_Toc131416222"/>
      <w:bookmarkStart w:id="1524" w:name="_Toc170193405"/>
      <w:r>
        <w:rPr>
          <w:rStyle w:val="CharDivNo"/>
        </w:rPr>
        <w:t>Division 1</w:t>
      </w:r>
      <w:r>
        <w:t> — </w:t>
      </w:r>
      <w:r>
        <w:rPr>
          <w:rStyle w:val="CharDivText"/>
        </w:rPr>
        <w:t>Interpretation in Part IIIF and connection to the State</w:t>
      </w:r>
      <w:bookmarkEnd w:id="1521"/>
      <w:bookmarkEnd w:id="1522"/>
      <w:bookmarkEnd w:id="1523"/>
      <w:bookmarkEnd w:id="1524"/>
    </w:p>
    <w:p>
      <w:pPr>
        <w:pStyle w:val="Footnoteheading"/>
      </w:pPr>
      <w:bookmarkStart w:id="1525" w:name="_Toc128285590"/>
      <w:r>
        <w:tab/>
        <w:t>[Heading inserted by No. 36 of 2005 s. 6.]</w:t>
      </w:r>
    </w:p>
    <w:p>
      <w:pPr>
        <w:pStyle w:val="Heading5"/>
      </w:pPr>
      <w:bookmarkStart w:id="1526" w:name="_Toc131416223"/>
      <w:bookmarkStart w:id="1527" w:name="_Toc170193406"/>
      <w:r>
        <w:rPr>
          <w:rStyle w:val="CharSectno"/>
        </w:rPr>
        <w:t>92</w:t>
      </w:r>
      <w:r>
        <w:t>.</w:t>
      </w:r>
      <w:r>
        <w:tab/>
        <w:t>Terms used in this Part</w:t>
      </w:r>
      <w:bookmarkEnd w:id="1525"/>
      <w:bookmarkEnd w:id="1526"/>
      <w:bookmarkEnd w:id="1527"/>
    </w:p>
    <w:p>
      <w:pPr>
        <w:pStyle w:val="Subsection"/>
      </w:pPr>
      <w:r>
        <w:tab/>
      </w:r>
      <w:r>
        <w:tab/>
        <w:t xml:space="preserve">In this Part, unless the contrary intention appears — </w:t>
      </w:r>
    </w:p>
    <w:p>
      <w:pPr>
        <w:pStyle w:val="Defstart"/>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pPr>
      <w:r>
        <w:rPr>
          <w:b/>
        </w:rPr>
        <w:tab/>
        <w:t>“</w:t>
      </w:r>
      <w:r>
        <w:rPr>
          <w:rStyle w:val="CharDefText"/>
        </w:rPr>
        <w:t>Division 4 insurer</w:t>
      </w:r>
      <w:r>
        <w:rPr>
          <w:b/>
        </w:rPr>
        <w:t>”</w:t>
      </w:r>
      <w:r>
        <w:t xml:space="preserve"> has the meaning given to that term in section 95;</w:t>
      </w:r>
    </w:p>
    <w:p>
      <w:pPr>
        <w:pStyle w:val="Defstart"/>
      </w:pPr>
      <w:r>
        <w:rPr>
          <w:b/>
        </w:rPr>
        <w:tab/>
        <w:t>“</w:t>
      </w:r>
      <w:r>
        <w:rPr>
          <w:rStyle w:val="CharDefText"/>
        </w:rPr>
        <w:t>financial services licensee</w:t>
      </w:r>
      <w:r>
        <w:rPr>
          <w:b/>
        </w:rPr>
        <w:t>”</w:t>
      </w:r>
      <w:r>
        <w:t xml:space="preserve"> has the meaning given to that term in section 761A of the Corporations Act;</w:t>
      </w:r>
    </w:p>
    <w:p>
      <w:pPr>
        <w:pStyle w:val="Defstart"/>
      </w:pPr>
      <w:r>
        <w:rPr>
          <w:b/>
        </w:rPr>
        <w:tab/>
        <w:t>“</w:t>
      </w:r>
      <w:r>
        <w:rPr>
          <w:rStyle w:val="CharDefText"/>
        </w:rPr>
        <w:t>general insurance</w:t>
      </w:r>
      <w:r>
        <w:rPr>
          <w:b/>
        </w:rPr>
        <w:t>”</w:t>
      </w:r>
      <w:r>
        <w:t xml:space="preserve"> has the meaning given to that term in section 92A;</w:t>
      </w:r>
    </w:p>
    <w:p>
      <w:pPr>
        <w:pStyle w:val="Defstart"/>
      </w:pPr>
      <w:r>
        <w:rPr>
          <w:b/>
        </w:rPr>
        <w:tab/>
        <w:t>“</w:t>
      </w:r>
      <w:r>
        <w:rPr>
          <w:rStyle w:val="CharDefText"/>
        </w:rPr>
        <w:t>health insurance business</w:t>
      </w:r>
      <w:r>
        <w:rPr>
          <w:b/>
        </w:rPr>
        <w:t>”</w:t>
      </w:r>
      <w:r>
        <w:t xml:space="preserve"> has the meaning given to that term in section 67 of the </w:t>
      </w:r>
      <w:r>
        <w:rPr>
          <w:i/>
        </w:rPr>
        <w:t>National Health Act 1953</w:t>
      </w:r>
      <w:r>
        <w:rPr>
          <w:iCs/>
        </w:rPr>
        <w:t xml:space="preserve"> of</w:t>
      </w:r>
      <w:r>
        <w:t xml:space="preserve"> the Commonwealth;</w:t>
      </w:r>
    </w:p>
    <w:p>
      <w:pPr>
        <w:pStyle w:val="Defstart"/>
      </w:pPr>
      <w:r>
        <w:rPr>
          <w:b/>
        </w:rPr>
        <w:tab/>
        <w:t>“</w:t>
      </w:r>
      <w:r>
        <w:rPr>
          <w:rStyle w:val="CharDefText"/>
        </w:rPr>
        <w:t>instalment</w:t>
      </w:r>
      <w:r>
        <w:rPr>
          <w:b/>
        </w:rPr>
        <w:t>”</w:t>
      </w:r>
      <w:r>
        <w:t xml:space="preserve"> means a portion of a premium;</w:t>
      </w:r>
    </w:p>
    <w:p>
      <w:pPr>
        <w:pStyle w:val="Defstart"/>
      </w:pPr>
      <w:r>
        <w:rPr>
          <w:b/>
        </w:rPr>
        <w:tab/>
        <w:t>“</w:t>
      </w:r>
      <w:r>
        <w:rPr>
          <w:rStyle w:val="CharDefText"/>
        </w:rPr>
        <w:t>insurer</w:t>
      </w:r>
      <w:r>
        <w:rPr>
          <w:b/>
        </w:rPr>
        <w:t>”</w:t>
      </w:r>
      <w:r>
        <w:t xml:space="preserve"> means the Insurance Commission of Western Australia or a person who — </w:t>
      </w:r>
    </w:p>
    <w:p>
      <w:pPr>
        <w:pStyle w:val="Defpara"/>
      </w:pPr>
      <w:r>
        <w:tab/>
        <w:t>(a)</w:t>
      </w:r>
      <w:r>
        <w:tab/>
        <w:t>writes general insurance otherwise than as an intermediary of an insurer (including a Division 4 insurer); and</w:t>
      </w:r>
    </w:p>
    <w:p>
      <w:pPr>
        <w:pStyle w:val="Defpara"/>
      </w:pPr>
      <w:r>
        <w:tab/>
        <w:t>(b)</w:t>
      </w:r>
      <w:r>
        <w:tab/>
        <w:t xml:space="preserve">is either — </w:t>
      </w:r>
    </w:p>
    <w:p>
      <w:pPr>
        <w:pStyle w:val="Defsubpara"/>
      </w:pPr>
      <w:r>
        <w:tab/>
        <w:t>(i)</w:t>
      </w:r>
      <w:r>
        <w:tab/>
        <w:t xml:space="preserve">authorised under the </w:t>
      </w:r>
      <w:r>
        <w:rPr>
          <w:i/>
          <w:iCs/>
        </w:rPr>
        <w:t>Insurance Act 1973</w:t>
      </w:r>
      <w:r>
        <w:t xml:space="preserve"> of the Commonwealth; or</w:t>
      </w:r>
    </w:p>
    <w:p>
      <w:pPr>
        <w:pStyle w:val="Defsubpara"/>
      </w:pPr>
      <w:r>
        <w:tab/>
        <w:t>(ii)</w:t>
      </w:r>
      <w:r>
        <w:tab/>
        <w:t xml:space="preserve">registered under the </w:t>
      </w:r>
      <w:r>
        <w:rPr>
          <w:i/>
          <w:iCs/>
        </w:rPr>
        <w:t>Life Insurance Act 1995</w:t>
      </w:r>
      <w:r>
        <w:t xml:space="preserve"> of the Commonwealth;</w:t>
      </w:r>
    </w:p>
    <w:p>
      <w:pPr>
        <w:pStyle w:val="Defstart"/>
      </w:pPr>
      <w:r>
        <w:rPr>
          <w:b/>
        </w:rPr>
        <w:tab/>
        <w:t>“</w:t>
      </w:r>
      <w:r>
        <w:rPr>
          <w:rStyle w:val="CharDefText"/>
        </w:rPr>
        <w:t>intermediary</w:t>
      </w:r>
      <w:r>
        <w:rPr>
          <w:b/>
        </w:rPr>
        <w:t>”</w:t>
      </w:r>
      <w:r>
        <w:t xml:space="preserve">, of an insurer, means —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rPr>
          <w:bCs/>
        </w:rPr>
        <w:t>,</w:t>
      </w:r>
      <w:r>
        <w:rPr>
          <w:b/>
        </w:rPr>
        <w:t xml:space="preserve"> </w:t>
      </w:r>
      <w:r>
        <w:t>of a registered insurer, has the meaning given in section 94B.</w:t>
      </w:r>
    </w:p>
    <w:p>
      <w:pPr>
        <w:pStyle w:val="Footnotesection"/>
      </w:pPr>
      <w:r>
        <w:tab/>
        <w:t>[Section 92 inserted by No. 36 of 2005 s. 6.]</w:t>
      </w:r>
    </w:p>
    <w:p>
      <w:pPr>
        <w:pStyle w:val="Heading5"/>
      </w:pPr>
      <w:bookmarkStart w:id="1528" w:name="_Toc128285591"/>
      <w:bookmarkStart w:id="1529" w:name="_Toc131416224"/>
      <w:bookmarkStart w:id="1530" w:name="_Toc170193407"/>
      <w:r>
        <w:rPr>
          <w:rStyle w:val="CharSectno"/>
        </w:rPr>
        <w:t>92A</w:t>
      </w:r>
      <w:r>
        <w:t>.</w:t>
      </w:r>
      <w:r>
        <w:tab/>
        <w:t>Meaning of general insurance and connection to the State</w:t>
      </w:r>
      <w:bookmarkEnd w:id="1528"/>
      <w:bookmarkEnd w:id="1529"/>
      <w:bookmarkEnd w:id="1530"/>
    </w:p>
    <w:p>
      <w:pPr>
        <w:pStyle w:val="Subsection"/>
      </w:pPr>
      <w:r>
        <w:tab/>
        <w:t>(1)</w:t>
      </w:r>
      <w:r>
        <w:tab/>
      </w:r>
      <w:r>
        <w:rPr>
          <w:b/>
          <w:bCs/>
        </w:rPr>
        <w:t>“</w:t>
      </w:r>
      <w:r>
        <w:rPr>
          <w:rStyle w:val="CharDefText"/>
        </w:rPr>
        <w:t>General insurance</w:t>
      </w:r>
      <w:r>
        <w:rPr>
          <w:b/>
          <w:bCs/>
        </w:rPr>
        <w:t>”</w:t>
      </w:r>
      <w:r>
        <w:t xml:space="preserve"> means any kind of insurance that is applicable to —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 xml:space="preserve">General insurance does not include any of the following —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531" w:name="_Toc128285592"/>
      <w:r>
        <w:tab/>
        <w:t>[Section 92A inserted by No. 36 of 2005 s. 6.]</w:t>
      </w:r>
    </w:p>
    <w:p>
      <w:pPr>
        <w:pStyle w:val="Heading5"/>
      </w:pPr>
      <w:bookmarkStart w:id="1532" w:name="_Toc131416225"/>
      <w:bookmarkStart w:id="1533" w:name="_Toc170193408"/>
      <w:r>
        <w:rPr>
          <w:rStyle w:val="CharSectno"/>
        </w:rPr>
        <w:t>92B</w:t>
      </w:r>
      <w:r>
        <w:t>.</w:t>
      </w:r>
      <w:r>
        <w:tab/>
        <w:t>Additional insurance — life riders</w:t>
      </w:r>
      <w:bookmarkEnd w:id="1531"/>
      <w:bookmarkEnd w:id="1532"/>
      <w:bookmarkEnd w:id="1533"/>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534" w:name="_Toc128285593"/>
      <w:r>
        <w:tab/>
        <w:t>[Section 92B inserted by No. 36 of 2005 s. 6.]</w:t>
      </w:r>
    </w:p>
    <w:p>
      <w:pPr>
        <w:pStyle w:val="Heading5"/>
      </w:pPr>
      <w:bookmarkStart w:id="1535" w:name="_Toc131416226"/>
      <w:bookmarkStart w:id="1536" w:name="_Toc170193409"/>
      <w:r>
        <w:rPr>
          <w:rStyle w:val="CharSectno"/>
        </w:rPr>
        <w:t>92C</w:t>
      </w:r>
      <w:r>
        <w:t>.</w:t>
      </w:r>
      <w:r>
        <w:tab/>
        <w:t>Payment of premiums</w:t>
      </w:r>
      <w:bookmarkEnd w:id="1534"/>
      <w:bookmarkEnd w:id="1535"/>
      <w:bookmarkEnd w:id="1536"/>
    </w:p>
    <w:p>
      <w:pPr>
        <w:pStyle w:val="Subsection"/>
      </w:pPr>
      <w:r>
        <w:tab/>
        <w:t>(1)</w:t>
      </w:r>
      <w:r>
        <w:tab/>
        <w:t xml:space="preserve">For the purposes of this Part, a premium, or an instalment, is paid when the first of the following events occurs —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537" w:name="_Toc128285594"/>
      <w:r>
        <w:tab/>
        <w:t>[Section 92C inserted by No. 36 of 2005 s. 6.]</w:t>
      </w:r>
    </w:p>
    <w:p>
      <w:pPr>
        <w:pStyle w:val="Heading3"/>
      </w:pPr>
      <w:bookmarkStart w:id="1538" w:name="_Toc131415928"/>
      <w:bookmarkStart w:id="1539" w:name="_Toc131416227"/>
      <w:bookmarkStart w:id="1540" w:name="_Toc170193410"/>
      <w:r>
        <w:rPr>
          <w:rStyle w:val="CharDivNo"/>
        </w:rPr>
        <w:t>Division 2</w:t>
      </w:r>
      <w:r>
        <w:t> — </w:t>
      </w:r>
      <w:r>
        <w:rPr>
          <w:rStyle w:val="CharDivText"/>
        </w:rPr>
        <w:t>Registration of insurers</w:t>
      </w:r>
      <w:bookmarkEnd w:id="1537"/>
      <w:bookmarkEnd w:id="1538"/>
      <w:bookmarkEnd w:id="1539"/>
      <w:bookmarkEnd w:id="1540"/>
    </w:p>
    <w:p>
      <w:pPr>
        <w:pStyle w:val="Footnoteheading"/>
      </w:pPr>
      <w:bookmarkStart w:id="1541" w:name="_Toc128285595"/>
      <w:r>
        <w:tab/>
        <w:t>[Heading inserted by No. 36 of 2005 s. 6.]</w:t>
      </w:r>
    </w:p>
    <w:p>
      <w:pPr>
        <w:pStyle w:val="Heading5"/>
      </w:pPr>
      <w:bookmarkStart w:id="1542" w:name="_Toc131416228"/>
      <w:bookmarkStart w:id="1543" w:name="_Toc170193411"/>
      <w:r>
        <w:rPr>
          <w:rStyle w:val="CharSectno"/>
        </w:rPr>
        <w:t>93</w:t>
      </w:r>
      <w:r>
        <w:t>.</w:t>
      </w:r>
      <w:r>
        <w:tab/>
        <w:t>Insurers to be registered</w:t>
      </w:r>
      <w:bookmarkEnd w:id="1541"/>
      <w:bookmarkEnd w:id="1542"/>
      <w:bookmarkEnd w:id="1543"/>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544" w:name="_Toc128285596"/>
      <w:r>
        <w:tab/>
        <w:t>[Section 93 inserted by No. 36 of 2005 s. 6.]</w:t>
      </w:r>
    </w:p>
    <w:p>
      <w:pPr>
        <w:pStyle w:val="Heading5"/>
      </w:pPr>
      <w:bookmarkStart w:id="1545" w:name="_Toc131416229"/>
      <w:bookmarkStart w:id="1546" w:name="_Toc170193412"/>
      <w:r>
        <w:rPr>
          <w:rStyle w:val="CharSectno"/>
        </w:rPr>
        <w:t>93A</w:t>
      </w:r>
      <w:r>
        <w:t>.</w:t>
      </w:r>
      <w:r>
        <w:tab/>
        <w:t>Registration of insurers</w:t>
      </w:r>
      <w:bookmarkEnd w:id="1544"/>
      <w:bookmarkEnd w:id="1545"/>
      <w:bookmarkEnd w:id="1546"/>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547" w:name="_Toc128285597"/>
      <w:r>
        <w:tab/>
        <w:t>[Section 93A inserted by No. 36 of 2005 s. 6.]</w:t>
      </w:r>
    </w:p>
    <w:p>
      <w:pPr>
        <w:pStyle w:val="Heading5"/>
      </w:pPr>
      <w:bookmarkStart w:id="1548" w:name="_Toc131416230"/>
      <w:bookmarkStart w:id="1549" w:name="_Toc170193413"/>
      <w:r>
        <w:rPr>
          <w:rStyle w:val="CharSectno"/>
        </w:rPr>
        <w:t>93B</w:t>
      </w:r>
      <w:r>
        <w:t>.</w:t>
      </w:r>
      <w:r>
        <w:tab/>
        <w:t>Cancelling registration of insurers</w:t>
      </w:r>
      <w:bookmarkEnd w:id="1547"/>
      <w:bookmarkEnd w:id="1548"/>
      <w:bookmarkEnd w:id="1549"/>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550" w:name="_Toc128285598"/>
      <w:r>
        <w:tab/>
        <w:t>[Section 93B inserted by No. 36 of 2005 s. 6.]</w:t>
      </w:r>
    </w:p>
    <w:p>
      <w:pPr>
        <w:pStyle w:val="Heading3"/>
      </w:pPr>
      <w:bookmarkStart w:id="1551" w:name="_Toc131415932"/>
      <w:bookmarkStart w:id="1552" w:name="_Toc131416231"/>
      <w:bookmarkStart w:id="1553" w:name="_Toc170193414"/>
      <w:r>
        <w:rPr>
          <w:rStyle w:val="CharDivNo"/>
        </w:rPr>
        <w:t>Division 3</w:t>
      </w:r>
      <w:r>
        <w:t> — </w:t>
      </w:r>
      <w:r>
        <w:rPr>
          <w:rStyle w:val="CharDivText"/>
        </w:rPr>
        <w:t>Duty payable by insurers</w:t>
      </w:r>
      <w:bookmarkEnd w:id="1550"/>
      <w:bookmarkEnd w:id="1551"/>
      <w:bookmarkEnd w:id="1552"/>
      <w:bookmarkEnd w:id="1553"/>
    </w:p>
    <w:p>
      <w:pPr>
        <w:pStyle w:val="Footnoteheading"/>
      </w:pPr>
      <w:bookmarkStart w:id="1554" w:name="_Toc128285599"/>
      <w:r>
        <w:tab/>
        <w:t>[Heading inserted by No. 36 of 2005 s. 6.]</w:t>
      </w:r>
    </w:p>
    <w:p>
      <w:pPr>
        <w:pStyle w:val="Heading5"/>
      </w:pPr>
      <w:bookmarkStart w:id="1555" w:name="_Toc131416232"/>
      <w:bookmarkStart w:id="1556" w:name="_Toc170193415"/>
      <w:r>
        <w:rPr>
          <w:rStyle w:val="CharSectno"/>
        </w:rPr>
        <w:t>94</w:t>
      </w:r>
      <w:r>
        <w:t>.</w:t>
      </w:r>
      <w:r>
        <w:tab/>
        <w:t>Lodging returns and paying duty</w:t>
      </w:r>
      <w:bookmarkEnd w:id="1554"/>
      <w:bookmarkEnd w:id="1555"/>
      <w:bookmarkEnd w:id="1556"/>
    </w:p>
    <w:p>
      <w:pPr>
        <w:pStyle w:val="Subsection"/>
      </w:pPr>
      <w:r>
        <w:tab/>
        <w:t>(1)</w:t>
      </w:r>
      <w:r>
        <w:tab/>
        <w:t xml:space="preserve">A registered insurer must —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 xml:space="preserve">On becoming an insurer, the insurer must, for the month in which the insurer became an insurer and for each subsequent month until the month in which the insurer becomes a registered insurer or ceases to be an insurer —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557" w:name="_Toc128285600"/>
      <w:r>
        <w:tab/>
        <w:t>[Section 94 inserted by No. 36 of 2005 s. 6.]</w:t>
      </w:r>
    </w:p>
    <w:p>
      <w:pPr>
        <w:pStyle w:val="Heading5"/>
      </w:pPr>
      <w:bookmarkStart w:id="1558" w:name="_Toc131416233"/>
      <w:bookmarkStart w:id="1559" w:name="_Toc170193416"/>
      <w:r>
        <w:rPr>
          <w:rStyle w:val="CharSectno"/>
        </w:rPr>
        <w:t>94A</w:t>
      </w:r>
      <w:r>
        <w:t>.</w:t>
      </w:r>
      <w:r>
        <w:tab/>
        <w:t>Calculating the amount of duty payable on a return</w:t>
      </w:r>
      <w:bookmarkEnd w:id="1557"/>
      <w:bookmarkEnd w:id="1558"/>
      <w:bookmarkEnd w:id="1559"/>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560" w:name="_Toc128285601"/>
      <w:r>
        <w:tab/>
        <w:t>[Section 94A inserted by No. 36 of 2005 s. 6.]</w:t>
      </w:r>
    </w:p>
    <w:p>
      <w:pPr>
        <w:pStyle w:val="Heading5"/>
      </w:pPr>
      <w:bookmarkStart w:id="1561" w:name="_Toc131416234"/>
      <w:bookmarkStart w:id="1562" w:name="_Toc170193417"/>
      <w:r>
        <w:rPr>
          <w:rStyle w:val="CharSectno"/>
        </w:rPr>
        <w:t>94B</w:t>
      </w:r>
      <w:r>
        <w:t>.</w:t>
      </w:r>
      <w:r>
        <w:tab/>
        <w:t>Return period of an insurer</w:t>
      </w:r>
      <w:bookmarkEnd w:id="1560"/>
      <w:bookmarkEnd w:id="1561"/>
      <w:bookmarkEnd w:id="1562"/>
    </w:p>
    <w:p>
      <w:pPr>
        <w:pStyle w:val="Subsection"/>
      </w:pPr>
      <w:r>
        <w:tab/>
      </w:r>
      <w:r>
        <w:tab/>
        <w:t xml:space="preserve">The return period of a registered insurer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563" w:name="_Toc128285602"/>
      <w:r>
        <w:tab/>
        <w:t>[Section 94B inserted by No. 36 of 2005 s. 6.]</w:t>
      </w:r>
    </w:p>
    <w:p>
      <w:pPr>
        <w:pStyle w:val="Heading3"/>
      </w:pPr>
      <w:bookmarkStart w:id="1564" w:name="_Toc131415936"/>
      <w:bookmarkStart w:id="1565" w:name="_Toc131416235"/>
      <w:bookmarkStart w:id="1566" w:name="_Toc170193418"/>
      <w:r>
        <w:rPr>
          <w:rStyle w:val="CharDivNo"/>
        </w:rPr>
        <w:t>Division 4</w:t>
      </w:r>
      <w:r>
        <w:t> — </w:t>
      </w:r>
      <w:r>
        <w:rPr>
          <w:rStyle w:val="CharDivText"/>
        </w:rPr>
        <w:t>Duty payable by insured persons</w:t>
      </w:r>
      <w:bookmarkEnd w:id="1563"/>
      <w:bookmarkEnd w:id="1564"/>
      <w:bookmarkEnd w:id="1565"/>
      <w:bookmarkEnd w:id="1566"/>
    </w:p>
    <w:p>
      <w:pPr>
        <w:pStyle w:val="Footnoteheading"/>
      </w:pPr>
      <w:bookmarkStart w:id="1567" w:name="_Toc128285603"/>
      <w:r>
        <w:tab/>
        <w:t>[Heading inserted by No. 36 of 2005 s. 6.]</w:t>
      </w:r>
    </w:p>
    <w:p>
      <w:pPr>
        <w:pStyle w:val="Heading5"/>
      </w:pPr>
      <w:bookmarkStart w:id="1568" w:name="_Toc131416236"/>
      <w:bookmarkStart w:id="1569" w:name="_Toc170193419"/>
      <w:r>
        <w:rPr>
          <w:rStyle w:val="CharSectno"/>
        </w:rPr>
        <w:t>95</w:t>
      </w:r>
      <w:r>
        <w:t>.</w:t>
      </w:r>
      <w:r>
        <w:tab/>
        <w:t>Meaning of insurer in this Division</w:t>
      </w:r>
      <w:bookmarkEnd w:id="1567"/>
      <w:bookmarkEnd w:id="1568"/>
      <w:bookmarkEnd w:id="1569"/>
    </w:p>
    <w:p>
      <w:pPr>
        <w:pStyle w:val="Subsection"/>
      </w:pPr>
      <w:r>
        <w:tab/>
      </w:r>
      <w:r>
        <w:tab/>
        <w:t xml:space="preserve">In this Division —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iCs/>
        </w:rPr>
        <w:t>Insurance Act 1973</w:t>
      </w:r>
      <w:r>
        <w:t xml:space="preserve"> of the Commonwealth and not registered under the </w:t>
      </w:r>
      <w:r>
        <w:rPr>
          <w:i/>
          <w:iCs/>
        </w:rPr>
        <w:t>Life Insurance Act 1995</w:t>
      </w:r>
      <w:r>
        <w:t xml:space="preserve"> of the Commonwealth.</w:t>
      </w:r>
    </w:p>
    <w:p>
      <w:pPr>
        <w:pStyle w:val="Footnotesection"/>
      </w:pPr>
      <w:bookmarkStart w:id="1570" w:name="_Toc128285604"/>
      <w:r>
        <w:tab/>
        <w:t>[Section 95 inserted by No. 36 of 2005 s. 6.]</w:t>
      </w:r>
    </w:p>
    <w:p>
      <w:pPr>
        <w:pStyle w:val="Heading5"/>
      </w:pPr>
      <w:bookmarkStart w:id="1571" w:name="_Toc131416237"/>
      <w:bookmarkStart w:id="1572" w:name="_Toc170193420"/>
      <w:r>
        <w:rPr>
          <w:rStyle w:val="CharSectno"/>
        </w:rPr>
        <w:t>95A</w:t>
      </w:r>
      <w:r>
        <w:t>.</w:t>
      </w:r>
      <w:r>
        <w:tab/>
        <w:t>Insured person to lodge statement and pay duty</w:t>
      </w:r>
      <w:bookmarkEnd w:id="1570"/>
      <w:bookmarkEnd w:id="1571"/>
      <w:bookmarkEnd w:id="1572"/>
    </w:p>
    <w:p>
      <w:pPr>
        <w:pStyle w:val="Subsection"/>
      </w:pPr>
      <w:r>
        <w:tab/>
        <w:t>(1)</w:t>
      </w:r>
      <w:r>
        <w:tab/>
        <w:t xml:space="preserve">If a person obtains, effects or renews general insurance with a Division 4 insurer, the person must —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pPr>
      <w:bookmarkStart w:id="1573" w:name="_Toc128285605"/>
      <w:r>
        <w:tab/>
        <w:t>[Section 95A inserted by No. 36 of 2005 s. 6.]</w:t>
      </w:r>
    </w:p>
    <w:p>
      <w:pPr>
        <w:pStyle w:val="Heading5"/>
      </w:pPr>
      <w:bookmarkStart w:id="1574" w:name="_Toc131416238"/>
      <w:bookmarkStart w:id="1575" w:name="_Toc170193421"/>
      <w:r>
        <w:rPr>
          <w:rStyle w:val="CharSectno"/>
        </w:rPr>
        <w:t>95B</w:t>
      </w:r>
      <w:r>
        <w:t>.</w:t>
      </w:r>
      <w:r>
        <w:tab/>
        <w:t>Insurer and intermediary to notify Commissioner of contracts of insurance</w:t>
      </w:r>
      <w:bookmarkEnd w:id="1573"/>
      <w:bookmarkEnd w:id="1574"/>
      <w:bookmarkEnd w:id="1575"/>
    </w:p>
    <w:p>
      <w:pPr>
        <w:pStyle w:val="Subsection"/>
      </w:pPr>
      <w:r>
        <w:tab/>
        <w:t>(1)</w:t>
      </w:r>
      <w:r>
        <w:tab/>
        <w:t xml:space="preserve">A Division 4 insurer must, for each month in which the insurer is paid a premium or an instalment in respect of a contract of insurance entered into by or on behalf of the insurer, notify the Commissioner in the approved form, of —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(2)</w:t>
      </w:r>
      <w:r>
        <w:tab/>
        <w:t xml:space="preserve">An intermediary of a Division 4 insurer must, for each month in which the intermediary receives a premium or an instalment in respect of a contract of insurance for a Division 4 insurer, notify the Commissioner in the approved form, of —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pPr>
      <w:bookmarkStart w:id="1576" w:name="_Toc128285606"/>
      <w:r>
        <w:tab/>
        <w:t>[Section 95B inserted by No. 36 of 2005 s. 6.]</w:t>
      </w:r>
    </w:p>
    <w:p>
      <w:pPr>
        <w:pStyle w:val="Heading3"/>
      </w:pPr>
      <w:bookmarkStart w:id="1577" w:name="_Toc131415940"/>
      <w:bookmarkStart w:id="1578" w:name="_Toc131416239"/>
      <w:bookmarkStart w:id="1579" w:name="_Toc170193422"/>
      <w:r>
        <w:rPr>
          <w:rStyle w:val="CharDivNo"/>
        </w:rPr>
        <w:t>Division 5</w:t>
      </w:r>
      <w:r>
        <w:t> — </w:t>
      </w:r>
      <w:r>
        <w:rPr>
          <w:rStyle w:val="CharDivText"/>
        </w:rPr>
        <w:t>General provisions</w:t>
      </w:r>
      <w:bookmarkEnd w:id="1576"/>
      <w:bookmarkEnd w:id="1577"/>
      <w:bookmarkEnd w:id="1578"/>
      <w:bookmarkEnd w:id="1579"/>
    </w:p>
    <w:p>
      <w:pPr>
        <w:pStyle w:val="Footnoteheading"/>
      </w:pPr>
      <w:bookmarkStart w:id="1580" w:name="_Toc128285607"/>
      <w:r>
        <w:tab/>
        <w:t>[Heading inserted by No. 36 of 2005 s. 6.]</w:t>
      </w:r>
    </w:p>
    <w:p>
      <w:pPr>
        <w:pStyle w:val="Heading5"/>
      </w:pPr>
      <w:bookmarkStart w:id="1581" w:name="_Toc131416240"/>
      <w:bookmarkStart w:id="1582" w:name="_Toc170193423"/>
      <w:r>
        <w:rPr>
          <w:rStyle w:val="CharSectno"/>
        </w:rPr>
        <w:t>96</w:t>
      </w:r>
      <w:r>
        <w:t>.</w:t>
      </w:r>
      <w:r>
        <w:tab/>
        <w:t>Apportionment of premiums and instalments</w:t>
      </w:r>
      <w:bookmarkEnd w:id="1580"/>
      <w:bookmarkEnd w:id="1581"/>
      <w:bookmarkEnd w:id="158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iCs/>
        </w:rPr>
        <w:t>Taxation Administration Act 2003</w:t>
      </w:r>
      <w:r>
        <w:t>.</w:t>
      </w:r>
    </w:p>
    <w:p>
      <w:pPr>
        <w:pStyle w:val="Subsection"/>
      </w:pPr>
      <w:r>
        <w:tab/>
        <w:t>(3)</w:t>
      </w:r>
      <w:r>
        <w:tab/>
        <w:t xml:space="preserve">A method of apportionment published under section 127 of the </w:t>
      </w:r>
      <w:r>
        <w:rPr>
          <w:i/>
          <w:iCs/>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 xml:space="preserve">If the Commissioner is satisfied that a premium or instalment has not been, or cannot be, appropriately apportioned under this section, the Commissioner may —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583" w:name="_Toc128285608"/>
      <w:r>
        <w:tab/>
        <w:t>[Section 96 inserted by No. 36 of 2005 s. 6.]</w:t>
      </w:r>
    </w:p>
    <w:p>
      <w:pPr>
        <w:pStyle w:val="Heading5"/>
      </w:pPr>
      <w:bookmarkStart w:id="1584" w:name="_Toc131416241"/>
      <w:bookmarkStart w:id="1585" w:name="_Toc170193424"/>
      <w:r>
        <w:rPr>
          <w:rStyle w:val="CharSectno"/>
        </w:rPr>
        <w:t>96A</w:t>
      </w:r>
      <w:r>
        <w:t>.</w:t>
      </w:r>
      <w:r>
        <w:tab/>
        <w:t>Refunds</w:t>
      </w:r>
      <w:bookmarkEnd w:id="1583"/>
      <w:bookmarkEnd w:id="1584"/>
      <w:bookmarkEnd w:id="1585"/>
    </w:p>
    <w:p>
      <w:pPr>
        <w:pStyle w:val="Subsection"/>
      </w:pPr>
      <w:r>
        <w:tab/>
        <w:t>(1)</w:t>
      </w:r>
      <w:r>
        <w:tab/>
        <w:t xml:space="preserve">If —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 xml:space="preserve">If —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 xml:space="preserve">For the purposes of this section, an insurer (including a Division 4 insurer) refunds an amount of a premium if the insurer or an intermediary of the insurer —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586" w:name="_Toc128285609"/>
      <w:r>
        <w:tab/>
        <w:t>[Section 96A inserted by No. 36 of 2005 s. 6.]</w:t>
      </w:r>
    </w:p>
    <w:p>
      <w:pPr>
        <w:pStyle w:val="Heading5"/>
      </w:pPr>
      <w:bookmarkStart w:id="1587" w:name="_Toc131416242"/>
      <w:bookmarkStart w:id="1588" w:name="_Toc170193425"/>
      <w:r>
        <w:rPr>
          <w:rStyle w:val="CharSectno"/>
        </w:rPr>
        <w:t>96B</w:t>
      </w:r>
      <w:r>
        <w:t>.</w:t>
      </w:r>
      <w:r>
        <w:tab/>
        <w:t>Records</w:t>
      </w:r>
      <w:bookmarkEnd w:id="1586"/>
      <w:bookmarkEnd w:id="1587"/>
      <w:bookmarkEnd w:id="1588"/>
    </w:p>
    <w:p>
      <w:pPr>
        <w:pStyle w:val="Subsection"/>
      </w:pPr>
      <w:r>
        <w:tab/>
        <w:t>(1)</w:t>
      </w:r>
      <w:r>
        <w:tab/>
        <w:t xml:space="preserve">An insurer and a person who is liable to pay duty under Division 4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part"/>
      </w:pPr>
      <w:r>
        <w:t>[Part IV (s. 100</w:t>
      </w:r>
      <w:r>
        <w:noBreakHyphen/>
        <w:t>107) repealed by No. 66 of 2003 s. 84.]</w:t>
      </w:r>
    </w:p>
    <w:p>
      <w:pPr>
        <w:pStyle w:val="Ednotepart"/>
      </w:pPr>
      <w:r>
        <w:t>[Part IVAA (s. 108</w:t>
      </w:r>
      <w:r>
        <w:noBreakHyphen/>
        <w:t>112) repealed by No. 6 of 2000 s. 5.]</w:t>
      </w:r>
    </w:p>
    <w:p>
      <w:pPr>
        <w:pStyle w:val="Ednotepart"/>
      </w:pPr>
      <w:r>
        <w:t>[Part IVA: s. 112A, 112D</w:t>
      </w:r>
      <w:r>
        <w:noBreakHyphen/>
        <w:t>112F repealed by No. 53 of 1999 s. 31; Div. 3, 4, 5 (s. 112FA</w:t>
      </w:r>
      <w:r>
        <w:noBreakHyphen/>
        <w:t>112FQ) repealed by No. 53 of 1999 s. 31; balance repealed by No. 2 of 2003 s. 120.]</w:t>
      </w:r>
    </w:p>
    <w:p>
      <w:pPr>
        <w:pStyle w:val="Ednotepart"/>
      </w:pPr>
      <w:r>
        <w:t>[Part IVAB (s. 112GA</w:t>
      </w:r>
      <w:r>
        <w:noBreakHyphen/>
        <w:t>112GG) repealed by No. 53 of 1999 s. 31.]</w:t>
      </w:r>
    </w:p>
    <w:p>
      <w:pPr>
        <w:pStyle w:val="Ednotepart"/>
      </w:pPr>
      <w:r>
        <w:t>[Part IVAC (s. 112H</w:t>
      </w:r>
      <w:r>
        <w:noBreakHyphen/>
        <w:t>112HA) repealed by No. 66 of 2003 s. 84.]</w:t>
      </w:r>
    </w:p>
    <w:p>
      <w:pPr>
        <w:pStyle w:val="Ednotesection"/>
      </w:pPr>
      <w:r>
        <w:t>[</w:t>
      </w:r>
      <w:r>
        <w:rPr>
          <w:b/>
        </w:rPr>
        <w:t>112HB.</w:t>
      </w:r>
      <w:r>
        <w:rPr>
          <w:b/>
        </w:rPr>
        <w:tab/>
      </w:r>
      <w:r>
        <w:t>Repealed by No. 10 of 2001 s. 185.]</w:t>
      </w:r>
    </w:p>
    <w:p>
      <w:pPr>
        <w:pStyle w:val="Ednotepart"/>
      </w:pPr>
      <w:r>
        <w:t>[Part IVBA repealed by No. 39 of 1994 s. 11.]</w:t>
      </w:r>
    </w:p>
    <w:p>
      <w:pPr>
        <w:pStyle w:val="Heading2"/>
      </w:pPr>
      <w:bookmarkStart w:id="1589" w:name="_Toc76899698"/>
      <w:bookmarkStart w:id="1590" w:name="_Toc78090600"/>
      <w:bookmarkStart w:id="1591" w:name="_Toc88886968"/>
      <w:bookmarkStart w:id="1592" w:name="_Toc90443584"/>
      <w:bookmarkStart w:id="1593" w:name="_Toc90452935"/>
      <w:bookmarkStart w:id="1594" w:name="_Toc100029526"/>
      <w:bookmarkStart w:id="1595" w:name="_Toc100031599"/>
      <w:bookmarkStart w:id="1596" w:name="_Toc100458658"/>
      <w:bookmarkStart w:id="1597" w:name="_Toc101672074"/>
      <w:bookmarkStart w:id="1598" w:name="_Toc101672331"/>
      <w:bookmarkStart w:id="1599" w:name="_Toc102799357"/>
      <w:bookmarkStart w:id="1600" w:name="_Toc102982031"/>
      <w:bookmarkStart w:id="1601" w:name="_Toc103403344"/>
      <w:bookmarkStart w:id="1602" w:name="_Toc103403601"/>
      <w:bookmarkStart w:id="1603" w:name="_Toc103747600"/>
      <w:bookmarkStart w:id="1604" w:name="_Toc107055029"/>
      <w:bookmarkStart w:id="1605" w:name="_Toc113874476"/>
      <w:bookmarkStart w:id="1606" w:name="_Toc113956892"/>
      <w:bookmarkStart w:id="1607" w:name="_Toc116717448"/>
      <w:bookmarkStart w:id="1608" w:name="_Toc116813475"/>
      <w:bookmarkStart w:id="1609" w:name="_Toc122333128"/>
      <w:bookmarkStart w:id="1610" w:name="_Toc122862098"/>
      <w:bookmarkStart w:id="1611" w:name="_Toc122862694"/>
      <w:bookmarkStart w:id="1612" w:name="_Toc122921301"/>
      <w:bookmarkStart w:id="1613" w:name="_Toc122921561"/>
      <w:bookmarkStart w:id="1614" w:name="_Toc122947507"/>
      <w:bookmarkStart w:id="1615" w:name="_Toc124046345"/>
      <w:bookmarkStart w:id="1616" w:name="_Toc131415944"/>
      <w:bookmarkStart w:id="1617" w:name="_Toc131416243"/>
      <w:bookmarkStart w:id="1618" w:name="_Toc170193426"/>
      <w:bookmarkStart w:id="1619" w:name="_Toc58902676"/>
      <w:r>
        <w:rPr>
          <w:rStyle w:val="CharPartNo"/>
        </w:rPr>
        <w:t>Part IVB</w:t>
      </w:r>
      <w:r>
        <w:rPr>
          <w:b w:val="0"/>
        </w:rPr>
        <w:t> </w:t>
      </w:r>
      <w:r>
        <w:t>—</w:t>
      </w:r>
      <w:r>
        <w:rPr>
          <w:b w:val="0"/>
        </w:rPr>
        <w:t> </w:t>
      </w:r>
      <w:r>
        <w:rPr>
          <w:rStyle w:val="CharPartText"/>
        </w:rPr>
        <w:t>Hire of goods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Footnoteheading"/>
        <w:tabs>
          <w:tab w:val="left" w:pos="923"/>
        </w:tabs>
        <w:ind w:left="937" w:hanging="937"/>
        <w:rPr>
          <w:snapToGrid w:val="0"/>
        </w:rPr>
      </w:pPr>
      <w:r>
        <w:rPr>
          <w:snapToGrid w:val="0"/>
        </w:rPr>
        <w:tab/>
        <w:t xml:space="preserve">[Heading inserted by No. 66 of 2003 s. 85.] </w:t>
      </w:r>
    </w:p>
    <w:p>
      <w:pPr>
        <w:pStyle w:val="Heading3"/>
      </w:pPr>
      <w:bookmarkStart w:id="1620" w:name="_Toc76899699"/>
      <w:bookmarkStart w:id="1621" w:name="_Toc78090601"/>
      <w:bookmarkStart w:id="1622" w:name="_Toc88886969"/>
      <w:bookmarkStart w:id="1623" w:name="_Toc90443585"/>
      <w:bookmarkStart w:id="1624" w:name="_Toc90452936"/>
      <w:bookmarkStart w:id="1625" w:name="_Toc100029527"/>
      <w:bookmarkStart w:id="1626" w:name="_Toc100031600"/>
      <w:bookmarkStart w:id="1627" w:name="_Toc100458659"/>
      <w:bookmarkStart w:id="1628" w:name="_Toc101672075"/>
      <w:bookmarkStart w:id="1629" w:name="_Toc101672332"/>
      <w:bookmarkStart w:id="1630" w:name="_Toc102799358"/>
      <w:bookmarkStart w:id="1631" w:name="_Toc102982032"/>
      <w:bookmarkStart w:id="1632" w:name="_Toc103403345"/>
      <w:bookmarkStart w:id="1633" w:name="_Toc103403602"/>
      <w:bookmarkStart w:id="1634" w:name="_Toc103747601"/>
      <w:bookmarkStart w:id="1635" w:name="_Toc107055030"/>
      <w:bookmarkStart w:id="1636" w:name="_Toc113874477"/>
      <w:bookmarkStart w:id="1637" w:name="_Toc113956893"/>
      <w:bookmarkStart w:id="1638" w:name="_Toc116717449"/>
      <w:bookmarkStart w:id="1639" w:name="_Toc116813476"/>
      <w:bookmarkStart w:id="1640" w:name="_Toc122333129"/>
      <w:bookmarkStart w:id="1641" w:name="_Toc122862099"/>
      <w:bookmarkStart w:id="1642" w:name="_Toc122862695"/>
      <w:bookmarkStart w:id="1643" w:name="_Toc122921302"/>
      <w:bookmarkStart w:id="1644" w:name="_Toc122921562"/>
      <w:bookmarkStart w:id="1645" w:name="_Toc122947508"/>
      <w:bookmarkStart w:id="1646" w:name="_Toc124046346"/>
      <w:bookmarkStart w:id="1647" w:name="_Toc131415945"/>
      <w:bookmarkStart w:id="1648" w:name="_Toc131416244"/>
      <w:bookmarkStart w:id="1649" w:name="_Toc170193427"/>
      <w:r>
        <w:rPr>
          <w:rStyle w:val="CharDivNo"/>
        </w:rPr>
        <w:t>Division 1</w:t>
      </w:r>
      <w:r>
        <w:t> — </w:t>
      </w:r>
      <w:r>
        <w:rPr>
          <w:rStyle w:val="CharDivText"/>
        </w:rPr>
        <w:t>Interpretation in Part IVB</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650" w:name="_Toc107055031"/>
      <w:bookmarkStart w:id="1651" w:name="_Toc131416245"/>
      <w:bookmarkStart w:id="1652" w:name="_Toc170193428"/>
      <w:r>
        <w:rPr>
          <w:rStyle w:val="CharSectno"/>
        </w:rPr>
        <w:t>112I</w:t>
      </w:r>
      <w:r>
        <w:t>.</w:t>
      </w:r>
      <w:r>
        <w:tab/>
        <w:t>Commercial hire business</w:t>
      </w:r>
      <w:bookmarkEnd w:id="1650"/>
      <w:bookmarkEnd w:id="1651"/>
      <w:bookmarkEnd w:id="1652"/>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653" w:name="_Toc107055032"/>
      <w:bookmarkStart w:id="1654" w:name="_Toc131416246"/>
      <w:bookmarkStart w:id="1655" w:name="_Toc170193429"/>
      <w:r>
        <w:rPr>
          <w:rStyle w:val="CharSectno"/>
        </w:rPr>
        <w:t>112IA</w:t>
      </w:r>
      <w:r>
        <w:t>.</w:t>
      </w:r>
      <w:r>
        <w:tab/>
        <w:t>Goods</w:t>
      </w:r>
      <w:bookmarkEnd w:id="1653"/>
      <w:bookmarkEnd w:id="1654"/>
      <w:bookmarkEnd w:id="1655"/>
    </w:p>
    <w:p>
      <w:pPr>
        <w:pStyle w:val="Subsection"/>
      </w:pPr>
      <w:r>
        <w:tab/>
      </w:r>
      <w:r>
        <w:tab/>
        <w:t xml:space="preserve">For the purposes of this Part, </w:t>
      </w:r>
      <w:r>
        <w:rPr>
          <w:b/>
        </w:rPr>
        <w:t>“</w:t>
      </w:r>
      <w:r>
        <w:rPr>
          <w:rStyle w:val="CharDefText"/>
        </w:rPr>
        <w:t>goods</w:t>
      </w:r>
      <w:r>
        <w:rPr>
          <w:b/>
        </w:rPr>
        <w:t>”</w:t>
      </w:r>
      <w:r>
        <w:t xml:space="preserve"> includes —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656" w:name="_Toc107055033"/>
      <w:bookmarkStart w:id="1657" w:name="_Toc131416247"/>
      <w:bookmarkStart w:id="1658" w:name="_Toc170193430"/>
      <w:r>
        <w:rPr>
          <w:rStyle w:val="CharSectno"/>
        </w:rPr>
        <w:t>112IB</w:t>
      </w:r>
      <w:r>
        <w:t>.</w:t>
      </w:r>
      <w:r>
        <w:tab/>
        <w:t>Hire of goods</w:t>
      </w:r>
      <w:bookmarkEnd w:id="1656"/>
      <w:bookmarkEnd w:id="1657"/>
      <w:bookmarkEnd w:id="1658"/>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 xml:space="preserve">There are 2 kinds of hire of goods — </w:t>
      </w:r>
    </w:p>
    <w:p>
      <w:pPr>
        <w:pStyle w:val="Indenta"/>
      </w:pPr>
      <w:r>
        <w:tab/>
        <w:t>(a)</w:t>
      </w:r>
      <w:r>
        <w:tab/>
        <w:t>equipment financing arrangements; and</w:t>
      </w:r>
    </w:p>
    <w:p>
      <w:pPr>
        <w:pStyle w:val="Indenta"/>
      </w:pPr>
      <w:r>
        <w:tab/>
        <w:t>(b)</w:t>
      </w:r>
      <w:r>
        <w:tab/>
        <w:t>ordinary hiring arrangements.</w:t>
      </w:r>
    </w:p>
    <w:p>
      <w:pPr>
        <w:pStyle w:val="Subsection"/>
      </w:pPr>
      <w:r>
        <w:tab/>
        <w:t>(3)</w:t>
      </w:r>
      <w:r>
        <w:tab/>
        <w:t xml:space="preserve">A hire of goods does not include any of the following —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659" w:name="_Toc107055034"/>
      <w:bookmarkStart w:id="1660" w:name="_Toc131416248"/>
      <w:bookmarkStart w:id="1661" w:name="_Toc170193431"/>
      <w:r>
        <w:rPr>
          <w:rStyle w:val="CharSectno"/>
        </w:rPr>
        <w:t>112IC</w:t>
      </w:r>
      <w:r>
        <w:t>.</w:t>
      </w:r>
      <w:r>
        <w:tab/>
        <w:t>State hire of goods</w:t>
      </w:r>
      <w:bookmarkEnd w:id="1659"/>
      <w:bookmarkEnd w:id="1660"/>
      <w:bookmarkEnd w:id="1661"/>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662" w:name="_Toc107055035"/>
      <w:bookmarkStart w:id="1663" w:name="_Toc131416249"/>
      <w:bookmarkStart w:id="1664" w:name="_Toc170193432"/>
      <w:r>
        <w:rPr>
          <w:rStyle w:val="CharSectno"/>
        </w:rPr>
        <w:t>112ID</w:t>
      </w:r>
      <w:r>
        <w:t>.</w:t>
      </w:r>
      <w:r>
        <w:tab/>
        <w:t>Equipment financing arrangements</w:t>
      </w:r>
      <w:bookmarkEnd w:id="1662"/>
      <w:bookmarkEnd w:id="1663"/>
      <w:bookmarkEnd w:id="1664"/>
    </w:p>
    <w:p>
      <w:pPr>
        <w:pStyle w:val="Subsection"/>
      </w:pPr>
      <w:r>
        <w:tab/>
        <w:t>(1)</w:t>
      </w:r>
      <w:r>
        <w:tab/>
        <w:t xml:space="preserve">An </w:t>
      </w:r>
      <w:r>
        <w:rPr>
          <w:b/>
        </w:rPr>
        <w:t>“</w:t>
      </w:r>
      <w:r>
        <w:rPr>
          <w:rStyle w:val="CharDefText"/>
        </w:rPr>
        <w:t>equipment financing arrangement</w:t>
      </w:r>
      <w:r>
        <w:rPr>
          <w:b/>
        </w:rPr>
        <w:t>”</w:t>
      </w:r>
      <w:r>
        <w:t xml:space="preserve"> is a hire of goods that consists of —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665" w:name="_Toc107055036"/>
      <w:bookmarkStart w:id="1666" w:name="_Toc131416250"/>
      <w:bookmarkStart w:id="1667" w:name="_Toc170193433"/>
      <w:r>
        <w:rPr>
          <w:rStyle w:val="CharSectno"/>
        </w:rPr>
        <w:t>112IE</w:t>
      </w:r>
      <w:r>
        <w:t>.</w:t>
      </w:r>
      <w:r>
        <w:tab/>
        <w:t>Hiring charges</w:t>
      </w:r>
      <w:bookmarkEnd w:id="1665"/>
      <w:bookmarkEnd w:id="1666"/>
      <w:bookmarkEnd w:id="1667"/>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 xml:space="preserve">The following charges are included as hiring charges —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 xml:space="preserve">The following charges are not included as hiring charges —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668" w:name="_Toc107055037"/>
      <w:bookmarkStart w:id="1669" w:name="_Toc131416251"/>
      <w:bookmarkStart w:id="1670" w:name="_Toc170193434"/>
      <w:r>
        <w:rPr>
          <w:rStyle w:val="CharSectno"/>
        </w:rPr>
        <w:t>112IF</w:t>
      </w:r>
      <w:r>
        <w:t>.</w:t>
      </w:r>
      <w:r>
        <w:tab/>
        <w:t>Terms used in this Part</w:t>
      </w:r>
      <w:bookmarkEnd w:id="1668"/>
      <w:bookmarkEnd w:id="1669"/>
      <w:bookmarkEnd w:id="1670"/>
    </w:p>
    <w:p>
      <w:pPr>
        <w:pStyle w:val="Subsection"/>
      </w:pPr>
      <w:r>
        <w:tab/>
      </w:r>
      <w:r>
        <w:tab/>
        <w:t xml:space="preserve">In this Part —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671" w:name="_Toc76899707"/>
      <w:bookmarkStart w:id="1672" w:name="_Toc78090609"/>
      <w:bookmarkStart w:id="1673" w:name="_Toc88886977"/>
      <w:bookmarkStart w:id="1674" w:name="_Toc90443593"/>
      <w:bookmarkStart w:id="1675" w:name="_Toc90452944"/>
      <w:bookmarkStart w:id="1676" w:name="_Toc100029535"/>
      <w:bookmarkStart w:id="1677" w:name="_Toc100031608"/>
      <w:bookmarkStart w:id="1678" w:name="_Toc100458667"/>
      <w:bookmarkStart w:id="1679" w:name="_Toc101672083"/>
      <w:bookmarkStart w:id="1680" w:name="_Toc101672340"/>
      <w:bookmarkStart w:id="1681" w:name="_Toc102799366"/>
      <w:bookmarkStart w:id="1682" w:name="_Toc102982040"/>
      <w:bookmarkStart w:id="1683" w:name="_Toc103403353"/>
      <w:bookmarkStart w:id="1684" w:name="_Toc103403610"/>
      <w:bookmarkStart w:id="1685" w:name="_Toc103747609"/>
      <w:bookmarkStart w:id="1686" w:name="_Toc107055038"/>
      <w:bookmarkStart w:id="1687" w:name="_Toc113874485"/>
      <w:bookmarkStart w:id="1688" w:name="_Toc113956901"/>
      <w:bookmarkStart w:id="1689" w:name="_Toc116717457"/>
      <w:bookmarkStart w:id="1690" w:name="_Toc116813484"/>
      <w:bookmarkStart w:id="1691" w:name="_Toc122333137"/>
      <w:bookmarkStart w:id="1692" w:name="_Toc122862107"/>
      <w:bookmarkStart w:id="1693" w:name="_Toc122862703"/>
      <w:bookmarkStart w:id="1694" w:name="_Toc122921310"/>
      <w:bookmarkStart w:id="1695" w:name="_Toc122921570"/>
      <w:bookmarkStart w:id="1696" w:name="_Toc122947516"/>
      <w:bookmarkStart w:id="1697" w:name="_Toc124046354"/>
      <w:bookmarkStart w:id="1698" w:name="_Toc131415953"/>
      <w:bookmarkStart w:id="1699" w:name="_Toc131416252"/>
      <w:bookmarkStart w:id="1700" w:name="_Toc170193435"/>
      <w:r>
        <w:rPr>
          <w:rStyle w:val="CharDivNo"/>
        </w:rPr>
        <w:t>Division 2</w:t>
      </w:r>
      <w:r>
        <w:t> — </w:t>
      </w:r>
      <w:r>
        <w:rPr>
          <w:rStyle w:val="CharDivText"/>
        </w:rPr>
        <w:t>Registration of commercial hire businesses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701" w:name="_Toc107055039"/>
      <w:bookmarkStart w:id="1702" w:name="_Toc131416253"/>
      <w:bookmarkStart w:id="1703" w:name="_Toc170193436"/>
      <w:r>
        <w:rPr>
          <w:rStyle w:val="CharSectno"/>
        </w:rPr>
        <w:t>112J</w:t>
      </w:r>
      <w:r>
        <w:t>.</w:t>
      </w:r>
      <w:r>
        <w:tab/>
        <w:t>Commercial hire businesses to be registered</w:t>
      </w:r>
      <w:bookmarkEnd w:id="1701"/>
      <w:bookmarkEnd w:id="1702"/>
      <w:bookmarkEnd w:id="1703"/>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1704" w:name="_Toc107055040"/>
      <w:bookmarkStart w:id="1705" w:name="_Toc131416254"/>
      <w:bookmarkStart w:id="1706" w:name="_Toc170193437"/>
      <w:r>
        <w:rPr>
          <w:rStyle w:val="CharSectno"/>
        </w:rPr>
        <w:t>112JA</w:t>
      </w:r>
      <w:r>
        <w:t>.</w:t>
      </w:r>
      <w:r>
        <w:tab/>
        <w:t>Registration of commercial hire businesses</w:t>
      </w:r>
      <w:bookmarkEnd w:id="1704"/>
      <w:bookmarkEnd w:id="1705"/>
      <w:bookmarkEnd w:id="1706"/>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1707" w:name="_Toc107055041"/>
      <w:bookmarkStart w:id="1708" w:name="_Toc131416255"/>
      <w:bookmarkStart w:id="1709" w:name="_Toc170193438"/>
      <w:r>
        <w:rPr>
          <w:rStyle w:val="CharSectno"/>
        </w:rPr>
        <w:t>112JB</w:t>
      </w:r>
      <w:r>
        <w:t>.</w:t>
      </w:r>
      <w:r>
        <w:tab/>
        <w:t>Cancelling registration of commercial hire businesses</w:t>
      </w:r>
      <w:bookmarkEnd w:id="1707"/>
      <w:bookmarkEnd w:id="1708"/>
      <w:bookmarkEnd w:id="1709"/>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1710" w:name="_Toc76899711"/>
      <w:bookmarkStart w:id="1711" w:name="_Toc78090613"/>
      <w:bookmarkStart w:id="1712" w:name="_Toc88886981"/>
      <w:bookmarkStart w:id="1713" w:name="_Toc90443597"/>
      <w:bookmarkStart w:id="1714" w:name="_Toc90452948"/>
      <w:bookmarkStart w:id="1715" w:name="_Toc100029539"/>
      <w:bookmarkStart w:id="1716" w:name="_Toc100031612"/>
      <w:bookmarkStart w:id="1717" w:name="_Toc100458671"/>
      <w:bookmarkStart w:id="1718" w:name="_Toc101672087"/>
      <w:bookmarkStart w:id="1719" w:name="_Toc101672344"/>
      <w:bookmarkStart w:id="1720" w:name="_Toc102799370"/>
      <w:bookmarkStart w:id="1721" w:name="_Toc102982044"/>
      <w:bookmarkStart w:id="1722" w:name="_Toc103403357"/>
      <w:bookmarkStart w:id="1723" w:name="_Toc103403614"/>
      <w:bookmarkStart w:id="1724" w:name="_Toc103747613"/>
      <w:bookmarkStart w:id="1725" w:name="_Toc107055042"/>
      <w:bookmarkStart w:id="1726" w:name="_Toc113874489"/>
      <w:bookmarkStart w:id="1727" w:name="_Toc113956905"/>
      <w:bookmarkStart w:id="1728" w:name="_Toc116717461"/>
      <w:bookmarkStart w:id="1729" w:name="_Toc116813488"/>
      <w:bookmarkStart w:id="1730" w:name="_Toc122333141"/>
      <w:bookmarkStart w:id="1731" w:name="_Toc122862111"/>
      <w:bookmarkStart w:id="1732" w:name="_Toc122862707"/>
      <w:bookmarkStart w:id="1733" w:name="_Toc122921314"/>
      <w:bookmarkStart w:id="1734" w:name="_Toc122921574"/>
      <w:bookmarkStart w:id="1735" w:name="_Toc122947520"/>
      <w:bookmarkStart w:id="1736" w:name="_Toc124046358"/>
      <w:bookmarkStart w:id="1737" w:name="_Toc131415957"/>
      <w:bookmarkStart w:id="1738" w:name="_Toc131416256"/>
      <w:bookmarkStart w:id="1739" w:name="_Toc170193439"/>
      <w:r>
        <w:rPr>
          <w:rStyle w:val="CharDivNo"/>
        </w:rPr>
        <w:t>Division 3</w:t>
      </w:r>
      <w:r>
        <w:t> — </w:t>
      </w:r>
      <w:r>
        <w:rPr>
          <w:rStyle w:val="CharDivText"/>
        </w:rPr>
        <w:t>Connection to the State</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740" w:name="_Toc107055043"/>
      <w:bookmarkStart w:id="1741" w:name="_Toc131416257"/>
      <w:bookmarkStart w:id="1742" w:name="_Toc170193440"/>
      <w:r>
        <w:rPr>
          <w:rStyle w:val="CharSectno"/>
        </w:rPr>
        <w:t>112K</w:t>
      </w:r>
      <w:r>
        <w:t>.</w:t>
      </w:r>
      <w:r>
        <w:tab/>
        <w:t>Connection to the State — hire of goods and persons to which this Part applies</w:t>
      </w:r>
      <w:bookmarkEnd w:id="1740"/>
      <w:bookmarkEnd w:id="1741"/>
      <w:bookmarkEnd w:id="1742"/>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spacing w:before="120"/>
      </w:pPr>
      <w:r>
        <w:tab/>
        <w:t>(3)</w:t>
      </w:r>
      <w:r>
        <w:tab/>
        <w:t xml:space="preserve">For the purposes of deciding whether goods are used solely or predominantly in Western Australia —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1743" w:name="_Toc76899713"/>
      <w:bookmarkStart w:id="1744" w:name="_Toc78090615"/>
      <w:bookmarkStart w:id="1745" w:name="_Toc88886983"/>
      <w:bookmarkStart w:id="1746" w:name="_Toc90443599"/>
      <w:bookmarkStart w:id="1747" w:name="_Toc90452950"/>
      <w:bookmarkStart w:id="1748" w:name="_Toc100029541"/>
      <w:bookmarkStart w:id="1749" w:name="_Toc100031614"/>
      <w:bookmarkStart w:id="1750" w:name="_Toc100458673"/>
      <w:bookmarkStart w:id="1751" w:name="_Toc101672089"/>
      <w:bookmarkStart w:id="1752" w:name="_Toc101672346"/>
      <w:bookmarkStart w:id="1753" w:name="_Toc102799372"/>
      <w:bookmarkStart w:id="1754" w:name="_Toc102982046"/>
      <w:bookmarkStart w:id="1755" w:name="_Toc103403359"/>
      <w:bookmarkStart w:id="1756" w:name="_Toc103403616"/>
      <w:bookmarkStart w:id="1757" w:name="_Toc103747615"/>
      <w:bookmarkStart w:id="1758" w:name="_Toc107055044"/>
      <w:bookmarkStart w:id="1759" w:name="_Toc113874491"/>
      <w:bookmarkStart w:id="1760" w:name="_Toc113956907"/>
      <w:bookmarkStart w:id="1761" w:name="_Toc116717463"/>
      <w:bookmarkStart w:id="1762" w:name="_Toc116813490"/>
      <w:bookmarkStart w:id="1763" w:name="_Toc122333143"/>
      <w:bookmarkStart w:id="1764" w:name="_Toc122862113"/>
      <w:bookmarkStart w:id="1765" w:name="_Toc122862709"/>
      <w:bookmarkStart w:id="1766" w:name="_Toc122921316"/>
      <w:bookmarkStart w:id="1767" w:name="_Toc122921576"/>
      <w:bookmarkStart w:id="1768" w:name="_Toc122947522"/>
      <w:bookmarkStart w:id="1769" w:name="_Toc124046360"/>
      <w:bookmarkStart w:id="1770" w:name="_Toc131415959"/>
      <w:bookmarkStart w:id="1771" w:name="_Toc131416258"/>
      <w:bookmarkStart w:id="1772" w:name="_Toc170193441"/>
      <w:r>
        <w:rPr>
          <w:rStyle w:val="CharDivNo"/>
        </w:rPr>
        <w:t>Division 4</w:t>
      </w:r>
      <w:r>
        <w:t> — </w:t>
      </w:r>
      <w:r>
        <w:rPr>
          <w:rStyle w:val="CharDivText"/>
        </w:rPr>
        <w:t>Commercial hire businesses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Footnoteheading"/>
        <w:tabs>
          <w:tab w:val="left" w:pos="923"/>
        </w:tabs>
        <w:spacing w:before="80"/>
        <w:ind w:left="936" w:hanging="936"/>
        <w:rPr>
          <w:snapToGrid w:val="0"/>
        </w:rPr>
      </w:pPr>
      <w:r>
        <w:rPr>
          <w:snapToGrid w:val="0"/>
        </w:rPr>
        <w:tab/>
        <w:t xml:space="preserve">[Heading inserted by No. 66 of 2003 s. 85.] </w:t>
      </w:r>
    </w:p>
    <w:p>
      <w:pPr>
        <w:pStyle w:val="Heading5"/>
        <w:spacing w:before="180"/>
      </w:pPr>
      <w:bookmarkStart w:id="1773" w:name="_Toc107055045"/>
      <w:bookmarkStart w:id="1774" w:name="_Toc131416259"/>
      <w:bookmarkStart w:id="1775" w:name="_Toc170193442"/>
      <w:r>
        <w:rPr>
          <w:rStyle w:val="CharSectno"/>
        </w:rPr>
        <w:t>112L</w:t>
      </w:r>
      <w:r>
        <w:t>.</w:t>
      </w:r>
      <w:r>
        <w:tab/>
        <w:t>Lodging returns and paying duty</w:t>
      </w:r>
      <w:bookmarkEnd w:id="1773"/>
      <w:bookmarkEnd w:id="1774"/>
      <w:bookmarkEnd w:id="1775"/>
    </w:p>
    <w:p>
      <w:pPr>
        <w:pStyle w:val="Subsection"/>
        <w:spacing w:before="140"/>
      </w:pPr>
      <w:r>
        <w:tab/>
        <w:t>(1)</w:t>
      </w:r>
      <w:r>
        <w:tab/>
        <w:t xml:space="preserve">A registered commercial hire business must —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 xml:space="preserve">A commercial hire business that is not registered under section 112JA must —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1776" w:name="_Toc107055046"/>
      <w:bookmarkStart w:id="1777" w:name="_Toc131416260"/>
      <w:bookmarkStart w:id="1778" w:name="_Toc170193443"/>
      <w:r>
        <w:rPr>
          <w:rStyle w:val="CharSectno"/>
        </w:rPr>
        <w:t>112LA</w:t>
      </w:r>
      <w:r>
        <w:t>.</w:t>
      </w:r>
      <w:r>
        <w:tab/>
        <w:t>Calculating the assessable amount for a return period</w:t>
      </w:r>
      <w:bookmarkEnd w:id="1776"/>
      <w:bookmarkEnd w:id="1777"/>
      <w:bookmarkEnd w:id="1778"/>
    </w:p>
    <w:p>
      <w:pPr>
        <w:pStyle w:val="Subsection"/>
      </w:pPr>
      <w:r>
        <w:tab/>
        <w:t>(1)</w:t>
      </w:r>
      <w:r>
        <w:tab/>
        <w:t xml:space="preserve">The assessable amount for a return period of a commercial hire business is —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1779" w:name="_Toc107055047"/>
      <w:bookmarkStart w:id="1780" w:name="_Toc131416261"/>
      <w:bookmarkStart w:id="1781" w:name="_Toc170193444"/>
      <w:r>
        <w:rPr>
          <w:rStyle w:val="CharSectno"/>
        </w:rPr>
        <w:t>112LB</w:t>
      </w:r>
      <w:r>
        <w:t>.</w:t>
      </w:r>
      <w:r>
        <w:tab/>
        <w:t>Calculating the amount of duty payable on a return</w:t>
      </w:r>
      <w:bookmarkEnd w:id="1779"/>
      <w:bookmarkEnd w:id="1780"/>
      <w:bookmarkEnd w:id="1781"/>
    </w:p>
    <w:p>
      <w:pPr>
        <w:pStyle w:val="Subsection"/>
      </w:pPr>
      <w:r>
        <w:tab/>
        <w:t>(1)</w:t>
      </w:r>
      <w:r>
        <w:tab/>
        <w:t xml:space="preserve">The amount of duty payable on the return for a return period is the amount equal to the sum of —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after="60"/>
      </w:pPr>
      <w:r>
        <w:tab/>
        <w:t>(2)</w:t>
      </w:r>
      <w:r>
        <w:tab/>
        <w:t>The duty</w:t>
      </w:r>
      <w:r>
        <w:noBreakHyphen/>
        <w:t xml:space="preserve">free threshold for a return period is — </w:t>
      </w:r>
    </w:p>
    <w:p>
      <w:pPr>
        <w:pStyle w:val="Equation"/>
        <w:tabs>
          <w:tab w:val="left" w:pos="1134"/>
        </w:tabs>
        <w:spacing w:before="60"/>
        <w:ind w:left="839"/>
      </w:pPr>
      <w:r>
        <w:rPr>
          <w:position w:val="-20"/>
          <w:sz w:val="20"/>
        </w:rPr>
        <w:object w:dxaOrig="6060" w:dyaOrig="520">
          <v:shape id="_x0000_i1034" type="#_x0000_t75" style="width:303pt;height:26.25pt" o:ole="">
            <v:imagedata r:id="rId36" o:title=""/>
          </v:shape>
          <o:OLEObject Type="Embed" ProgID="Equation.3" ShapeID="_x0000_i1034" DrawAspect="Content" ObjectID="_1643744737" r:id="rId37"/>
        </w:object>
      </w:r>
    </w:p>
    <w:p>
      <w:pPr>
        <w:pStyle w:val="Subsection"/>
        <w:spacing w:after="60"/>
      </w:pPr>
      <w:r>
        <w:tab/>
      </w:r>
      <w:r>
        <w:tab/>
        <w:t xml:space="preserve">where —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1782" w:name="_Toc107055048"/>
      <w:bookmarkStart w:id="1783" w:name="_Toc131416262"/>
      <w:bookmarkStart w:id="1784" w:name="_Toc170193445"/>
      <w:r>
        <w:rPr>
          <w:rStyle w:val="CharSectno"/>
        </w:rPr>
        <w:t>112LC</w:t>
      </w:r>
      <w:r>
        <w:t>.</w:t>
      </w:r>
      <w:r>
        <w:tab/>
        <w:t>Return period for a commercial hire business</w:t>
      </w:r>
      <w:bookmarkEnd w:id="1782"/>
      <w:bookmarkEnd w:id="1783"/>
      <w:bookmarkEnd w:id="1784"/>
    </w:p>
    <w:p>
      <w:pPr>
        <w:pStyle w:val="Subsection"/>
      </w:pPr>
      <w:r>
        <w:tab/>
      </w:r>
      <w:r>
        <w:tab/>
        <w:t xml:space="preserve">The return period of a registered commercial hire business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1785" w:name="_Toc107055049"/>
      <w:bookmarkStart w:id="1786" w:name="_Toc131416263"/>
      <w:bookmarkStart w:id="1787" w:name="_Toc170193446"/>
      <w:r>
        <w:rPr>
          <w:rStyle w:val="CharSectno"/>
        </w:rPr>
        <w:t>112LD</w:t>
      </w:r>
      <w:r>
        <w:t>.</w:t>
      </w:r>
      <w:r>
        <w:tab/>
        <w:t>Annual reconciliation</w:t>
      </w:r>
      <w:bookmarkEnd w:id="1785"/>
      <w:bookmarkEnd w:id="1786"/>
      <w:bookmarkEnd w:id="1787"/>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 xml:space="preserve">In subsection (3)(d) —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 xml:space="preserve">free threshold for the commercial hire business is reduced as follows — </w:t>
      </w:r>
    </w:p>
    <w:p>
      <w:pPr>
        <w:pStyle w:val="Equation"/>
        <w:jc w:val="right"/>
      </w:pPr>
      <w:r>
        <w:rPr>
          <w:position w:val="-26"/>
        </w:rPr>
        <w:object w:dxaOrig="8100" w:dyaOrig="600">
          <v:shape id="_x0000_i1035" type="#_x0000_t75" style="width:353.25pt;height:26.25pt" o:ole="">
            <v:imagedata r:id="rId38" o:title=""/>
          </v:shape>
          <o:OLEObject Type="Embed" ProgID="Equation.3" ShapeID="_x0000_i1035" DrawAspect="Content" ObjectID="_1643744738" r:id="rId39"/>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1788" w:name="_Toc76899719"/>
      <w:bookmarkStart w:id="1789" w:name="_Toc78090621"/>
      <w:bookmarkStart w:id="1790" w:name="_Toc88886989"/>
      <w:bookmarkStart w:id="1791" w:name="_Toc90443605"/>
      <w:bookmarkStart w:id="1792" w:name="_Toc90452956"/>
      <w:bookmarkStart w:id="1793" w:name="_Toc100029547"/>
      <w:bookmarkStart w:id="1794" w:name="_Toc100031620"/>
      <w:bookmarkStart w:id="1795" w:name="_Toc100458679"/>
      <w:bookmarkStart w:id="1796" w:name="_Toc101672095"/>
      <w:bookmarkStart w:id="1797" w:name="_Toc101672352"/>
      <w:bookmarkStart w:id="1798" w:name="_Toc102799378"/>
      <w:bookmarkStart w:id="1799" w:name="_Toc102982052"/>
      <w:bookmarkStart w:id="1800" w:name="_Toc103403365"/>
      <w:bookmarkStart w:id="1801" w:name="_Toc103403622"/>
      <w:bookmarkStart w:id="1802" w:name="_Toc103747621"/>
      <w:bookmarkStart w:id="1803" w:name="_Toc107055050"/>
      <w:bookmarkStart w:id="1804" w:name="_Toc113874497"/>
      <w:bookmarkStart w:id="1805" w:name="_Toc113956913"/>
      <w:bookmarkStart w:id="1806" w:name="_Toc116717469"/>
      <w:bookmarkStart w:id="1807" w:name="_Toc116813496"/>
      <w:bookmarkStart w:id="1808" w:name="_Toc122333149"/>
      <w:bookmarkStart w:id="1809" w:name="_Toc122862119"/>
      <w:bookmarkStart w:id="1810" w:name="_Toc122862715"/>
      <w:bookmarkStart w:id="1811" w:name="_Toc122921322"/>
      <w:bookmarkStart w:id="1812" w:name="_Toc122921582"/>
      <w:bookmarkStart w:id="1813" w:name="_Toc122947528"/>
      <w:bookmarkStart w:id="1814" w:name="_Toc124046366"/>
      <w:bookmarkStart w:id="1815" w:name="_Toc131415965"/>
      <w:bookmarkStart w:id="1816" w:name="_Toc131416264"/>
      <w:bookmarkStart w:id="1817" w:name="_Toc170193447"/>
      <w:r>
        <w:rPr>
          <w:rStyle w:val="CharDivNo"/>
        </w:rPr>
        <w:t>Division 5</w:t>
      </w:r>
      <w:r>
        <w:t> — </w:t>
      </w:r>
      <w:r>
        <w:rPr>
          <w:rStyle w:val="CharDivText"/>
        </w:rPr>
        <w:t>Persons other than commercial hire businesses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Footnoteheading"/>
        <w:keepNext/>
        <w:tabs>
          <w:tab w:val="left" w:pos="923"/>
        </w:tabs>
        <w:ind w:left="937" w:hanging="937"/>
        <w:rPr>
          <w:snapToGrid w:val="0"/>
        </w:rPr>
      </w:pPr>
      <w:r>
        <w:rPr>
          <w:snapToGrid w:val="0"/>
        </w:rPr>
        <w:tab/>
        <w:t xml:space="preserve">[Heading inserted by No. 66 of 2003 s. 85.] </w:t>
      </w:r>
    </w:p>
    <w:p>
      <w:pPr>
        <w:pStyle w:val="Heading5"/>
      </w:pPr>
      <w:bookmarkStart w:id="1818" w:name="_Toc107055051"/>
      <w:bookmarkStart w:id="1819" w:name="_Toc131416265"/>
      <w:bookmarkStart w:id="1820" w:name="_Toc170193448"/>
      <w:r>
        <w:rPr>
          <w:rStyle w:val="CharSectno"/>
        </w:rPr>
        <w:t>112M</w:t>
      </w:r>
      <w:r>
        <w:t>.</w:t>
      </w:r>
      <w:r>
        <w:tab/>
        <w:t>Statement of transaction</w:t>
      </w:r>
      <w:bookmarkEnd w:id="1818"/>
      <w:bookmarkEnd w:id="1819"/>
      <w:bookmarkEnd w:id="1820"/>
    </w:p>
    <w:p>
      <w:pPr>
        <w:pStyle w:val="Subsection"/>
        <w:spacing w:before="140"/>
      </w:pPr>
      <w:r>
        <w:tab/>
        <w:t>(1)</w:t>
      </w:r>
      <w:r>
        <w:tab/>
        <w:t xml:space="preserve">If a hirer hires goods under a hire of goods from a person who is not a commercial hire business and the total amount of hiring charges paid or payable for the hire of the goods is at least $1 000, the hirer must prepare a statement that includes particulars of the following —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 xml:space="preserve">The statement must be prepared at or before the earlier of —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1821" w:name="_Toc107055052"/>
      <w:bookmarkStart w:id="1822" w:name="_Toc131416266"/>
      <w:bookmarkStart w:id="1823" w:name="_Toc170193449"/>
      <w:r>
        <w:rPr>
          <w:rStyle w:val="CharSectno"/>
        </w:rPr>
        <w:t>112MA</w:t>
      </w:r>
      <w:r>
        <w:t>.</w:t>
      </w:r>
      <w:r>
        <w:tab/>
        <w:t>Lodging statements and paying duty</w:t>
      </w:r>
      <w:bookmarkEnd w:id="1821"/>
      <w:bookmarkEnd w:id="1822"/>
      <w:bookmarkEnd w:id="1823"/>
    </w:p>
    <w:p>
      <w:pPr>
        <w:pStyle w:val="Subsection"/>
      </w:pPr>
      <w:r>
        <w:tab/>
        <w:t>(1)</w:t>
      </w:r>
      <w:r>
        <w:tab/>
        <w:t xml:space="preserve">Within 3 months after the statement is required to be prepared, the hirer must —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keepNext/>
      </w:pPr>
      <w:r>
        <w:tab/>
        <w:t>(2)</w:t>
      </w:r>
      <w:r>
        <w:tab/>
        <w:t xml:space="preserve">Duty payable on a statement is —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1824" w:name="_Toc107055053"/>
      <w:bookmarkStart w:id="1825" w:name="_Toc131416267"/>
      <w:bookmarkStart w:id="1826" w:name="_Toc170193450"/>
      <w:r>
        <w:rPr>
          <w:rStyle w:val="CharSectno"/>
        </w:rPr>
        <w:t>112MB</w:t>
      </w:r>
      <w:r>
        <w:t>.</w:t>
      </w:r>
      <w:r>
        <w:tab/>
        <w:t>Method of calculating total hiring charges if they are not readily ascertainable</w:t>
      </w:r>
      <w:bookmarkEnd w:id="1824"/>
      <w:bookmarkEnd w:id="1825"/>
      <w:bookmarkEnd w:id="1826"/>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 xml:space="preserve">Within 3 months after a statement is required to be prepared, the hirer must —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1827" w:name="_Toc76899723"/>
      <w:bookmarkStart w:id="1828" w:name="_Toc78090625"/>
      <w:bookmarkStart w:id="1829" w:name="_Toc88886993"/>
      <w:bookmarkStart w:id="1830" w:name="_Toc90443609"/>
      <w:bookmarkStart w:id="1831" w:name="_Toc90452960"/>
      <w:bookmarkStart w:id="1832" w:name="_Toc100029551"/>
      <w:bookmarkStart w:id="1833" w:name="_Toc100031624"/>
      <w:bookmarkStart w:id="1834" w:name="_Toc100458683"/>
      <w:bookmarkStart w:id="1835" w:name="_Toc101672099"/>
      <w:bookmarkStart w:id="1836" w:name="_Toc101672356"/>
      <w:bookmarkStart w:id="1837" w:name="_Toc102799382"/>
      <w:bookmarkStart w:id="1838" w:name="_Toc102982056"/>
      <w:bookmarkStart w:id="1839" w:name="_Toc103403369"/>
      <w:bookmarkStart w:id="1840" w:name="_Toc103403626"/>
      <w:bookmarkStart w:id="1841" w:name="_Toc103747625"/>
      <w:bookmarkStart w:id="1842" w:name="_Toc107055054"/>
      <w:bookmarkStart w:id="1843" w:name="_Toc113874501"/>
      <w:bookmarkStart w:id="1844" w:name="_Toc113956917"/>
      <w:bookmarkStart w:id="1845" w:name="_Toc116717473"/>
      <w:bookmarkStart w:id="1846" w:name="_Toc116813500"/>
      <w:bookmarkStart w:id="1847" w:name="_Toc122333153"/>
      <w:bookmarkStart w:id="1848" w:name="_Toc122862123"/>
      <w:bookmarkStart w:id="1849" w:name="_Toc122862719"/>
      <w:bookmarkStart w:id="1850" w:name="_Toc122921326"/>
      <w:bookmarkStart w:id="1851" w:name="_Toc122921586"/>
      <w:bookmarkStart w:id="1852" w:name="_Toc122947532"/>
      <w:bookmarkStart w:id="1853" w:name="_Toc124046370"/>
      <w:bookmarkStart w:id="1854" w:name="_Toc131415969"/>
      <w:bookmarkStart w:id="1855" w:name="_Toc131416268"/>
      <w:bookmarkStart w:id="1856" w:name="_Toc170193451"/>
      <w:r>
        <w:rPr>
          <w:rStyle w:val="CharDivNo"/>
        </w:rPr>
        <w:t>Division 6</w:t>
      </w:r>
      <w:r>
        <w:t> — </w:t>
      </w:r>
      <w:r>
        <w:rPr>
          <w:rStyle w:val="CharDivText"/>
        </w:rPr>
        <w:t>General provisions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857" w:name="_Toc107055055"/>
      <w:bookmarkStart w:id="1858" w:name="_Toc131416269"/>
      <w:bookmarkStart w:id="1859" w:name="_Toc170193452"/>
      <w:r>
        <w:rPr>
          <w:rStyle w:val="CharSectno"/>
        </w:rPr>
        <w:t>112N</w:t>
      </w:r>
      <w:r>
        <w:t>.</w:t>
      </w:r>
      <w:r>
        <w:tab/>
        <w:t>Credit for duty paid in another Australian jurisdiction</w:t>
      </w:r>
      <w:bookmarkEnd w:id="1857"/>
      <w:bookmarkEnd w:id="1858"/>
      <w:bookmarkEnd w:id="1859"/>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1860" w:name="_Toc107055056"/>
      <w:bookmarkStart w:id="1861" w:name="_Toc131416270"/>
      <w:bookmarkStart w:id="1862" w:name="_Toc170193453"/>
      <w:r>
        <w:t>112NA.</w:t>
      </w:r>
      <w:r>
        <w:tab/>
        <w:t>Splitting or redirecting hiring charges — anti</w:t>
      </w:r>
      <w:r>
        <w:noBreakHyphen/>
        <w:t>avoidance provision</w:t>
      </w:r>
      <w:bookmarkEnd w:id="1860"/>
      <w:bookmarkEnd w:id="1861"/>
      <w:bookmarkEnd w:id="1862"/>
    </w:p>
    <w:p>
      <w:pPr>
        <w:pStyle w:val="Subsection"/>
      </w:pPr>
      <w:r>
        <w:tab/>
        <w:t>(1)</w:t>
      </w:r>
      <w:r>
        <w:tab/>
        <w:t xml:space="preserve">The Commissioner may include in an assessment or reassessment, as part of an amount received as hiring charges, any of the following —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pPr>
      <w:r>
        <w:tab/>
        <w:t>[Section 112NA inserted by No. 66 of 2003 s. 85.]</w:t>
      </w:r>
    </w:p>
    <w:p>
      <w:pPr>
        <w:pStyle w:val="Heading5"/>
      </w:pPr>
      <w:bookmarkStart w:id="1863" w:name="_Toc107055057"/>
      <w:bookmarkStart w:id="1864" w:name="_Toc131416271"/>
      <w:bookmarkStart w:id="1865" w:name="_Toc170193454"/>
      <w:r>
        <w:rPr>
          <w:rStyle w:val="CharSectno"/>
        </w:rPr>
        <w:t>112NB</w:t>
      </w:r>
      <w:r>
        <w:t>.</w:t>
      </w:r>
      <w:r>
        <w:tab/>
        <w:t>Ascertainment and disclosure of place of use of goods</w:t>
      </w:r>
      <w:bookmarkEnd w:id="1863"/>
      <w:bookmarkEnd w:id="1864"/>
      <w:bookmarkEnd w:id="1865"/>
    </w:p>
    <w:p>
      <w:pPr>
        <w:pStyle w:val="Subsection"/>
      </w:pPr>
      <w:r>
        <w:tab/>
        <w:t>(1)</w:t>
      </w:r>
      <w:r>
        <w:tab/>
        <w:t xml:space="preserve">A commercial hire business may, in determining the commercial hire business’s liability to duty, rely on a statement of the hirer as to —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1866" w:name="_Toc107055058"/>
      <w:bookmarkStart w:id="1867" w:name="_Toc131416272"/>
      <w:bookmarkStart w:id="1868" w:name="_Toc170193455"/>
      <w:r>
        <w:rPr>
          <w:rStyle w:val="CharSectno"/>
        </w:rPr>
        <w:t>112NC</w:t>
      </w:r>
      <w:r>
        <w:t>.</w:t>
      </w:r>
      <w:r>
        <w:tab/>
        <w:t>Records</w:t>
      </w:r>
      <w:bookmarkEnd w:id="1866"/>
      <w:bookmarkEnd w:id="1867"/>
      <w:bookmarkEnd w:id="1868"/>
    </w:p>
    <w:p>
      <w:pPr>
        <w:pStyle w:val="Subsection"/>
      </w:pPr>
      <w:r>
        <w:tab/>
      </w:r>
      <w:r>
        <w:tab/>
        <w:t xml:space="preserve">A commercial hire business and a hirer who must prepare a statement under Division 5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pPr>
      <w:r>
        <w:tab/>
        <w:t>[Section 112NC inserted by No. 66 of 2003 s. 85.]</w:t>
      </w:r>
    </w:p>
    <w:p>
      <w:pPr>
        <w:pStyle w:val="Ednotesection"/>
        <w:ind w:left="0" w:firstLine="0"/>
      </w:pPr>
      <w:r>
        <w:t>[</w:t>
      </w:r>
      <w:r>
        <w:rPr>
          <w:b/>
        </w:rPr>
        <w:t>112O, 112P.</w:t>
      </w:r>
      <w:r>
        <w:tab/>
        <w:t>Repealed by No. 66 of 2003 s. 85.]</w:t>
      </w:r>
    </w:p>
    <w:p>
      <w:pPr>
        <w:pStyle w:val="Heading2"/>
      </w:pPr>
      <w:bookmarkStart w:id="1869" w:name="_Toc76899728"/>
      <w:bookmarkStart w:id="1870" w:name="_Toc78090630"/>
      <w:bookmarkStart w:id="1871" w:name="_Toc88886998"/>
      <w:bookmarkStart w:id="1872" w:name="_Toc90443614"/>
      <w:bookmarkStart w:id="1873" w:name="_Toc90452965"/>
      <w:bookmarkStart w:id="1874" w:name="_Toc100029556"/>
      <w:bookmarkStart w:id="1875" w:name="_Toc100031629"/>
      <w:bookmarkStart w:id="1876" w:name="_Toc100458688"/>
      <w:bookmarkStart w:id="1877" w:name="_Toc101672104"/>
      <w:bookmarkStart w:id="1878" w:name="_Toc101672361"/>
      <w:bookmarkStart w:id="1879" w:name="_Toc102799387"/>
      <w:bookmarkStart w:id="1880" w:name="_Toc102982061"/>
      <w:bookmarkStart w:id="1881" w:name="_Toc103403374"/>
      <w:bookmarkStart w:id="1882" w:name="_Toc103403631"/>
      <w:bookmarkStart w:id="1883" w:name="_Toc103747630"/>
      <w:bookmarkStart w:id="1884" w:name="_Toc107055059"/>
      <w:bookmarkStart w:id="1885" w:name="_Toc113874506"/>
      <w:bookmarkStart w:id="1886" w:name="_Toc113956922"/>
      <w:bookmarkStart w:id="1887" w:name="_Toc116717478"/>
      <w:bookmarkStart w:id="1888" w:name="_Toc116813505"/>
      <w:bookmarkStart w:id="1889" w:name="_Toc122333158"/>
      <w:bookmarkStart w:id="1890" w:name="_Toc122862128"/>
      <w:bookmarkStart w:id="1891" w:name="_Toc122862724"/>
      <w:bookmarkStart w:id="1892" w:name="_Toc122921331"/>
      <w:bookmarkStart w:id="1893" w:name="_Toc122921591"/>
      <w:bookmarkStart w:id="1894" w:name="_Toc122947537"/>
      <w:bookmarkStart w:id="1895" w:name="_Toc124046375"/>
      <w:bookmarkStart w:id="1896" w:name="_Toc131415974"/>
      <w:bookmarkStart w:id="1897" w:name="_Toc131416273"/>
      <w:bookmarkStart w:id="1898" w:name="_Toc170193456"/>
      <w:r>
        <w:rPr>
          <w:rStyle w:val="CharPartNo"/>
        </w:rPr>
        <w:t>Part IVC</w:t>
      </w:r>
      <w:r>
        <w:rPr>
          <w:rStyle w:val="CharDivNo"/>
        </w:rPr>
        <w:t> </w:t>
      </w:r>
      <w:r>
        <w:t>—</w:t>
      </w:r>
      <w:r>
        <w:rPr>
          <w:rStyle w:val="CharDivText"/>
        </w:rPr>
        <w:t> </w:t>
      </w:r>
      <w:r>
        <w:rPr>
          <w:rStyle w:val="CharPartText"/>
        </w:rPr>
        <w:t>Exemptions in relation to aged or disabled persons</w:t>
      </w:r>
      <w:bookmarkEnd w:id="1619"/>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1899" w:name="_Toc500740069"/>
      <w:bookmarkStart w:id="1900" w:name="_Toc520101232"/>
      <w:bookmarkStart w:id="1901" w:name="_Toc520533131"/>
      <w:bookmarkStart w:id="1902" w:name="_Toc49224011"/>
      <w:bookmarkStart w:id="1903" w:name="_Toc107055060"/>
      <w:bookmarkStart w:id="1904" w:name="_Toc131416274"/>
      <w:bookmarkStart w:id="1905" w:name="_Toc170193457"/>
      <w:r>
        <w:rPr>
          <w:rStyle w:val="CharSectno"/>
        </w:rPr>
        <w:t>112Q</w:t>
      </w:r>
      <w:r>
        <w:rPr>
          <w:snapToGrid w:val="0"/>
        </w:rPr>
        <w:t>.</w:t>
      </w:r>
      <w:r>
        <w:rPr>
          <w:snapToGrid w:val="0"/>
        </w:rPr>
        <w:tab/>
        <w:t>Certain residential agreements with charitable bodies exempt</w:t>
      </w:r>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qualified person</w:t>
      </w:r>
      <w:r>
        <w:rPr>
          <w:b/>
        </w:rPr>
        <w:t>”</w:t>
      </w:r>
      <w:r>
        <w:t xml:space="preserve"> means a person —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 xml:space="preserve">[Section 112Q inserted by No. 13 of 1997 s. 41(1); amended by No. 2 of 2003 s. 130; No. 28 of 2003 s. 193.] </w:t>
      </w:r>
    </w:p>
    <w:p>
      <w:pPr>
        <w:pStyle w:val="Heading5"/>
      </w:pPr>
      <w:bookmarkStart w:id="1906" w:name="_Toc500740070"/>
      <w:bookmarkStart w:id="1907" w:name="_Toc520101233"/>
      <w:bookmarkStart w:id="1908" w:name="_Toc520533132"/>
      <w:bookmarkStart w:id="1909" w:name="_Toc49224012"/>
      <w:bookmarkStart w:id="1910" w:name="_Toc107055061"/>
      <w:bookmarkStart w:id="1911" w:name="_Toc131416275"/>
      <w:bookmarkStart w:id="1912" w:name="_Toc170193458"/>
      <w:r>
        <w:rPr>
          <w:rStyle w:val="CharSectno"/>
        </w:rPr>
        <w:t>112R</w:t>
      </w:r>
      <w:r>
        <w:rPr>
          <w:snapToGrid w:val="0"/>
        </w:rPr>
        <w:t>.</w:t>
      </w:r>
      <w:r>
        <w:rPr>
          <w:snapToGrid w:val="0"/>
        </w:rPr>
        <w:tab/>
        <w:t>Certain aged care agreements exempt</w:t>
      </w:r>
      <w:bookmarkEnd w:id="1906"/>
      <w:bookmarkEnd w:id="1907"/>
      <w:bookmarkEnd w:id="1908"/>
      <w:bookmarkEnd w:id="1909"/>
      <w:bookmarkEnd w:id="1910"/>
      <w:bookmarkEnd w:id="1911"/>
      <w:bookmarkEnd w:id="1912"/>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1913" w:name="_Toc500740071"/>
      <w:bookmarkStart w:id="1914" w:name="_Toc520101234"/>
      <w:bookmarkStart w:id="1915" w:name="_Toc520533133"/>
      <w:bookmarkStart w:id="1916" w:name="_Toc49224013"/>
      <w:bookmarkStart w:id="1917" w:name="_Toc107055062"/>
      <w:bookmarkStart w:id="1918" w:name="_Toc131416276"/>
      <w:bookmarkStart w:id="1919" w:name="_Toc170193459"/>
      <w:r>
        <w:rPr>
          <w:rStyle w:val="CharSectno"/>
        </w:rPr>
        <w:t>112S</w:t>
      </w:r>
      <w:r>
        <w:rPr>
          <w:snapToGrid w:val="0"/>
        </w:rPr>
        <w:t>.</w:t>
      </w:r>
      <w:r>
        <w:rPr>
          <w:snapToGrid w:val="0"/>
        </w:rPr>
        <w:tab/>
        <w:t>Instruments not required to be lodged</w:t>
      </w:r>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1920" w:name="_Toc58902680"/>
      <w:bookmarkStart w:id="1921" w:name="_Toc76899732"/>
      <w:bookmarkStart w:id="1922" w:name="_Toc78090634"/>
      <w:bookmarkStart w:id="1923" w:name="_Toc88887002"/>
      <w:bookmarkStart w:id="1924" w:name="_Toc90443618"/>
      <w:bookmarkStart w:id="1925" w:name="_Toc90452969"/>
      <w:bookmarkStart w:id="1926" w:name="_Toc100029560"/>
      <w:bookmarkStart w:id="1927" w:name="_Toc100031633"/>
      <w:bookmarkStart w:id="1928" w:name="_Toc100458692"/>
      <w:bookmarkStart w:id="1929" w:name="_Toc101672108"/>
      <w:bookmarkStart w:id="1930" w:name="_Toc101672365"/>
      <w:bookmarkStart w:id="1931" w:name="_Toc102799391"/>
      <w:bookmarkStart w:id="1932" w:name="_Toc102982065"/>
      <w:bookmarkStart w:id="1933" w:name="_Toc103403378"/>
      <w:bookmarkStart w:id="1934" w:name="_Toc103403635"/>
      <w:bookmarkStart w:id="1935" w:name="_Toc103747634"/>
      <w:bookmarkStart w:id="1936" w:name="_Toc107055063"/>
      <w:bookmarkStart w:id="1937" w:name="_Toc113874510"/>
      <w:bookmarkStart w:id="1938" w:name="_Toc113956926"/>
      <w:bookmarkStart w:id="1939" w:name="_Toc116717482"/>
      <w:bookmarkStart w:id="1940" w:name="_Toc116813509"/>
      <w:bookmarkStart w:id="1941" w:name="_Toc122333162"/>
      <w:bookmarkStart w:id="1942" w:name="_Toc122862132"/>
      <w:bookmarkStart w:id="1943" w:name="_Toc122862728"/>
      <w:bookmarkStart w:id="1944" w:name="_Toc122921335"/>
      <w:bookmarkStart w:id="1945" w:name="_Toc122921595"/>
      <w:bookmarkStart w:id="1946" w:name="_Toc122947541"/>
      <w:bookmarkStart w:id="1947" w:name="_Toc124046379"/>
      <w:bookmarkStart w:id="1948" w:name="_Toc131415978"/>
      <w:bookmarkStart w:id="1949" w:name="_Toc131416277"/>
      <w:bookmarkStart w:id="1950" w:name="_Toc170193460"/>
      <w:r>
        <w:rPr>
          <w:rStyle w:val="CharPartNo"/>
        </w:rPr>
        <w:t>Part IVD</w:t>
      </w:r>
      <w:r>
        <w:rPr>
          <w:rStyle w:val="CharDivNo"/>
        </w:rPr>
        <w:t> </w:t>
      </w:r>
      <w:r>
        <w:t>—</w:t>
      </w:r>
      <w:r>
        <w:rPr>
          <w:rStyle w:val="CharDivText"/>
        </w:rPr>
        <w:t> </w:t>
      </w:r>
      <w:r>
        <w:rPr>
          <w:rStyle w:val="CharPartText"/>
        </w:rPr>
        <w:t>Maintenance agreements and orders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PartText"/>
        </w:rPr>
        <w:t xml:space="preserve"> </w:t>
      </w:r>
    </w:p>
    <w:p>
      <w:pPr>
        <w:pStyle w:val="Footnoteheading"/>
        <w:tabs>
          <w:tab w:val="left" w:pos="923"/>
        </w:tabs>
        <w:ind w:left="937" w:hanging="937"/>
        <w:rPr>
          <w:snapToGrid w:val="0"/>
        </w:rPr>
      </w:pPr>
      <w:r>
        <w:rPr>
          <w:snapToGrid w:val="0"/>
        </w:rPr>
        <w:tab/>
        <w:t xml:space="preserve">[Heading inserted by No. 45 of 1982 s. 3.] </w:t>
      </w:r>
    </w:p>
    <w:p>
      <w:pPr>
        <w:pStyle w:val="Heading5"/>
        <w:rPr>
          <w:snapToGrid w:val="0"/>
        </w:rPr>
      </w:pPr>
      <w:bookmarkStart w:id="1951" w:name="_Toc500740072"/>
      <w:bookmarkStart w:id="1952" w:name="_Toc520101235"/>
      <w:bookmarkStart w:id="1953" w:name="_Toc520533134"/>
      <w:bookmarkStart w:id="1954" w:name="_Toc49224014"/>
      <w:bookmarkStart w:id="1955" w:name="_Toc107055064"/>
      <w:bookmarkStart w:id="1956" w:name="_Toc131416278"/>
      <w:bookmarkStart w:id="1957" w:name="_Toc170193461"/>
      <w:r>
        <w:rPr>
          <w:rStyle w:val="CharSectno"/>
        </w:rPr>
        <w:t>112UA</w:t>
      </w:r>
      <w:r>
        <w:rPr>
          <w:snapToGrid w:val="0"/>
        </w:rPr>
        <w:t>.</w:t>
      </w:r>
      <w:r>
        <w:rPr>
          <w:snapToGrid w:val="0"/>
        </w:rPr>
        <w:tab/>
        <w:t>Interpretation in Part IVD</w:t>
      </w:r>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 xml:space="preserve">[Section 112UA inserted by No. 45 of 1982 s. 3; amended by No. 41 of 1997 s. 37; No. 25 of 2002 s. 52; No. 2 of 2003 s. 132.] </w:t>
      </w:r>
    </w:p>
    <w:p>
      <w:pPr>
        <w:pStyle w:val="Heading5"/>
        <w:rPr>
          <w:snapToGrid w:val="0"/>
        </w:rPr>
      </w:pPr>
      <w:bookmarkStart w:id="1958" w:name="_Toc500740073"/>
      <w:bookmarkStart w:id="1959" w:name="_Toc520101236"/>
      <w:bookmarkStart w:id="1960" w:name="_Toc520533135"/>
      <w:bookmarkStart w:id="1961" w:name="_Toc49224015"/>
      <w:bookmarkStart w:id="1962" w:name="_Toc107055065"/>
      <w:bookmarkStart w:id="1963" w:name="_Toc131416279"/>
      <w:bookmarkStart w:id="1964" w:name="_Toc170193462"/>
      <w:r>
        <w:rPr>
          <w:rStyle w:val="CharSectno"/>
        </w:rPr>
        <w:t>112UB</w:t>
      </w:r>
      <w:r>
        <w:rPr>
          <w:snapToGrid w:val="0"/>
        </w:rPr>
        <w:t>.</w:t>
      </w:r>
      <w:r>
        <w:rPr>
          <w:snapToGrid w:val="0"/>
        </w:rPr>
        <w:tab/>
        <w:t>Application of Part IVD</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 xml:space="preserve">Sections 112UC and 112UD do not apply to or in relation to —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 xml:space="preserve">Sections 112UC and 112UD do not apply to or in relation to —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 xml:space="preserve">A statement in a maintenance agreement to the effect that — </w:t>
      </w:r>
    </w:p>
    <w:p>
      <w:pPr>
        <w:pStyle w:val="Indenta"/>
        <w:spacing w:before="60"/>
      </w:pPr>
      <w:r>
        <w:tab/>
        <w:t>(a)</w:t>
      </w:r>
      <w:r>
        <w:tab/>
        <w:t xml:space="preserve">the </w:t>
      </w:r>
      <w:r>
        <w:rPr>
          <w:snapToGrid w:val="0"/>
        </w:rPr>
        <w:t>parties</w:t>
      </w:r>
      <w:r>
        <w:t xml:space="preserve"> to a marriage are separated or divorced from each other; or </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 xml:space="preserve">[Section 112UB inserted by No. 45 of 1982 s. 3; amended by No. 25 of 2002 s. 52; No. 2 of 2003 s. 133.] </w:t>
      </w:r>
    </w:p>
    <w:p>
      <w:pPr>
        <w:pStyle w:val="Heading5"/>
        <w:rPr>
          <w:snapToGrid w:val="0"/>
        </w:rPr>
      </w:pPr>
      <w:bookmarkStart w:id="1965" w:name="_Toc500740074"/>
      <w:bookmarkStart w:id="1966" w:name="_Toc520101237"/>
      <w:bookmarkStart w:id="1967" w:name="_Toc520533136"/>
      <w:bookmarkStart w:id="1968" w:name="_Toc49224016"/>
      <w:bookmarkStart w:id="1969" w:name="_Toc107055066"/>
      <w:bookmarkStart w:id="1970" w:name="_Toc131416280"/>
      <w:bookmarkStart w:id="1971" w:name="_Toc170193463"/>
      <w:r>
        <w:rPr>
          <w:rStyle w:val="CharSectno"/>
        </w:rPr>
        <w:t>112UC</w:t>
      </w:r>
      <w:r>
        <w:rPr>
          <w:snapToGrid w:val="0"/>
        </w:rPr>
        <w:t>.</w:t>
      </w:r>
      <w:r>
        <w:rPr>
          <w:snapToGrid w:val="0"/>
        </w:rPr>
        <w:tab/>
        <w:t>Duty on maintenance agreements and orders</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Notwithstanding anything in a stamp Act but subject to section 112UB —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 xml:space="preserve">[Section 112UC inserted by No. 45 of 1982 s. 3; amended by No. 2 of 2003 s. 134.] </w:t>
      </w:r>
    </w:p>
    <w:p>
      <w:pPr>
        <w:pStyle w:val="Heading5"/>
        <w:rPr>
          <w:snapToGrid w:val="0"/>
        </w:rPr>
      </w:pPr>
      <w:bookmarkStart w:id="1972" w:name="_Toc500740075"/>
      <w:bookmarkStart w:id="1973" w:name="_Toc520101238"/>
      <w:bookmarkStart w:id="1974" w:name="_Toc520533137"/>
      <w:bookmarkStart w:id="1975" w:name="_Toc49224017"/>
      <w:bookmarkStart w:id="1976" w:name="_Toc107055067"/>
      <w:bookmarkStart w:id="1977" w:name="_Toc131416281"/>
      <w:bookmarkStart w:id="1978" w:name="_Toc170193464"/>
      <w:r>
        <w:rPr>
          <w:rStyle w:val="CharSectno"/>
        </w:rPr>
        <w:t>112UD</w:t>
      </w:r>
      <w:r>
        <w:rPr>
          <w:snapToGrid w:val="0"/>
        </w:rPr>
        <w:t>.</w:t>
      </w:r>
      <w:r>
        <w:rPr>
          <w:snapToGrid w:val="0"/>
        </w:rPr>
        <w:tab/>
        <w:t>Duty on conveyance or transfer under maintenance agreement or order</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 xml:space="preserve">[Section 112UD inserted by No. 45 of 1982 s. 3; amended by No. 2 of 2003 s. 135.] </w:t>
      </w:r>
    </w:p>
    <w:p>
      <w:pPr>
        <w:pStyle w:val="Heading2"/>
      </w:pPr>
      <w:bookmarkStart w:id="1979" w:name="_Toc58902685"/>
      <w:bookmarkStart w:id="1980" w:name="_Toc76899737"/>
      <w:bookmarkStart w:id="1981" w:name="_Toc78090639"/>
      <w:bookmarkStart w:id="1982" w:name="_Toc88887007"/>
      <w:bookmarkStart w:id="1983" w:name="_Toc90443623"/>
      <w:bookmarkStart w:id="1984" w:name="_Toc90452974"/>
      <w:bookmarkStart w:id="1985" w:name="_Toc100029565"/>
      <w:bookmarkStart w:id="1986" w:name="_Toc100031638"/>
      <w:bookmarkStart w:id="1987" w:name="_Toc100458697"/>
      <w:bookmarkStart w:id="1988" w:name="_Toc101672113"/>
      <w:bookmarkStart w:id="1989" w:name="_Toc101672370"/>
      <w:bookmarkStart w:id="1990" w:name="_Toc102799396"/>
      <w:bookmarkStart w:id="1991" w:name="_Toc102982070"/>
      <w:bookmarkStart w:id="1992" w:name="_Toc103403383"/>
      <w:bookmarkStart w:id="1993" w:name="_Toc103403640"/>
      <w:bookmarkStart w:id="1994" w:name="_Toc103747639"/>
      <w:bookmarkStart w:id="1995" w:name="_Toc107055068"/>
      <w:bookmarkStart w:id="1996" w:name="_Toc113874515"/>
      <w:bookmarkStart w:id="1997" w:name="_Toc113956931"/>
      <w:bookmarkStart w:id="1998" w:name="_Toc116717487"/>
      <w:bookmarkStart w:id="1999" w:name="_Toc116813514"/>
      <w:bookmarkStart w:id="2000" w:name="_Toc122333167"/>
      <w:bookmarkStart w:id="2001" w:name="_Toc122862137"/>
      <w:bookmarkStart w:id="2002" w:name="_Toc122862733"/>
      <w:bookmarkStart w:id="2003" w:name="_Toc122921340"/>
      <w:bookmarkStart w:id="2004" w:name="_Toc122921600"/>
      <w:bookmarkStart w:id="2005" w:name="_Toc122947546"/>
      <w:bookmarkStart w:id="2006" w:name="_Toc124046384"/>
      <w:bookmarkStart w:id="2007" w:name="_Toc131415983"/>
      <w:bookmarkStart w:id="2008" w:name="_Toc131416282"/>
      <w:bookmarkStart w:id="2009" w:name="_Toc170193465"/>
      <w:r>
        <w:rPr>
          <w:rStyle w:val="CharPartNo"/>
        </w:rPr>
        <w:t>Part IVE</w:t>
      </w:r>
      <w:r>
        <w:rPr>
          <w:rStyle w:val="CharDivNo"/>
        </w:rPr>
        <w:t> </w:t>
      </w:r>
      <w:r>
        <w:t>—</w:t>
      </w:r>
      <w:r>
        <w:rPr>
          <w:rStyle w:val="CharDivText"/>
        </w:rPr>
        <w:t> </w:t>
      </w:r>
      <w:r>
        <w:rPr>
          <w:rStyle w:val="CharPartText"/>
        </w:rPr>
        <w:t>Managed investment schemes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Footnoteheading"/>
        <w:tabs>
          <w:tab w:val="left" w:pos="923"/>
        </w:tabs>
        <w:ind w:left="937" w:hanging="937"/>
      </w:pPr>
      <w:r>
        <w:tab/>
        <w:t>[Heading inserted by No. 24 of 1999 s. 6.]</w:t>
      </w:r>
    </w:p>
    <w:p>
      <w:pPr>
        <w:pStyle w:val="Heading5"/>
      </w:pPr>
      <w:bookmarkStart w:id="2010" w:name="_Toc500740076"/>
      <w:bookmarkStart w:id="2011" w:name="_Toc520101239"/>
      <w:bookmarkStart w:id="2012" w:name="_Toc520533138"/>
      <w:bookmarkStart w:id="2013" w:name="_Toc49224018"/>
      <w:bookmarkStart w:id="2014" w:name="_Toc107055069"/>
      <w:bookmarkStart w:id="2015" w:name="_Toc131416283"/>
      <w:bookmarkStart w:id="2016" w:name="_Toc170193466"/>
      <w:r>
        <w:rPr>
          <w:rStyle w:val="CharSectno"/>
        </w:rPr>
        <w:t>112UE</w:t>
      </w:r>
      <w:r>
        <w:t>.</w:t>
      </w:r>
      <w:r>
        <w:tab/>
        <w:t>Duty on certain instruments for the purpose of managed investment schemes</w:t>
      </w:r>
      <w:bookmarkEnd w:id="2010"/>
      <w:bookmarkEnd w:id="2011"/>
      <w:bookmarkEnd w:id="2012"/>
      <w:bookmarkEnd w:id="2013"/>
      <w:bookmarkEnd w:id="2014"/>
      <w:bookmarkEnd w:id="2015"/>
      <w:bookmarkEnd w:id="2016"/>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017" w:name="_Toc58902687"/>
      <w:bookmarkStart w:id="2018" w:name="_Toc76899739"/>
      <w:bookmarkStart w:id="2019" w:name="_Toc78090641"/>
      <w:bookmarkStart w:id="2020" w:name="_Toc88887009"/>
      <w:bookmarkStart w:id="2021" w:name="_Toc90443625"/>
      <w:bookmarkStart w:id="2022" w:name="_Toc90452976"/>
      <w:bookmarkStart w:id="2023" w:name="_Toc100029567"/>
      <w:bookmarkStart w:id="2024" w:name="_Toc100031640"/>
      <w:bookmarkStart w:id="2025" w:name="_Toc100458699"/>
      <w:bookmarkStart w:id="2026" w:name="_Toc101672115"/>
      <w:bookmarkStart w:id="2027" w:name="_Toc101672372"/>
      <w:bookmarkStart w:id="2028" w:name="_Toc102799398"/>
      <w:bookmarkStart w:id="2029" w:name="_Toc102982072"/>
      <w:bookmarkStart w:id="2030" w:name="_Toc103403385"/>
      <w:bookmarkStart w:id="2031" w:name="_Toc103403642"/>
      <w:bookmarkStart w:id="2032" w:name="_Toc103747641"/>
      <w:bookmarkStart w:id="2033" w:name="_Toc107055070"/>
      <w:bookmarkStart w:id="2034" w:name="_Toc113874517"/>
      <w:bookmarkStart w:id="2035" w:name="_Toc113956933"/>
      <w:bookmarkStart w:id="2036" w:name="_Toc116717489"/>
      <w:bookmarkStart w:id="2037" w:name="_Toc116813516"/>
      <w:bookmarkStart w:id="2038" w:name="_Toc122333169"/>
      <w:bookmarkStart w:id="2039" w:name="_Toc122862139"/>
      <w:bookmarkStart w:id="2040" w:name="_Toc122862735"/>
      <w:bookmarkStart w:id="2041" w:name="_Toc122921342"/>
      <w:bookmarkStart w:id="2042" w:name="_Toc122921602"/>
      <w:bookmarkStart w:id="2043" w:name="_Toc122947548"/>
      <w:bookmarkStart w:id="2044" w:name="_Toc124046386"/>
      <w:bookmarkStart w:id="2045" w:name="_Toc131415985"/>
      <w:bookmarkStart w:id="2046" w:name="_Toc131416284"/>
      <w:bookmarkStart w:id="2047" w:name="_Toc170193467"/>
      <w:r>
        <w:rPr>
          <w:rStyle w:val="CharPartNo"/>
        </w:rPr>
        <w:t>Part V</w:t>
      </w:r>
      <w:r>
        <w:rPr>
          <w:rStyle w:val="CharDivNo"/>
        </w:rPr>
        <w:t> </w:t>
      </w:r>
      <w:r>
        <w:t>—</w:t>
      </w:r>
      <w:r>
        <w:rPr>
          <w:rStyle w:val="CharDivText"/>
        </w:rPr>
        <w:t> </w:t>
      </w:r>
      <w:r>
        <w:rPr>
          <w:rStyle w:val="CharPartText"/>
        </w:rPr>
        <w:t>Miscellaneous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Ednotesection"/>
      </w:pPr>
      <w:r>
        <w:t>[</w:t>
      </w:r>
      <w:r>
        <w:rPr>
          <w:b/>
        </w:rPr>
        <w:t>112V.</w:t>
      </w:r>
      <w:r>
        <w:tab/>
        <w:t xml:space="preserve">Repealed by No. 2 of 2003 s. 137.] </w:t>
      </w:r>
    </w:p>
    <w:p>
      <w:pPr>
        <w:pStyle w:val="Ednotesection"/>
      </w:pPr>
      <w:r>
        <w:t>[</w:t>
      </w:r>
      <w:r>
        <w:rPr>
          <w:b/>
        </w:rPr>
        <w:t>112W.</w:t>
      </w:r>
      <w:r>
        <w:tab/>
        <w:t xml:space="preserve">Repealed by No. 37 of 1979 s. 99.] </w:t>
      </w:r>
    </w:p>
    <w:p>
      <w:pPr>
        <w:pStyle w:val="Heading5"/>
      </w:pPr>
      <w:bookmarkStart w:id="2048" w:name="_Toc49224019"/>
      <w:bookmarkStart w:id="2049" w:name="_Toc107055071"/>
      <w:bookmarkStart w:id="2050" w:name="_Toc131416285"/>
      <w:bookmarkStart w:id="2051" w:name="_Toc170193468"/>
      <w:bookmarkStart w:id="2052" w:name="_Toc500740084"/>
      <w:bookmarkStart w:id="2053" w:name="_Toc520101247"/>
      <w:bookmarkStart w:id="2054" w:name="_Toc520533146"/>
      <w:r>
        <w:rPr>
          <w:rStyle w:val="CharSectno"/>
        </w:rPr>
        <w:t>113</w:t>
      </w:r>
      <w:r>
        <w:t>.</w:t>
      </w:r>
      <w:r>
        <w:tab/>
        <w:t>Commissioner may impound unstamped documents</w:t>
      </w:r>
      <w:bookmarkEnd w:id="2048"/>
      <w:bookmarkEnd w:id="2049"/>
      <w:bookmarkEnd w:id="2050"/>
      <w:bookmarkEnd w:id="2051"/>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055" w:name="_Toc49224020"/>
      <w:bookmarkStart w:id="2056" w:name="_Toc107055072"/>
      <w:bookmarkStart w:id="2057" w:name="_Toc131416286"/>
      <w:bookmarkStart w:id="2058" w:name="_Toc170193469"/>
      <w:r>
        <w:rPr>
          <w:rStyle w:val="CharSectno"/>
        </w:rPr>
        <w:t>114</w:t>
      </w:r>
      <w:r>
        <w:t>.</w:t>
      </w:r>
      <w:r>
        <w:tab/>
        <w:t>Commissioner may destroy instruments</w:t>
      </w:r>
      <w:bookmarkEnd w:id="2055"/>
      <w:bookmarkEnd w:id="2056"/>
      <w:bookmarkEnd w:id="2057"/>
      <w:bookmarkEnd w:id="2058"/>
    </w:p>
    <w:p>
      <w:pPr>
        <w:pStyle w:val="Subsection"/>
      </w:pPr>
      <w:r>
        <w:tab/>
        <w:t>(1)</w:t>
      </w:r>
      <w:r>
        <w:tab/>
        <w:t xml:space="preserve">The Commissioner may destroy any instrument in the Commissioner’s possession or control if —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 xml:space="preserve">Repealed by No. 2 of 2003 s. 137.] </w:t>
      </w:r>
    </w:p>
    <w:p>
      <w:pPr>
        <w:pStyle w:val="Heading5"/>
        <w:rPr>
          <w:snapToGrid w:val="0"/>
        </w:rPr>
      </w:pPr>
      <w:bookmarkStart w:id="2059" w:name="_Toc49224021"/>
      <w:bookmarkStart w:id="2060" w:name="_Toc107055073"/>
      <w:bookmarkStart w:id="2061" w:name="_Toc131416287"/>
      <w:bookmarkStart w:id="2062" w:name="_Toc170193470"/>
      <w:r>
        <w:rPr>
          <w:rStyle w:val="CharSectno"/>
        </w:rPr>
        <w:t>119</w:t>
      </w:r>
      <w:r>
        <w:rPr>
          <w:snapToGrid w:val="0"/>
        </w:rPr>
        <w:t>.</w:t>
      </w:r>
      <w:r>
        <w:rPr>
          <w:snapToGrid w:val="0"/>
        </w:rPr>
        <w:tab/>
        <w:t>Certain exemptions where the State of Western Australia etc. is a party</w:t>
      </w:r>
      <w:bookmarkEnd w:id="2052"/>
      <w:bookmarkEnd w:id="2053"/>
      <w:bookmarkEnd w:id="2054"/>
      <w:bookmarkEnd w:id="2059"/>
      <w:bookmarkEnd w:id="2060"/>
      <w:bookmarkEnd w:id="2061"/>
      <w:bookmarkEnd w:id="206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exempt body</w:t>
      </w:r>
      <w:r>
        <w:rPr>
          <w:b/>
        </w:rPr>
        <w:t>”</w:t>
      </w:r>
      <w:r>
        <w:t xml:space="preserve"> means —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 xml:space="preserve">[Section 119 inserted by No. 20 of 1996 s. 43; amended by No. 57 of 1997 s. 113(5); No. 2 of 2003 s. 138; No. 66 of 2003 s. 86.] </w:t>
      </w:r>
    </w:p>
    <w:p>
      <w:pPr>
        <w:pStyle w:val="Heading5"/>
      </w:pPr>
      <w:bookmarkStart w:id="2063" w:name="_Toc49224022"/>
      <w:bookmarkStart w:id="2064" w:name="_Toc107055074"/>
      <w:bookmarkStart w:id="2065" w:name="_Toc131416288"/>
      <w:bookmarkStart w:id="2066" w:name="_Toc170193471"/>
      <w:r>
        <w:rPr>
          <w:rStyle w:val="CharSectno"/>
        </w:rPr>
        <w:t>120</w:t>
      </w:r>
      <w:r>
        <w:t>.</w:t>
      </w:r>
      <w:r>
        <w:tab/>
        <w:t>Regulations</w:t>
      </w:r>
      <w:bookmarkEnd w:id="2063"/>
      <w:bookmarkEnd w:id="2064"/>
      <w:bookmarkEnd w:id="2065"/>
      <w:bookmarkEnd w:id="2066"/>
    </w:p>
    <w:p>
      <w:pPr>
        <w:pStyle w:val="Subsection"/>
      </w:pPr>
      <w:r>
        <w:tab/>
        <w:t>(1)</w:t>
      </w:r>
      <w:r>
        <w:tab/>
        <w:t xml:space="preserve">The Governor may make regulations prescribing all matters that are required or permitted by a stamp Act to be prescribed or are necessary or convenient to be prescribed to give effect to a stamp Act. </w:t>
      </w:r>
    </w:p>
    <w:p>
      <w:pPr>
        <w:pStyle w:val="Subsection"/>
      </w:pPr>
      <w:r>
        <w:tab/>
        <w:t>(2)</w:t>
      </w:r>
      <w:r>
        <w:tab/>
        <w:t>Regulations may be made in relation to any or all of the following matters —</w:t>
      </w:r>
    </w:p>
    <w:p>
      <w:pPr>
        <w:pStyle w:val="Indenta"/>
      </w:pPr>
      <w:r>
        <w:tab/>
        <w:t>(a)</w:t>
      </w:r>
      <w:r>
        <w:tab/>
        <w:t xml:space="preserve">the fees payable under a stamp Act; </w:t>
      </w:r>
    </w:p>
    <w:p>
      <w:pPr>
        <w:pStyle w:val="Indenta"/>
      </w:pPr>
      <w:r>
        <w:tab/>
        <w:t>(b)</w:t>
      </w:r>
      <w:r>
        <w:tab/>
        <w:t>the records required to be kept for the purposes of a stamp Act.</w:t>
      </w:r>
    </w:p>
    <w:p>
      <w:pPr>
        <w:pStyle w:val="Subsection"/>
      </w:pPr>
      <w:r>
        <w:tab/>
        <w:t>(3)</w:t>
      </w:r>
      <w:r>
        <w:tab/>
        <w:t xml:space="preserve">Regulations may create offences and provide, in respect of an offence so created, for the imposition of a fine not exceeding $5 000. </w:t>
      </w:r>
    </w:p>
    <w:p>
      <w:pPr>
        <w:pStyle w:val="Subsection"/>
      </w:pPr>
      <w:r>
        <w:tab/>
        <w:t>(4)</w:t>
      </w:r>
      <w:r>
        <w:tab/>
        <w:t xml:space="preserve">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 </w:t>
      </w:r>
    </w:p>
    <w:p>
      <w:pPr>
        <w:pStyle w:val="Footnotesection"/>
      </w:pPr>
      <w:r>
        <w:tab/>
        <w:t>[Section 120 inserted by No. 2 of 2003 s. 139; amended by No. 12 of 2004 s. 34.]</w:t>
      </w:r>
    </w:p>
    <w:p>
      <w:pPr>
        <w:pStyle w:val="Heading5"/>
      </w:pPr>
      <w:bookmarkStart w:id="2067" w:name="_Toc49224023"/>
      <w:bookmarkStart w:id="2068" w:name="_Toc107055075"/>
      <w:bookmarkStart w:id="2069" w:name="_Toc131416289"/>
      <w:bookmarkStart w:id="2070" w:name="_Toc170193472"/>
      <w:r>
        <w:rPr>
          <w:rStyle w:val="CharSectno"/>
        </w:rPr>
        <w:t>121</w:t>
      </w:r>
      <w:r>
        <w:t>.</w:t>
      </w:r>
      <w:r>
        <w:tab/>
        <w:t>Application of section 1070A of the Corporations Act limited</w:t>
      </w:r>
      <w:bookmarkEnd w:id="2067"/>
      <w:bookmarkEnd w:id="2068"/>
      <w:bookmarkEnd w:id="2069"/>
      <w:bookmarkEnd w:id="2070"/>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81" w:right="2409" w:bottom="3543" w:left="2409" w:header="720" w:footer="3380" w:gutter="0"/>
          <w:pgNumType w:start="1"/>
          <w:cols w:space="720"/>
          <w:noEndnote/>
          <w:titlePg/>
          <w:docGrid w:linePitch="326"/>
        </w:sectPr>
      </w:pPr>
    </w:p>
    <w:p>
      <w:pPr>
        <w:pStyle w:val="yScheduleHeading"/>
      </w:pPr>
      <w:bookmarkStart w:id="2071" w:name="_Toc520101250"/>
      <w:bookmarkStart w:id="2072" w:name="_Toc49224024"/>
      <w:bookmarkStart w:id="2073" w:name="_Toc49332683"/>
      <w:bookmarkStart w:id="2074" w:name="_Toc51126861"/>
      <w:bookmarkStart w:id="2075" w:name="_Toc101672378"/>
      <w:bookmarkStart w:id="2076" w:name="_Toc103403648"/>
      <w:bookmarkStart w:id="2077" w:name="_Toc103747647"/>
      <w:bookmarkStart w:id="2078" w:name="_Toc107055076"/>
      <w:bookmarkStart w:id="2079" w:name="_Toc113874523"/>
      <w:bookmarkStart w:id="2080" w:name="_Toc113956939"/>
      <w:bookmarkStart w:id="2081" w:name="_Toc116717495"/>
      <w:bookmarkStart w:id="2082" w:name="_Toc116813522"/>
      <w:bookmarkStart w:id="2083" w:name="_Toc122333175"/>
      <w:bookmarkStart w:id="2084" w:name="_Toc122862145"/>
      <w:bookmarkStart w:id="2085" w:name="_Toc122862741"/>
      <w:bookmarkStart w:id="2086" w:name="_Toc122921348"/>
      <w:bookmarkStart w:id="2087" w:name="_Toc122921608"/>
      <w:bookmarkStart w:id="2088" w:name="_Toc122947554"/>
      <w:bookmarkStart w:id="2089" w:name="_Toc124046392"/>
      <w:bookmarkStart w:id="2090" w:name="_Toc131415991"/>
      <w:bookmarkStart w:id="2091" w:name="_Toc131416290"/>
      <w:bookmarkStart w:id="2092" w:name="_Toc170193473"/>
      <w:r>
        <w:rPr>
          <w:rStyle w:val="CharSchNo"/>
        </w:rPr>
        <w:t>Second Schedule</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yShoulderClause"/>
        <w:spacing w:before="0"/>
        <w:rPr>
          <w:snapToGrid w:val="0"/>
        </w:rPr>
      </w:pPr>
      <w:r>
        <w:rPr>
          <w:snapToGrid w:val="0"/>
        </w:rPr>
        <w:t>[Section 16(1)]</w:t>
      </w:r>
    </w:p>
    <w:p>
      <w:pPr>
        <w:pStyle w:val="yHeading2"/>
      </w:pPr>
      <w:bookmarkStart w:id="2093" w:name="_Toc49569867"/>
      <w:bookmarkStart w:id="2094" w:name="_Toc51491318"/>
      <w:bookmarkStart w:id="2095" w:name="_Toc51659581"/>
      <w:bookmarkStart w:id="2096" w:name="_Toc100458706"/>
      <w:bookmarkStart w:id="2097" w:name="_Toc101672379"/>
      <w:bookmarkStart w:id="2098" w:name="_Toc102982079"/>
      <w:bookmarkStart w:id="2099" w:name="_Toc103403649"/>
      <w:bookmarkStart w:id="2100" w:name="_Toc103747648"/>
      <w:bookmarkStart w:id="2101" w:name="_Toc107055077"/>
      <w:bookmarkStart w:id="2102" w:name="_Toc113874524"/>
      <w:bookmarkStart w:id="2103" w:name="_Toc113956940"/>
      <w:bookmarkStart w:id="2104" w:name="_Toc116717496"/>
      <w:bookmarkStart w:id="2105" w:name="_Toc116813523"/>
      <w:bookmarkStart w:id="2106" w:name="_Toc122333176"/>
      <w:bookmarkStart w:id="2107" w:name="_Toc122862146"/>
      <w:bookmarkStart w:id="2108" w:name="_Toc122862742"/>
      <w:bookmarkStart w:id="2109" w:name="_Toc122921349"/>
      <w:bookmarkStart w:id="2110" w:name="_Toc122921609"/>
      <w:bookmarkStart w:id="2111" w:name="_Toc122947555"/>
      <w:bookmarkStart w:id="2112" w:name="_Toc124046393"/>
      <w:bookmarkStart w:id="2113" w:name="_Toc131415992"/>
      <w:bookmarkStart w:id="2114" w:name="_Toc131416291"/>
      <w:bookmarkStart w:id="2115" w:name="_Toc170193474"/>
      <w:r>
        <w:rPr>
          <w:rStyle w:val="CharSchText"/>
        </w:rPr>
        <w:t>Duties payable on instruments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0"/>
              <w:jc w:val="center"/>
              <w:rPr>
                <w:b/>
                <w:sz w:val="16"/>
              </w:rPr>
            </w:pPr>
            <w:r>
              <w:rPr>
                <w:b/>
                <w:sz w:val="16"/>
              </w:rPr>
              <w:t>Item</w:t>
            </w:r>
          </w:p>
        </w:tc>
        <w:tc>
          <w:tcPr>
            <w:tcW w:w="3402" w:type="dxa"/>
            <w:gridSpan w:val="2"/>
            <w:tcBorders>
              <w:top w:val="nil"/>
              <w:left w:val="nil"/>
              <w:bottom w:val="nil"/>
              <w:right w:val="nil"/>
            </w:tcBorders>
          </w:tcPr>
          <w:p>
            <w:pPr>
              <w:pStyle w:val="yTable"/>
              <w:spacing w:before="0"/>
              <w:jc w:val="center"/>
              <w:rPr>
                <w:b/>
                <w:sz w:val="18"/>
              </w:rPr>
            </w:pPr>
            <w:r>
              <w:rPr>
                <w:b/>
                <w:sz w:val="18"/>
              </w:rPr>
              <w:t>Nature of instrument</w:t>
            </w:r>
          </w:p>
        </w:tc>
        <w:tc>
          <w:tcPr>
            <w:tcW w:w="1563" w:type="dxa"/>
            <w:tcBorders>
              <w:top w:val="nil"/>
              <w:left w:val="nil"/>
              <w:bottom w:val="nil"/>
              <w:right w:val="nil"/>
            </w:tcBorders>
          </w:tcPr>
          <w:p>
            <w:pPr>
              <w:pStyle w:val="yTable"/>
              <w:spacing w:before="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r>
              <w:rPr>
                <w:i/>
                <w:spacing w:val="-2"/>
                <w:sz w:val="18"/>
              </w:rPr>
              <w:t>[1-2</w:t>
            </w:r>
          </w:p>
        </w:tc>
        <w:tc>
          <w:tcPr>
            <w:tcW w:w="3402" w:type="dxa"/>
            <w:gridSpan w:val="2"/>
          </w:tcPr>
          <w:p>
            <w:pPr>
              <w:pStyle w:val="yTable"/>
              <w:spacing w:before="0"/>
              <w:rPr>
                <w:i/>
                <w:spacing w:val="-2"/>
                <w:sz w:val="18"/>
              </w:rPr>
            </w:pPr>
            <w:r>
              <w:rPr>
                <w:i/>
                <w:spacing w:val="-2"/>
                <w:sz w:val="18"/>
              </w:rPr>
              <w:t>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r>
              <w:rPr>
                <w:spacing w:val="-2"/>
                <w:sz w:val="18"/>
              </w:rPr>
              <w:t>3.</w:t>
            </w:r>
          </w:p>
        </w:tc>
        <w:tc>
          <w:tcPr>
            <w:tcW w:w="3402" w:type="dxa"/>
            <w:gridSpan w:val="2"/>
          </w:tcPr>
          <w:p>
            <w:pPr>
              <w:pStyle w:val="yTable"/>
              <w:rPr>
                <w:spacing w:val="-2"/>
                <w:sz w:val="18"/>
              </w:rPr>
            </w:pPr>
            <w:r>
              <w:rPr>
                <w:spacing w:val="-2"/>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14"/>
              </w:tabs>
              <w:spacing w:before="0"/>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4.</w:t>
            </w:r>
          </w:p>
        </w:tc>
        <w:tc>
          <w:tcPr>
            <w:tcW w:w="3402" w:type="dxa"/>
            <w:gridSpan w:val="2"/>
          </w:tcPr>
          <w:p>
            <w:pPr>
              <w:pStyle w:val="yTable"/>
              <w:keepNext/>
              <w:spacing w:before="0"/>
              <w:rPr>
                <w:spacing w:val="-2"/>
                <w:sz w:val="18"/>
              </w:rPr>
            </w:pPr>
            <w:r>
              <w:rPr>
                <w:spacing w:val="-2"/>
                <w:sz w:val="18"/>
              </w:rPr>
              <w:t>CONVEYANCE OR TRANSFER ON SALE OF PROPERTY</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14" w:hanging="414"/>
              <w:rPr>
                <w:sz w:val="18"/>
              </w:rPr>
            </w:pPr>
            <w:r>
              <w:rPr>
                <w:sz w:val="18"/>
              </w:rPr>
              <w:t>(2)</w:t>
            </w:r>
            <w:r>
              <w:rPr>
                <w:sz w:val="18"/>
              </w:rPr>
              <w:tab/>
              <w:t xml:space="preserve">Expressions used in this item have the same meaning as they have in the </w:t>
            </w:r>
            <w:r>
              <w:rPr>
                <w:i/>
                <w:iCs/>
                <w:sz w:val="18"/>
              </w:rPr>
              <w:t>Planning and Development Act 2005</w:t>
            </w:r>
            <w:r>
              <w:rPr>
                <w:sz w:val="18"/>
              </w:rPr>
              <w: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6.</w:t>
            </w:r>
          </w:p>
        </w:tc>
        <w:tc>
          <w:tcPr>
            <w:tcW w:w="3402" w:type="dxa"/>
            <w:gridSpan w:val="2"/>
          </w:tcPr>
          <w:p>
            <w:pPr>
              <w:pStyle w:val="yTable"/>
              <w:keepNext/>
              <w:spacing w:before="0"/>
              <w:rPr>
                <w:sz w:val="18"/>
              </w:rPr>
            </w:pPr>
            <w:r>
              <w:rPr>
                <w:sz w:val="18"/>
              </w:rPr>
              <w:t>CONVEYANCE OR TRANSFER</w:t>
            </w:r>
          </w:p>
        </w:tc>
        <w:tc>
          <w:tcPr>
            <w:tcW w:w="1563" w:type="dxa"/>
          </w:tcPr>
          <w:p>
            <w:pPr>
              <w:pStyle w:val="yTable"/>
              <w:keepNext/>
              <w:spacing w:before="0"/>
              <w:rPr>
                <w:sz w:val="18"/>
              </w:rPr>
            </w:pPr>
          </w:p>
        </w:tc>
        <w:tc>
          <w:tcPr>
            <w:tcW w:w="1419" w:type="dxa"/>
            <w:gridSpan w:val="2"/>
          </w:tcPr>
          <w:p>
            <w:pPr>
              <w:pStyle w:val="yTable"/>
              <w:keepNext/>
              <w:spacing w:before="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[7.</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8.</w:t>
            </w:r>
          </w:p>
        </w:tc>
        <w:tc>
          <w:tcPr>
            <w:tcW w:w="3402" w:type="dxa"/>
            <w:gridSpan w:val="2"/>
          </w:tcPr>
          <w:p>
            <w:pPr>
              <w:pStyle w:val="yTable"/>
              <w:spacing w:before="0"/>
              <w:rPr>
                <w:sz w:val="18"/>
              </w:rPr>
            </w:pPr>
            <w:r>
              <w:rPr>
                <w:sz w:val="18"/>
              </w:rPr>
              <w:t>DEED OR DECLARATION</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9.</w:t>
            </w:r>
          </w:p>
        </w:tc>
        <w:tc>
          <w:tcPr>
            <w:tcW w:w="3402" w:type="dxa"/>
            <w:gridSpan w:val="2"/>
          </w:tcPr>
          <w:p>
            <w:pPr>
              <w:pStyle w:val="yTable"/>
              <w:spacing w:before="0"/>
              <w:rPr>
                <w:sz w:val="18"/>
              </w:rPr>
            </w:pPr>
            <w:r>
              <w:rPr>
                <w:sz w:val="18"/>
              </w:rPr>
              <w:t>DUPLICATE OR COUNTERPART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10.</w:t>
            </w:r>
          </w:p>
        </w:tc>
        <w:tc>
          <w:tcPr>
            <w:tcW w:w="3402" w:type="dxa"/>
            <w:gridSpan w:val="2"/>
          </w:tcPr>
          <w:p>
            <w:pPr>
              <w:pStyle w:val="yTable"/>
              <w:keepNext/>
              <w:spacing w:before="0"/>
              <w:rPr>
                <w:sz w:val="18"/>
              </w:rPr>
            </w:pPr>
            <w:r>
              <w:rPr>
                <w:sz w:val="18"/>
              </w:rPr>
              <w:t>EXCHANGE</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[11.</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12.</w:t>
            </w:r>
          </w:p>
        </w:tc>
        <w:tc>
          <w:tcPr>
            <w:tcW w:w="3402" w:type="dxa"/>
            <w:gridSpan w:val="2"/>
          </w:tcPr>
          <w:p>
            <w:pPr>
              <w:pStyle w:val="yTable"/>
              <w:keepNext/>
              <w:spacing w:before="0"/>
              <w:rPr>
                <w:sz w:val="18"/>
              </w:rPr>
            </w:pPr>
            <w:r>
              <w:rPr>
                <w:sz w:val="18"/>
              </w:rPr>
              <w:t>LEASE OR AGREEMENT FOR LEASE</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r>
              <w:rPr>
                <w:sz w:val="18"/>
              </w:rPr>
              <w:t>13.</w:t>
            </w:r>
          </w:p>
        </w:tc>
        <w:tc>
          <w:tcPr>
            <w:tcW w:w="3402" w:type="dxa"/>
            <w:gridSpan w:val="2"/>
          </w:tcPr>
          <w:p>
            <w:pPr>
              <w:pStyle w:val="yTable"/>
              <w:keepNext/>
              <w:keepLines/>
              <w:spacing w:before="0"/>
              <w:rPr>
                <w:sz w:val="18"/>
              </w:rPr>
            </w:pPr>
            <w:r>
              <w:rPr>
                <w:sz w:val="18"/>
              </w:rPr>
              <w:t>MORTGAGES (INCLUDING HOME MORTGAGES)</w:t>
            </w:r>
          </w:p>
        </w:tc>
        <w:tc>
          <w:tcPr>
            <w:tcW w:w="1563" w:type="dxa"/>
          </w:tcPr>
          <w:p>
            <w:pPr>
              <w:pStyle w:val="yTable"/>
              <w:keepNext/>
              <w:keepLines/>
              <w:spacing w:before="0"/>
              <w:rPr>
                <w:sz w:val="18"/>
              </w:rPr>
            </w:pPr>
            <w:r>
              <w:rPr>
                <w:sz w:val="18"/>
              </w:rPr>
              <w:t xml:space="preserve"> </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 xml:space="preserve">$20.00 for any amount up to and including $8 000 </w:t>
            </w:r>
          </w:p>
          <w:p>
            <w:pPr>
              <w:pStyle w:val="yTable"/>
              <w:keepNext/>
              <w:rPr>
                <w:spacing w:val="-2"/>
                <w:sz w:val="18"/>
              </w:rPr>
            </w:pPr>
            <w:r>
              <w:rPr>
                <w:spacing w:val="-2"/>
                <w:sz w:val="18"/>
              </w:rPr>
              <w:t xml:space="preserve">plus $0.25 for each additional $100 and every fractional part of $100 that is used for the mortgagor’s dwellinghouse, </w:t>
            </w:r>
          </w:p>
          <w:p>
            <w:pPr>
              <w:pStyle w:val="yTable"/>
              <w:keepNext/>
              <w:spacing w:before="40"/>
              <w:rPr>
                <w:spacing w:val="-2"/>
                <w:sz w:val="18"/>
              </w:rPr>
            </w:pPr>
            <w:r>
              <w:rPr>
                <w:spacing w:val="-2"/>
                <w:sz w:val="18"/>
              </w:rPr>
              <w:t>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caps/>
                <w:sz w:val="18"/>
              </w:rPr>
            </w:pPr>
            <w:r>
              <w:rPr>
                <w:caps/>
                <w:sz w:val="18"/>
              </w:rPr>
              <w:t>14.</w:t>
            </w:r>
          </w:p>
        </w:tc>
        <w:tc>
          <w:tcPr>
            <w:tcW w:w="3402" w:type="dxa"/>
            <w:gridSpan w:val="2"/>
          </w:tcPr>
          <w:p>
            <w:pPr>
              <w:pStyle w:val="yTable"/>
              <w:tabs>
                <w:tab w:val="right" w:leader="dot" w:pos="3205"/>
              </w:tabs>
              <w:spacing w:before="40"/>
              <w:ind w:right="448"/>
              <w:rPr>
                <w:caps/>
                <w:sz w:val="18"/>
              </w:rPr>
            </w:pPr>
            <w:r>
              <w:rPr>
                <w:caps/>
                <w:sz w:val="18"/>
              </w:rPr>
              <w:t>VEHICLE LICENCES, GRANT OR TRANSFER</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object w:dxaOrig="2260" w:dyaOrig="660">
                <v:shape id="_x0000_i1036" type="#_x0000_t75" style="width:113.25pt;height:33pt" o:ole="">
                  <v:imagedata r:id="rId46" o:title=""/>
                </v:shape>
                <o:OLEObject Type="Embed" ProgID="Equation.3" ShapeID="_x0000_i1036" DrawAspect="Content" ObjectID="_1643744739" r:id="rId47"/>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54"/>
              </w:tabs>
              <w:spacing w:before="0"/>
              <w:ind w:left="454" w:hanging="454"/>
              <w:rPr>
                <w:sz w:val="18"/>
              </w:rPr>
            </w:pPr>
          </w:p>
          <w:p>
            <w:pPr>
              <w:pStyle w:val="yTable"/>
              <w:spacing w:before="0"/>
            </w:pPr>
            <w:bookmarkStart w:id="2116" w:name="_Toc113874525"/>
            <w:bookmarkStart w:id="2117" w:name="_Toc113956941"/>
            <w:bookmarkStart w:id="2118" w:name="_Toc116717497"/>
            <w:bookmarkStart w:id="2119" w:name="_Toc116813524"/>
            <w:bookmarkStart w:id="2120" w:name="_Toc122333177"/>
            <w:bookmarkStart w:id="2121" w:name="_Toc122862147"/>
            <w:bookmarkStart w:id="2122" w:name="_Toc122862743"/>
            <w:bookmarkStart w:id="2123" w:name="_Toc122921350"/>
            <w:bookmarkStart w:id="2124" w:name="_Toc122921610"/>
            <w:bookmarkStart w:id="2125" w:name="_Toc122947556"/>
            <w:bookmarkStart w:id="2126" w:name="_Toc124046394"/>
            <w:bookmarkStart w:id="2127" w:name="_Toc131415993"/>
            <w:r>
              <w:rPr>
                <w:sz w:val="18"/>
              </w:rPr>
              <w:t>2.5% of the market value</w:t>
            </w:r>
            <w:bookmarkEnd w:id="2116"/>
            <w:bookmarkEnd w:id="2117"/>
            <w:bookmarkEnd w:id="2118"/>
            <w:bookmarkEnd w:id="2119"/>
            <w:bookmarkEnd w:id="2120"/>
            <w:bookmarkEnd w:id="2121"/>
            <w:bookmarkEnd w:id="2122"/>
            <w:bookmarkEnd w:id="2123"/>
            <w:bookmarkEnd w:id="2124"/>
            <w:bookmarkEnd w:id="2125"/>
            <w:bookmarkEnd w:id="2126"/>
            <w:bookmarkEnd w:id="2127"/>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object w:dxaOrig="2160" w:dyaOrig="660">
                <v:shape id="_x0000_i1037" type="#_x0000_t75" style="width:108pt;height:33pt" o:ole="">
                  <v:imagedata r:id="rId48" o:title=""/>
                </v:shape>
                <o:OLEObject Type="Embed" ProgID="Equation.3" ShapeID="_x0000_i1037" DrawAspect="Content" ObjectID="_1643744740" r:id="rId49"/>
              </w:object>
            </w:r>
          </w:p>
          <w:p>
            <w:pPr>
              <w:pStyle w:val="yTable"/>
            </w:pPr>
            <w:bookmarkStart w:id="2128" w:name="_Toc113874526"/>
            <w:bookmarkStart w:id="2129" w:name="_Toc113956942"/>
            <w:bookmarkStart w:id="2130" w:name="_Toc116717498"/>
            <w:bookmarkStart w:id="2131" w:name="_Toc116813525"/>
            <w:r>
              <w:rPr>
                <w:sz w:val="18"/>
              </w:rPr>
              <w:t>(rounded to 2 decimal places) of the market value (MV)</w:t>
            </w:r>
            <w:bookmarkEnd w:id="2128"/>
            <w:bookmarkEnd w:id="2129"/>
            <w:bookmarkEnd w:id="2130"/>
            <w:bookmarkEnd w:id="2131"/>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14A.</w:t>
            </w:r>
          </w:p>
        </w:tc>
        <w:tc>
          <w:tcPr>
            <w:tcW w:w="3402" w:type="dxa"/>
            <w:gridSpan w:val="2"/>
          </w:tcPr>
          <w:p>
            <w:pPr>
              <w:pStyle w:val="yTable"/>
              <w:keepNext/>
              <w:spacing w:before="0"/>
              <w:rPr>
                <w:spacing w:val="-2"/>
                <w:sz w:val="18"/>
              </w:rPr>
            </w:pPr>
            <w:r>
              <w:rPr>
                <w:spacing w:val="-2"/>
                <w:sz w:val="18"/>
              </w:rPr>
              <w:t>ORDER TO WHICH SECTION 112UB(2) APPLIES</w:t>
            </w:r>
          </w:p>
        </w:tc>
        <w:tc>
          <w:tcPr>
            <w:tcW w:w="1563" w:type="dxa"/>
          </w:tcPr>
          <w:p>
            <w:pPr>
              <w:pStyle w:val="yTable"/>
              <w:spacing w:before="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pacing w:val="-2"/>
                <w:sz w:val="18"/>
              </w:rPr>
              <w:t>15.</w:t>
            </w:r>
          </w:p>
        </w:tc>
        <w:tc>
          <w:tcPr>
            <w:tcW w:w="3402" w:type="dxa"/>
            <w:gridSpan w:val="2"/>
          </w:tcPr>
          <w:p>
            <w:pPr>
              <w:pStyle w:val="yTable"/>
              <w:spacing w:before="40"/>
              <w:rPr>
                <w:spacing w:val="-2"/>
                <w:sz w:val="18"/>
              </w:rPr>
            </w:pPr>
            <w:r>
              <w:rPr>
                <w:spacing w:val="-2"/>
                <w:sz w:val="18"/>
              </w:rPr>
              <w:t>PARTITION</w:t>
            </w:r>
          </w:p>
        </w:tc>
        <w:tc>
          <w:tcPr>
            <w:tcW w:w="1563" w:type="dxa"/>
          </w:tcPr>
          <w:p>
            <w:pPr>
              <w:pStyle w:val="yTable"/>
              <w:spacing w:before="40"/>
              <w:rPr>
                <w:spacing w:val="-2"/>
                <w:sz w:val="18"/>
              </w:rPr>
            </w:pPr>
            <w:r>
              <w:rPr>
                <w:spacing w:val="-2"/>
                <w:sz w:val="18"/>
              </w:rPr>
              <w:t xml:space="preserve"> </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z w:val="18"/>
              </w:rPr>
              <w:t>16.</w:t>
            </w:r>
          </w:p>
        </w:tc>
        <w:tc>
          <w:tcPr>
            <w:tcW w:w="3402" w:type="dxa"/>
            <w:gridSpan w:val="2"/>
          </w:tcPr>
          <w:p>
            <w:pPr>
              <w:pStyle w:val="yTable"/>
              <w:tabs>
                <w:tab w:val="left" w:pos="394"/>
              </w:tabs>
              <w:spacing w:before="40"/>
              <w:ind w:left="414" w:hanging="414"/>
              <w:rPr>
                <w:spacing w:val="-2"/>
                <w:sz w:val="18"/>
              </w:rPr>
            </w:pPr>
            <w:r>
              <w:rPr>
                <w:sz w:val="18"/>
              </w:rPr>
              <w:t>POLICY OF INSURANCE</w:t>
            </w:r>
          </w:p>
        </w:tc>
        <w:tc>
          <w:tcPr>
            <w:tcW w:w="1563" w:type="dxa"/>
          </w:tcPr>
          <w:p>
            <w:pPr>
              <w:pStyle w:val="yTable"/>
              <w:spacing w:before="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17.</w:t>
            </w:r>
          </w:p>
        </w:tc>
        <w:tc>
          <w:tcPr>
            <w:tcW w:w="3402" w:type="dxa"/>
            <w:gridSpan w:val="2"/>
          </w:tcPr>
          <w:p>
            <w:pPr>
              <w:pStyle w:val="yTable"/>
              <w:keepNext/>
              <w:spacing w:before="40"/>
              <w:rPr>
                <w:sz w:val="18"/>
              </w:rPr>
            </w:pPr>
            <w:r>
              <w:rPr>
                <w:sz w:val="18"/>
              </w:rPr>
              <w:t>RELEASE OR RENUNCIATION OF ANY PROPERTY OR OF ANY RIGHT OR INTEREST IN ANY PROPERTY</w:t>
            </w:r>
          </w:p>
        </w:tc>
        <w:tc>
          <w:tcPr>
            <w:tcW w:w="1563" w:type="dxa"/>
          </w:tcPr>
          <w:p>
            <w:pPr>
              <w:pStyle w:val="yTable"/>
              <w:keepNext/>
              <w:spacing w:before="40"/>
              <w:rPr>
                <w:sz w:val="18"/>
              </w:rPr>
            </w:pPr>
          </w:p>
        </w:tc>
        <w:tc>
          <w:tcPr>
            <w:tcW w:w="1419" w:type="dxa"/>
            <w:gridSpan w:val="2"/>
          </w:tcPr>
          <w:p>
            <w:pPr>
              <w:pStyle w:val="yTable"/>
              <w:keepNext/>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18.</w:t>
            </w:r>
          </w:p>
        </w:tc>
        <w:tc>
          <w:tcPr>
            <w:tcW w:w="3402" w:type="dxa"/>
            <w:gridSpan w:val="2"/>
          </w:tcPr>
          <w:p>
            <w:pPr>
              <w:pStyle w:val="yTable"/>
              <w:spacing w:before="40"/>
              <w:rPr>
                <w:sz w:val="18"/>
              </w:rPr>
            </w:pPr>
            <w:r>
              <w:rPr>
                <w:sz w:val="18"/>
              </w:rPr>
              <w:t>HIRE OF GOODS</w:t>
            </w:r>
          </w:p>
        </w:tc>
        <w:tc>
          <w:tcPr>
            <w:tcW w:w="1563" w:type="dxa"/>
          </w:tcPr>
          <w:p>
            <w:pPr>
              <w:pStyle w:val="yTable"/>
              <w:spacing w:before="40"/>
              <w:rPr>
                <w:sz w:val="18"/>
              </w:rPr>
            </w:pPr>
          </w:p>
        </w:tc>
        <w:tc>
          <w:tcPr>
            <w:tcW w:w="1419" w:type="dxa"/>
            <w:gridSpan w:val="2"/>
          </w:tcPr>
          <w:p>
            <w:pPr>
              <w:pStyle w:val="yTable"/>
              <w:spacing w:before="4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19.</w:t>
            </w:r>
          </w:p>
        </w:tc>
        <w:tc>
          <w:tcPr>
            <w:tcW w:w="3402" w:type="dxa"/>
            <w:gridSpan w:val="2"/>
          </w:tcPr>
          <w:p>
            <w:pPr>
              <w:pStyle w:val="yTable"/>
              <w:keepNext/>
              <w:spacing w:before="40"/>
              <w:rPr>
                <w:sz w:val="18"/>
              </w:rPr>
            </w:pPr>
            <w:r>
              <w:rPr>
                <w:sz w:val="18"/>
              </w:rPr>
              <w:t>SETTLEMENT, DEED OF, OR DEED OF GIFT</w:t>
            </w:r>
          </w:p>
        </w:tc>
        <w:tc>
          <w:tcPr>
            <w:tcW w:w="1563" w:type="dxa"/>
          </w:tcPr>
          <w:p>
            <w:pPr>
              <w:pStyle w:val="yTable"/>
              <w:keepNext/>
              <w:spacing w:before="40"/>
              <w:ind w:right="-113"/>
              <w:rPr>
                <w:sz w:val="18"/>
              </w:rPr>
            </w:pPr>
            <w:r>
              <w:rPr>
                <w:sz w:val="18"/>
              </w:rPr>
              <w:t xml:space="preserve">See item 4 </w:t>
            </w:r>
          </w:p>
        </w:tc>
        <w:tc>
          <w:tcPr>
            <w:tcW w:w="1419" w:type="dxa"/>
            <w:gridSpan w:val="2"/>
          </w:tcPr>
          <w:p>
            <w:pPr>
              <w:pStyle w:val="yTable"/>
              <w:keepNext/>
              <w:spacing w:before="4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i w:val="0"/>
          <w:vertAlign w:val="superscript"/>
        </w:rPr>
        <w:t> 7</w:t>
      </w:r>
      <w:r>
        <w:t>;</w:t>
      </w:r>
      <w:r>
        <w:rPr>
          <w:rStyle w:val="CharDivText"/>
        </w:rPr>
        <w:t xml:space="preserve"> No. 83 of 2004 s. 8; No. 35 of 2005 s. 4; No. 38 of 2005 s. 15</w:t>
      </w:r>
      <w:r>
        <w:t xml:space="preserve">.] </w:t>
      </w:r>
    </w:p>
    <w:p>
      <w:pPr>
        <w:pStyle w:val="yScheduleHeading"/>
      </w:pPr>
      <w:bookmarkStart w:id="2132" w:name="_Toc520101251"/>
      <w:bookmarkStart w:id="2133" w:name="_Toc49224025"/>
      <w:bookmarkStart w:id="2134" w:name="_Toc49332685"/>
      <w:bookmarkStart w:id="2135" w:name="_Toc51126863"/>
      <w:bookmarkStart w:id="2136" w:name="_Toc101672380"/>
      <w:bookmarkStart w:id="2137" w:name="_Toc103403650"/>
      <w:bookmarkStart w:id="2138" w:name="_Toc103747649"/>
      <w:bookmarkStart w:id="2139" w:name="_Toc107055078"/>
      <w:bookmarkStart w:id="2140" w:name="_Toc113874527"/>
      <w:bookmarkStart w:id="2141" w:name="_Toc113956943"/>
      <w:bookmarkStart w:id="2142" w:name="_Toc116717499"/>
      <w:bookmarkStart w:id="2143" w:name="_Toc116813526"/>
      <w:bookmarkStart w:id="2144" w:name="_Toc122333178"/>
      <w:bookmarkStart w:id="2145" w:name="_Toc122862148"/>
      <w:bookmarkStart w:id="2146" w:name="_Toc122862744"/>
      <w:bookmarkStart w:id="2147" w:name="_Toc122921351"/>
      <w:bookmarkStart w:id="2148" w:name="_Toc122921611"/>
      <w:bookmarkStart w:id="2149" w:name="_Toc122947557"/>
      <w:bookmarkStart w:id="2150" w:name="_Toc124046395"/>
      <w:bookmarkStart w:id="2151" w:name="_Toc131415994"/>
      <w:bookmarkStart w:id="2152" w:name="_Toc131416292"/>
      <w:bookmarkStart w:id="2153" w:name="_Toc170193475"/>
      <w:r>
        <w:rPr>
          <w:rStyle w:val="CharSchNo"/>
        </w:rPr>
        <w:t>Third Schedule</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yShoulderClause"/>
        <w:rPr>
          <w:snapToGrid w:val="0"/>
        </w:rPr>
      </w:pPr>
      <w:r>
        <w:rPr>
          <w:snapToGrid w:val="0"/>
        </w:rPr>
        <w:t>[Section 16(2)]</w:t>
      </w:r>
    </w:p>
    <w:p>
      <w:pPr>
        <w:pStyle w:val="yHeading2"/>
      </w:pPr>
      <w:bookmarkStart w:id="2154" w:name="_Toc49569869"/>
      <w:bookmarkStart w:id="2155" w:name="_Toc51491320"/>
      <w:bookmarkStart w:id="2156" w:name="_Toc51659583"/>
      <w:bookmarkStart w:id="2157" w:name="_Toc100458708"/>
      <w:bookmarkStart w:id="2158" w:name="_Toc101672381"/>
      <w:bookmarkStart w:id="2159" w:name="_Toc102982081"/>
      <w:bookmarkStart w:id="2160" w:name="_Toc103403651"/>
      <w:bookmarkStart w:id="2161" w:name="_Toc103747650"/>
      <w:bookmarkStart w:id="2162" w:name="_Toc107055079"/>
      <w:bookmarkStart w:id="2163" w:name="_Toc113874528"/>
      <w:bookmarkStart w:id="2164" w:name="_Toc113956944"/>
      <w:bookmarkStart w:id="2165" w:name="_Toc116717500"/>
      <w:bookmarkStart w:id="2166" w:name="_Toc116813527"/>
      <w:bookmarkStart w:id="2167" w:name="_Toc122333179"/>
      <w:bookmarkStart w:id="2168" w:name="_Toc122862149"/>
      <w:bookmarkStart w:id="2169" w:name="_Toc122862745"/>
      <w:bookmarkStart w:id="2170" w:name="_Toc122921352"/>
      <w:bookmarkStart w:id="2171" w:name="_Toc122921612"/>
      <w:bookmarkStart w:id="2172" w:name="_Toc122947558"/>
      <w:bookmarkStart w:id="2173" w:name="_Toc124046396"/>
      <w:bookmarkStart w:id="2174" w:name="_Toc131415995"/>
      <w:bookmarkStart w:id="2175" w:name="_Toc131416293"/>
      <w:bookmarkStart w:id="2176" w:name="_Toc170193476"/>
      <w:r>
        <w:rPr>
          <w:rStyle w:val="CharSchText"/>
        </w:rPr>
        <w:t>Exemptions from duty</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440" w:hanging="1440"/>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iCs/>
                <w:snapToGrid w:val="0"/>
              </w:rPr>
            </w:pPr>
            <w:r>
              <w:rPr>
                <w:i/>
                <w:iCs/>
                <w:snapToGrid w:val="0"/>
              </w:rPr>
              <w:t>[8.</w:t>
            </w:r>
          </w:p>
        </w:tc>
        <w:tc>
          <w:tcPr>
            <w:tcW w:w="6484" w:type="dxa"/>
          </w:tcPr>
          <w:p>
            <w:pPr>
              <w:pStyle w:val="yTable"/>
              <w:keepNext/>
              <w:tabs>
                <w:tab w:val="left" w:pos="600"/>
              </w:tabs>
              <w:ind w:left="608" w:hanging="608"/>
              <w:rPr>
                <w:i/>
                <w:iCs/>
                <w:snapToGrid w:val="0"/>
                <w:sz w:val="20"/>
              </w:rPr>
            </w:pPr>
            <w:r>
              <w:rPr>
                <w:i/>
                <w:iCs/>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keepNext/>
              <w:rPr>
                <w:snapToGrid w:val="0"/>
              </w:rPr>
            </w:pPr>
          </w:p>
        </w:tc>
        <w:tc>
          <w:tcPr>
            <w:tcW w:w="6484" w:type="dxa"/>
          </w:tcPr>
          <w:p>
            <w:pPr>
              <w:pStyle w:val="yTable"/>
              <w:keepNext/>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pStyle w:val="nHeading2"/>
        <w:sectPr>
          <w:headerReference w:type="even" r:id="rId50"/>
          <w:headerReference w:type="default" r:id="rId51"/>
          <w:headerReference w:type="first" r:id="rId52"/>
          <w:pgSz w:w="11906" w:h="16838" w:code="9"/>
          <w:pgMar w:top="2381" w:right="2409" w:bottom="3543" w:left="2410" w:header="720" w:footer="3380" w:gutter="0"/>
          <w:cols w:space="720"/>
          <w:noEndnote/>
          <w:docGrid w:linePitch="326"/>
        </w:sectPr>
      </w:pPr>
    </w:p>
    <w:p>
      <w:pPr>
        <w:pStyle w:val="nHeading2"/>
      </w:pPr>
      <w:bookmarkStart w:id="2177" w:name="_Toc58902697"/>
      <w:bookmarkStart w:id="2178" w:name="_Toc76899749"/>
      <w:bookmarkStart w:id="2179" w:name="_Toc78090651"/>
      <w:bookmarkStart w:id="2180" w:name="_Toc88887019"/>
      <w:bookmarkStart w:id="2181" w:name="_Toc90443635"/>
      <w:bookmarkStart w:id="2182" w:name="_Toc90452986"/>
      <w:bookmarkStart w:id="2183" w:name="_Toc100029577"/>
      <w:bookmarkStart w:id="2184" w:name="_Toc100031650"/>
      <w:bookmarkStart w:id="2185" w:name="_Toc100458709"/>
      <w:bookmarkStart w:id="2186" w:name="_Toc101672125"/>
      <w:bookmarkStart w:id="2187" w:name="_Toc101672382"/>
      <w:bookmarkStart w:id="2188" w:name="_Toc102799408"/>
      <w:bookmarkStart w:id="2189" w:name="_Toc102982082"/>
      <w:bookmarkStart w:id="2190" w:name="_Toc103403395"/>
      <w:bookmarkStart w:id="2191" w:name="_Toc103403652"/>
      <w:bookmarkStart w:id="2192" w:name="_Toc103747651"/>
      <w:bookmarkStart w:id="2193" w:name="_Toc107055080"/>
      <w:bookmarkStart w:id="2194" w:name="_Toc113874529"/>
      <w:bookmarkStart w:id="2195" w:name="_Toc113956945"/>
      <w:bookmarkStart w:id="2196" w:name="_Toc116717501"/>
      <w:bookmarkStart w:id="2197" w:name="_Toc116813528"/>
      <w:bookmarkStart w:id="2198" w:name="_Toc122333180"/>
      <w:bookmarkStart w:id="2199" w:name="_Toc122862150"/>
      <w:bookmarkStart w:id="2200" w:name="_Toc122862746"/>
      <w:bookmarkStart w:id="2201" w:name="_Toc122921353"/>
      <w:bookmarkStart w:id="2202" w:name="_Toc122921613"/>
      <w:bookmarkStart w:id="2203" w:name="_Toc122947559"/>
      <w:bookmarkStart w:id="2204" w:name="_Toc124046397"/>
      <w:bookmarkStart w:id="2205" w:name="_Toc131415996"/>
      <w:bookmarkStart w:id="2206" w:name="_Toc131416294"/>
      <w:bookmarkStart w:id="2207" w:name="_Toc170193477"/>
      <w:r>
        <w:t>Notes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9, 10, 11, 12</w:t>
      </w:r>
      <w:r>
        <w:rPr>
          <w:snapToGrid w:val="0"/>
        </w:rPr>
        <w:t>.  The table also contains information about any reprint.</w:t>
      </w:r>
    </w:p>
    <w:p>
      <w:pPr>
        <w:pStyle w:val="nHeading3"/>
        <w:rPr>
          <w:snapToGrid w:val="0"/>
        </w:rPr>
      </w:pPr>
      <w:bookmarkStart w:id="2208" w:name="_Toc107055081"/>
      <w:bookmarkStart w:id="2209" w:name="_Toc131416295"/>
      <w:bookmarkStart w:id="2210" w:name="_Toc170193478"/>
      <w:r>
        <w:rPr>
          <w:snapToGrid w:val="0"/>
        </w:rPr>
        <w:t>Compilation table</w:t>
      </w:r>
      <w:bookmarkEnd w:id="2208"/>
      <w:bookmarkEnd w:id="2209"/>
      <w:bookmarkEnd w:id="2210"/>
    </w:p>
    <w:tbl>
      <w:tblPr>
        <w:tblW w:w="6985" w:type="dxa"/>
        <w:tblInd w:w="56" w:type="dxa"/>
        <w:tblLayout w:type="fixed"/>
        <w:tblCellMar>
          <w:left w:w="56" w:type="dxa"/>
          <w:right w:w="56" w:type="dxa"/>
        </w:tblCellMar>
        <w:tblLook w:val="0000" w:firstRow="0" w:lastRow="0" w:firstColumn="0" w:lastColumn="0" w:noHBand="0" w:noVBand="0"/>
      </w:tblPr>
      <w:tblGrid>
        <w:gridCol w:w="2083"/>
        <w:gridCol w:w="181"/>
        <w:gridCol w:w="894"/>
        <w:gridCol w:w="57"/>
        <w:gridCol w:w="182"/>
        <w:gridCol w:w="951"/>
        <w:gridCol w:w="185"/>
        <w:gridCol w:w="180"/>
        <w:gridCol w:w="2272"/>
      </w:tblGrid>
      <w:tr>
        <w:trPr>
          <w:cantSplit/>
          <w:tblHeader/>
        </w:trPr>
        <w:tc>
          <w:tcPr>
            <w:tcW w:w="20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63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083" w:type="dxa"/>
          </w:tcPr>
          <w:p>
            <w:pPr>
              <w:pStyle w:val="nTable"/>
              <w:spacing w:after="40"/>
              <w:ind w:right="113"/>
              <w:rPr>
                <w:sz w:val="19"/>
              </w:rPr>
            </w:pPr>
            <w:r>
              <w:rPr>
                <w:i/>
                <w:sz w:val="19"/>
              </w:rPr>
              <w:t>Stamp Act 1921</w:t>
            </w:r>
          </w:p>
        </w:tc>
        <w:tc>
          <w:tcPr>
            <w:tcW w:w="1132" w:type="dxa"/>
            <w:gridSpan w:val="3"/>
          </w:tcPr>
          <w:p>
            <w:pPr>
              <w:pStyle w:val="nTable"/>
              <w:spacing w:after="40"/>
              <w:rPr>
                <w:sz w:val="19"/>
              </w:rPr>
            </w:pPr>
            <w:r>
              <w:rPr>
                <w:sz w:val="19"/>
              </w:rPr>
              <w:t>10 of 1922</w:t>
            </w:r>
          </w:p>
        </w:tc>
        <w:tc>
          <w:tcPr>
            <w:tcW w:w="1133" w:type="dxa"/>
            <w:gridSpan w:val="2"/>
          </w:tcPr>
          <w:p>
            <w:pPr>
              <w:pStyle w:val="nTable"/>
              <w:spacing w:after="40"/>
              <w:rPr>
                <w:sz w:val="19"/>
              </w:rPr>
            </w:pPr>
            <w:r>
              <w:rPr>
                <w:sz w:val="19"/>
              </w:rPr>
              <w:t>31 Jan 1922</w:t>
            </w:r>
          </w:p>
        </w:tc>
        <w:tc>
          <w:tcPr>
            <w:tcW w:w="2637"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083" w:type="dxa"/>
          </w:tcPr>
          <w:p>
            <w:pPr>
              <w:pStyle w:val="nTable"/>
              <w:spacing w:after="40"/>
              <w:ind w:right="113"/>
              <w:rPr>
                <w:sz w:val="19"/>
              </w:rPr>
            </w:pPr>
            <w:r>
              <w:rPr>
                <w:i/>
                <w:sz w:val="19"/>
              </w:rPr>
              <w:t>Stamp Act Amendment Act 1923</w:t>
            </w:r>
          </w:p>
        </w:tc>
        <w:tc>
          <w:tcPr>
            <w:tcW w:w="1132" w:type="dxa"/>
            <w:gridSpan w:val="3"/>
          </w:tcPr>
          <w:p>
            <w:pPr>
              <w:pStyle w:val="nTable"/>
              <w:spacing w:after="40"/>
              <w:rPr>
                <w:sz w:val="19"/>
              </w:rPr>
            </w:pPr>
            <w:r>
              <w:rPr>
                <w:sz w:val="19"/>
              </w:rPr>
              <w:t>53 of 1923</w:t>
            </w:r>
          </w:p>
        </w:tc>
        <w:tc>
          <w:tcPr>
            <w:tcW w:w="1133" w:type="dxa"/>
            <w:gridSpan w:val="2"/>
          </w:tcPr>
          <w:p>
            <w:pPr>
              <w:pStyle w:val="nTable"/>
              <w:spacing w:after="40"/>
              <w:rPr>
                <w:sz w:val="19"/>
              </w:rPr>
            </w:pPr>
            <w:r>
              <w:rPr>
                <w:sz w:val="19"/>
              </w:rPr>
              <w:t>22 Dec 1923</w:t>
            </w:r>
          </w:p>
        </w:tc>
        <w:tc>
          <w:tcPr>
            <w:tcW w:w="2637" w:type="dxa"/>
            <w:gridSpan w:val="3"/>
          </w:tcPr>
          <w:p>
            <w:pPr>
              <w:pStyle w:val="nTable"/>
              <w:spacing w:after="40"/>
              <w:rPr>
                <w:sz w:val="19"/>
              </w:rPr>
            </w:pPr>
            <w:r>
              <w:rPr>
                <w:sz w:val="19"/>
              </w:rPr>
              <w:t>22 Dec 1923</w:t>
            </w:r>
          </w:p>
        </w:tc>
      </w:tr>
      <w:tr>
        <w:trPr>
          <w:cantSplit/>
        </w:trPr>
        <w:tc>
          <w:tcPr>
            <w:tcW w:w="2083" w:type="dxa"/>
          </w:tcPr>
          <w:p>
            <w:pPr>
              <w:pStyle w:val="nTable"/>
              <w:spacing w:after="40"/>
              <w:ind w:right="113"/>
              <w:rPr>
                <w:sz w:val="19"/>
              </w:rPr>
            </w:pPr>
            <w:r>
              <w:rPr>
                <w:i/>
                <w:sz w:val="19"/>
              </w:rPr>
              <w:t>Stamp Act Amendment Act 1924</w:t>
            </w:r>
          </w:p>
        </w:tc>
        <w:tc>
          <w:tcPr>
            <w:tcW w:w="1132" w:type="dxa"/>
            <w:gridSpan w:val="3"/>
          </w:tcPr>
          <w:p>
            <w:pPr>
              <w:pStyle w:val="nTable"/>
              <w:spacing w:after="40"/>
              <w:rPr>
                <w:sz w:val="19"/>
              </w:rPr>
            </w:pPr>
            <w:r>
              <w:rPr>
                <w:sz w:val="19"/>
              </w:rPr>
              <w:t>23 of 1924</w:t>
            </w:r>
          </w:p>
        </w:tc>
        <w:tc>
          <w:tcPr>
            <w:tcW w:w="1133" w:type="dxa"/>
            <w:gridSpan w:val="2"/>
          </w:tcPr>
          <w:p>
            <w:pPr>
              <w:pStyle w:val="nTable"/>
              <w:spacing w:after="40"/>
              <w:rPr>
                <w:sz w:val="19"/>
              </w:rPr>
            </w:pPr>
            <w:r>
              <w:rPr>
                <w:sz w:val="19"/>
              </w:rPr>
              <w:t>31 Dec 1924</w:t>
            </w:r>
          </w:p>
        </w:tc>
        <w:tc>
          <w:tcPr>
            <w:tcW w:w="2637" w:type="dxa"/>
            <w:gridSpan w:val="3"/>
          </w:tcPr>
          <w:p>
            <w:pPr>
              <w:pStyle w:val="nTable"/>
              <w:spacing w:after="40"/>
              <w:rPr>
                <w:sz w:val="19"/>
              </w:rPr>
            </w:pPr>
            <w:r>
              <w:rPr>
                <w:sz w:val="19"/>
              </w:rPr>
              <w:t>31 Dec 1924</w:t>
            </w:r>
          </w:p>
        </w:tc>
      </w:tr>
      <w:tr>
        <w:trPr>
          <w:cantSplit/>
        </w:trPr>
        <w:tc>
          <w:tcPr>
            <w:tcW w:w="2083" w:type="dxa"/>
          </w:tcPr>
          <w:p>
            <w:pPr>
              <w:pStyle w:val="nTable"/>
              <w:spacing w:after="40"/>
              <w:ind w:right="113"/>
              <w:rPr>
                <w:sz w:val="19"/>
              </w:rPr>
            </w:pPr>
            <w:r>
              <w:rPr>
                <w:i/>
                <w:sz w:val="19"/>
              </w:rPr>
              <w:t xml:space="preserve">Ministers’ Titles Act 1925 </w:t>
            </w:r>
            <w:r>
              <w:rPr>
                <w:sz w:val="19"/>
              </w:rPr>
              <w:t>s. 2</w:t>
            </w:r>
          </w:p>
        </w:tc>
        <w:tc>
          <w:tcPr>
            <w:tcW w:w="1132" w:type="dxa"/>
            <w:gridSpan w:val="3"/>
          </w:tcPr>
          <w:p>
            <w:pPr>
              <w:pStyle w:val="nTable"/>
              <w:spacing w:after="40"/>
              <w:rPr>
                <w:sz w:val="19"/>
              </w:rPr>
            </w:pPr>
            <w:r>
              <w:rPr>
                <w:sz w:val="19"/>
              </w:rPr>
              <w:t>8 of 1925</w:t>
            </w:r>
          </w:p>
        </w:tc>
        <w:tc>
          <w:tcPr>
            <w:tcW w:w="1133" w:type="dxa"/>
            <w:gridSpan w:val="2"/>
          </w:tcPr>
          <w:p>
            <w:pPr>
              <w:pStyle w:val="nTable"/>
              <w:spacing w:after="40"/>
              <w:rPr>
                <w:sz w:val="19"/>
              </w:rPr>
            </w:pPr>
            <w:r>
              <w:rPr>
                <w:sz w:val="19"/>
              </w:rPr>
              <w:t>24 Sep 1925</w:t>
            </w:r>
          </w:p>
        </w:tc>
        <w:tc>
          <w:tcPr>
            <w:tcW w:w="2637" w:type="dxa"/>
            <w:gridSpan w:val="3"/>
          </w:tcPr>
          <w:p>
            <w:pPr>
              <w:pStyle w:val="nTable"/>
              <w:spacing w:after="40"/>
              <w:rPr>
                <w:sz w:val="19"/>
              </w:rPr>
            </w:pPr>
            <w:r>
              <w:rPr>
                <w:sz w:val="19"/>
              </w:rPr>
              <w:t>24 Sep 1925</w:t>
            </w:r>
          </w:p>
        </w:tc>
      </w:tr>
      <w:tr>
        <w:trPr>
          <w:cantSplit/>
        </w:trPr>
        <w:tc>
          <w:tcPr>
            <w:tcW w:w="2083" w:type="dxa"/>
          </w:tcPr>
          <w:p>
            <w:pPr>
              <w:pStyle w:val="nTable"/>
              <w:spacing w:after="40"/>
              <w:ind w:right="113"/>
              <w:rPr>
                <w:sz w:val="19"/>
              </w:rPr>
            </w:pPr>
            <w:r>
              <w:rPr>
                <w:i/>
                <w:sz w:val="19"/>
              </w:rPr>
              <w:t>Stamp Act Amendment Act 1925</w:t>
            </w:r>
          </w:p>
        </w:tc>
        <w:tc>
          <w:tcPr>
            <w:tcW w:w="1132" w:type="dxa"/>
            <w:gridSpan w:val="3"/>
          </w:tcPr>
          <w:p>
            <w:pPr>
              <w:pStyle w:val="nTable"/>
              <w:spacing w:after="40"/>
              <w:rPr>
                <w:sz w:val="19"/>
              </w:rPr>
            </w:pPr>
            <w:r>
              <w:rPr>
                <w:sz w:val="19"/>
              </w:rPr>
              <w:t>47 of 1925</w:t>
            </w:r>
          </w:p>
        </w:tc>
        <w:tc>
          <w:tcPr>
            <w:tcW w:w="1133" w:type="dxa"/>
            <w:gridSpan w:val="2"/>
          </w:tcPr>
          <w:p>
            <w:pPr>
              <w:pStyle w:val="nTable"/>
              <w:spacing w:after="40"/>
              <w:rPr>
                <w:sz w:val="19"/>
              </w:rPr>
            </w:pPr>
            <w:r>
              <w:rPr>
                <w:sz w:val="19"/>
              </w:rPr>
              <w:t>31 Dec 1925</w:t>
            </w:r>
          </w:p>
        </w:tc>
        <w:tc>
          <w:tcPr>
            <w:tcW w:w="2637" w:type="dxa"/>
            <w:gridSpan w:val="3"/>
          </w:tcPr>
          <w:p>
            <w:pPr>
              <w:pStyle w:val="nTable"/>
              <w:spacing w:after="40"/>
              <w:rPr>
                <w:sz w:val="19"/>
              </w:rPr>
            </w:pPr>
            <w:r>
              <w:rPr>
                <w:sz w:val="19"/>
              </w:rPr>
              <w:t>31 Dec 1925</w:t>
            </w:r>
          </w:p>
        </w:tc>
      </w:tr>
      <w:tr>
        <w:trPr>
          <w:cantSplit/>
        </w:trPr>
        <w:tc>
          <w:tcPr>
            <w:tcW w:w="2083" w:type="dxa"/>
          </w:tcPr>
          <w:p>
            <w:pPr>
              <w:pStyle w:val="nTable"/>
              <w:spacing w:after="40"/>
              <w:ind w:right="113"/>
              <w:rPr>
                <w:sz w:val="19"/>
              </w:rPr>
            </w:pPr>
            <w:r>
              <w:rPr>
                <w:i/>
                <w:sz w:val="19"/>
              </w:rPr>
              <w:t>Stamp Act Amendment Act 1926</w:t>
            </w:r>
          </w:p>
        </w:tc>
        <w:tc>
          <w:tcPr>
            <w:tcW w:w="1132" w:type="dxa"/>
            <w:gridSpan w:val="3"/>
          </w:tcPr>
          <w:p>
            <w:pPr>
              <w:pStyle w:val="nTable"/>
              <w:spacing w:after="40"/>
              <w:rPr>
                <w:sz w:val="19"/>
              </w:rPr>
            </w:pPr>
            <w:r>
              <w:rPr>
                <w:sz w:val="19"/>
              </w:rPr>
              <w:t>17 of 1926</w:t>
            </w:r>
          </w:p>
        </w:tc>
        <w:tc>
          <w:tcPr>
            <w:tcW w:w="1133" w:type="dxa"/>
            <w:gridSpan w:val="2"/>
          </w:tcPr>
          <w:p>
            <w:pPr>
              <w:pStyle w:val="nTable"/>
              <w:spacing w:after="40"/>
              <w:rPr>
                <w:sz w:val="19"/>
              </w:rPr>
            </w:pPr>
            <w:r>
              <w:rPr>
                <w:sz w:val="19"/>
              </w:rPr>
              <w:t>6 Nov 1926</w:t>
            </w:r>
          </w:p>
        </w:tc>
        <w:tc>
          <w:tcPr>
            <w:tcW w:w="2637" w:type="dxa"/>
            <w:gridSpan w:val="3"/>
          </w:tcPr>
          <w:p>
            <w:pPr>
              <w:pStyle w:val="nTable"/>
              <w:spacing w:after="40"/>
              <w:rPr>
                <w:sz w:val="19"/>
              </w:rPr>
            </w:pPr>
            <w:r>
              <w:rPr>
                <w:sz w:val="19"/>
              </w:rPr>
              <w:t>6 Nov 1926</w:t>
            </w:r>
          </w:p>
        </w:tc>
      </w:tr>
      <w:tr>
        <w:trPr>
          <w:cantSplit/>
        </w:trPr>
        <w:tc>
          <w:tcPr>
            <w:tcW w:w="2083" w:type="dxa"/>
          </w:tcPr>
          <w:p>
            <w:pPr>
              <w:pStyle w:val="nTable"/>
              <w:spacing w:after="40"/>
              <w:ind w:right="113"/>
              <w:rPr>
                <w:sz w:val="19"/>
              </w:rPr>
            </w:pPr>
            <w:r>
              <w:rPr>
                <w:i/>
                <w:sz w:val="19"/>
              </w:rPr>
              <w:t>Stamp Act Amendment Act 1927</w:t>
            </w:r>
          </w:p>
        </w:tc>
        <w:tc>
          <w:tcPr>
            <w:tcW w:w="1132" w:type="dxa"/>
            <w:gridSpan w:val="3"/>
          </w:tcPr>
          <w:p>
            <w:pPr>
              <w:pStyle w:val="nTable"/>
              <w:spacing w:after="40"/>
              <w:rPr>
                <w:sz w:val="19"/>
              </w:rPr>
            </w:pPr>
            <w:r>
              <w:rPr>
                <w:sz w:val="19"/>
              </w:rPr>
              <w:t>10 of 1927</w:t>
            </w:r>
          </w:p>
        </w:tc>
        <w:tc>
          <w:tcPr>
            <w:tcW w:w="1133" w:type="dxa"/>
            <w:gridSpan w:val="2"/>
          </w:tcPr>
          <w:p>
            <w:pPr>
              <w:pStyle w:val="nTable"/>
              <w:spacing w:after="40"/>
              <w:rPr>
                <w:sz w:val="19"/>
              </w:rPr>
            </w:pPr>
            <w:r>
              <w:rPr>
                <w:sz w:val="19"/>
              </w:rPr>
              <w:t>6 Dec 1927</w:t>
            </w:r>
          </w:p>
        </w:tc>
        <w:tc>
          <w:tcPr>
            <w:tcW w:w="2637" w:type="dxa"/>
            <w:gridSpan w:val="3"/>
          </w:tcPr>
          <w:p>
            <w:pPr>
              <w:pStyle w:val="nTable"/>
              <w:spacing w:after="40"/>
              <w:rPr>
                <w:sz w:val="19"/>
              </w:rPr>
            </w:pPr>
            <w:r>
              <w:rPr>
                <w:sz w:val="19"/>
              </w:rPr>
              <w:t>6 Dec 1927</w:t>
            </w:r>
          </w:p>
        </w:tc>
      </w:tr>
      <w:tr>
        <w:trPr>
          <w:cantSplit/>
        </w:trPr>
        <w:tc>
          <w:tcPr>
            <w:tcW w:w="2083" w:type="dxa"/>
          </w:tcPr>
          <w:p>
            <w:pPr>
              <w:pStyle w:val="nTable"/>
              <w:spacing w:after="40"/>
              <w:ind w:right="113"/>
              <w:rPr>
                <w:sz w:val="19"/>
              </w:rPr>
            </w:pPr>
            <w:r>
              <w:rPr>
                <w:i/>
                <w:sz w:val="19"/>
              </w:rPr>
              <w:t>Stamp Act Amendment Act 1928</w:t>
            </w:r>
          </w:p>
        </w:tc>
        <w:tc>
          <w:tcPr>
            <w:tcW w:w="1132" w:type="dxa"/>
            <w:gridSpan w:val="3"/>
          </w:tcPr>
          <w:p>
            <w:pPr>
              <w:pStyle w:val="nTable"/>
              <w:spacing w:after="40"/>
              <w:rPr>
                <w:sz w:val="19"/>
              </w:rPr>
            </w:pPr>
            <w:r>
              <w:rPr>
                <w:sz w:val="19"/>
              </w:rPr>
              <w:t>22 of 1928</w:t>
            </w:r>
          </w:p>
        </w:tc>
        <w:tc>
          <w:tcPr>
            <w:tcW w:w="1133" w:type="dxa"/>
            <w:gridSpan w:val="2"/>
          </w:tcPr>
          <w:p>
            <w:pPr>
              <w:pStyle w:val="nTable"/>
              <w:spacing w:after="40"/>
              <w:rPr>
                <w:sz w:val="19"/>
              </w:rPr>
            </w:pPr>
            <w:r>
              <w:rPr>
                <w:sz w:val="19"/>
              </w:rPr>
              <w:t>21 Dec 1928</w:t>
            </w:r>
          </w:p>
        </w:tc>
        <w:tc>
          <w:tcPr>
            <w:tcW w:w="2637" w:type="dxa"/>
            <w:gridSpan w:val="3"/>
          </w:tcPr>
          <w:p>
            <w:pPr>
              <w:pStyle w:val="nTable"/>
              <w:spacing w:after="40"/>
              <w:rPr>
                <w:sz w:val="19"/>
              </w:rPr>
            </w:pPr>
            <w:r>
              <w:rPr>
                <w:sz w:val="19"/>
              </w:rPr>
              <w:t>21 Dec 1928</w:t>
            </w:r>
          </w:p>
        </w:tc>
      </w:tr>
      <w:tr>
        <w:trPr>
          <w:cantSplit/>
        </w:trPr>
        <w:tc>
          <w:tcPr>
            <w:tcW w:w="2083" w:type="dxa"/>
          </w:tcPr>
          <w:p>
            <w:pPr>
              <w:pStyle w:val="nTable"/>
              <w:spacing w:after="40"/>
              <w:ind w:right="113"/>
              <w:rPr>
                <w:sz w:val="19"/>
                <w:vertAlign w:val="superscript"/>
              </w:rPr>
            </w:pPr>
            <w:r>
              <w:rPr>
                <w:i/>
                <w:sz w:val="19"/>
              </w:rPr>
              <w:t>Stamp Act Amendment Act 1929</w:t>
            </w:r>
          </w:p>
        </w:tc>
        <w:tc>
          <w:tcPr>
            <w:tcW w:w="1132" w:type="dxa"/>
            <w:gridSpan w:val="3"/>
          </w:tcPr>
          <w:p>
            <w:pPr>
              <w:pStyle w:val="nTable"/>
              <w:spacing w:after="40"/>
              <w:rPr>
                <w:sz w:val="19"/>
              </w:rPr>
            </w:pPr>
            <w:r>
              <w:rPr>
                <w:sz w:val="19"/>
              </w:rPr>
              <w:t>5 of 1929</w:t>
            </w:r>
          </w:p>
        </w:tc>
        <w:tc>
          <w:tcPr>
            <w:tcW w:w="1133" w:type="dxa"/>
            <w:gridSpan w:val="2"/>
          </w:tcPr>
          <w:p>
            <w:pPr>
              <w:pStyle w:val="nTable"/>
              <w:spacing w:after="40"/>
              <w:rPr>
                <w:sz w:val="19"/>
              </w:rPr>
            </w:pPr>
            <w:r>
              <w:rPr>
                <w:sz w:val="19"/>
              </w:rPr>
              <w:t>7 Oct 1929</w:t>
            </w:r>
          </w:p>
        </w:tc>
        <w:tc>
          <w:tcPr>
            <w:tcW w:w="2637" w:type="dxa"/>
            <w:gridSpan w:val="3"/>
          </w:tcPr>
          <w:p>
            <w:pPr>
              <w:pStyle w:val="nTable"/>
              <w:spacing w:after="40"/>
              <w:rPr>
                <w:sz w:val="19"/>
              </w:rPr>
            </w:pPr>
            <w:r>
              <w:rPr>
                <w:sz w:val="19"/>
              </w:rPr>
              <w:t>7 Oct 1929</w:t>
            </w:r>
          </w:p>
        </w:tc>
      </w:tr>
      <w:tr>
        <w:trPr>
          <w:cantSplit/>
        </w:trPr>
        <w:tc>
          <w:tcPr>
            <w:tcW w:w="2083" w:type="dxa"/>
          </w:tcPr>
          <w:p>
            <w:pPr>
              <w:pStyle w:val="nTable"/>
              <w:spacing w:after="40"/>
              <w:ind w:right="113"/>
              <w:rPr>
                <w:sz w:val="19"/>
              </w:rPr>
            </w:pPr>
            <w:r>
              <w:rPr>
                <w:i/>
                <w:sz w:val="19"/>
              </w:rPr>
              <w:t>Stamp Act Amendment Act (No. 3) 1930</w:t>
            </w:r>
          </w:p>
        </w:tc>
        <w:tc>
          <w:tcPr>
            <w:tcW w:w="1132" w:type="dxa"/>
            <w:gridSpan w:val="3"/>
          </w:tcPr>
          <w:p>
            <w:pPr>
              <w:pStyle w:val="nTable"/>
              <w:spacing w:after="40"/>
              <w:rPr>
                <w:sz w:val="19"/>
              </w:rPr>
            </w:pPr>
            <w:r>
              <w:rPr>
                <w:sz w:val="19"/>
              </w:rPr>
              <w:t>11 of 1930</w:t>
            </w:r>
          </w:p>
        </w:tc>
        <w:tc>
          <w:tcPr>
            <w:tcW w:w="1133" w:type="dxa"/>
            <w:gridSpan w:val="2"/>
          </w:tcPr>
          <w:p>
            <w:pPr>
              <w:pStyle w:val="nTable"/>
              <w:spacing w:after="40"/>
              <w:rPr>
                <w:sz w:val="19"/>
              </w:rPr>
            </w:pPr>
            <w:r>
              <w:rPr>
                <w:sz w:val="19"/>
              </w:rPr>
              <w:t>19 Nov 1930</w:t>
            </w:r>
          </w:p>
        </w:tc>
        <w:tc>
          <w:tcPr>
            <w:tcW w:w="2637" w:type="dxa"/>
            <w:gridSpan w:val="3"/>
          </w:tcPr>
          <w:p>
            <w:pPr>
              <w:pStyle w:val="nTable"/>
              <w:spacing w:after="40"/>
              <w:rPr>
                <w:sz w:val="19"/>
              </w:rPr>
            </w:pPr>
            <w:r>
              <w:rPr>
                <w:sz w:val="19"/>
              </w:rPr>
              <w:t>19 Nov 1930</w:t>
            </w:r>
          </w:p>
        </w:tc>
      </w:tr>
      <w:tr>
        <w:trPr>
          <w:cantSplit/>
        </w:trPr>
        <w:tc>
          <w:tcPr>
            <w:tcW w:w="2083" w:type="dxa"/>
          </w:tcPr>
          <w:p>
            <w:pPr>
              <w:pStyle w:val="nTable"/>
              <w:spacing w:after="40"/>
              <w:ind w:right="113"/>
              <w:rPr>
                <w:sz w:val="19"/>
              </w:rPr>
            </w:pPr>
            <w:r>
              <w:rPr>
                <w:i/>
                <w:sz w:val="19"/>
              </w:rPr>
              <w:t>Stamp Act Amendment Act (No. 1) 1930</w:t>
            </w:r>
          </w:p>
        </w:tc>
        <w:tc>
          <w:tcPr>
            <w:tcW w:w="1132" w:type="dxa"/>
            <w:gridSpan w:val="3"/>
          </w:tcPr>
          <w:p>
            <w:pPr>
              <w:pStyle w:val="nTable"/>
              <w:spacing w:after="40"/>
              <w:rPr>
                <w:sz w:val="19"/>
              </w:rPr>
            </w:pPr>
            <w:r>
              <w:rPr>
                <w:sz w:val="19"/>
              </w:rPr>
              <w:t>12 of 1930</w:t>
            </w:r>
          </w:p>
        </w:tc>
        <w:tc>
          <w:tcPr>
            <w:tcW w:w="1133" w:type="dxa"/>
            <w:gridSpan w:val="2"/>
          </w:tcPr>
          <w:p>
            <w:pPr>
              <w:pStyle w:val="nTable"/>
              <w:spacing w:after="40"/>
              <w:rPr>
                <w:sz w:val="19"/>
              </w:rPr>
            </w:pPr>
            <w:r>
              <w:rPr>
                <w:sz w:val="19"/>
              </w:rPr>
              <w:t>19 Nov 1930</w:t>
            </w:r>
          </w:p>
        </w:tc>
        <w:tc>
          <w:tcPr>
            <w:tcW w:w="2637" w:type="dxa"/>
            <w:gridSpan w:val="3"/>
          </w:tcPr>
          <w:p>
            <w:pPr>
              <w:pStyle w:val="nTable"/>
              <w:spacing w:after="40"/>
              <w:rPr>
                <w:sz w:val="19"/>
              </w:rPr>
            </w:pPr>
            <w:r>
              <w:rPr>
                <w:sz w:val="19"/>
              </w:rPr>
              <w:t>19 Nov 1930</w:t>
            </w:r>
          </w:p>
        </w:tc>
      </w:tr>
      <w:tr>
        <w:trPr>
          <w:cantSplit/>
        </w:trPr>
        <w:tc>
          <w:tcPr>
            <w:tcW w:w="2083" w:type="dxa"/>
          </w:tcPr>
          <w:p>
            <w:pPr>
              <w:pStyle w:val="nTable"/>
              <w:spacing w:after="40"/>
              <w:ind w:right="113"/>
              <w:rPr>
                <w:sz w:val="19"/>
              </w:rPr>
            </w:pPr>
            <w:r>
              <w:rPr>
                <w:i/>
                <w:sz w:val="19"/>
              </w:rPr>
              <w:t>Stamp Act Amendment Act 1931</w:t>
            </w:r>
          </w:p>
        </w:tc>
        <w:tc>
          <w:tcPr>
            <w:tcW w:w="1132" w:type="dxa"/>
            <w:gridSpan w:val="3"/>
          </w:tcPr>
          <w:p>
            <w:pPr>
              <w:pStyle w:val="nTable"/>
              <w:spacing w:after="40"/>
              <w:rPr>
                <w:sz w:val="19"/>
              </w:rPr>
            </w:pPr>
            <w:r>
              <w:rPr>
                <w:sz w:val="19"/>
              </w:rPr>
              <w:t>39 of 1931</w:t>
            </w:r>
          </w:p>
        </w:tc>
        <w:tc>
          <w:tcPr>
            <w:tcW w:w="1133" w:type="dxa"/>
            <w:gridSpan w:val="2"/>
          </w:tcPr>
          <w:p>
            <w:pPr>
              <w:pStyle w:val="nTable"/>
              <w:spacing w:after="40"/>
              <w:rPr>
                <w:sz w:val="19"/>
              </w:rPr>
            </w:pPr>
            <w:r>
              <w:rPr>
                <w:sz w:val="19"/>
              </w:rPr>
              <w:t>26 Nov 1931</w:t>
            </w:r>
          </w:p>
        </w:tc>
        <w:tc>
          <w:tcPr>
            <w:tcW w:w="2637"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13</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1941</w:t>
            </w:r>
          </w:p>
        </w:tc>
        <w:tc>
          <w:tcPr>
            <w:tcW w:w="1132" w:type="dxa"/>
            <w:gridSpan w:val="3"/>
          </w:tcPr>
          <w:p>
            <w:pPr>
              <w:pStyle w:val="nTable"/>
              <w:spacing w:after="40"/>
              <w:rPr>
                <w:sz w:val="19"/>
              </w:rPr>
            </w:pPr>
            <w:r>
              <w:rPr>
                <w:sz w:val="19"/>
              </w:rPr>
              <w:t>35 of 1941</w:t>
            </w:r>
          </w:p>
        </w:tc>
        <w:tc>
          <w:tcPr>
            <w:tcW w:w="1133" w:type="dxa"/>
            <w:gridSpan w:val="2"/>
          </w:tcPr>
          <w:p>
            <w:pPr>
              <w:pStyle w:val="nTable"/>
              <w:spacing w:after="40"/>
              <w:rPr>
                <w:sz w:val="19"/>
              </w:rPr>
            </w:pPr>
            <w:r>
              <w:rPr>
                <w:sz w:val="19"/>
              </w:rPr>
              <w:t>19 Dec 1941</w:t>
            </w:r>
          </w:p>
        </w:tc>
        <w:tc>
          <w:tcPr>
            <w:tcW w:w="2637" w:type="dxa"/>
            <w:gridSpan w:val="3"/>
          </w:tcPr>
          <w:p>
            <w:pPr>
              <w:pStyle w:val="nTable"/>
              <w:spacing w:after="40"/>
              <w:rPr>
                <w:sz w:val="19"/>
              </w:rPr>
            </w:pPr>
            <w:r>
              <w:rPr>
                <w:sz w:val="19"/>
              </w:rPr>
              <w:t>19 Dec 1941</w:t>
            </w:r>
          </w:p>
        </w:tc>
      </w:tr>
      <w:tr>
        <w:trPr>
          <w:cantSplit/>
        </w:trPr>
        <w:tc>
          <w:tcPr>
            <w:tcW w:w="2083" w:type="dxa"/>
          </w:tcPr>
          <w:p>
            <w:pPr>
              <w:pStyle w:val="nTable"/>
              <w:spacing w:after="40"/>
              <w:ind w:right="113"/>
              <w:rPr>
                <w:sz w:val="19"/>
              </w:rPr>
            </w:pPr>
            <w:r>
              <w:rPr>
                <w:i/>
                <w:sz w:val="19"/>
              </w:rPr>
              <w:t>Stamp Act Amendment Act 1942</w:t>
            </w:r>
          </w:p>
        </w:tc>
        <w:tc>
          <w:tcPr>
            <w:tcW w:w="1132" w:type="dxa"/>
            <w:gridSpan w:val="3"/>
          </w:tcPr>
          <w:p>
            <w:pPr>
              <w:pStyle w:val="nTable"/>
              <w:spacing w:after="40"/>
              <w:rPr>
                <w:sz w:val="19"/>
              </w:rPr>
            </w:pPr>
            <w:r>
              <w:rPr>
                <w:sz w:val="19"/>
              </w:rPr>
              <w:t>40 of 1942</w:t>
            </w:r>
          </w:p>
        </w:tc>
        <w:tc>
          <w:tcPr>
            <w:tcW w:w="1133" w:type="dxa"/>
            <w:gridSpan w:val="2"/>
          </w:tcPr>
          <w:p>
            <w:pPr>
              <w:pStyle w:val="nTable"/>
              <w:spacing w:after="40"/>
              <w:rPr>
                <w:sz w:val="19"/>
              </w:rPr>
            </w:pPr>
            <w:r>
              <w:rPr>
                <w:sz w:val="19"/>
              </w:rPr>
              <w:t>23 Dec 1942</w:t>
            </w:r>
          </w:p>
        </w:tc>
        <w:tc>
          <w:tcPr>
            <w:tcW w:w="2637" w:type="dxa"/>
            <w:gridSpan w:val="3"/>
          </w:tcPr>
          <w:p>
            <w:pPr>
              <w:pStyle w:val="nTable"/>
              <w:spacing w:after="40"/>
              <w:rPr>
                <w:sz w:val="19"/>
              </w:rPr>
            </w:pPr>
            <w:r>
              <w:rPr>
                <w:sz w:val="19"/>
              </w:rPr>
              <w:t>23 Dec 1942</w:t>
            </w:r>
          </w:p>
        </w:tc>
      </w:tr>
      <w:tr>
        <w:trPr>
          <w:cantSplit/>
        </w:trPr>
        <w:tc>
          <w:tcPr>
            <w:tcW w:w="2083" w:type="dxa"/>
          </w:tcPr>
          <w:p>
            <w:pPr>
              <w:pStyle w:val="nTable"/>
              <w:spacing w:after="40"/>
              <w:ind w:right="113"/>
              <w:rPr>
                <w:sz w:val="19"/>
              </w:rPr>
            </w:pPr>
            <w:r>
              <w:rPr>
                <w:i/>
                <w:sz w:val="19"/>
              </w:rPr>
              <w:t>Stamp Act Amendment Act 1944</w:t>
            </w:r>
          </w:p>
        </w:tc>
        <w:tc>
          <w:tcPr>
            <w:tcW w:w="1132" w:type="dxa"/>
            <w:gridSpan w:val="3"/>
          </w:tcPr>
          <w:p>
            <w:pPr>
              <w:pStyle w:val="nTable"/>
              <w:spacing w:after="40"/>
              <w:rPr>
                <w:sz w:val="19"/>
              </w:rPr>
            </w:pPr>
            <w:r>
              <w:rPr>
                <w:sz w:val="19"/>
              </w:rPr>
              <w:t>20 of 1944</w:t>
            </w:r>
          </w:p>
        </w:tc>
        <w:tc>
          <w:tcPr>
            <w:tcW w:w="1133" w:type="dxa"/>
            <w:gridSpan w:val="2"/>
          </w:tcPr>
          <w:p>
            <w:pPr>
              <w:pStyle w:val="nTable"/>
              <w:spacing w:after="40"/>
              <w:rPr>
                <w:sz w:val="19"/>
              </w:rPr>
            </w:pPr>
            <w:r>
              <w:rPr>
                <w:sz w:val="19"/>
              </w:rPr>
              <w:t>23 Dec 1944</w:t>
            </w:r>
          </w:p>
        </w:tc>
        <w:tc>
          <w:tcPr>
            <w:tcW w:w="2637" w:type="dxa"/>
            <w:gridSpan w:val="3"/>
          </w:tcPr>
          <w:p>
            <w:pPr>
              <w:pStyle w:val="nTable"/>
              <w:spacing w:after="40"/>
              <w:rPr>
                <w:sz w:val="19"/>
              </w:rPr>
            </w:pPr>
            <w:r>
              <w:rPr>
                <w:sz w:val="19"/>
              </w:rPr>
              <w:t>23 Dec 1944</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1950</w:t>
            </w:r>
          </w:p>
        </w:tc>
        <w:tc>
          <w:tcPr>
            <w:tcW w:w="1132" w:type="dxa"/>
            <w:gridSpan w:val="3"/>
          </w:tcPr>
          <w:p>
            <w:pPr>
              <w:pStyle w:val="nTable"/>
              <w:spacing w:after="40"/>
              <w:rPr>
                <w:sz w:val="19"/>
              </w:rPr>
            </w:pPr>
            <w:r>
              <w:rPr>
                <w:sz w:val="19"/>
              </w:rPr>
              <w:t>11 of 1950</w:t>
            </w:r>
          </w:p>
        </w:tc>
        <w:tc>
          <w:tcPr>
            <w:tcW w:w="1133" w:type="dxa"/>
            <w:gridSpan w:val="2"/>
          </w:tcPr>
          <w:p>
            <w:pPr>
              <w:pStyle w:val="nTable"/>
              <w:spacing w:after="40"/>
              <w:rPr>
                <w:sz w:val="19"/>
              </w:rPr>
            </w:pPr>
            <w:r>
              <w:rPr>
                <w:sz w:val="19"/>
              </w:rPr>
              <w:t>17 Nov 1950</w:t>
            </w:r>
          </w:p>
        </w:tc>
        <w:tc>
          <w:tcPr>
            <w:tcW w:w="2637" w:type="dxa"/>
            <w:gridSpan w:val="3"/>
          </w:tcPr>
          <w:p>
            <w:pPr>
              <w:pStyle w:val="nTable"/>
              <w:spacing w:after="40"/>
              <w:rPr>
                <w:sz w:val="19"/>
              </w:rPr>
            </w:pPr>
            <w:r>
              <w:rPr>
                <w:sz w:val="19"/>
              </w:rPr>
              <w:t>17 Nov 1950</w:t>
            </w:r>
          </w:p>
        </w:tc>
      </w:tr>
      <w:tr>
        <w:trPr>
          <w:cantSplit/>
        </w:trPr>
        <w:tc>
          <w:tcPr>
            <w:tcW w:w="2083" w:type="dxa"/>
          </w:tcPr>
          <w:p>
            <w:pPr>
              <w:pStyle w:val="nTable"/>
              <w:spacing w:after="40"/>
              <w:ind w:right="113"/>
              <w:rPr>
                <w:sz w:val="19"/>
              </w:rPr>
            </w:pPr>
            <w:r>
              <w:rPr>
                <w:i/>
                <w:sz w:val="19"/>
              </w:rPr>
              <w:t>Stamp Act Amendment Act 1954</w:t>
            </w:r>
          </w:p>
        </w:tc>
        <w:tc>
          <w:tcPr>
            <w:tcW w:w="1132" w:type="dxa"/>
            <w:gridSpan w:val="3"/>
          </w:tcPr>
          <w:p>
            <w:pPr>
              <w:pStyle w:val="nTable"/>
              <w:spacing w:after="40"/>
              <w:rPr>
                <w:sz w:val="19"/>
              </w:rPr>
            </w:pPr>
            <w:r>
              <w:rPr>
                <w:sz w:val="19"/>
              </w:rPr>
              <w:t>5 of 1954</w:t>
            </w:r>
          </w:p>
        </w:tc>
        <w:tc>
          <w:tcPr>
            <w:tcW w:w="1133" w:type="dxa"/>
            <w:gridSpan w:val="2"/>
          </w:tcPr>
          <w:p>
            <w:pPr>
              <w:pStyle w:val="nTable"/>
              <w:spacing w:after="40"/>
              <w:rPr>
                <w:sz w:val="19"/>
              </w:rPr>
            </w:pPr>
            <w:r>
              <w:rPr>
                <w:sz w:val="19"/>
              </w:rPr>
              <w:t>25 Aug 1954</w:t>
            </w:r>
          </w:p>
        </w:tc>
        <w:tc>
          <w:tcPr>
            <w:tcW w:w="2637" w:type="dxa"/>
            <w:gridSpan w:val="3"/>
          </w:tcPr>
          <w:p>
            <w:pPr>
              <w:pStyle w:val="nTable"/>
              <w:spacing w:after="40"/>
              <w:rPr>
                <w:sz w:val="19"/>
              </w:rPr>
            </w:pPr>
            <w:r>
              <w:rPr>
                <w:sz w:val="19"/>
              </w:rPr>
              <w:t>25 Aug 1954</w:t>
            </w:r>
          </w:p>
        </w:tc>
      </w:tr>
      <w:tr>
        <w:trPr>
          <w:cantSplit/>
        </w:trPr>
        <w:tc>
          <w:tcPr>
            <w:tcW w:w="2083" w:type="dxa"/>
          </w:tcPr>
          <w:p>
            <w:pPr>
              <w:pStyle w:val="nTable"/>
              <w:spacing w:after="40"/>
              <w:ind w:right="113"/>
              <w:rPr>
                <w:sz w:val="19"/>
                <w:vertAlign w:val="superscript"/>
              </w:rPr>
            </w:pPr>
            <w:r>
              <w:rPr>
                <w:i/>
                <w:sz w:val="19"/>
              </w:rPr>
              <w:t xml:space="preserve">Betting Control Act 1954 </w:t>
            </w:r>
            <w:r>
              <w:rPr>
                <w:sz w:val="19"/>
              </w:rPr>
              <w:t>s. 3(2)</w:t>
            </w:r>
          </w:p>
        </w:tc>
        <w:tc>
          <w:tcPr>
            <w:tcW w:w="1132" w:type="dxa"/>
            <w:gridSpan w:val="3"/>
          </w:tcPr>
          <w:p>
            <w:pPr>
              <w:pStyle w:val="nTable"/>
              <w:spacing w:after="40"/>
              <w:rPr>
                <w:sz w:val="19"/>
              </w:rPr>
            </w:pPr>
            <w:r>
              <w:rPr>
                <w:sz w:val="19"/>
              </w:rPr>
              <w:t>63 of 1954</w:t>
            </w:r>
          </w:p>
        </w:tc>
        <w:tc>
          <w:tcPr>
            <w:tcW w:w="1133" w:type="dxa"/>
            <w:gridSpan w:val="2"/>
          </w:tcPr>
          <w:p>
            <w:pPr>
              <w:pStyle w:val="nTable"/>
              <w:spacing w:after="40"/>
              <w:rPr>
                <w:sz w:val="19"/>
              </w:rPr>
            </w:pPr>
            <w:r>
              <w:rPr>
                <w:sz w:val="19"/>
              </w:rPr>
              <w:t>30 Dec 1954</w:t>
            </w:r>
          </w:p>
        </w:tc>
        <w:tc>
          <w:tcPr>
            <w:tcW w:w="2637"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083" w:type="dxa"/>
          </w:tcPr>
          <w:p>
            <w:pPr>
              <w:pStyle w:val="nTable"/>
              <w:spacing w:after="40"/>
              <w:ind w:right="113"/>
              <w:rPr>
                <w:sz w:val="19"/>
              </w:rPr>
            </w:pPr>
            <w:r>
              <w:rPr>
                <w:i/>
                <w:sz w:val="19"/>
              </w:rPr>
              <w:t>Stamp Act Amendment Act 1957</w:t>
            </w:r>
          </w:p>
        </w:tc>
        <w:tc>
          <w:tcPr>
            <w:tcW w:w="1132" w:type="dxa"/>
            <w:gridSpan w:val="3"/>
          </w:tcPr>
          <w:p>
            <w:pPr>
              <w:pStyle w:val="nTable"/>
              <w:spacing w:after="40"/>
              <w:rPr>
                <w:sz w:val="19"/>
              </w:rPr>
            </w:pPr>
            <w:r>
              <w:rPr>
                <w:sz w:val="19"/>
              </w:rPr>
              <w:t>70 of 1957</w:t>
            </w:r>
          </w:p>
        </w:tc>
        <w:tc>
          <w:tcPr>
            <w:tcW w:w="1133" w:type="dxa"/>
            <w:gridSpan w:val="2"/>
          </w:tcPr>
          <w:p>
            <w:pPr>
              <w:pStyle w:val="nTable"/>
              <w:spacing w:after="40"/>
              <w:rPr>
                <w:sz w:val="19"/>
              </w:rPr>
            </w:pPr>
            <w:r>
              <w:rPr>
                <w:sz w:val="19"/>
              </w:rPr>
              <w:t>6 Dec 1957</w:t>
            </w:r>
          </w:p>
        </w:tc>
        <w:tc>
          <w:tcPr>
            <w:tcW w:w="2637"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(No. 2) 1959</w:t>
            </w:r>
          </w:p>
        </w:tc>
        <w:tc>
          <w:tcPr>
            <w:tcW w:w="1132" w:type="dxa"/>
            <w:gridSpan w:val="3"/>
          </w:tcPr>
          <w:p>
            <w:pPr>
              <w:pStyle w:val="nTable"/>
              <w:spacing w:after="40"/>
              <w:rPr>
                <w:sz w:val="19"/>
              </w:rPr>
            </w:pPr>
            <w:r>
              <w:rPr>
                <w:sz w:val="19"/>
              </w:rPr>
              <w:t>64 of 1959</w:t>
            </w:r>
          </w:p>
        </w:tc>
        <w:tc>
          <w:tcPr>
            <w:tcW w:w="1133" w:type="dxa"/>
            <w:gridSpan w:val="2"/>
          </w:tcPr>
          <w:p>
            <w:pPr>
              <w:pStyle w:val="nTable"/>
              <w:spacing w:after="40"/>
              <w:rPr>
                <w:sz w:val="19"/>
              </w:rPr>
            </w:pPr>
            <w:r>
              <w:rPr>
                <w:sz w:val="19"/>
              </w:rPr>
              <w:t>10 Dec 1959</w:t>
            </w:r>
          </w:p>
        </w:tc>
        <w:tc>
          <w:tcPr>
            <w:tcW w:w="2637"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4" w:type="dxa"/>
            <w:gridSpan w:val="2"/>
          </w:tcPr>
          <w:p>
            <w:pPr>
              <w:pStyle w:val="nTable"/>
              <w:spacing w:after="40"/>
              <w:ind w:right="113"/>
              <w:rPr>
                <w:sz w:val="19"/>
              </w:rPr>
            </w:pPr>
            <w:r>
              <w:rPr>
                <w:i/>
                <w:sz w:val="19"/>
              </w:rPr>
              <w:t>Stamp Act Amendment Act 1959</w:t>
            </w:r>
          </w:p>
        </w:tc>
        <w:tc>
          <w:tcPr>
            <w:tcW w:w="1133" w:type="dxa"/>
            <w:gridSpan w:val="3"/>
          </w:tcPr>
          <w:p>
            <w:pPr>
              <w:pStyle w:val="nTable"/>
              <w:spacing w:after="40"/>
              <w:rPr>
                <w:sz w:val="19"/>
              </w:rPr>
            </w:pPr>
            <w:r>
              <w:rPr>
                <w:sz w:val="19"/>
              </w:rPr>
              <w:t>72 of 1959</w:t>
            </w:r>
          </w:p>
        </w:tc>
        <w:tc>
          <w:tcPr>
            <w:tcW w:w="1136" w:type="dxa"/>
            <w:gridSpan w:val="2"/>
          </w:tcPr>
          <w:p>
            <w:pPr>
              <w:pStyle w:val="nTable"/>
              <w:spacing w:after="40"/>
              <w:rPr>
                <w:sz w:val="19"/>
              </w:rPr>
            </w:pPr>
            <w:r>
              <w:rPr>
                <w:sz w:val="19"/>
              </w:rPr>
              <w:t>14 Dec 1959</w:t>
            </w:r>
          </w:p>
        </w:tc>
        <w:tc>
          <w:tcPr>
            <w:tcW w:w="2452"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4" w:type="dxa"/>
            <w:gridSpan w:val="2"/>
          </w:tcPr>
          <w:p>
            <w:pPr>
              <w:pStyle w:val="nTable"/>
              <w:spacing w:after="40"/>
              <w:ind w:right="113"/>
              <w:rPr>
                <w:sz w:val="19"/>
              </w:rPr>
            </w:pPr>
            <w:r>
              <w:rPr>
                <w:i/>
                <w:sz w:val="19"/>
              </w:rPr>
              <w:t>Stamp Act Amendment Act 1960</w:t>
            </w:r>
          </w:p>
        </w:tc>
        <w:tc>
          <w:tcPr>
            <w:tcW w:w="1133" w:type="dxa"/>
            <w:gridSpan w:val="3"/>
          </w:tcPr>
          <w:p>
            <w:pPr>
              <w:pStyle w:val="nTable"/>
              <w:spacing w:after="40"/>
              <w:rPr>
                <w:sz w:val="19"/>
              </w:rPr>
            </w:pPr>
            <w:r>
              <w:rPr>
                <w:sz w:val="19"/>
              </w:rPr>
              <w:t>22 of 1960</w:t>
            </w:r>
          </w:p>
        </w:tc>
        <w:tc>
          <w:tcPr>
            <w:tcW w:w="1136" w:type="dxa"/>
            <w:gridSpan w:val="2"/>
          </w:tcPr>
          <w:p>
            <w:pPr>
              <w:pStyle w:val="nTable"/>
              <w:spacing w:after="40"/>
              <w:rPr>
                <w:sz w:val="19"/>
              </w:rPr>
            </w:pPr>
            <w:r>
              <w:rPr>
                <w:sz w:val="19"/>
              </w:rPr>
              <w:t>11 Oct 1960</w:t>
            </w:r>
          </w:p>
        </w:tc>
        <w:tc>
          <w:tcPr>
            <w:tcW w:w="2452"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4" w:type="dxa"/>
            <w:gridSpan w:val="2"/>
          </w:tcPr>
          <w:p>
            <w:pPr>
              <w:pStyle w:val="nTable"/>
              <w:spacing w:after="40"/>
              <w:ind w:right="113"/>
              <w:rPr>
                <w:sz w:val="19"/>
              </w:rPr>
            </w:pPr>
            <w:r>
              <w:rPr>
                <w:i/>
                <w:sz w:val="19"/>
              </w:rPr>
              <w:t>Stamp Act Amendment Act (No. 2) 1960</w:t>
            </w:r>
          </w:p>
        </w:tc>
        <w:tc>
          <w:tcPr>
            <w:tcW w:w="1133" w:type="dxa"/>
            <w:gridSpan w:val="3"/>
          </w:tcPr>
          <w:p>
            <w:pPr>
              <w:pStyle w:val="nTable"/>
              <w:spacing w:after="40"/>
              <w:rPr>
                <w:sz w:val="19"/>
              </w:rPr>
            </w:pPr>
            <w:r>
              <w:rPr>
                <w:sz w:val="19"/>
              </w:rPr>
              <w:t>41 of 1960</w:t>
            </w:r>
          </w:p>
        </w:tc>
        <w:tc>
          <w:tcPr>
            <w:tcW w:w="1136" w:type="dxa"/>
            <w:gridSpan w:val="2"/>
          </w:tcPr>
          <w:p>
            <w:pPr>
              <w:pStyle w:val="nTable"/>
              <w:spacing w:after="40"/>
              <w:rPr>
                <w:sz w:val="19"/>
              </w:rPr>
            </w:pPr>
            <w:r>
              <w:rPr>
                <w:sz w:val="19"/>
              </w:rPr>
              <w:t>3 Nov 1960</w:t>
            </w:r>
          </w:p>
        </w:tc>
        <w:tc>
          <w:tcPr>
            <w:tcW w:w="2452"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4" w:type="dxa"/>
            <w:gridSpan w:val="2"/>
          </w:tcPr>
          <w:p>
            <w:pPr>
              <w:pStyle w:val="nTable"/>
              <w:spacing w:after="40"/>
              <w:ind w:right="113"/>
              <w:rPr>
                <w:sz w:val="19"/>
              </w:rPr>
            </w:pPr>
            <w:r>
              <w:rPr>
                <w:i/>
                <w:sz w:val="19"/>
              </w:rPr>
              <w:t>Stamp Act Amendment Act 1961</w:t>
            </w:r>
          </w:p>
        </w:tc>
        <w:tc>
          <w:tcPr>
            <w:tcW w:w="1133" w:type="dxa"/>
            <w:gridSpan w:val="3"/>
          </w:tcPr>
          <w:p>
            <w:pPr>
              <w:pStyle w:val="nTable"/>
              <w:spacing w:after="40"/>
              <w:rPr>
                <w:sz w:val="19"/>
              </w:rPr>
            </w:pPr>
            <w:r>
              <w:rPr>
                <w:sz w:val="19"/>
              </w:rPr>
              <w:t>21 of 1961</w:t>
            </w:r>
          </w:p>
        </w:tc>
        <w:tc>
          <w:tcPr>
            <w:tcW w:w="1136" w:type="dxa"/>
            <w:gridSpan w:val="2"/>
          </w:tcPr>
          <w:p>
            <w:pPr>
              <w:pStyle w:val="nTable"/>
              <w:spacing w:after="40"/>
              <w:rPr>
                <w:sz w:val="19"/>
              </w:rPr>
            </w:pPr>
            <w:r>
              <w:rPr>
                <w:sz w:val="19"/>
              </w:rPr>
              <w:t>30 Oct 1961</w:t>
            </w:r>
          </w:p>
        </w:tc>
        <w:tc>
          <w:tcPr>
            <w:tcW w:w="2452" w:type="dxa"/>
            <w:gridSpan w:val="2"/>
          </w:tcPr>
          <w:p>
            <w:pPr>
              <w:pStyle w:val="nTable"/>
              <w:spacing w:after="40"/>
              <w:rPr>
                <w:sz w:val="19"/>
              </w:rPr>
            </w:pPr>
            <w:r>
              <w:rPr>
                <w:sz w:val="19"/>
              </w:rPr>
              <w:t>30 Oct 1961</w:t>
            </w:r>
          </w:p>
        </w:tc>
      </w:tr>
      <w:tr>
        <w:trPr>
          <w:cantSplit/>
        </w:trPr>
        <w:tc>
          <w:tcPr>
            <w:tcW w:w="2264" w:type="dxa"/>
            <w:gridSpan w:val="2"/>
          </w:tcPr>
          <w:p>
            <w:pPr>
              <w:pStyle w:val="nTable"/>
              <w:spacing w:after="40"/>
              <w:ind w:right="113"/>
              <w:rPr>
                <w:sz w:val="19"/>
              </w:rPr>
            </w:pPr>
            <w:r>
              <w:rPr>
                <w:i/>
                <w:sz w:val="19"/>
              </w:rPr>
              <w:t>Stamp Act Amendment Act 1962</w:t>
            </w:r>
          </w:p>
        </w:tc>
        <w:tc>
          <w:tcPr>
            <w:tcW w:w="1133" w:type="dxa"/>
            <w:gridSpan w:val="3"/>
          </w:tcPr>
          <w:p>
            <w:pPr>
              <w:pStyle w:val="nTable"/>
              <w:spacing w:after="40"/>
              <w:rPr>
                <w:sz w:val="19"/>
              </w:rPr>
            </w:pPr>
            <w:r>
              <w:rPr>
                <w:sz w:val="19"/>
              </w:rPr>
              <w:t>20 of 1962</w:t>
            </w:r>
          </w:p>
        </w:tc>
        <w:tc>
          <w:tcPr>
            <w:tcW w:w="1136" w:type="dxa"/>
            <w:gridSpan w:val="2"/>
          </w:tcPr>
          <w:p>
            <w:pPr>
              <w:pStyle w:val="nTable"/>
              <w:spacing w:after="40"/>
              <w:rPr>
                <w:sz w:val="19"/>
              </w:rPr>
            </w:pPr>
            <w:r>
              <w:rPr>
                <w:sz w:val="19"/>
              </w:rPr>
              <w:t>1 Oct 1962</w:t>
            </w:r>
          </w:p>
        </w:tc>
        <w:tc>
          <w:tcPr>
            <w:tcW w:w="2452" w:type="dxa"/>
            <w:gridSpan w:val="2"/>
          </w:tcPr>
          <w:p>
            <w:pPr>
              <w:pStyle w:val="nTable"/>
              <w:spacing w:after="40"/>
              <w:rPr>
                <w:sz w:val="19"/>
              </w:rPr>
            </w:pPr>
            <w:r>
              <w:rPr>
                <w:sz w:val="19"/>
              </w:rPr>
              <w:t>1 Oct 1962</w:t>
            </w:r>
          </w:p>
        </w:tc>
      </w:tr>
      <w:tr>
        <w:trPr>
          <w:cantSplit/>
        </w:trPr>
        <w:tc>
          <w:tcPr>
            <w:tcW w:w="2264" w:type="dxa"/>
            <w:gridSpan w:val="2"/>
          </w:tcPr>
          <w:p>
            <w:pPr>
              <w:pStyle w:val="nTable"/>
              <w:spacing w:after="40"/>
              <w:ind w:right="113"/>
              <w:rPr>
                <w:sz w:val="19"/>
              </w:rPr>
            </w:pPr>
            <w:r>
              <w:rPr>
                <w:i/>
                <w:sz w:val="19"/>
              </w:rPr>
              <w:t>Stamp Act Amendment Act (No. 2) 1962</w:t>
            </w:r>
          </w:p>
        </w:tc>
        <w:tc>
          <w:tcPr>
            <w:tcW w:w="1133" w:type="dxa"/>
            <w:gridSpan w:val="3"/>
          </w:tcPr>
          <w:p>
            <w:pPr>
              <w:pStyle w:val="nTable"/>
              <w:spacing w:after="40"/>
              <w:rPr>
                <w:sz w:val="19"/>
              </w:rPr>
            </w:pPr>
            <w:r>
              <w:rPr>
                <w:sz w:val="19"/>
              </w:rPr>
              <w:t>60 of 1962</w:t>
            </w:r>
          </w:p>
        </w:tc>
        <w:tc>
          <w:tcPr>
            <w:tcW w:w="1136" w:type="dxa"/>
            <w:gridSpan w:val="2"/>
          </w:tcPr>
          <w:p>
            <w:pPr>
              <w:pStyle w:val="nTable"/>
              <w:spacing w:after="40"/>
              <w:rPr>
                <w:sz w:val="19"/>
              </w:rPr>
            </w:pPr>
            <w:r>
              <w:rPr>
                <w:sz w:val="19"/>
              </w:rPr>
              <w:t>30 Nov 1962</w:t>
            </w:r>
          </w:p>
        </w:tc>
        <w:tc>
          <w:tcPr>
            <w:tcW w:w="2452" w:type="dxa"/>
            <w:gridSpan w:val="2"/>
          </w:tcPr>
          <w:p>
            <w:pPr>
              <w:pStyle w:val="nTable"/>
              <w:spacing w:after="40"/>
              <w:rPr>
                <w:sz w:val="19"/>
              </w:rPr>
            </w:pPr>
            <w:r>
              <w:rPr>
                <w:sz w:val="19"/>
              </w:rPr>
              <w:t>1 Jan 1963 (see s. 2)</w:t>
            </w:r>
          </w:p>
        </w:tc>
      </w:tr>
      <w:tr>
        <w:trPr>
          <w:cantSplit/>
        </w:trPr>
        <w:tc>
          <w:tcPr>
            <w:tcW w:w="2264" w:type="dxa"/>
            <w:gridSpan w:val="2"/>
          </w:tcPr>
          <w:p>
            <w:pPr>
              <w:pStyle w:val="nTable"/>
              <w:spacing w:after="40"/>
              <w:ind w:right="113"/>
              <w:rPr>
                <w:sz w:val="19"/>
              </w:rPr>
            </w:pPr>
            <w:r>
              <w:rPr>
                <w:i/>
                <w:sz w:val="19"/>
              </w:rPr>
              <w:t>Stamp Act Amendment Act (No. 3) 1962</w:t>
            </w:r>
          </w:p>
        </w:tc>
        <w:tc>
          <w:tcPr>
            <w:tcW w:w="1133" w:type="dxa"/>
            <w:gridSpan w:val="3"/>
          </w:tcPr>
          <w:p>
            <w:pPr>
              <w:pStyle w:val="nTable"/>
              <w:spacing w:after="40"/>
              <w:rPr>
                <w:sz w:val="19"/>
              </w:rPr>
            </w:pPr>
            <w:r>
              <w:rPr>
                <w:sz w:val="19"/>
              </w:rPr>
              <w:t>69 of 1962</w:t>
            </w:r>
          </w:p>
        </w:tc>
        <w:tc>
          <w:tcPr>
            <w:tcW w:w="1136" w:type="dxa"/>
            <w:gridSpan w:val="2"/>
          </w:tcPr>
          <w:p>
            <w:pPr>
              <w:pStyle w:val="nTable"/>
              <w:spacing w:after="40"/>
              <w:rPr>
                <w:sz w:val="19"/>
              </w:rPr>
            </w:pPr>
            <w:r>
              <w:rPr>
                <w:sz w:val="19"/>
              </w:rPr>
              <w:t>30 Nov 1962</w:t>
            </w:r>
          </w:p>
        </w:tc>
        <w:tc>
          <w:tcPr>
            <w:tcW w:w="2452" w:type="dxa"/>
            <w:gridSpan w:val="2"/>
          </w:tcPr>
          <w:p>
            <w:pPr>
              <w:pStyle w:val="nTable"/>
              <w:spacing w:after="40"/>
              <w:rPr>
                <w:sz w:val="19"/>
              </w:rPr>
            </w:pPr>
            <w:r>
              <w:rPr>
                <w:sz w:val="19"/>
              </w:rPr>
              <w:t>30 Nov 1962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1963</w:t>
            </w:r>
          </w:p>
        </w:tc>
        <w:tc>
          <w:tcPr>
            <w:tcW w:w="1133" w:type="dxa"/>
            <w:gridSpan w:val="3"/>
          </w:tcPr>
          <w:p>
            <w:pPr>
              <w:pStyle w:val="nTable"/>
              <w:spacing w:after="40"/>
              <w:rPr>
                <w:sz w:val="19"/>
              </w:rPr>
            </w:pPr>
            <w:r>
              <w:rPr>
                <w:sz w:val="19"/>
              </w:rPr>
              <w:t>7 of 1963</w:t>
            </w:r>
          </w:p>
        </w:tc>
        <w:tc>
          <w:tcPr>
            <w:tcW w:w="1136" w:type="dxa"/>
            <w:gridSpan w:val="2"/>
          </w:tcPr>
          <w:p>
            <w:pPr>
              <w:pStyle w:val="nTable"/>
              <w:spacing w:after="40"/>
              <w:rPr>
                <w:sz w:val="19"/>
              </w:rPr>
            </w:pPr>
            <w:r>
              <w:rPr>
                <w:sz w:val="19"/>
              </w:rPr>
              <w:t>15 Oct 1963</w:t>
            </w:r>
          </w:p>
        </w:tc>
        <w:tc>
          <w:tcPr>
            <w:tcW w:w="2452" w:type="dxa"/>
            <w:gridSpan w:val="2"/>
          </w:tcPr>
          <w:p>
            <w:pPr>
              <w:pStyle w:val="nTable"/>
              <w:spacing w:after="40"/>
              <w:rPr>
                <w:sz w:val="19"/>
              </w:rPr>
            </w:pPr>
            <w:r>
              <w:rPr>
                <w:sz w:val="19"/>
              </w:rPr>
              <w:t>15 Oct 1963</w:t>
            </w:r>
          </w:p>
        </w:tc>
      </w:tr>
      <w:tr>
        <w:trPr>
          <w:cantSplit/>
        </w:trPr>
        <w:tc>
          <w:tcPr>
            <w:tcW w:w="2264" w:type="dxa"/>
            <w:gridSpan w:val="2"/>
          </w:tcPr>
          <w:p>
            <w:pPr>
              <w:pStyle w:val="nTable"/>
              <w:spacing w:after="40"/>
              <w:ind w:right="113"/>
              <w:rPr>
                <w:sz w:val="19"/>
              </w:rPr>
            </w:pPr>
            <w:r>
              <w:rPr>
                <w:i/>
                <w:sz w:val="19"/>
              </w:rPr>
              <w:t>Stamp Act Amendment Act (No. 2) 1963</w:t>
            </w:r>
          </w:p>
        </w:tc>
        <w:tc>
          <w:tcPr>
            <w:tcW w:w="1133" w:type="dxa"/>
            <w:gridSpan w:val="3"/>
          </w:tcPr>
          <w:p>
            <w:pPr>
              <w:pStyle w:val="nTable"/>
              <w:spacing w:after="40"/>
              <w:rPr>
                <w:sz w:val="19"/>
              </w:rPr>
            </w:pPr>
            <w:r>
              <w:rPr>
                <w:sz w:val="19"/>
              </w:rPr>
              <w:t>37 of 1963</w:t>
            </w:r>
          </w:p>
        </w:tc>
        <w:tc>
          <w:tcPr>
            <w:tcW w:w="1136" w:type="dxa"/>
            <w:gridSpan w:val="2"/>
          </w:tcPr>
          <w:p>
            <w:pPr>
              <w:pStyle w:val="nTable"/>
              <w:spacing w:after="40"/>
              <w:rPr>
                <w:sz w:val="19"/>
              </w:rPr>
            </w:pPr>
            <w:r>
              <w:rPr>
                <w:sz w:val="19"/>
              </w:rPr>
              <w:t>19 Nov 1963</w:t>
            </w:r>
          </w:p>
        </w:tc>
        <w:tc>
          <w:tcPr>
            <w:tcW w:w="2452" w:type="dxa"/>
            <w:gridSpan w:val="2"/>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4" w:type="dxa"/>
            <w:gridSpan w:val="2"/>
          </w:tcPr>
          <w:p>
            <w:pPr>
              <w:pStyle w:val="nTable"/>
              <w:spacing w:after="40"/>
              <w:ind w:right="113"/>
              <w:rPr>
                <w:sz w:val="19"/>
              </w:rPr>
            </w:pPr>
            <w:r>
              <w:rPr>
                <w:i/>
                <w:sz w:val="19"/>
              </w:rPr>
              <w:t>Stamp Act Amendment Act (No. 3) 1963</w:t>
            </w:r>
          </w:p>
        </w:tc>
        <w:tc>
          <w:tcPr>
            <w:tcW w:w="1133" w:type="dxa"/>
            <w:gridSpan w:val="3"/>
          </w:tcPr>
          <w:p>
            <w:pPr>
              <w:pStyle w:val="nTable"/>
              <w:spacing w:after="40"/>
              <w:rPr>
                <w:sz w:val="19"/>
              </w:rPr>
            </w:pPr>
            <w:r>
              <w:rPr>
                <w:sz w:val="19"/>
              </w:rPr>
              <w:t>57 of 1963</w:t>
            </w:r>
          </w:p>
        </w:tc>
        <w:tc>
          <w:tcPr>
            <w:tcW w:w="1136" w:type="dxa"/>
            <w:gridSpan w:val="2"/>
          </w:tcPr>
          <w:p>
            <w:pPr>
              <w:pStyle w:val="nTable"/>
              <w:spacing w:after="40"/>
              <w:rPr>
                <w:sz w:val="19"/>
              </w:rPr>
            </w:pPr>
            <w:r>
              <w:rPr>
                <w:sz w:val="19"/>
              </w:rPr>
              <w:t>17 Dec 1963</w:t>
            </w:r>
          </w:p>
        </w:tc>
        <w:tc>
          <w:tcPr>
            <w:tcW w:w="2452" w:type="dxa"/>
            <w:gridSpan w:val="2"/>
          </w:tcPr>
          <w:p>
            <w:pPr>
              <w:pStyle w:val="nTable"/>
              <w:spacing w:after="40"/>
              <w:rPr>
                <w:sz w:val="19"/>
              </w:rPr>
            </w:pPr>
            <w:r>
              <w:rPr>
                <w:sz w:val="19"/>
              </w:rPr>
              <w:t>17 Dec 1963</w:t>
            </w:r>
          </w:p>
        </w:tc>
      </w:tr>
      <w:tr>
        <w:trPr>
          <w:cantSplit/>
        </w:trPr>
        <w:tc>
          <w:tcPr>
            <w:tcW w:w="2264" w:type="dxa"/>
            <w:gridSpan w:val="2"/>
          </w:tcPr>
          <w:p>
            <w:pPr>
              <w:pStyle w:val="nTable"/>
              <w:spacing w:after="40"/>
              <w:ind w:right="113"/>
              <w:rPr>
                <w:sz w:val="19"/>
              </w:rPr>
            </w:pPr>
            <w:r>
              <w:rPr>
                <w:i/>
                <w:sz w:val="19"/>
              </w:rPr>
              <w:t>Stamp Act Amendment Act (No. 4) 1963</w:t>
            </w:r>
          </w:p>
        </w:tc>
        <w:tc>
          <w:tcPr>
            <w:tcW w:w="1133" w:type="dxa"/>
            <w:gridSpan w:val="3"/>
          </w:tcPr>
          <w:p>
            <w:pPr>
              <w:pStyle w:val="nTable"/>
              <w:spacing w:after="40"/>
              <w:rPr>
                <w:sz w:val="19"/>
              </w:rPr>
            </w:pPr>
            <w:r>
              <w:rPr>
                <w:sz w:val="19"/>
              </w:rPr>
              <w:t>58 of 1963</w:t>
            </w:r>
          </w:p>
        </w:tc>
        <w:tc>
          <w:tcPr>
            <w:tcW w:w="1136" w:type="dxa"/>
            <w:gridSpan w:val="2"/>
          </w:tcPr>
          <w:p>
            <w:pPr>
              <w:pStyle w:val="nTable"/>
              <w:spacing w:after="40"/>
              <w:rPr>
                <w:sz w:val="19"/>
              </w:rPr>
            </w:pPr>
            <w:r>
              <w:rPr>
                <w:sz w:val="19"/>
              </w:rPr>
              <w:t>17 Dec 1963</w:t>
            </w:r>
          </w:p>
        </w:tc>
        <w:tc>
          <w:tcPr>
            <w:tcW w:w="2452" w:type="dxa"/>
            <w:gridSpan w:val="2"/>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4" w:type="dxa"/>
            <w:gridSpan w:val="2"/>
          </w:tcPr>
          <w:p>
            <w:pPr>
              <w:pStyle w:val="nTable"/>
              <w:spacing w:after="40"/>
              <w:ind w:right="113"/>
              <w:rPr>
                <w:sz w:val="19"/>
              </w:rPr>
            </w:pPr>
            <w:r>
              <w:rPr>
                <w:i/>
                <w:sz w:val="19"/>
              </w:rPr>
              <w:t>Stamp Act Amendment Act 1965</w:t>
            </w:r>
          </w:p>
        </w:tc>
        <w:tc>
          <w:tcPr>
            <w:tcW w:w="1133" w:type="dxa"/>
            <w:gridSpan w:val="3"/>
          </w:tcPr>
          <w:p>
            <w:pPr>
              <w:pStyle w:val="nTable"/>
              <w:spacing w:after="40"/>
              <w:rPr>
                <w:sz w:val="19"/>
              </w:rPr>
            </w:pPr>
            <w:r>
              <w:rPr>
                <w:sz w:val="19"/>
              </w:rPr>
              <w:t>72 of 1965</w:t>
            </w:r>
          </w:p>
        </w:tc>
        <w:tc>
          <w:tcPr>
            <w:tcW w:w="1136" w:type="dxa"/>
            <w:gridSpan w:val="2"/>
          </w:tcPr>
          <w:p>
            <w:pPr>
              <w:pStyle w:val="nTable"/>
              <w:spacing w:after="40"/>
              <w:rPr>
                <w:sz w:val="19"/>
              </w:rPr>
            </w:pPr>
            <w:r>
              <w:rPr>
                <w:sz w:val="19"/>
              </w:rPr>
              <w:t>25 Nov 1965</w:t>
            </w:r>
          </w:p>
        </w:tc>
        <w:tc>
          <w:tcPr>
            <w:tcW w:w="2452" w:type="dxa"/>
            <w:gridSpan w:val="2"/>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4" w:type="dxa"/>
            <w:gridSpan w:val="2"/>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6" w:type="dxa"/>
            <w:gridSpan w:val="2"/>
          </w:tcPr>
          <w:p>
            <w:pPr>
              <w:pStyle w:val="nTable"/>
              <w:spacing w:after="40"/>
              <w:rPr>
                <w:sz w:val="19"/>
              </w:rPr>
            </w:pPr>
            <w:r>
              <w:rPr>
                <w:sz w:val="19"/>
              </w:rPr>
              <w:t>21 Dec 1965</w:t>
            </w:r>
          </w:p>
        </w:tc>
        <w:tc>
          <w:tcPr>
            <w:tcW w:w="2452" w:type="dxa"/>
            <w:gridSpan w:val="2"/>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1966</w:t>
            </w:r>
          </w:p>
        </w:tc>
        <w:tc>
          <w:tcPr>
            <w:tcW w:w="1133" w:type="dxa"/>
            <w:gridSpan w:val="3"/>
          </w:tcPr>
          <w:p>
            <w:pPr>
              <w:pStyle w:val="nTable"/>
              <w:spacing w:after="40"/>
              <w:rPr>
                <w:sz w:val="19"/>
              </w:rPr>
            </w:pPr>
            <w:r>
              <w:rPr>
                <w:sz w:val="19"/>
              </w:rPr>
              <w:t>67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4" w:type="dxa"/>
            <w:gridSpan w:val="2"/>
          </w:tcPr>
          <w:p>
            <w:pPr>
              <w:pStyle w:val="nTable"/>
              <w:spacing w:after="40"/>
              <w:ind w:right="113"/>
              <w:rPr>
                <w:sz w:val="19"/>
              </w:rPr>
            </w:pPr>
            <w:r>
              <w:rPr>
                <w:i/>
                <w:sz w:val="19"/>
              </w:rPr>
              <w:t>Stamp Act Amendment Act (No. 2) 1966</w:t>
            </w:r>
          </w:p>
        </w:tc>
        <w:tc>
          <w:tcPr>
            <w:tcW w:w="1133" w:type="dxa"/>
            <w:gridSpan w:val="3"/>
          </w:tcPr>
          <w:p>
            <w:pPr>
              <w:pStyle w:val="nTable"/>
              <w:spacing w:after="40"/>
              <w:rPr>
                <w:sz w:val="19"/>
              </w:rPr>
            </w:pPr>
            <w:r>
              <w:rPr>
                <w:sz w:val="19"/>
              </w:rPr>
              <w:t>90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1 Jan 1967 (see s. 2)</w:t>
            </w:r>
          </w:p>
        </w:tc>
      </w:tr>
      <w:tr>
        <w:trPr>
          <w:cantSplit/>
        </w:trPr>
        <w:tc>
          <w:tcPr>
            <w:tcW w:w="2264" w:type="dxa"/>
            <w:gridSpan w:val="2"/>
          </w:tcPr>
          <w:p>
            <w:pPr>
              <w:pStyle w:val="nTable"/>
              <w:spacing w:after="40"/>
              <w:ind w:right="113"/>
              <w:rPr>
                <w:sz w:val="19"/>
              </w:rPr>
            </w:pPr>
            <w:r>
              <w:rPr>
                <w:i/>
                <w:sz w:val="19"/>
              </w:rPr>
              <w:t>Stamp Act Amendment Act (No. 3) 1966</w:t>
            </w:r>
          </w:p>
        </w:tc>
        <w:tc>
          <w:tcPr>
            <w:tcW w:w="1133" w:type="dxa"/>
            <w:gridSpan w:val="3"/>
          </w:tcPr>
          <w:p>
            <w:pPr>
              <w:pStyle w:val="nTable"/>
              <w:spacing w:after="40"/>
              <w:rPr>
                <w:sz w:val="19"/>
              </w:rPr>
            </w:pPr>
            <w:r>
              <w:rPr>
                <w:sz w:val="19"/>
              </w:rPr>
              <w:t>93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4" w:type="dxa"/>
            <w:gridSpan w:val="2"/>
          </w:tcPr>
          <w:p>
            <w:pPr>
              <w:pStyle w:val="nTable"/>
              <w:spacing w:after="40"/>
              <w:ind w:right="113"/>
              <w:rPr>
                <w:sz w:val="19"/>
              </w:rPr>
            </w:pPr>
            <w:r>
              <w:rPr>
                <w:i/>
                <w:sz w:val="19"/>
              </w:rPr>
              <w:t>Stamp Act Amendment Act 1967</w:t>
            </w:r>
          </w:p>
        </w:tc>
        <w:tc>
          <w:tcPr>
            <w:tcW w:w="1133" w:type="dxa"/>
            <w:gridSpan w:val="3"/>
          </w:tcPr>
          <w:p>
            <w:pPr>
              <w:pStyle w:val="nTable"/>
              <w:spacing w:after="40"/>
              <w:rPr>
                <w:sz w:val="19"/>
              </w:rPr>
            </w:pPr>
            <w:r>
              <w:rPr>
                <w:sz w:val="19"/>
              </w:rPr>
              <w:t>50 of 1967</w:t>
            </w:r>
          </w:p>
        </w:tc>
        <w:tc>
          <w:tcPr>
            <w:tcW w:w="1136" w:type="dxa"/>
            <w:gridSpan w:val="2"/>
          </w:tcPr>
          <w:p>
            <w:pPr>
              <w:pStyle w:val="nTable"/>
              <w:spacing w:after="40"/>
              <w:rPr>
                <w:sz w:val="19"/>
              </w:rPr>
            </w:pPr>
            <w:r>
              <w:rPr>
                <w:sz w:val="19"/>
              </w:rPr>
              <w:t>24 Nov 1967</w:t>
            </w:r>
          </w:p>
        </w:tc>
        <w:tc>
          <w:tcPr>
            <w:tcW w:w="2452" w:type="dxa"/>
            <w:gridSpan w:val="2"/>
          </w:tcPr>
          <w:p>
            <w:pPr>
              <w:pStyle w:val="nTable"/>
              <w:spacing w:after="40"/>
              <w:rPr>
                <w:sz w:val="19"/>
              </w:rPr>
            </w:pPr>
            <w:r>
              <w:rPr>
                <w:sz w:val="19"/>
              </w:rPr>
              <w:t>1 Dec 1967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1968</w:t>
            </w:r>
          </w:p>
        </w:tc>
        <w:tc>
          <w:tcPr>
            <w:tcW w:w="1133" w:type="dxa"/>
            <w:gridSpan w:val="3"/>
          </w:tcPr>
          <w:p>
            <w:pPr>
              <w:pStyle w:val="nTable"/>
              <w:spacing w:after="40"/>
              <w:rPr>
                <w:sz w:val="19"/>
              </w:rPr>
            </w:pPr>
            <w:r>
              <w:rPr>
                <w:sz w:val="19"/>
              </w:rPr>
              <w:t>54 of 1968</w:t>
            </w:r>
          </w:p>
        </w:tc>
        <w:tc>
          <w:tcPr>
            <w:tcW w:w="1136" w:type="dxa"/>
            <w:gridSpan w:val="2"/>
          </w:tcPr>
          <w:p>
            <w:pPr>
              <w:pStyle w:val="nTable"/>
              <w:spacing w:after="40"/>
              <w:rPr>
                <w:sz w:val="19"/>
              </w:rPr>
            </w:pPr>
            <w:r>
              <w:rPr>
                <w:sz w:val="19"/>
              </w:rPr>
              <w:t>13 Nov 1968</w:t>
            </w:r>
          </w:p>
        </w:tc>
        <w:tc>
          <w:tcPr>
            <w:tcW w:w="2452" w:type="dxa"/>
            <w:gridSpan w:val="2"/>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4" w:type="dxa"/>
            <w:gridSpan w:val="2"/>
          </w:tcPr>
          <w:p>
            <w:pPr>
              <w:pStyle w:val="nTable"/>
              <w:spacing w:after="40"/>
              <w:ind w:right="113"/>
              <w:rPr>
                <w:sz w:val="19"/>
              </w:rPr>
            </w:pPr>
            <w:r>
              <w:rPr>
                <w:i/>
                <w:sz w:val="19"/>
              </w:rPr>
              <w:t>Stamp Act Amendment Act 1969</w:t>
            </w:r>
          </w:p>
        </w:tc>
        <w:tc>
          <w:tcPr>
            <w:tcW w:w="1133" w:type="dxa"/>
            <w:gridSpan w:val="3"/>
          </w:tcPr>
          <w:p>
            <w:pPr>
              <w:pStyle w:val="nTable"/>
              <w:spacing w:after="40"/>
              <w:rPr>
                <w:sz w:val="19"/>
              </w:rPr>
            </w:pPr>
            <w:r>
              <w:rPr>
                <w:sz w:val="19"/>
              </w:rPr>
              <w:t>113 of 1969</w:t>
            </w:r>
          </w:p>
        </w:tc>
        <w:tc>
          <w:tcPr>
            <w:tcW w:w="1136" w:type="dxa"/>
            <w:gridSpan w:val="2"/>
          </w:tcPr>
          <w:p>
            <w:pPr>
              <w:pStyle w:val="nTable"/>
              <w:spacing w:after="40"/>
              <w:rPr>
                <w:sz w:val="19"/>
              </w:rPr>
            </w:pPr>
            <w:r>
              <w:rPr>
                <w:sz w:val="19"/>
              </w:rPr>
              <w:t>28 Nov 1969</w:t>
            </w:r>
          </w:p>
        </w:tc>
        <w:tc>
          <w:tcPr>
            <w:tcW w:w="2452" w:type="dxa"/>
            <w:gridSpan w:val="2"/>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4"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3" w:type="dxa"/>
            <w:gridSpan w:val="3"/>
          </w:tcPr>
          <w:p>
            <w:pPr>
              <w:pStyle w:val="nTable"/>
              <w:spacing w:after="40"/>
              <w:rPr>
                <w:sz w:val="19"/>
              </w:rPr>
            </w:pPr>
            <w:r>
              <w:rPr>
                <w:sz w:val="19"/>
              </w:rPr>
              <w:t>21 of 1970</w:t>
            </w:r>
          </w:p>
        </w:tc>
        <w:tc>
          <w:tcPr>
            <w:tcW w:w="1136" w:type="dxa"/>
            <w:gridSpan w:val="2"/>
          </w:tcPr>
          <w:p>
            <w:pPr>
              <w:pStyle w:val="nTable"/>
              <w:spacing w:after="40"/>
              <w:rPr>
                <w:sz w:val="19"/>
              </w:rPr>
            </w:pPr>
            <w:r>
              <w:rPr>
                <w:sz w:val="19"/>
              </w:rPr>
              <w:t>8 May 1970</w:t>
            </w:r>
          </w:p>
        </w:tc>
        <w:tc>
          <w:tcPr>
            <w:tcW w:w="2452" w:type="dxa"/>
            <w:gridSpan w:val="2"/>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4" w:type="dxa"/>
            <w:gridSpan w:val="2"/>
          </w:tcPr>
          <w:p>
            <w:pPr>
              <w:pStyle w:val="nTable"/>
              <w:spacing w:after="40"/>
              <w:ind w:right="113"/>
              <w:rPr>
                <w:sz w:val="19"/>
              </w:rPr>
            </w:pPr>
            <w:r>
              <w:rPr>
                <w:i/>
                <w:sz w:val="19"/>
              </w:rPr>
              <w:t>Stamp Act Amendment Act 1970</w:t>
            </w:r>
          </w:p>
        </w:tc>
        <w:tc>
          <w:tcPr>
            <w:tcW w:w="1133" w:type="dxa"/>
            <w:gridSpan w:val="3"/>
          </w:tcPr>
          <w:p>
            <w:pPr>
              <w:pStyle w:val="nTable"/>
              <w:spacing w:after="40"/>
              <w:rPr>
                <w:sz w:val="19"/>
              </w:rPr>
            </w:pPr>
            <w:r>
              <w:rPr>
                <w:sz w:val="19"/>
              </w:rPr>
              <w:t>102 of 1970</w:t>
            </w:r>
          </w:p>
        </w:tc>
        <w:tc>
          <w:tcPr>
            <w:tcW w:w="1136" w:type="dxa"/>
            <w:gridSpan w:val="2"/>
          </w:tcPr>
          <w:p>
            <w:pPr>
              <w:pStyle w:val="nTable"/>
              <w:spacing w:after="40"/>
              <w:rPr>
                <w:sz w:val="19"/>
              </w:rPr>
            </w:pPr>
            <w:r>
              <w:rPr>
                <w:sz w:val="19"/>
              </w:rPr>
              <w:t>8 Dec 1970</w:t>
            </w:r>
          </w:p>
        </w:tc>
        <w:tc>
          <w:tcPr>
            <w:tcW w:w="2452" w:type="dxa"/>
            <w:gridSpan w:val="2"/>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4" w:type="dxa"/>
            <w:gridSpan w:val="2"/>
          </w:tcPr>
          <w:p>
            <w:pPr>
              <w:pStyle w:val="nTable"/>
              <w:spacing w:after="40"/>
              <w:ind w:right="113"/>
              <w:rPr>
                <w:sz w:val="19"/>
              </w:rPr>
            </w:pPr>
            <w:r>
              <w:rPr>
                <w:i/>
                <w:sz w:val="19"/>
              </w:rPr>
              <w:t>Stamp Act Amendment Act 1971</w:t>
            </w:r>
          </w:p>
        </w:tc>
        <w:tc>
          <w:tcPr>
            <w:tcW w:w="1133" w:type="dxa"/>
            <w:gridSpan w:val="3"/>
          </w:tcPr>
          <w:p>
            <w:pPr>
              <w:pStyle w:val="nTable"/>
              <w:spacing w:after="40"/>
              <w:rPr>
                <w:sz w:val="19"/>
              </w:rPr>
            </w:pPr>
            <w:r>
              <w:rPr>
                <w:sz w:val="19"/>
              </w:rPr>
              <w:t>3 of 1971</w:t>
            </w:r>
          </w:p>
        </w:tc>
        <w:tc>
          <w:tcPr>
            <w:tcW w:w="1136" w:type="dxa"/>
            <w:gridSpan w:val="2"/>
          </w:tcPr>
          <w:p>
            <w:pPr>
              <w:pStyle w:val="nTable"/>
              <w:spacing w:after="40"/>
              <w:rPr>
                <w:sz w:val="19"/>
              </w:rPr>
            </w:pPr>
            <w:r>
              <w:rPr>
                <w:sz w:val="19"/>
              </w:rPr>
              <w:t>13 Sep 1971</w:t>
            </w:r>
          </w:p>
        </w:tc>
        <w:tc>
          <w:tcPr>
            <w:tcW w:w="2452" w:type="dxa"/>
            <w:gridSpan w:val="2"/>
          </w:tcPr>
          <w:p>
            <w:pPr>
              <w:pStyle w:val="nTable"/>
              <w:spacing w:after="40"/>
              <w:rPr>
                <w:sz w:val="19"/>
              </w:rPr>
            </w:pPr>
            <w:r>
              <w:rPr>
                <w:sz w:val="19"/>
              </w:rPr>
              <w:t>13 Sep 1971</w:t>
            </w:r>
          </w:p>
        </w:tc>
      </w:tr>
      <w:tr>
        <w:trPr>
          <w:cantSplit/>
        </w:trPr>
        <w:tc>
          <w:tcPr>
            <w:tcW w:w="2264" w:type="dxa"/>
            <w:gridSpan w:val="2"/>
          </w:tcPr>
          <w:p>
            <w:pPr>
              <w:pStyle w:val="nTable"/>
              <w:spacing w:after="40"/>
              <w:ind w:right="113"/>
              <w:rPr>
                <w:sz w:val="19"/>
              </w:rPr>
            </w:pPr>
            <w:r>
              <w:rPr>
                <w:i/>
                <w:sz w:val="19"/>
              </w:rPr>
              <w:t>Stamp Act Amendment Act (No. 2) 1971</w:t>
            </w:r>
          </w:p>
        </w:tc>
        <w:tc>
          <w:tcPr>
            <w:tcW w:w="1133" w:type="dxa"/>
            <w:gridSpan w:val="3"/>
          </w:tcPr>
          <w:p>
            <w:pPr>
              <w:pStyle w:val="nTable"/>
              <w:spacing w:after="40"/>
              <w:rPr>
                <w:sz w:val="19"/>
              </w:rPr>
            </w:pPr>
            <w:r>
              <w:rPr>
                <w:sz w:val="19"/>
              </w:rPr>
              <w:t>29 of 1971</w:t>
            </w:r>
          </w:p>
        </w:tc>
        <w:tc>
          <w:tcPr>
            <w:tcW w:w="1136" w:type="dxa"/>
            <w:gridSpan w:val="2"/>
          </w:tcPr>
          <w:p>
            <w:pPr>
              <w:pStyle w:val="nTable"/>
              <w:spacing w:after="40"/>
              <w:rPr>
                <w:sz w:val="19"/>
              </w:rPr>
            </w:pPr>
            <w:r>
              <w:rPr>
                <w:sz w:val="19"/>
              </w:rPr>
              <w:t>1 Dec 1971</w:t>
            </w:r>
          </w:p>
        </w:tc>
        <w:tc>
          <w:tcPr>
            <w:tcW w:w="2452" w:type="dxa"/>
            <w:gridSpan w:val="2"/>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4" w:type="dxa"/>
            <w:gridSpan w:val="2"/>
          </w:tcPr>
          <w:p>
            <w:pPr>
              <w:pStyle w:val="nTable"/>
              <w:spacing w:after="40"/>
              <w:ind w:right="113"/>
              <w:rPr>
                <w:sz w:val="19"/>
              </w:rPr>
            </w:pPr>
            <w:r>
              <w:rPr>
                <w:i/>
                <w:sz w:val="19"/>
              </w:rPr>
              <w:t>Stamp Act Amendment Act 1972</w:t>
            </w:r>
          </w:p>
        </w:tc>
        <w:tc>
          <w:tcPr>
            <w:tcW w:w="1133" w:type="dxa"/>
            <w:gridSpan w:val="3"/>
          </w:tcPr>
          <w:p>
            <w:pPr>
              <w:pStyle w:val="nTable"/>
              <w:spacing w:after="40"/>
              <w:rPr>
                <w:sz w:val="19"/>
              </w:rPr>
            </w:pPr>
            <w:r>
              <w:rPr>
                <w:sz w:val="19"/>
              </w:rPr>
              <w:t>32 of 1972</w:t>
            </w:r>
          </w:p>
        </w:tc>
        <w:tc>
          <w:tcPr>
            <w:tcW w:w="1136" w:type="dxa"/>
            <w:gridSpan w:val="2"/>
          </w:tcPr>
          <w:p>
            <w:pPr>
              <w:pStyle w:val="nTable"/>
              <w:spacing w:after="40"/>
              <w:rPr>
                <w:sz w:val="19"/>
              </w:rPr>
            </w:pPr>
            <w:r>
              <w:rPr>
                <w:sz w:val="19"/>
              </w:rPr>
              <w:t>16 Jun 1972</w:t>
            </w:r>
          </w:p>
        </w:tc>
        <w:tc>
          <w:tcPr>
            <w:tcW w:w="2452" w:type="dxa"/>
            <w:gridSpan w:val="2"/>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4" w:type="dxa"/>
            <w:gridSpan w:val="2"/>
          </w:tcPr>
          <w:p>
            <w:pPr>
              <w:pStyle w:val="nTable"/>
              <w:spacing w:after="40"/>
              <w:ind w:right="113"/>
              <w:rPr>
                <w:sz w:val="19"/>
              </w:rPr>
            </w:pPr>
            <w:r>
              <w:rPr>
                <w:i/>
                <w:sz w:val="19"/>
              </w:rPr>
              <w:t>Metric Conversion Act 1972</w:t>
            </w:r>
          </w:p>
        </w:tc>
        <w:tc>
          <w:tcPr>
            <w:tcW w:w="1133" w:type="dxa"/>
            <w:gridSpan w:val="3"/>
          </w:tcPr>
          <w:p>
            <w:pPr>
              <w:pStyle w:val="nTable"/>
              <w:spacing w:after="40"/>
              <w:rPr>
                <w:sz w:val="19"/>
              </w:rPr>
            </w:pPr>
            <w:r>
              <w:rPr>
                <w:sz w:val="19"/>
              </w:rPr>
              <w:t>94 of 1972 (as amended by No. 19 of 1973 s. 4)</w:t>
            </w:r>
          </w:p>
        </w:tc>
        <w:tc>
          <w:tcPr>
            <w:tcW w:w="1136" w:type="dxa"/>
            <w:gridSpan w:val="2"/>
          </w:tcPr>
          <w:p>
            <w:pPr>
              <w:pStyle w:val="nTable"/>
              <w:spacing w:after="40"/>
              <w:rPr>
                <w:sz w:val="19"/>
              </w:rPr>
            </w:pPr>
            <w:r>
              <w:rPr>
                <w:sz w:val="19"/>
              </w:rPr>
              <w:t>4 Dec 1972</w:t>
            </w:r>
          </w:p>
        </w:tc>
        <w:tc>
          <w:tcPr>
            <w:tcW w:w="2452" w:type="dxa"/>
            <w:gridSpan w:val="2"/>
          </w:tcPr>
          <w:p>
            <w:pPr>
              <w:pStyle w:val="nTable"/>
              <w:spacing w:after="40"/>
              <w:rPr>
                <w:sz w:val="19"/>
              </w:rPr>
            </w:pPr>
            <w:r>
              <w:rPr>
                <w:sz w:val="19"/>
              </w:rPr>
              <w:t xml:space="preserve">Relevant amendments (see Second Sch. </w:t>
            </w:r>
            <w:r>
              <w:rPr>
                <w:sz w:val="19"/>
                <w:vertAlign w:val="superscript"/>
              </w:rPr>
              <w:t>14</w:t>
            </w:r>
            <w:r>
              <w:rPr>
                <w:sz w:val="19"/>
              </w:rPr>
              <w:t xml:space="preserve">) took effect on 1 Jul 1973 (see s. 4(2) and </w:t>
            </w:r>
            <w:r>
              <w:rPr>
                <w:i/>
                <w:sz w:val="19"/>
              </w:rPr>
              <w:t>Gazette</w:t>
            </w:r>
            <w:r>
              <w:rPr>
                <w:sz w:val="19"/>
              </w:rPr>
              <w:t xml:space="preserve"> 22 Jun 1973 p. 2379)</w:t>
            </w:r>
          </w:p>
        </w:tc>
      </w:tr>
      <w:tr>
        <w:trPr>
          <w:cantSplit/>
        </w:trPr>
        <w:tc>
          <w:tcPr>
            <w:tcW w:w="2264" w:type="dxa"/>
            <w:gridSpan w:val="2"/>
          </w:tcPr>
          <w:p>
            <w:pPr>
              <w:pStyle w:val="nTable"/>
              <w:spacing w:after="40"/>
              <w:ind w:right="113"/>
              <w:rPr>
                <w:sz w:val="19"/>
              </w:rPr>
            </w:pPr>
            <w:r>
              <w:rPr>
                <w:i/>
                <w:sz w:val="19"/>
              </w:rPr>
              <w:t>Stamp Act Amendment Act 1974</w:t>
            </w:r>
          </w:p>
        </w:tc>
        <w:tc>
          <w:tcPr>
            <w:tcW w:w="1133" w:type="dxa"/>
            <w:gridSpan w:val="3"/>
          </w:tcPr>
          <w:p>
            <w:pPr>
              <w:pStyle w:val="nTable"/>
              <w:spacing w:after="40"/>
              <w:rPr>
                <w:sz w:val="19"/>
              </w:rPr>
            </w:pPr>
            <w:r>
              <w:rPr>
                <w:sz w:val="19"/>
              </w:rPr>
              <w:t>9 of 1974</w:t>
            </w:r>
          </w:p>
        </w:tc>
        <w:tc>
          <w:tcPr>
            <w:tcW w:w="1136" w:type="dxa"/>
            <w:gridSpan w:val="2"/>
          </w:tcPr>
          <w:p>
            <w:pPr>
              <w:pStyle w:val="nTable"/>
              <w:spacing w:after="40"/>
              <w:rPr>
                <w:sz w:val="19"/>
              </w:rPr>
            </w:pPr>
            <w:r>
              <w:rPr>
                <w:sz w:val="19"/>
              </w:rPr>
              <w:t xml:space="preserve">27 Sep 1974 </w:t>
            </w:r>
          </w:p>
        </w:tc>
        <w:tc>
          <w:tcPr>
            <w:tcW w:w="2452" w:type="dxa"/>
            <w:gridSpan w:val="2"/>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4" w:type="dxa"/>
            <w:gridSpan w:val="2"/>
          </w:tcPr>
          <w:p>
            <w:pPr>
              <w:pStyle w:val="nTable"/>
              <w:spacing w:after="40"/>
              <w:ind w:right="113"/>
              <w:rPr>
                <w:sz w:val="19"/>
              </w:rPr>
            </w:pPr>
            <w:r>
              <w:rPr>
                <w:i/>
                <w:sz w:val="19"/>
              </w:rPr>
              <w:t>Stamp Act Amendment Act (No. 2) 1974</w:t>
            </w:r>
          </w:p>
        </w:tc>
        <w:tc>
          <w:tcPr>
            <w:tcW w:w="1133" w:type="dxa"/>
            <w:gridSpan w:val="3"/>
          </w:tcPr>
          <w:p>
            <w:pPr>
              <w:pStyle w:val="nTable"/>
              <w:spacing w:after="40"/>
              <w:rPr>
                <w:sz w:val="19"/>
              </w:rPr>
            </w:pPr>
            <w:r>
              <w:rPr>
                <w:sz w:val="19"/>
              </w:rPr>
              <w:t>46 of 1974</w:t>
            </w:r>
          </w:p>
        </w:tc>
        <w:tc>
          <w:tcPr>
            <w:tcW w:w="1136" w:type="dxa"/>
            <w:gridSpan w:val="2"/>
          </w:tcPr>
          <w:p>
            <w:pPr>
              <w:pStyle w:val="nTable"/>
              <w:spacing w:after="40"/>
              <w:rPr>
                <w:sz w:val="19"/>
              </w:rPr>
            </w:pPr>
            <w:r>
              <w:rPr>
                <w:sz w:val="19"/>
              </w:rPr>
              <w:t>18 Nov 1974</w:t>
            </w:r>
          </w:p>
        </w:tc>
        <w:tc>
          <w:tcPr>
            <w:tcW w:w="2452" w:type="dxa"/>
            <w:gridSpan w:val="2"/>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4" w:type="dxa"/>
            <w:gridSpan w:val="2"/>
          </w:tcPr>
          <w:p>
            <w:pPr>
              <w:pStyle w:val="nTable"/>
              <w:spacing w:after="40"/>
              <w:ind w:right="113"/>
              <w:rPr>
                <w:sz w:val="19"/>
              </w:rPr>
            </w:pPr>
            <w:r>
              <w:rPr>
                <w:i/>
                <w:sz w:val="19"/>
              </w:rPr>
              <w:t>Stamp Act Amendment Act 1976</w:t>
            </w:r>
          </w:p>
        </w:tc>
        <w:tc>
          <w:tcPr>
            <w:tcW w:w="1133" w:type="dxa"/>
            <w:gridSpan w:val="3"/>
          </w:tcPr>
          <w:p>
            <w:pPr>
              <w:pStyle w:val="nTable"/>
              <w:spacing w:after="40"/>
              <w:rPr>
                <w:sz w:val="19"/>
              </w:rPr>
            </w:pPr>
            <w:r>
              <w:rPr>
                <w:sz w:val="19"/>
              </w:rPr>
              <w:t>96 of 1976</w:t>
            </w:r>
          </w:p>
        </w:tc>
        <w:tc>
          <w:tcPr>
            <w:tcW w:w="1136" w:type="dxa"/>
            <w:gridSpan w:val="2"/>
          </w:tcPr>
          <w:p>
            <w:pPr>
              <w:pStyle w:val="nTable"/>
              <w:spacing w:after="40"/>
              <w:rPr>
                <w:sz w:val="19"/>
              </w:rPr>
            </w:pPr>
            <w:r>
              <w:rPr>
                <w:sz w:val="19"/>
              </w:rPr>
              <w:t>12 Nov 1976</w:t>
            </w:r>
          </w:p>
        </w:tc>
        <w:tc>
          <w:tcPr>
            <w:tcW w:w="2452" w:type="dxa"/>
            <w:gridSpan w:val="2"/>
          </w:tcPr>
          <w:p>
            <w:pPr>
              <w:pStyle w:val="nTable"/>
              <w:spacing w:after="40"/>
              <w:rPr>
                <w:sz w:val="19"/>
              </w:rPr>
            </w:pPr>
            <w:r>
              <w:rPr>
                <w:sz w:val="19"/>
              </w:rPr>
              <w:t>1 Jan 1977 (see s. 2)</w:t>
            </w:r>
          </w:p>
        </w:tc>
      </w:tr>
      <w:tr>
        <w:trPr>
          <w:cantSplit/>
        </w:trPr>
        <w:tc>
          <w:tcPr>
            <w:tcW w:w="2264" w:type="dxa"/>
            <w:gridSpan w:val="2"/>
          </w:tcPr>
          <w:p>
            <w:pPr>
              <w:pStyle w:val="nTable"/>
              <w:spacing w:after="40"/>
              <w:ind w:right="113"/>
              <w:rPr>
                <w:sz w:val="19"/>
              </w:rPr>
            </w:pPr>
            <w:r>
              <w:rPr>
                <w:i/>
                <w:sz w:val="19"/>
              </w:rPr>
              <w:t>Stamp Act Amendment Act 1977</w:t>
            </w:r>
          </w:p>
        </w:tc>
        <w:tc>
          <w:tcPr>
            <w:tcW w:w="1133" w:type="dxa"/>
            <w:gridSpan w:val="3"/>
          </w:tcPr>
          <w:p>
            <w:pPr>
              <w:pStyle w:val="nTable"/>
              <w:spacing w:after="40"/>
              <w:rPr>
                <w:sz w:val="19"/>
              </w:rPr>
            </w:pPr>
            <w:r>
              <w:rPr>
                <w:sz w:val="19"/>
              </w:rPr>
              <w:t>63 of 1977</w:t>
            </w:r>
          </w:p>
        </w:tc>
        <w:tc>
          <w:tcPr>
            <w:tcW w:w="1136" w:type="dxa"/>
            <w:gridSpan w:val="2"/>
          </w:tcPr>
          <w:p>
            <w:pPr>
              <w:pStyle w:val="nTable"/>
              <w:spacing w:after="40"/>
              <w:rPr>
                <w:sz w:val="19"/>
              </w:rPr>
            </w:pPr>
            <w:r>
              <w:rPr>
                <w:sz w:val="19"/>
              </w:rPr>
              <w:t>23 Nov 1977</w:t>
            </w:r>
          </w:p>
        </w:tc>
        <w:tc>
          <w:tcPr>
            <w:tcW w:w="2452" w:type="dxa"/>
            <w:gridSpan w:val="2"/>
          </w:tcPr>
          <w:p>
            <w:pPr>
              <w:pStyle w:val="nTable"/>
              <w:spacing w:after="40"/>
              <w:rPr>
                <w:sz w:val="19"/>
              </w:rPr>
            </w:pPr>
            <w:r>
              <w:rPr>
                <w:sz w:val="19"/>
              </w:rPr>
              <w:t>23 Nov 1977</w:t>
            </w:r>
          </w:p>
        </w:tc>
      </w:tr>
      <w:tr>
        <w:trPr>
          <w:cantSplit/>
        </w:trPr>
        <w:tc>
          <w:tcPr>
            <w:tcW w:w="2264" w:type="dxa"/>
            <w:gridSpan w:val="2"/>
          </w:tcPr>
          <w:p>
            <w:pPr>
              <w:pStyle w:val="nTable"/>
              <w:spacing w:after="40"/>
              <w:ind w:right="113"/>
              <w:rPr>
                <w:sz w:val="19"/>
              </w:rPr>
            </w:pPr>
            <w:r>
              <w:rPr>
                <w:i/>
                <w:sz w:val="19"/>
              </w:rPr>
              <w:t>Stamp Act Amendment Act 1979</w:t>
            </w:r>
          </w:p>
        </w:tc>
        <w:tc>
          <w:tcPr>
            <w:tcW w:w="1133" w:type="dxa"/>
            <w:gridSpan w:val="3"/>
          </w:tcPr>
          <w:p>
            <w:pPr>
              <w:pStyle w:val="nTable"/>
              <w:spacing w:after="40"/>
              <w:rPr>
                <w:sz w:val="19"/>
              </w:rPr>
            </w:pPr>
            <w:r>
              <w:rPr>
                <w:sz w:val="19"/>
              </w:rPr>
              <w:t>37 of 1979</w:t>
            </w:r>
          </w:p>
        </w:tc>
        <w:tc>
          <w:tcPr>
            <w:tcW w:w="1136" w:type="dxa"/>
            <w:gridSpan w:val="2"/>
          </w:tcPr>
          <w:p>
            <w:pPr>
              <w:pStyle w:val="nTable"/>
              <w:spacing w:after="40"/>
              <w:rPr>
                <w:sz w:val="19"/>
              </w:rPr>
            </w:pPr>
            <w:r>
              <w:rPr>
                <w:sz w:val="19"/>
              </w:rPr>
              <w:t>18 Oct 1979</w:t>
            </w:r>
          </w:p>
        </w:tc>
        <w:tc>
          <w:tcPr>
            <w:tcW w:w="2452" w:type="dxa"/>
            <w:gridSpan w:val="2"/>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264"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3" w:type="dxa"/>
            <w:gridSpan w:val="3"/>
          </w:tcPr>
          <w:p>
            <w:pPr>
              <w:pStyle w:val="nTable"/>
              <w:spacing w:after="40"/>
              <w:rPr>
                <w:sz w:val="19"/>
              </w:rPr>
            </w:pPr>
            <w:r>
              <w:rPr>
                <w:sz w:val="19"/>
              </w:rPr>
              <w:t>47 of 1979</w:t>
            </w:r>
          </w:p>
        </w:tc>
        <w:tc>
          <w:tcPr>
            <w:tcW w:w="1136" w:type="dxa"/>
            <w:gridSpan w:val="2"/>
          </w:tcPr>
          <w:p>
            <w:pPr>
              <w:pStyle w:val="nTable"/>
              <w:spacing w:after="40"/>
              <w:rPr>
                <w:sz w:val="19"/>
              </w:rPr>
            </w:pPr>
            <w:r>
              <w:rPr>
                <w:sz w:val="19"/>
              </w:rPr>
              <w:t>7 Nov 1979</w:t>
            </w:r>
          </w:p>
        </w:tc>
        <w:tc>
          <w:tcPr>
            <w:tcW w:w="2452" w:type="dxa"/>
            <w:gridSpan w:val="2"/>
          </w:tcPr>
          <w:p>
            <w:pPr>
              <w:pStyle w:val="nTable"/>
              <w:spacing w:after="40"/>
              <w:rPr>
                <w:sz w:val="19"/>
              </w:rPr>
            </w:pPr>
            <w:r>
              <w:rPr>
                <w:sz w:val="19"/>
              </w:rPr>
              <w:t>1 Jul 1980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4" w:type="dxa"/>
            <w:gridSpan w:val="2"/>
          </w:tcPr>
          <w:p>
            <w:pPr>
              <w:pStyle w:val="nTable"/>
              <w:spacing w:after="40"/>
              <w:ind w:right="113"/>
              <w:rPr>
                <w:sz w:val="19"/>
              </w:rPr>
            </w:pPr>
            <w:r>
              <w:rPr>
                <w:i/>
                <w:sz w:val="19"/>
              </w:rPr>
              <w:t>Stamp Amendment Act 1980</w:t>
            </w:r>
          </w:p>
        </w:tc>
        <w:tc>
          <w:tcPr>
            <w:tcW w:w="1133" w:type="dxa"/>
            <w:gridSpan w:val="3"/>
          </w:tcPr>
          <w:p>
            <w:pPr>
              <w:pStyle w:val="nTable"/>
              <w:spacing w:after="40"/>
              <w:rPr>
                <w:sz w:val="19"/>
              </w:rPr>
            </w:pPr>
            <w:r>
              <w:rPr>
                <w:sz w:val="19"/>
              </w:rPr>
              <w:t>63 of 1980</w:t>
            </w:r>
          </w:p>
        </w:tc>
        <w:tc>
          <w:tcPr>
            <w:tcW w:w="1136" w:type="dxa"/>
            <w:gridSpan w:val="2"/>
          </w:tcPr>
          <w:p>
            <w:pPr>
              <w:pStyle w:val="nTable"/>
              <w:spacing w:after="40"/>
              <w:rPr>
                <w:sz w:val="19"/>
              </w:rPr>
            </w:pPr>
            <w:r>
              <w:rPr>
                <w:sz w:val="19"/>
              </w:rPr>
              <w:t>26 Nov 1980</w:t>
            </w:r>
          </w:p>
        </w:tc>
        <w:tc>
          <w:tcPr>
            <w:tcW w:w="2452" w:type="dxa"/>
            <w:gridSpan w:val="2"/>
          </w:tcPr>
          <w:p>
            <w:pPr>
              <w:pStyle w:val="nTable"/>
              <w:spacing w:after="40"/>
              <w:rPr>
                <w:sz w:val="19"/>
              </w:rPr>
            </w:pPr>
            <w:r>
              <w:rPr>
                <w:sz w:val="19"/>
              </w:rPr>
              <w:t>4 Nov 1980 (see s. 1(4))</w:t>
            </w:r>
          </w:p>
        </w:tc>
      </w:tr>
      <w:tr>
        <w:trPr>
          <w:cantSplit/>
        </w:trPr>
        <w:tc>
          <w:tcPr>
            <w:tcW w:w="2264" w:type="dxa"/>
            <w:gridSpan w:val="2"/>
          </w:tcPr>
          <w:p>
            <w:pPr>
              <w:pStyle w:val="nTable"/>
              <w:spacing w:after="40"/>
              <w:ind w:right="113"/>
              <w:rPr>
                <w:sz w:val="19"/>
              </w:rPr>
            </w:pPr>
            <w:r>
              <w:rPr>
                <w:i/>
                <w:sz w:val="19"/>
              </w:rPr>
              <w:t>Stamp Amendment Act 1981 </w:t>
            </w:r>
            <w:r>
              <w:rPr>
                <w:sz w:val="19"/>
                <w:vertAlign w:val="superscript"/>
              </w:rPr>
              <w:t>15</w:t>
            </w:r>
          </w:p>
        </w:tc>
        <w:tc>
          <w:tcPr>
            <w:tcW w:w="1133" w:type="dxa"/>
            <w:gridSpan w:val="3"/>
          </w:tcPr>
          <w:p>
            <w:pPr>
              <w:pStyle w:val="nTable"/>
              <w:spacing w:after="40"/>
              <w:rPr>
                <w:sz w:val="19"/>
              </w:rPr>
            </w:pPr>
            <w:r>
              <w:rPr>
                <w:sz w:val="19"/>
              </w:rPr>
              <w:t>81 of 1981</w:t>
            </w:r>
          </w:p>
        </w:tc>
        <w:tc>
          <w:tcPr>
            <w:tcW w:w="1136" w:type="dxa"/>
            <w:gridSpan w:val="2"/>
          </w:tcPr>
          <w:p>
            <w:pPr>
              <w:pStyle w:val="nTable"/>
              <w:spacing w:after="40"/>
              <w:rPr>
                <w:sz w:val="19"/>
              </w:rPr>
            </w:pPr>
            <w:r>
              <w:rPr>
                <w:sz w:val="19"/>
              </w:rPr>
              <w:t>9 Nov 1981</w:t>
            </w:r>
          </w:p>
        </w:tc>
        <w:tc>
          <w:tcPr>
            <w:tcW w:w="2452" w:type="dxa"/>
            <w:gridSpan w:val="2"/>
          </w:tcPr>
          <w:p>
            <w:pPr>
              <w:pStyle w:val="nTable"/>
              <w:spacing w:after="40"/>
              <w:rPr>
                <w:sz w:val="19"/>
              </w:rPr>
            </w:pPr>
            <w:r>
              <w:rPr>
                <w:sz w:val="19"/>
              </w:rPr>
              <w:t>Act other than s. 3 and 8: 1 Dec 1981 (see s. 2(1));</w:t>
            </w:r>
            <w:r>
              <w:rPr>
                <w:sz w:val="19"/>
              </w:rPr>
              <w:br/>
              <w:t>s. 3 and 8: 1 Jan 1982 (see s. 2(2))</w:t>
            </w:r>
          </w:p>
        </w:tc>
      </w:tr>
      <w:tr>
        <w:trPr>
          <w:cantSplit/>
        </w:trPr>
        <w:tc>
          <w:tcPr>
            <w:tcW w:w="2264" w:type="dxa"/>
            <w:gridSpan w:val="2"/>
          </w:tcPr>
          <w:p>
            <w:pPr>
              <w:pStyle w:val="nTable"/>
              <w:spacing w:after="40"/>
              <w:ind w:right="113"/>
              <w:rPr>
                <w:sz w:val="19"/>
              </w:rPr>
            </w:pPr>
            <w:r>
              <w:rPr>
                <w:i/>
                <w:sz w:val="19"/>
              </w:rPr>
              <w:t xml:space="preserve">Acts Amendment (Traffic Board) Act 1981 </w:t>
            </w:r>
            <w:r>
              <w:rPr>
                <w:sz w:val="19"/>
              </w:rPr>
              <w:t>Pt. VIII</w:t>
            </w:r>
          </w:p>
        </w:tc>
        <w:tc>
          <w:tcPr>
            <w:tcW w:w="1133" w:type="dxa"/>
            <w:gridSpan w:val="3"/>
          </w:tcPr>
          <w:p>
            <w:pPr>
              <w:pStyle w:val="nTable"/>
              <w:spacing w:after="40"/>
              <w:rPr>
                <w:sz w:val="19"/>
              </w:rPr>
            </w:pPr>
            <w:r>
              <w:rPr>
                <w:sz w:val="19"/>
              </w:rPr>
              <w:t>106 of 1981</w:t>
            </w:r>
          </w:p>
        </w:tc>
        <w:tc>
          <w:tcPr>
            <w:tcW w:w="1136" w:type="dxa"/>
            <w:gridSpan w:val="2"/>
          </w:tcPr>
          <w:p>
            <w:pPr>
              <w:pStyle w:val="nTable"/>
              <w:spacing w:after="40"/>
              <w:rPr>
                <w:sz w:val="19"/>
              </w:rPr>
            </w:pPr>
            <w:r>
              <w:rPr>
                <w:sz w:val="19"/>
              </w:rPr>
              <w:t>4 Dec 1981</w:t>
            </w:r>
          </w:p>
        </w:tc>
        <w:tc>
          <w:tcPr>
            <w:tcW w:w="2452" w:type="dxa"/>
            <w:gridSpan w:val="2"/>
          </w:tcPr>
          <w:p>
            <w:pPr>
              <w:pStyle w:val="nTable"/>
              <w:spacing w:after="40"/>
              <w:rPr>
                <w:sz w:val="19"/>
              </w:rPr>
            </w:pPr>
            <w:r>
              <w:rPr>
                <w:sz w:val="19"/>
              </w:rPr>
              <w:t>2 Feb 1982 (see s. 2)</w:t>
            </w:r>
          </w:p>
        </w:tc>
      </w:tr>
      <w:tr>
        <w:trPr>
          <w:cantSplit/>
        </w:trPr>
        <w:tc>
          <w:tcPr>
            <w:tcW w:w="2264" w:type="dxa"/>
            <w:gridSpan w:val="2"/>
          </w:tcPr>
          <w:p>
            <w:pPr>
              <w:pStyle w:val="nTable"/>
              <w:spacing w:after="40"/>
              <w:ind w:right="113"/>
              <w:rPr>
                <w:sz w:val="19"/>
              </w:rPr>
            </w:pPr>
            <w:r>
              <w:rPr>
                <w:i/>
                <w:sz w:val="19"/>
              </w:rPr>
              <w:t>Stamp Amendment Act 1982</w:t>
            </w:r>
          </w:p>
        </w:tc>
        <w:tc>
          <w:tcPr>
            <w:tcW w:w="1133" w:type="dxa"/>
            <w:gridSpan w:val="3"/>
          </w:tcPr>
          <w:p>
            <w:pPr>
              <w:pStyle w:val="nTable"/>
              <w:spacing w:after="40"/>
              <w:rPr>
                <w:sz w:val="19"/>
              </w:rPr>
            </w:pPr>
            <w:r>
              <w:rPr>
                <w:sz w:val="19"/>
              </w:rPr>
              <w:t>1 of 1982</w:t>
            </w:r>
          </w:p>
        </w:tc>
        <w:tc>
          <w:tcPr>
            <w:tcW w:w="1136" w:type="dxa"/>
            <w:gridSpan w:val="2"/>
          </w:tcPr>
          <w:p>
            <w:pPr>
              <w:pStyle w:val="nTable"/>
              <w:spacing w:after="40"/>
              <w:rPr>
                <w:sz w:val="19"/>
              </w:rPr>
            </w:pPr>
            <w:r>
              <w:rPr>
                <w:sz w:val="19"/>
              </w:rPr>
              <w:t>8 Apr 1982</w:t>
            </w:r>
          </w:p>
        </w:tc>
        <w:tc>
          <w:tcPr>
            <w:tcW w:w="2452" w:type="dxa"/>
            <w:gridSpan w:val="2"/>
          </w:tcPr>
          <w:p>
            <w:pPr>
              <w:pStyle w:val="nTable"/>
              <w:spacing w:after="40"/>
              <w:rPr>
                <w:sz w:val="19"/>
              </w:rPr>
            </w:pPr>
            <w:r>
              <w:rPr>
                <w:sz w:val="19"/>
              </w:rPr>
              <w:t>8 Apr 1982</w:t>
            </w:r>
          </w:p>
        </w:tc>
      </w:tr>
      <w:tr>
        <w:trPr>
          <w:cantSplit/>
        </w:trPr>
        <w:tc>
          <w:tcPr>
            <w:tcW w:w="2264" w:type="dxa"/>
            <w:gridSpan w:val="2"/>
          </w:tcPr>
          <w:p>
            <w:pPr>
              <w:pStyle w:val="nTable"/>
              <w:spacing w:after="40"/>
              <w:ind w:right="113"/>
              <w:rPr>
                <w:sz w:val="19"/>
              </w:rPr>
            </w:pPr>
            <w:r>
              <w:rPr>
                <w:i/>
                <w:sz w:val="19"/>
              </w:rPr>
              <w:t xml:space="preserve">Companies (Consequential Amendments) Act 1982 </w:t>
            </w:r>
            <w:r>
              <w:rPr>
                <w:sz w:val="19"/>
              </w:rPr>
              <w:t xml:space="preserve">s. 28 </w:t>
            </w:r>
          </w:p>
        </w:tc>
        <w:tc>
          <w:tcPr>
            <w:tcW w:w="1133" w:type="dxa"/>
            <w:gridSpan w:val="3"/>
          </w:tcPr>
          <w:p>
            <w:pPr>
              <w:pStyle w:val="nTable"/>
              <w:spacing w:after="40"/>
              <w:rPr>
                <w:sz w:val="19"/>
              </w:rPr>
            </w:pPr>
            <w:r>
              <w:rPr>
                <w:sz w:val="19"/>
              </w:rPr>
              <w:t>10 of 1982</w:t>
            </w:r>
          </w:p>
        </w:tc>
        <w:tc>
          <w:tcPr>
            <w:tcW w:w="1136" w:type="dxa"/>
            <w:gridSpan w:val="2"/>
          </w:tcPr>
          <w:p>
            <w:pPr>
              <w:pStyle w:val="nTable"/>
              <w:spacing w:after="40"/>
              <w:rPr>
                <w:sz w:val="19"/>
              </w:rPr>
            </w:pPr>
            <w:r>
              <w:rPr>
                <w:sz w:val="19"/>
              </w:rPr>
              <w:t>14 May 1982</w:t>
            </w:r>
          </w:p>
        </w:tc>
        <w:tc>
          <w:tcPr>
            <w:tcW w:w="2452" w:type="dxa"/>
            <w:gridSpan w:val="2"/>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4" w:type="dxa"/>
            <w:gridSpan w:val="2"/>
          </w:tcPr>
          <w:p>
            <w:pPr>
              <w:pStyle w:val="nTable"/>
              <w:spacing w:after="40"/>
              <w:ind w:right="113"/>
              <w:rPr>
                <w:sz w:val="19"/>
              </w:rPr>
            </w:pPr>
            <w:r>
              <w:rPr>
                <w:i/>
                <w:sz w:val="19"/>
              </w:rPr>
              <w:t>Stamp Amendment Act (No. 2) 1982</w:t>
            </w:r>
          </w:p>
        </w:tc>
        <w:tc>
          <w:tcPr>
            <w:tcW w:w="1133" w:type="dxa"/>
            <w:gridSpan w:val="3"/>
          </w:tcPr>
          <w:p>
            <w:pPr>
              <w:pStyle w:val="nTable"/>
              <w:spacing w:after="40"/>
              <w:rPr>
                <w:sz w:val="19"/>
              </w:rPr>
            </w:pPr>
            <w:r>
              <w:rPr>
                <w:sz w:val="19"/>
              </w:rPr>
              <w:t>15 of 1982</w:t>
            </w:r>
          </w:p>
        </w:tc>
        <w:tc>
          <w:tcPr>
            <w:tcW w:w="1136" w:type="dxa"/>
            <w:gridSpan w:val="2"/>
          </w:tcPr>
          <w:p>
            <w:pPr>
              <w:pStyle w:val="nTable"/>
              <w:spacing w:after="40"/>
              <w:rPr>
                <w:sz w:val="19"/>
              </w:rPr>
            </w:pPr>
            <w:r>
              <w:rPr>
                <w:sz w:val="19"/>
              </w:rPr>
              <w:t>14 May 1982</w:t>
            </w:r>
          </w:p>
        </w:tc>
        <w:tc>
          <w:tcPr>
            <w:tcW w:w="2452" w:type="dxa"/>
            <w:gridSpan w:val="2"/>
          </w:tcPr>
          <w:p>
            <w:pPr>
              <w:pStyle w:val="nTable"/>
              <w:spacing w:after="40"/>
              <w:rPr>
                <w:sz w:val="19"/>
              </w:rPr>
            </w:pPr>
            <w:r>
              <w:rPr>
                <w:sz w:val="19"/>
              </w:rPr>
              <w:t>Act other than s. 4: 8 Apr 1982 (see s. 2(1));</w:t>
            </w:r>
            <w:r>
              <w:rPr>
                <w:sz w:val="19"/>
              </w:rPr>
              <w:br/>
              <w:t>s. 4: 14 May 1982 (see s. 2(2))</w:t>
            </w:r>
          </w:p>
        </w:tc>
      </w:tr>
      <w:tr>
        <w:trPr>
          <w:cantSplit/>
        </w:trPr>
        <w:tc>
          <w:tcPr>
            <w:tcW w:w="2264" w:type="dxa"/>
            <w:gridSpan w:val="2"/>
          </w:tcPr>
          <w:p>
            <w:pPr>
              <w:pStyle w:val="nTable"/>
              <w:spacing w:after="40"/>
              <w:ind w:right="113"/>
              <w:rPr>
                <w:sz w:val="19"/>
              </w:rPr>
            </w:pPr>
            <w:r>
              <w:rPr>
                <w:i/>
                <w:sz w:val="19"/>
              </w:rPr>
              <w:t>Stamp Amendment Act (No. 3) 1982</w:t>
            </w:r>
          </w:p>
        </w:tc>
        <w:tc>
          <w:tcPr>
            <w:tcW w:w="1133" w:type="dxa"/>
            <w:gridSpan w:val="3"/>
          </w:tcPr>
          <w:p>
            <w:pPr>
              <w:pStyle w:val="nTable"/>
              <w:spacing w:after="40"/>
              <w:rPr>
                <w:sz w:val="19"/>
              </w:rPr>
            </w:pPr>
            <w:r>
              <w:rPr>
                <w:sz w:val="19"/>
              </w:rPr>
              <w:t>45 of 1982</w:t>
            </w:r>
          </w:p>
        </w:tc>
        <w:tc>
          <w:tcPr>
            <w:tcW w:w="1136" w:type="dxa"/>
            <w:gridSpan w:val="2"/>
          </w:tcPr>
          <w:p>
            <w:pPr>
              <w:pStyle w:val="nTable"/>
              <w:spacing w:after="40"/>
              <w:rPr>
                <w:sz w:val="19"/>
              </w:rPr>
            </w:pPr>
            <w:r>
              <w:rPr>
                <w:sz w:val="19"/>
              </w:rPr>
              <w:t>26 Aug 1982</w:t>
            </w:r>
          </w:p>
        </w:tc>
        <w:tc>
          <w:tcPr>
            <w:tcW w:w="2452" w:type="dxa"/>
            <w:gridSpan w:val="2"/>
          </w:tcPr>
          <w:p>
            <w:pPr>
              <w:pStyle w:val="nTable"/>
              <w:spacing w:after="40"/>
              <w:rPr>
                <w:sz w:val="19"/>
              </w:rPr>
            </w:pPr>
            <w:r>
              <w:rPr>
                <w:sz w:val="19"/>
              </w:rPr>
              <w:t>24 Dec 1981 (see s. 2)</w:t>
            </w:r>
          </w:p>
        </w:tc>
      </w:tr>
      <w:tr>
        <w:trPr>
          <w:cantSplit/>
        </w:trPr>
        <w:tc>
          <w:tcPr>
            <w:tcW w:w="2264" w:type="dxa"/>
            <w:gridSpan w:val="2"/>
          </w:tcPr>
          <w:p>
            <w:pPr>
              <w:pStyle w:val="nTable"/>
              <w:spacing w:after="40"/>
              <w:ind w:right="113"/>
              <w:rPr>
                <w:sz w:val="19"/>
              </w:rPr>
            </w:pPr>
            <w:r>
              <w:rPr>
                <w:i/>
                <w:sz w:val="19"/>
              </w:rPr>
              <w:t>Stamp Amendment Act (No. 4) 1982</w:t>
            </w:r>
          </w:p>
        </w:tc>
        <w:tc>
          <w:tcPr>
            <w:tcW w:w="1133" w:type="dxa"/>
            <w:gridSpan w:val="3"/>
          </w:tcPr>
          <w:p>
            <w:pPr>
              <w:pStyle w:val="nTable"/>
              <w:spacing w:after="40"/>
              <w:rPr>
                <w:sz w:val="19"/>
              </w:rPr>
            </w:pPr>
            <w:r>
              <w:rPr>
                <w:sz w:val="19"/>
              </w:rPr>
              <w:t>93 of 1982</w:t>
            </w:r>
          </w:p>
        </w:tc>
        <w:tc>
          <w:tcPr>
            <w:tcW w:w="1136" w:type="dxa"/>
            <w:gridSpan w:val="2"/>
          </w:tcPr>
          <w:p>
            <w:pPr>
              <w:pStyle w:val="nTable"/>
              <w:spacing w:after="40"/>
              <w:rPr>
                <w:sz w:val="19"/>
              </w:rPr>
            </w:pPr>
            <w:r>
              <w:rPr>
                <w:sz w:val="19"/>
              </w:rPr>
              <w:t>22 Nov 1982</w:t>
            </w:r>
          </w:p>
        </w:tc>
        <w:tc>
          <w:tcPr>
            <w:tcW w:w="2452" w:type="dxa"/>
            <w:gridSpan w:val="2"/>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4" w:type="dxa"/>
            <w:gridSpan w:val="2"/>
          </w:tcPr>
          <w:p>
            <w:pPr>
              <w:pStyle w:val="nTable"/>
              <w:spacing w:after="40"/>
              <w:ind w:right="113"/>
              <w:rPr>
                <w:sz w:val="19"/>
              </w:rPr>
            </w:pPr>
            <w:r>
              <w:rPr>
                <w:i/>
                <w:sz w:val="19"/>
              </w:rPr>
              <w:t>Stamp Amendment Act (No. 5) 1982</w:t>
            </w:r>
          </w:p>
        </w:tc>
        <w:tc>
          <w:tcPr>
            <w:tcW w:w="1133" w:type="dxa"/>
            <w:gridSpan w:val="3"/>
          </w:tcPr>
          <w:p>
            <w:pPr>
              <w:pStyle w:val="nTable"/>
              <w:spacing w:after="40"/>
              <w:rPr>
                <w:sz w:val="19"/>
              </w:rPr>
            </w:pPr>
            <w:r>
              <w:rPr>
                <w:sz w:val="19"/>
              </w:rPr>
              <w:t>99 of 1982</w:t>
            </w:r>
          </w:p>
        </w:tc>
        <w:tc>
          <w:tcPr>
            <w:tcW w:w="1136" w:type="dxa"/>
            <w:gridSpan w:val="2"/>
          </w:tcPr>
          <w:p>
            <w:pPr>
              <w:pStyle w:val="nTable"/>
              <w:spacing w:after="40"/>
              <w:rPr>
                <w:sz w:val="19"/>
              </w:rPr>
            </w:pPr>
            <w:r>
              <w:rPr>
                <w:sz w:val="19"/>
              </w:rPr>
              <w:t>24 Nov 1982</w:t>
            </w:r>
          </w:p>
        </w:tc>
        <w:tc>
          <w:tcPr>
            <w:tcW w:w="2452" w:type="dxa"/>
            <w:gridSpan w:val="2"/>
          </w:tcPr>
          <w:p>
            <w:pPr>
              <w:pStyle w:val="nTable"/>
              <w:spacing w:after="40"/>
              <w:rPr>
                <w:sz w:val="19"/>
              </w:rPr>
            </w:pPr>
            <w:r>
              <w:rPr>
                <w:sz w:val="19"/>
              </w:rPr>
              <w:t>1 Jan 1983 (see s. 2)</w:t>
            </w:r>
          </w:p>
        </w:tc>
      </w:tr>
      <w:tr>
        <w:trPr>
          <w:cantSplit/>
        </w:trPr>
        <w:tc>
          <w:tcPr>
            <w:tcW w:w="2264" w:type="dxa"/>
            <w:gridSpan w:val="2"/>
          </w:tcPr>
          <w:p>
            <w:pPr>
              <w:pStyle w:val="nTable"/>
              <w:spacing w:after="40"/>
              <w:ind w:right="113"/>
              <w:rPr>
                <w:sz w:val="19"/>
              </w:rPr>
            </w:pPr>
            <w:r>
              <w:rPr>
                <w:i/>
                <w:sz w:val="19"/>
              </w:rPr>
              <w:t>Stamp Amendment Act (No. 6) 1982</w:t>
            </w:r>
          </w:p>
        </w:tc>
        <w:tc>
          <w:tcPr>
            <w:tcW w:w="1133" w:type="dxa"/>
            <w:gridSpan w:val="3"/>
          </w:tcPr>
          <w:p>
            <w:pPr>
              <w:pStyle w:val="nTable"/>
              <w:spacing w:after="40"/>
              <w:rPr>
                <w:sz w:val="19"/>
              </w:rPr>
            </w:pPr>
            <w:r>
              <w:rPr>
                <w:sz w:val="19"/>
              </w:rPr>
              <w:t>112 of 1982</w:t>
            </w:r>
          </w:p>
        </w:tc>
        <w:tc>
          <w:tcPr>
            <w:tcW w:w="1136" w:type="dxa"/>
            <w:gridSpan w:val="2"/>
          </w:tcPr>
          <w:p>
            <w:pPr>
              <w:pStyle w:val="nTable"/>
              <w:spacing w:after="40"/>
              <w:rPr>
                <w:sz w:val="19"/>
              </w:rPr>
            </w:pPr>
            <w:r>
              <w:rPr>
                <w:sz w:val="19"/>
              </w:rPr>
              <w:t>8 Dec 1982</w:t>
            </w:r>
          </w:p>
        </w:tc>
        <w:tc>
          <w:tcPr>
            <w:tcW w:w="2452" w:type="dxa"/>
            <w:gridSpan w:val="2"/>
          </w:tcPr>
          <w:p>
            <w:pPr>
              <w:pStyle w:val="nTable"/>
              <w:spacing w:after="40"/>
              <w:rPr>
                <w:sz w:val="19"/>
              </w:rPr>
            </w:pPr>
            <w:r>
              <w:rPr>
                <w:sz w:val="19"/>
              </w:rPr>
              <w:t>26 Oct 1982 (see s. 2)</w:t>
            </w:r>
          </w:p>
        </w:tc>
      </w:tr>
      <w:tr>
        <w:trPr>
          <w:cantSplit/>
        </w:trPr>
        <w:tc>
          <w:tcPr>
            <w:tcW w:w="2264" w:type="dxa"/>
            <w:gridSpan w:val="2"/>
          </w:tcPr>
          <w:p>
            <w:pPr>
              <w:pStyle w:val="nTable"/>
              <w:spacing w:after="40"/>
              <w:ind w:right="113"/>
              <w:rPr>
                <w:sz w:val="19"/>
              </w:rPr>
            </w:pPr>
            <w:r>
              <w:rPr>
                <w:i/>
                <w:sz w:val="19"/>
              </w:rPr>
              <w:t>Stamp Amendment Act 1983</w:t>
            </w:r>
          </w:p>
        </w:tc>
        <w:tc>
          <w:tcPr>
            <w:tcW w:w="1133" w:type="dxa"/>
            <w:gridSpan w:val="3"/>
          </w:tcPr>
          <w:p>
            <w:pPr>
              <w:pStyle w:val="nTable"/>
              <w:spacing w:after="40"/>
              <w:rPr>
                <w:sz w:val="19"/>
              </w:rPr>
            </w:pPr>
            <w:r>
              <w:rPr>
                <w:sz w:val="19"/>
              </w:rPr>
              <w:t>14 of 1983</w:t>
            </w:r>
          </w:p>
        </w:tc>
        <w:tc>
          <w:tcPr>
            <w:tcW w:w="1136" w:type="dxa"/>
            <w:gridSpan w:val="2"/>
          </w:tcPr>
          <w:p>
            <w:pPr>
              <w:pStyle w:val="nTable"/>
              <w:spacing w:after="40"/>
              <w:rPr>
                <w:sz w:val="19"/>
              </w:rPr>
            </w:pPr>
            <w:r>
              <w:rPr>
                <w:sz w:val="19"/>
              </w:rPr>
              <w:t>31 Oct 1983</w:t>
            </w:r>
          </w:p>
        </w:tc>
        <w:tc>
          <w:tcPr>
            <w:tcW w:w="2452" w:type="dxa"/>
            <w:gridSpan w:val="2"/>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4" w:type="dxa"/>
            <w:gridSpan w:val="2"/>
          </w:tcPr>
          <w:p>
            <w:pPr>
              <w:pStyle w:val="nTable"/>
              <w:spacing w:after="40"/>
              <w:ind w:right="113"/>
              <w:rPr>
                <w:sz w:val="19"/>
              </w:rPr>
            </w:pPr>
            <w:r>
              <w:rPr>
                <w:i/>
                <w:sz w:val="19"/>
              </w:rPr>
              <w:t>Stamp Amendment Act (No. 2) 1983</w:t>
            </w:r>
          </w:p>
        </w:tc>
        <w:tc>
          <w:tcPr>
            <w:tcW w:w="1133" w:type="dxa"/>
            <w:gridSpan w:val="3"/>
          </w:tcPr>
          <w:p>
            <w:pPr>
              <w:pStyle w:val="nTable"/>
              <w:spacing w:after="40"/>
              <w:rPr>
                <w:sz w:val="19"/>
              </w:rPr>
            </w:pPr>
            <w:r>
              <w:rPr>
                <w:sz w:val="19"/>
              </w:rPr>
              <w:t>61 of 1983</w:t>
            </w:r>
          </w:p>
        </w:tc>
        <w:tc>
          <w:tcPr>
            <w:tcW w:w="1136" w:type="dxa"/>
            <w:gridSpan w:val="2"/>
          </w:tcPr>
          <w:p>
            <w:pPr>
              <w:pStyle w:val="nTable"/>
              <w:spacing w:after="40"/>
              <w:rPr>
                <w:sz w:val="19"/>
              </w:rPr>
            </w:pPr>
            <w:r>
              <w:rPr>
                <w:sz w:val="19"/>
              </w:rPr>
              <w:t>13 Dec 1983</w:t>
            </w:r>
          </w:p>
        </w:tc>
        <w:tc>
          <w:tcPr>
            <w:tcW w:w="2452" w:type="dxa"/>
            <w:gridSpan w:val="2"/>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264" w:type="dxa"/>
            <w:gridSpan w:val="2"/>
          </w:tcPr>
          <w:p>
            <w:pPr>
              <w:pStyle w:val="nTable"/>
              <w:spacing w:after="40"/>
              <w:ind w:right="113"/>
              <w:rPr>
                <w:sz w:val="19"/>
              </w:rPr>
            </w:pPr>
            <w:r>
              <w:rPr>
                <w:i/>
                <w:sz w:val="19"/>
              </w:rPr>
              <w:t>Stamp Amendment Act 1984</w:t>
            </w:r>
          </w:p>
        </w:tc>
        <w:tc>
          <w:tcPr>
            <w:tcW w:w="1133" w:type="dxa"/>
            <w:gridSpan w:val="3"/>
          </w:tcPr>
          <w:p>
            <w:pPr>
              <w:pStyle w:val="nTable"/>
              <w:spacing w:after="40"/>
              <w:rPr>
                <w:sz w:val="19"/>
              </w:rPr>
            </w:pPr>
            <w:r>
              <w:rPr>
                <w:sz w:val="19"/>
              </w:rPr>
              <w:t>81 of 1984</w:t>
            </w:r>
          </w:p>
        </w:tc>
        <w:tc>
          <w:tcPr>
            <w:tcW w:w="1136" w:type="dxa"/>
            <w:gridSpan w:val="2"/>
          </w:tcPr>
          <w:p>
            <w:pPr>
              <w:pStyle w:val="nTable"/>
              <w:spacing w:after="40"/>
              <w:rPr>
                <w:sz w:val="19"/>
              </w:rPr>
            </w:pPr>
            <w:r>
              <w:rPr>
                <w:sz w:val="19"/>
              </w:rPr>
              <w:t>7 Dec 1984</w:t>
            </w:r>
          </w:p>
        </w:tc>
        <w:tc>
          <w:tcPr>
            <w:tcW w:w="2452" w:type="dxa"/>
            <w:gridSpan w:val="2"/>
          </w:tcPr>
          <w:p>
            <w:pPr>
              <w:pStyle w:val="nTable"/>
              <w:spacing w:after="40"/>
              <w:rPr>
                <w:sz w:val="19"/>
              </w:rPr>
            </w:pPr>
            <w:r>
              <w:rPr>
                <w:sz w:val="19"/>
              </w:rPr>
              <w:t xml:space="preserve">1 Jan 1985 (see s. 2 and </w:t>
            </w:r>
            <w:r>
              <w:rPr>
                <w:i/>
                <w:sz w:val="19"/>
              </w:rPr>
              <w:t>Gazette</w:t>
            </w:r>
            <w:r>
              <w:rPr>
                <w:sz w:val="19"/>
              </w:rPr>
              <w:t xml:space="preserve"> </w:t>
            </w:r>
            <w:r>
              <w:rPr>
                <w:sz w:val="19"/>
              </w:rPr>
              <w:br/>
              <w:t>28 Dec 1984 p. 4197)</w:t>
            </w:r>
          </w:p>
        </w:tc>
      </w:tr>
      <w:tr>
        <w:trPr>
          <w:cantSplit/>
        </w:trPr>
        <w:tc>
          <w:tcPr>
            <w:tcW w:w="2264" w:type="dxa"/>
            <w:gridSpan w:val="2"/>
          </w:tcPr>
          <w:p>
            <w:pPr>
              <w:pStyle w:val="nTable"/>
              <w:spacing w:after="40"/>
              <w:ind w:right="113"/>
              <w:rPr>
                <w:sz w:val="19"/>
              </w:rPr>
            </w:pPr>
            <w:r>
              <w:rPr>
                <w:i/>
                <w:sz w:val="19"/>
              </w:rPr>
              <w:t>Stamp Amendment Act (No. 2) 1984</w:t>
            </w:r>
          </w:p>
        </w:tc>
        <w:tc>
          <w:tcPr>
            <w:tcW w:w="1133" w:type="dxa"/>
            <w:gridSpan w:val="3"/>
          </w:tcPr>
          <w:p>
            <w:pPr>
              <w:pStyle w:val="nTable"/>
              <w:spacing w:after="40"/>
              <w:rPr>
                <w:sz w:val="19"/>
              </w:rPr>
            </w:pPr>
            <w:r>
              <w:rPr>
                <w:sz w:val="19"/>
              </w:rPr>
              <w:t>109 of 1984</w:t>
            </w:r>
          </w:p>
        </w:tc>
        <w:tc>
          <w:tcPr>
            <w:tcW w:w="1136" w:type="dxa"/>
            <w:gridSpan w:val="2"/>
          </w:tcPr>
          <w:p>
            <w:pPr>
              <w:pStyle w:val="nTable"/>
              <w:spacing w:after="40"/>
              <w:rPr>
                <w:sz w:val="19"/>
              </w:rPr>
            </w:pPr>
            <w:r>
              <w:rPr>
                <w:sz w:val="19"/>
              </w:rPr>
              <w:t>19 Dec 1984</w:t>
            </w:r>
          </w:p>
        </w:tc>
        <w:tc>
          <w:tcPr>
            <w:tcW w:w="2452" w:type="dxa"/>
            <w:gridSpan w:val="2"/>
          </w:tcPr>
          <w:p>
            <w:pPr>
              <w:pStyle w:val="nTable"/>
              <w:spacing w:after="40"/>
              <w:rPr>
                <w:sz w:val="19"/>
              </w:rPr>
            </w:pPr>
            <w:r>
              <w:rPr>
                <w:sz w:val="19"/>
              </w:rPr>
              <w:t>1 Jan 1985 (see s. 2)</w:t>
            </w:r>
          </w:p>
        </w:tc>
      </w:tr>
      <w:tr>
        <w:trPr>
          <w:cantSplit/>
        </w:trPr>
        <w:tc>
          <w:tcPr>
            <w:tcW w:w="2264" w:type="dxa"/>
            <w:gridSpan w:val="2"/>
          </w:tcPr>
          <w:p>
            <w:pPr>
              <w:pStyle w:val="nTable"/>
              <w:spacing w:after="40"/>
              <w:ind w:right="113"/>
              <w:rPr>
                <w:sz w:val="19"/>
              </w:rPr>
            </w:pPr>
            <w:r>
              <w:rPr>
                <w:i/>
                <w:sz w:val="19"/>
              </w:rPr>
              <w:t>Acts Amendment (Lotteries) Act 1985</w:t>
            </w:r>
            <w:r>
              <w:rPr>
                <w:sz w:val="19"/>
              </w:rPr>
              <w:t xml:space="preserve"> Pt. V</w:t>
            </w:r>
          </w:p>
        </w:tc>
        <w:tc>
          <w:tcPr>
            <w:tcW w:w="1133" w:type="dxa"/>
            <w:gridSpan w:val="3"/>
          </w:tcPr>
          <w:p>
            <w:pPr>
              <w:pStyle w:val="nTable"/>
              <w:spacing w:after="40"/>
              <w:rPr>
                <w:sz w:val="19"/>
              </w:rPr>
            </w:pPr>
            <w:r>
              <w:rPr>
                <w:sz w:val="19"/>
              </w:rPr>
              <w:t>19 of 1985</w:t>
            </w:r>
          </w:p>
        </w:tc>
        <w:tc>
          <w:tcPr>
            <w:tcW w:w="1136" w:type="dxa"/>
            <w:gridSpan w:val="2"/>
          </w:tcPr>
          <w:p>
            <w:pPr>
              <w:pStyle w:val="nTable"/>
              <w:spacing w:after="40"/>
              <w:rPr>
                <w:sz w:val="19"/>
              </w:rPr>
            </w:pPr>
            <w:r>
              <w:rPr>
                <w:sz w:val="19"/>
              </w:rPr>
              <w:t>19 Apr 1985</w:t>
            </w:r>
          </w:p>
        </w:tc>
        <w:tc>
          <w:tcPr>
            <w:tcW w:w="2452" w:type="dxa"/>
            <w:gridSpan w:val="2"/>
          </w:tcPr>
          <w:p>
            <w:pPr>
              <w:pStyle w:val="nTable"/>
              <w:spacing w:after="40"/>
              <w:rPr>
                <w:sz w:val="19"/>
              </w:rPr>
            </w:pPr>
            <w:r>
              <w:rPr>
                <w:sz w:val="19"/>
              </w:rPr>
              <w:t>19 Apr 1985 (see s. 2(1))</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4" w:type="dxa"/>
            <w:gridSpan w:val="2"/>
          </w:tcPr>
          <w:p>
            <w:pPr>
              <w:pStyle w:val="nTable"/>
              <w:spacing w:after="40"/>
              <w:ind w:right="113"/>
              <w:rPr>
                <w:sz w:val="19"/>
              </w:rPr>
            </w:pPr>
            <w:r>
              <w:rPr>
                <w:i/>
                <w:sz w:val="19"/>
              </w:rPr>
              <w:t>Stamp Amendment Act 1985</w:t>
            </w:r>
          </w:p>
        </w:tc>
        <w:tc>
          <w:tcPr>
            <w:tcW w:w="1133" w:type="dxa"/>
            <w:gridSpan w:val="3"/>
          </w:tcPr>
          <w:p>
            <w:pPr>
              <w:pStyle w:val="nTable"/>
              <w:spacing w:after="40"/>
              <w:rPr>
                <w:sz w:val="19"/>
              </w:rPr>
            </w:pPr>
            <w:r>
              <w:rPr>
                <w:sz w:val="19"/>
              </w:rPr>
              <w:t>84 of 1985</w:t>
            </w:r>
          </w:p>
        </w:tc>
        <w:tc>
          <w:tcPr>
            <w:tcW w:w="1136" w:type="dxa"/>
            <w:gridSpan w:val="2"/>
          </w:tcPr>
          <w:p>
            <w:pPr>
              <w:pStyle w:val="nTable"/>
              <w:spacing w:after="40"/>
              <w:rPr>
                <w:sz w:val="19"/>
              </w:rPr>
            </w:pPr>
            <w:r>
              <w:rPr>
                <w:sz w:val="19"/>
              </w:rPr>
              <w:t>4 Dec 1985</w:t>
            </w:r>
          </w:p>
        </w:tc>
        <w:tc>
          <w:tcPr>
            <w:tcW w:w="2452" w:type="dxa"/>
            <w:gridSpan w:val="2"/>
          </w:tcPr>
          <w:p>
            <w:pPr>
              <w:pStyle w:val="nTable"/>
              <w:spacing w:after="40"/>
              <w:rPr>
                <w:sz w:val="19"/>
              </w:rPr>
            </w:pPr>
            <w:r>
              <w:rPr>
                <w:sz w:val="19"/>
              </w:rPr>
              <w:t>1 Jan 1986 (see s. 2)</w:t>
            </w:r>
          </w:p>
        </w:tc>
      </w:tr>
      <w:tr>
        <w:trPr>
          <w:cantSplit/>
        </w:trPr>
        <w:tc>
          <w:tcPr>
            <w:tcW w:w="2264" w:type="dxa"/>
            <w:gridSpan w:val="2"/>
          </w:tcPr>
          <w:p>
            <w:pPr>
              <w:pStyle w:val="nTable"/>
              <w:spacing w:after="40"/>
              <w:ind w:right="113"/>
              <w:rPr>
                <w:sz w:val="19"/>
              </w:rPr>
            </w:pPr>
            <w:r>
              <w:rPr>
                <w:i/>
                <w:sz w:val="19"/>
              </w:rPr>
              <w:t>Stamp Amendment Act (No. 2) 1985</w:t>
            </w:r>
          </w:p>
        </w:tc>
        <w:tc>
          <w:tcPr>
            <w:tcW w:w="1133" w:type="dxa"/>
            <w:gridSpan w:val="3"/>
          </w:tcPr>
          <w:p>
            <w:pPr>
              <w:pStyle w:val="nTable"/>
              <w:spacing w:after="40"/>
              <w:rPr>
                <w:sz w:val="19"/>
              </w:rPr>
            </w:pPr>
            <w:r>
              <w:rPr>
                <w:sz w:val="19"/>
              </w:rPr>
              <w:t>85 of 1985</w:t>
            </w:r>
          </w:p>
        </w:tc>
        <w:tc>
          <w:tcPr>
            <w:tcW w:w="1136" w:type="dxa"/>
            <w:gridSpan w:val="2"/>
          </w:tcPr>
          <w:p>
            <w:pPr>
              <w:pStyle w:val="nTable"/>
              <w:spacing w:after="40"/>
              <w:rPr>
                <w:sz w:val="19"/>
              </w:rPr>
            </w:pPr>
            <w:r>
              <w:rPr>
                <w:sz w:val="19"/>
              </w:rPr>
              <w:t>4 Dec 1985</w:t>
            </w:r>
          </w:p>
        </w:tc>
        <w:tc>
          <w:tcPr>
            <w:tcW w:w="2452" w:type="dxa"/>
            <w:gridSpan w:val="2"/>
          </w:tcPr>
          <w:p>
            <w:pPr>
              <w:pStyle w:val="nTable"/>
              <w:spacing w:after="40"/>
              <w:rPr>
                <w:sz w:val="19"/>
              </w:rPr>
            </w:pPr>
            <w:r>
              <w:rPr>
                <w:sz w:val="19"/>
              </w:rPr>
              <w:t>1 Jan 1986 (see s. 2)</w:t>
            </w:r>
          </w:p>
        </w:tc>
      </w:tr>
      <w:tr>
        <w:trPr>
          <w:cantSplit/>
        </w:trPr>
        <w:tc>
          <w:tcPr>
            <w:tcW w:w="2264" w:type="dxa"/>
            <w:gridSpan w:val="2"/>
          </w:tcPr>
          <w:p>
            <w:pPr>
              <w:pStyle w:val="nTable"/>
              <w:spacing w:after="40"/>
              <w:ind w:right="113"/>
              <w:rPr>
                <w:sz w:val="19"/>
                <w:vertAlign w:val="superscript"/>
              </w:rPr>
            </w:pPr>
            <w:r>
              <w:rPr>
                <w:i/>
                <w:sz w:val="19"/>
              </w:rPr>
              <w:t>Stamp Amendment Act 1986</w:t>
            </w:r>
            <w:r>
              <w:rPr>
                <w:sz w:val="19"/>
                <w:vertAlign w:val="superscript"/>
              </w:rPr>
              <w:t> 16</w:t>
            </w:r>
          </w:p>
        </w:tc>
        <w:tc>
          <w:tcPr>
            <w:tcW w:w="1133" w:type="dxa"/>
            <w:gridSpan w:val="3"/>
          </w:tcPr>
          <w:p>
            <w:pPr>
              <w:pStyle w:val="nTable"/>
              <w:spacing w:after="40"/>
              <w:rPr>
                <w:sz w:val="19"/>
              </w:rPr>
            </w:pPr>
            <w:r>
              <w:rPr>
                <w:sz w:val="19"/>
              </w:rPr>
              <w:t>98 of 1986</w:t>
            </w:r>
          </w:p>
        </w:tc>
        <w:tc>
          <w:tcPr>
            <w:tcW w:w="1136" w:type="dxa"/>
            <w:gridSpan w:val="2"/>
          </w:tcPr>
          <w:p>
            <w:pPr>
              <w:pStyle w:val="nTable"/>
              <w:spacing w:after="40"/>
              <w:rPr>
                <w:sz w:val="19"/>
              </w:rPr>
            </w:pPr>
            <w:r>
              <w:rPr>
                <w:sz w:val="19"/>
              </w:rPr>
              <w:t>11 Dec 1986</w:t>
            </w:r>
          </w:p>
        </w:tc>
        <w:tc>
          <w:tcPr>
            <w:tcW w:w="2452" w:type="dxa"/>
            <w:gridSpan w:val="2"/>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4" w:type="dxa"/>
            <w:gridSpan w:val="2"/>
          </w:tcPr>
          <w:p>
            <w:pPr>
              <w:pStyle w:val="nTable"/>
              <w:spacing w:after="40"/>
              <w:ind w:right="113"/>
              <w:rPr>
                <w:sz w:val="19"/>
              </w:rPr>
            </w:pPr>
            <w:r>
              <w:rPr>
                <w:i/>
                <w:sz w:val="19"/>
              </w:rPr>
              <w:t>Stamp Amendment Act 1987 </w:t>
            </w:r>
            <w:r>
              <w:rPr>
                <w:sz w:val="19"/>
                <w:vertAlign w:val="superscript"/>
              </w:rPr>
              <w:t>17</w:t>
            </w:r>
          </w:p>
        </w:tc>
        <w:tc>
          <w:tcPr>
            <w:tcW w:w="1133" w:type="dxa"/>
            <w:gridSpan w:val="3"/>
          </w:tcPr>
          <w:p>
            <w:pPr>
              <w:pStyle w:val="nTable"/>
              <w:spacing w:after="40"/>
              <w:rPr>
                <w:sz w:val="19"/>
              </w:rPr>
            </w:pPr>
            <w:r>
              <w:rPr>
                <w:sz w:val="19"/>
              </w:rPr>
              <w:t>33 of 1987</w:t>
            </w:r>
          </w:p>
        </w:tc>
        <w:tc>
          <w:tcPr>
            <w:tcW w:w="1136" w:type="dxa"/>
            <w:gridSpan w:val="2"/>
          </w:tcPr>
          <w:p>
            <w:pPr>
              <w:pStyle w:val="nTable"/>
              <w:spacing w:after="40"/>
              <w:rPr>
                <w:sz w:val="19"/>
              </w:rPr>
            </w:pPr>
            <w:r>
              <w:rPr>
                <w:sz w:val="19"/>
              </w:rPr>
              <w:t>30 Jun 1987</w:t>
            </w:r>
          </w:p>
        </w:tc>
        <w:tc>
          <w:tcPr>
            <w:tcW w:w="2452" w:type="dxa"/>
            <w:gridSpan w:val="2"/>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4" w:type="dxa"/>
            <w:gridSpan w:val="2"/>
          </w:tcPr>
          <w:p>
            <w:pPr>
              <w:pStyle w:val="nTable"/>
              <w:keepNext/>
              <w:spacing w:after="40"/>
              <w:ind w:right="113"/>
              <w:rPr>
                <w:sz w:val="19"/>
              </w:rPr>
            </w:pPr>
            <w:r>
              <w:rPr>
                <w:i/>
                <w:sz w:val="19"/>
              </w:rPr>
              <w:t>Stamp Amendment Act (No. 2) 1987</w:t>
            </w:r>
            <w:r>
              <w:rPr>
                <w:sz w:val="19"/>
                <w:vertAlign w:val="superscript"/>
              </w:rPr>
              <w:t xml:space="preserve"> 18</w:t>
            </w:r>
          </w:p>
        </w:tc>
        <w:tc>
          <w:tcPr>
            <w:tcW w:w="1133" w:type="dxa"/>
            <w:gridSpan w:val="3"/>
          </w:tcPr>
          <w:p>
            <w:pPr>
              <w:pStyle w:val="nTable"/>
              <w:keepNext/>
              <w:spacing w:after="40"/>
              <w:rPr>
                <w:sz w:val="19"/>
              </w:rPr>
            </w:pPr>
            <w:r>
              <w:rPr>
                <w:sz w:val="19"/>
              </w:rPr>
              <w:t>100 of 1987</w:t>
            </w:r>
          </w:p>
        </w:tc>
        <w:tc>
          <w:tcPr>
            <w:tcW w:w="1136" w:type="dxa"/>
            <w:gridSpan w:val="2"/>
          </w:tcPr>
          <w:p>
            <w:pPr>
              <w:pStyle w:val="nTable"/>
              <w:keepNext/>
              <w:spacing w:after="40"/>
              <w:rPr>
                <w:sz w:val="19"/>
              </w:rPr>
            </w:pPr>
            <w:r>
              <w:rPr>
                <w:sz w:val="19"/>
              </w:rPr>
              <w:t>18 Dec 1987</w:t>
            </w:r>
          </w:p>
        </w:tc>
        <w:tc>
          <w:tcPr>
            <w:tcW w:w="2452" w:type="dxa"/>
            <w:gridSpan w:val="2"/>
          </w:tcPr>
          <w:p>
            <w:pPr>
              <w:pStyle w:val="nTable"/>
              <w:keepNext/>
              <w:spacing w:after="40"/>
              <w:rPr>
                <w:sz w:val="19"/>
              </w:rPr>
            </w:pPr>
            <w:r>
              <w:rPr>
                <w:sz w:val="19"/>
              </w:rPr>
              <w:t>1 Jan 1988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4" w:type="dxa"/>
            <w:gridSpan w:val="2"/>
          </w:tcPr>
          <w:p>
            <w:pPr>
              <w:pStyle w:val="nTable"/>
              <w:spacing w:after="40"/>
              <w:ind w:right="113"/>
              <w:rPr>
                <w:sz w:val="19"/>
              </w:rPr>
            </w:pPr>
            <w:r>
              <w:rPr>
                <w:i/>
                <w:sz w:val="19"/>
              </w:rPr>
              <w:t>Stamp Amendment Act (No. 2) 1989</w:t>
            </w:r>
          </w:p>
        </w:tc>
        <w:tc>
          <w:tcPr>
            <w:tcW w:w="1133" w:type="dxa"/>
            <w:gridSpan w:val="3"/>
          </w:tcPr>
          <w:p>
            <w:pPr>
              <w:pStyle w:val="nTable"/>
              <w:spacing w:after="40"/>
              <w:rPr>
                <w:sz w:val="19"/>
              </w:rPr>
            </w:pPr>
            <w:r>
              <w:rPr>
                <w:sz w:val="19"/>
              </w:rPr>
              <w:t>3 of 1989</w:t>
            </w:r>
          </w:p>
        </w:tc>
        <w:tc>
          <w:tcPr>
            <w:tcW w:w="1136" w:type="dxa"/>
            <w:gridSpan w:val="2"/>
          </w:tcPr>
          <w:p>
            <w:pPr>
              <w:pStyle w:val="nTable"/>
              <w:spacing w:after="40"/>
              <w:rPr>
                <w:sz w:val="19"/>
              </w:rPr>
            </w:pPr>
            <w:r>
              <w:rPr>
                <w:sz w:val="19"/>
              </w:rPr>
              <w:t>20 Apr 1989</w:t>
            </w:r>
          </w:p>
        </w:tc>
        <w:tc>
          <w:tcPr>
            <w:tcW w:w="2452" w:type="dxa"/>
            <w:gridSpan w:val="2"/>
          </w:tcPr>
          <w:p>
            <w:pPr>
              <w:pStyle w:val="nTable"/>
              <w:spacing w:after="40"/>
              <w:rPr>
                <w:sz w:val="19"/>
              </w:rPr>
            </w:pPr>
            <w:r>
              <w:rPr>
                <w:sz w:val="19"/>
              </w:rPr>
              <w:t>20 Apr 1989 (see s. 2)</w:t>
            </w:r>
          </w:p>
        </w:tc>
      </w:tr>
      <w:tr>
        <w:trPr>
          <w:cantSplit/>
        </w:trPr>
        <w:tc>
          <w:tcPr>
            <w:tcW w:w="2264" w:type="dxa"/>
            <w:gridSpan w:val="2"/>
          </w:tcPr>
          <w:p>
            <w:pPr>
              <w:pStyle w:val="nTable"/>
              <w:spacing w:after="40"/>
              <w:ind w:right="113"/>
              <w:rPr>
                <w:sz w:val="19"/>
              </w:rPr>
            </w:pPr>
            <w:r>
              <w:rPr>
                <w:i/>
                <w:sz w:val="19"/>
              </w:rPr>
              <w:t>Stamp Amendment Act (No. 4) 1989</w:t>
            </w:r>
          </w:p>
        </w:tc>
        <w:tc>
          <w:tcPr>
            <w:tcW w:w="1133" w:type="dxa"/>
            <w:gridSpan w:val="3"/>
          </w:tcPr>
          <w:p>
            <w:pPr>
              <w:pStyle w:val="nTable"/>
              <w:spacing w:after="40"/>
              <w:rPr>
                <w:sz w:val="19"/>
              </w:rPr>
            </w:pPr>
            <w:r>
              <w:rPr>
                <w:sz w:val="19"/>
              </w:rPr>
              <w:t>16 of 1989</w:t>
            </w:r>
            <w:r>
              <w:rPr>
                <w:sz w:val="19"/>
              </w:rPr>
              <w:br/>
              <w:t>(as amended by No. 41 of 1989 s. 28)</w:t>
            </w:r>
          </w:p>
        </w:tc>
        <w:tc>
          <w:tcPr>
            <w:tcW w:w="1136" w:type="dxa"/>
            <w:gridSpan w:val="2"/>
          </w:tcPr>
          <w:p>
            <w:pPr>
              <w:pStyle w:val="nTable"/>
              <w:spacing w:after="40"/>
              <w:rPr>
                <w:sz w:val="19"/>
              </w:rPr>
            </w:pPr>
            <w:r>
              <w:rPr>
                <w:sz w:val="19"/>
              </w:rPr>
              <w:t>16 Nov 1989</w:t>
            </w:r>
          </w:p>
        </w:tc>
        <w:tc>
          <w:tcPr>
            <w:tcW w:w="2452" w:type="dxa"/>
            <w:gridSpan w:val="2"/>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264" w:type="dxa"/>
            <w:gridSpan w:val="2"/>
          </w:tcPr>
          <w:p>
            <w:pPr>
              <w:pStyle w:val="nTable"/>
              <w:spacing w:after="40"/>
              <w:ind w:right="113"/>
              <w:rPr>
                <w:sz w:val="19"/>
              </w:rPr>
            </w:pPr>
            <w:r>
              <w:rPr>
                <w:i/>
                <w:sz w:val="19"/>
              </w:rPr>
              <w:t xml:space="preserve">Taxation (Reciprocal Powers) Act 1989 </w:t>
            </w:r>
            <w:r>
              <w:rPr>
                <w:sz w:val="19"/>
              </w:rPr>
              <w:t>s. 16</w:t>
            </w:r>
          </w:p>
        </w:tc>
        <w:tc>
          <w:tcPr>
            <w:tcW w:w="1133" w:type="dxa"/>
            <w:gridSpan w:val="3"/>
          </w:tcPr>
          <w:p>
            <w:pPr>
              <w:pStyle w:val="nTable"/>
              <w:spacing w:after="40"/>
              <w:rPr>
                <w:sz w:val="19"/>
              </w:rPr>
            </w:pPr>
            <w:r>
              <w:rPr>
                <w:sz w:val="19"/>
              </w:rPr>
              <w:t>18 of 1989</w:t>
            </w:r>
          </w:p>
        </w:tc>
        <w:tc>
          <w:tcPr>
            <w:tcW w:w="1136" w:type="dxa"/>
            <w:gridSpan w:val="2"/>
          </w:tcPr>
          <w:p>
            <w:pPr>
              <w:pStyle w:val="nTable"/>
              <w:spacing w:after="40"/>
              <w:rPr>
                <w:sz w:val="19"/>
              </w:rPr>
            </w:pPr>
            <w:r>
              <w:rPr>
                <w:sz w:val="19"/>
              </w:rPr>
              <w:t>1 Dec 1989</w:t>
            </w:r>
          </w:p>
        </w:tc>
        <w:tc>
          <w:tcPr>
            <w:tcW w:w="2452" w:type="dxa"/>
            <w:gridSpan w:val="2"/>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4" w:type="dxa"/>
            <w:gridSpan w:val="2"/>
          </w:tcPr>
          <w:p>
            <w:pPr>
              <w:pStyle w:val="nTable"/>
              <w:spacing w:after="40"/>
              <w:ind w:right="113"/>
              <w:rPr>
                <w:sz w:val="19"/>
              </w:rPr>
            </w:pPr>
            <w:r>
              <w:rPr>
                <w:i/>
                <w:sz w:val="19"/>
              </w:rPr>
              <w:t>Stamp Amendment Act (No. 3) 1989</w:t>
            </w:r>
          </w:p>
        </w:tc>
        <w:tc>
          <w:tcPr>
            <w:tcW w:w="1133" w:type="dxa"/>
            <w:gridSpan w:val="3"/>
          </w:tcPr>
          <w:p>
            <w:pPr>
              <w:pStyle w:val="nTable"/>
              <w:spacing w:after="40"/>
              <w:rPr>
                <w:sz w:val="19"/>
              </w:rPr>
            </w:pPr>
            <w:r>
              <w:rPr>
                <w:sz w:val="19"/>
              </w:rPr>
              <w:t>41 of 1989</w:t>
            </w:r>
          </w:p>
        </w:tc>
        <w:tc>
          <w:tcPr>
            <w:tcW w:w="1136" w:type="dxa"/>
            <w:gridSpan w:val="2"/>
          </w:tcPr>
          <w:p>
            <w:pPr>
              <w:pStyle w:val="nTable"/>
              <w:spacing w:after="40"/>
              <w:rPr>
                <w:sz w:val="19"/>
              </w:rPr>
            </w:pPr>
            <w:r>
              <w:rPr>
                <w:sz w:val="19"/>
              </w:rPr>
              <w:t>21 Dec 1989</w:t>
            </w:r>
          </w:p>
        </w:tc>
        <w:tc>
          <w:tcPr>
            <w:tcW w:w="2452" w:type="dxa"/>
            <w:gridSpan w:val="2"/>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264" w:type="dxa"/>
            <w:gridSpan w:val="2"/>
          </w:tcPr>
          <w:p>
            <w:pPr>
              <w:pStyle w:val="nTable"/>
              <w:spacing w:after="40"/>
              <w:ind w:right="113"/>
              <w:rPr>
                <w:sz w:val="19"/>
              </w:rPr>
            </w:pPr>
            <w:r>
              <w:rPr>
                <w:i/>
                <w:sz w:val="19"/>
              </w:rPr>
              <w:t>Stamp Amendment Act 1990</w:t>
            </w:r>
          </w:p>
        </w:tc>
        <w:tc>
          <w:tcPr>
            <w:tcW w:w="1133" w:type="dxa"/>
            <w:gridSpan w:val="3"/>
          </w:tcPr>
          <w:p>
            <w:pPr>
              <w:pStyle w:val="nTable"/>
              <w:spacing w:after="40"/>
              <w:rPr>
                <w:sz w:val="19"/>
              </w:rPr>
            </w:pPr>
            <w:r>
              <w:rPr>
                <w:sz w:val="19"/>
              </w:rPr>
              <w:t>20 of 1990</w:t>
            </w:r>
          </w:p>
        </w:tc>
        <w:tc>
          <w:tcPr>
            <w:tcW w:w="1136" w:type="dxa"/>
            <w:gridSpan w:val="2"/>
          </w:tcPr>
          <w:p>
            <w:pPr>
              <w:pStyle w:val="nTable"/>
              <w:spacing w:after="40"/>
              <w:rPr>
                <w:sz w:val="19"/>
              </w:rPr>
            </w:pPr>
            <w:r>
              <w:rPr>
                <w:sz w:val="19"/>
              </w:rPr>
              <w:t>24 Jul 1990</w:t>
            </w:r>
          </w:p>
        </w:tc>
        <w:tc>
          <w:tcPr>
            <w:tcW w:w="2452" w:type="dxa"/>
            <w:gridSpan w:val="2"/>
          </w:tcPr>
          <w:p>
            <w:pPr>
              <w:pStyle w:val="nTable"/>
              <w:spacing w:after="40"/>
              <w:rPr>
                <w:sz w:val="19"/>
              </w:rPr>
            </w:pPr>
            <w:r>
              <w:rPr>
                <w:sz w:val="19"/>
              </w:rPr>
              <w:t>24 Jul 1990 (see s. 2)</w:t>
            </w:r>
          </w:p>
        </w:tc>
      </w:tr>
      <w:tr>
        <w:trPr>
          <w:cantSplit/>
        </w:trPr>
        <w:tc>
          <w:tcPr>
            <w:tcW w:w="2264"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3" w:type="dxa"/>
            <w:gridSpan w:val="3"/>
          </w:tcPr>
          <w:p>
            <w:pPr>
              <w:pStyle w:val="nTable"/>
              <w:spacing w:after="40"/>
              <w:rPr>
                <w:sz w:val="19"/>
              </w:rPr>
            </w:pPr>
            <w:r>
              <w:rPr>
                <w:sz w:val="19"/>
              </w:rPr>
              <w:t>58 of 1990</w:t>
            </w:r>
          </w:p>
        </w:tc>
        <w:tc>
          <w:tcPr>
            <w:tcW w:w="1136" w:type="dxa"/>
            <w:gridSpan w:val="2"/>
          </w:tcPr>
          <w:p>
            <w:pPr>
              <w:pStyle w:val="nTable"/>
              <w:spacing w:after="40"/>
              <w:rPr>
                <w:sz w:val="19"/>
              </w:rPr>
            </w:pPr>
            <w:r>
              <w:rPr>
                <w:sz w:val="19"/>
              </w:rPr>
              <w:t>17 Dec 1990</w:t>
            </w:r>
          </w:p>
        </w:tc>
        <w:tc>
          <w:tcPr>
            <w:tcW w:w="2452" w:type="dxa"/>
            <w:gridSpan w:val="2"/>
          </w:tcPr>
          <w:p>
            <w:pPr>
              <w:pStyle w:val="nTable"/>
              <w:spacing w:after="40"/>
              <w:rPr>
                <w:sz w:val="19"/>
              </w:rPr>
            </w:pPr>
            <w:r>
              <w:rPr>
                <w:sz w:val="19"/>
              </w:rPr>
              <w:t>1 Aug 1989 (see s. 2)</w:t>
            </w:r>
          </w:p>
        </w:tc>
      </w:tr>
      <w:tr>
        <w:trPr>
          <w:cantSplit/>
        </w:trPr>
        <w:tc>
          <w:tcPr>
            <w:tcW w:w="2264" w:type="dxa"/>
            <w:gridSpan w:val="2"/>
          </w:tcPr>
          <w:p>
            <w:pPr>
              <w:pStyle w:val="nTable"/>
              <w:spacing w:after="40"/>
              <w:ind w:right="113"/>
              <w:rPr>
                <w:sz w:val="19"/>
              </w:rPr>
            </w:pPr>
            <w:r>
              <w:rPr>
                <w:i/>
                <w:sz w:val="19"/>
              </w:rPr>
              <w:t xml:space="preserve">R &amp; I Bank Act 1990 </w:t>
            </w:r>
            <w:r>
              <w:rPr>
                <w:sz w:val="19"/>
              </w:rPr>
              <w:t>s. 45(1)</w:t>
            </w:r>
          </w:p>
        </w:tc>
        <w:tc>
          <w:tcPr>
            <w:tcW w:w="1133" w:type="dxa"/>
            <w:gridSpan w:val="3"/>
          </w:tcPr>
          <w:p>
            <w:pPr>
              <w:pStyle w:val="nTable"/>
              <w:spacing w:after="40"/>
              <w:rPr>
                <w:sz w:val="19"/>
              </w:rPr>
            </w:pPr>
            <w:r>
              <w:rPr>
                <w:sz w:val="19"/>
              </w:rPr>
              <w:t>73 of 1990</w:t>
            </w:r>
          </w:p>
        </w:tc>
        <w:tc>
          <w:tcPr>
            <w:tcW w:w="1136" w:type="dxa"/>
            <w:gridSpan w:val="2"/>
          </w:tcPr>
          <w:p>
            <w:pPr>
              <w:pStyle w:val="nTable"/>
              <w:spacing w:after="40"/>
              <w:rPr>
                <w:sz w:val="19"/>
              </w:rPr>
            </w:pPr>
            <w:r>
              <w:rPr>
                <w:sz w:val="19"/>
              </w:rPr>
              <w:t>20 Dec 1990</w:t>
            </w:r>
          </w:p>
        </w:tc>
        <w:tc>
          <w:tcPr>
            <w:tcW w:w="2452"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4" w:type="dxa"/>
            <w:gridSpan w:val="2"/>
          </w:tcPr>
          <w:p>
            <w:pPr>
              <w:pStyle w:val="nTable"/>
              <w:spacing w:after="40"/>
              <w:ind w:right="113"/>
              <w:rPr>
                <w:sz w:val="19"/>
              </w:rPr>
            </w:pPr>
            <w:r>
              <w:rPr>
                <w:i/>
                <w:sz w:val="19"/>
              </w:rPr>
              <w:t>Stamp Amendment Act 1991 </w:t>
            </w:r>
            <w:r>
              <w:rPr>
                <w:sz w:val="19"/>
                <w:vertAlign w:val="superscript"/>
              </w:rPr>
              <w:t>19</w:t>
            </w:r>
          </w:p>
        </w:tc>
        <w:tc>
          <w:tcPr>
            <w:tcW w:w="1133" w:type="dxa"/>
            <w:gridSpan w:val="3"/>
          </w:tcPr>
          <w:p>
            <w:pPr>
              <w:pStyle w:val="nTable"/>
              <w:spacing w:after="40"/>
              <w:rPr>
                <w:sz w:val="19"/>
              </w:rPr>
            </w:pPr>
            <w:r>
              <w:rPr>
                <w:sz w:val="19"/>
              </w:rPr>
              <w:t>52 of 1991</w:t>
            </w:r>
          </w:p>
        </w:tc>
        <w:tc>
          <w:tcPr>
            <w:tcW w:w="1136" w:type="dxa"/>
            <w:gridSpan w:val="2"/>
          </w:tcPr>
          <w:p>
            <w:pPr>
              <w:pStyle w:val="nTable"/>
              <w:spacing w:after="40"/>
              <w:rPr>
                <w:sz w:val="19"/>
              </w:rPr>
            </w:pPr>
            <w:r>
              <w:rPr>
                <w:sz w:val="19"/>
              </w:rPr>
              <w:t>17 Dec 1991</w:t>
            </w:r>
          </w:p>
        </w:tc>
        <w:tc>
          <w:tcPr>
            <w:tcW w:w="2452" w:type="dxa"/>
            <w:gridSpan w:val="2"/>
          </w:tcPr>
          <w:p>
            <w:pPr>
              <w:pStyle w:val="nTable"/>
              <w:spacing w:after="40"/>
              <w:rPr>
                <w:sz w:val="19"/>
              </w:rPr>
            </w:pPr>
            <w:r>
              <w:rPr>
                <w:sz w:val="19"/>
              </w:rPr>
              <w:t xml:space="preserve">s. 4 and 6: 29 Aug 1991 (see s. 2(2)); </w:t>
            </w:r>
            <w:r>
              <w:rPr>
                <w:sz w:val="19"/>
              </w:rPr>
              <w:br/>
              <w:t>balance: 17 Dec 1991 (see s. 2(1))</w:t>
            </w:r>
          </w:p>
        </w:tc>
      </w:tr>
      <w:tr>
        <w:trPr>
          <w:cantSplit/>
        </w:trPr>
        <w:tc>
          <w:tcPr>
            <w:tcW w:w="2264" w:type="dxa"/>
            <w:gridSpan w:val="2"/>
          </w:tcPr>
          <w:p>
            <w:pPr>
              <w:pStyle w:val="nTable"/>
              <w:spacing w:after="40"/>
              <w:ind w:right="113"/>
              <w:rPr>
                <w:sz w:val="19"/>
              </w:rPr>
            </w:pPr>
            <w:r>
              <w:rPr>
                <w:i/>
                <w:sz w:val="19"/>
              </w:rPr>
              <w:t>Stamp Amendment Act (No. 2) 1991</w:t>
            </w:r>
          </w:p>
        </w:tc>
        <w:tc>
          <w:tcPr>
            <w:tcW w:w="1133" w:type="dxa"/>
            <w:gridSpan w:val="3"/>
          </w:tcPr>
          <w:p>
            <w:pPr>
              <w:pStyle w:val="nTable"/>
              <w:spacing w:after="40"/>
              <w:rPr>
                <w:sz w:val="19"/>
              </w:rPr>
            </w:pPr>
            <w:r>
              <w:rPr>
                <w:sz w:val="19"/>
              </w:rPr>
              <w:t>53 of 1991</w:t>
            </w:r>
          </w:p>
        </w:tc>
        <w:tc>
          <w:tcPr>
            <w:tcW w:w="1136" w:type="dxa"/>
            <w:gridSpan w:val="2"/>
          </w:tcPr>
          <w:p>
            <w:pPr>
              <w:pStyle w:val="nTable"/>
              <w:spacing w:after="40"/>
              <w:rPr>
                <w:sz w:val="19"/>
              </w:rPr>
            </w:pPr>
            <w:r>
              <w:rPr>
                <w:sz w:val="19"/>
              </w:rPr>
              <w:t>17 Dec 1991</w:t>
            </w:r>
          </w:p>
        </w:tc>
        <w:tc>
          <w:tcPr>
            <w:tcW w:w="2452" w:type="dxa"/>
            <w:gridSpan w:val="2"/>
          </w:tcPr>
          <w:p>
            <w:pPr>
              <w:pStyle w:val="nTable"/>
              <w:spacing w:after="40"/>
              <w:rPr>
                <w:sz w:val="19"/>
              </w:rPr>
            </w:pPr>
            <w:r>
              <w:rPr>
                <w:sz w:val="19"/>
              </w:rPr>
              <w:t>17 Dec 1991 (see s. 2)</w:t>
            </w:r>
          </w:p>
        </w:tc>
      </w:tr>
      <w:tr>
        <w:trPr>
          <w:cantSplit/>
        </w:trPr>
        <w:tc>
          <w:tcPr>
            <w:tcW w:w="2264" w:type="dxa"/>
            <w:gridSpan w:val="2"/>
          </w:tcPr>
          <w:p>
            <w:pPr>
              <w:pStyle w:val="nTable"/>
              <w:keepNext/>
              <w:keepLines/>
              <w:spacing w:after="40"/>
              <w:ind w:right="113"/>
              <w:rPr>
                <w:sz w:val="19"/>
              </w:rPr>
            </w:pPr>
            <w:r>
              <w:rPr>
                <w:i/>
                <w:sz w:val="19"/>
              </w:rPr>
              <w:t xml:space="preserve">SGIO Privatisation Act 1992 </w:t>
            </w:r>
            <w:r>
              <w:rPr>
                <w:sz w:val="19"/>
              </w:rPr>
              <w:t>s. 29</w:t>
            </w:r>
          </w:p>
        </w:tc>
        <w:tc>
          <w:tcPr>
            <w:tcW w:w="1133" w:type="dxa"/>
            <w:gridSpan w:val="3"/>
          </w:tcPr>
          <w:p>
            <w:pPr>
              <w:pStyle w:val="nTable"/>
              <w:keepNext/>
              <w:keepLines/>
              <w:spacing w:after="40"/>
              <w:rPr>
                <w:sz w:val="19"/>
              </w:rPr>
            </w:pPr>
            <w:r>
              <w:rPr>
                <w:sz w:val="19"/>
              </w:rPr>
              <w:t>49 of 1992</w:t>
            </w:r>
          </w:p>
        </w:tc>
        <w:tc>
          <w:tcPr>
            <w:tcW w:w="1136" w:type="dxa"/>
            <w:gridSpan w:val="2"/>
          </w:tcPr>
          <w:p>
            <w:pPr>
              <w:pStyle w:val="nTable"/>
              <w:keepNext/>
              <w:keepLines/>
              <w:spacing w:after="40"/>
              <w:rPr>
                <w:sz w:val="19"/>
              </w:rPr>
            </w:pPr>
            <w:r>
              <w:rPr>
                <w:sz w:val="19"/>
              </w:rPr>
              <w:t>9 Dec 1992</w:t>
            </w:r>
          </w:p>
        </w:tc>
        <w:tc>
          <w:tcPr>
            <w:tcW w:w="2452" w:type="dxa"/>
            <w:gridSpan w:val="2"/>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4" w:type="dxa"/>
            <w:gridSpan w:val="2"/>
          </w:tcPr>
          <w:p>
            <w:pPr>
              <w:pStyle w:val="nTable"/>
              <w:spacing w:after="40"/>
              <w:ind w:right="113"/>
              <w:rPr>
                <w:sz w:val="19"/>
              </w:rPr>
            </w:pPr>
            <w:r>
              <w:rPr>
                <w:i/>
                <w:sz w:val="19"/>
              </w:rPr>
              <w:t>Stamp Amendment Act 1993</w:t>
            </w:r>
          </w:p>
        </w:tc>
        <w:tc>
          <w:tcPr>
            <w:tcW w:w="1133" w:type="dxa"/>
            <w:gridSpan w:val="3"/>
          </w:tcPr>
          <w:p>
            <w:pPr>
              <w:pStyle w:val="nTable"/>
              <w:spacing w:after="40"/>
              <w:rPr>
                <w:sz w:val="19"/>
              </w:rPr>
            </w:pPr>
            <w:r>
              <w:rPr>
                <w:sz w:val="19"/>
              </w:rPr>
              <w:t>42 of 1993</w:t>
            </w:r>
          </w:p>
        </w:tc>
        <w:tc>
          <w:tcPr>
            <w:tcW w:w="1136" w:type="dxa"/>
            <w:gridSpan w:val="2"/>
          </w:tcPr>
          <w:p>
            <w:pPr>
              <w:pStyle w:val="nTable"/>
              <w:spacing w:after="40"/>
              <w:rPr>
                <w:sz w:val="19"/>
              </w:rPr>
            </w:pPr>
            <w:r>
              <w:rPr>
                <w:sz w:val="19"/>
              </w:rPr>
              <w:t>20 Dec 1993</w:t>
            </w:r>
          </w:p>
        </w:tc>
        <w:tc>
          <w:tcPr>
            <w:tcW w:w="2452" w:type="dxa"/>
            <w:gridSpan w:val="2"/>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4" w:type="dxa"/>
            <w:gridSpan w:val="2"/>
          </w:tcPr>
          <w:p>
            <w:pPr>
              <w:pStyle w:val="nTable"/>
              <w:spacing w:after="40"/>
              <w:ind w:right="113"/>
              <w:rPr>
                <w:sz w:val="19"/>
              </w:rPr>
            </w:pPr>
            <w:r>
              <w:rPr>
                <w:i/>
                <w:sz w:val="19"/>
              </w:rPr>
              <w:t xml:space="preserve">R &amp; I Bank Amendment Act 1994 </w:t>
            </w:r>
            <w:r>
              <w:rPr>
                <w:sz w:val="19"/>
              </w:rPr>
              <w:t>s. 13</w:t>
            </w:r>
          </w:p>
        </w:tc>
        <w:tc>
          <w:tcPr>
            <w:tcW w:w="1133" w:type="dxa"/>
            <w:gridSpan w:val="3"/>
          </w:tcPr>
          <w:p>
            <w:pPr>
              <w:pStyle w:val="nTable"/>
              <w:spacing w:after="40"/>
              <w:rPr>
                <w:sz w:val="19"/>
              </w:rPr>
            </w:pPr>
            <w:r>
              <w:rPr>
                <w:sz w:val="19"/>
              </w:rPr>
              <w:t>6 of 1994</w:t>
            </w:r>
          </w:p>
        </w:tc>
        <w:tc>
          <w:tcPr>
            <w:tcW w:w="1136" w:type="dxa"/>
            <w:gridSpan w:val="2"/>
          </w:tcPr>
          <w:p>
            <w:pPr>
              <w:pStyle w:val="nTable"/>
              <w:spacing w:after="40"/>
              <w:rPr>
                <w:sz w:val="19"/>
              </w:rPr>
            </w:pPr>
            <w:r>
              <w:rPr>
                <w:sz w:val="19"/>
              </w:rPr>
              <w:t>11 Apr 1994</w:t>
            </w:r>
          </w:p>
        </w:tc>
        <w:tc>
          <w:tcPr>
            <w:tcW w:w="2452" w:type="dxa"/>
            <w:gridSpan w:val="2"/>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4" w:type="dxa"/>
            <w:gridSpan w:val="2"/>
          </w:tcPr>
          <w:p>
            <w:pPr>
              <w:pStyle w:val="nTable"/>
              <w:spacing w:after="40"/>
              <w:ind w:right="113"/>
              <w:rPr>
                <w:sz w:val="19"/>
              </w:rPr>
            </w:pPr>
            <w:r>
              <w:rPr>
                <w:i/>
                <w:sz w:val="19"/>
              </w:rPr>
              <w:t>Stamp Amendment Act 1994</w:t>
            </w:r>
          </w:p>
        </w:tc>
        <w:tc>
          <w:tcPr>
            <w:tcW w:w="1133" w:type="dxa"/>
            <w:gridSpan w:val="3"/>
          </w:tcPr>
          <w:p>
            <w:pPr>
              <w:pStyle w:val="nTable"/>
              <w:spacing w:after="40"/>
              <w:rPr>
                <w:sz w:val="19"/>
              </w:rPr>
            </w:pPr>
            <w:r>
              <w:rPr>
                <w:sz w:val="19"/>
              </w:rPr>
              <w:t>39 of 1994</w:t>
            </w:r>
          </w:p>
        </w:tc>
        <w:tc>
          <w:tcPr>
            <w:tcW w:w="1136" w:type="dxa"/>
            <w:gridSpan w:val="2"/>
          </w:tcPr>
          <w:p>
            <w:pPr>
              <w:pStyle w:val="nTable"/>
              <w:spacing w:after="40"/>
              <w:rPr>
                <w:sz w:val="19"/>
              </w:rPr>
            </w:pPr>
            <w:r>
              <w:rPr>
                <w:sz w:val="19"/>
              </w:rPr>
              <w:t>26 Aug 1994</w:t>
            </w:r>
          </w:p>
        </w:tc>
        <w:tc>
          <w:tcPr>
            <w:tcW w:w="2452" w:type="dxa"/>
            <w:gridSpan w:val="2"/>
          </w:tcPr>
          <w:p>
            <w:pPr>
              <w:pStyle w:val="nTable"/>
              <w:spacing w:after="40"/>
              <w:rPr>
                <w:sz w:val="19"/>
              </w:rPr>
            </w:pPr>
            <w:r>
              <w:rPr>
                <w:sz w:val="19"/>
              </w:rPr>
              <w:t>1 Sep 1994 (see s. 2)</w:t>
            </w:r>
          </w:p>
        </w:tc>
      </w:tr>
      <w:tr>
        <w:trPr>
          <w:cantSplit/>
        </w:trPr>
        <w:tc>
          <w:tcPr>
            <w:tcW w:w="2264" w:type="dxa"/>
            <w:gridSpan w:val="2"/>
          </w:tcPr>
          <w:p>
            <w:pPr>
              <w:pStyle w:val="nTable"/>
              <w:spacing w:after="40"/>
              <w:ind w:right="113"/>
              <w:rPr>
                <w:sz w:val="19"/>
              </w:rPr>
            </w:pPr>
            <w:r>
              <w:rPr>
                <w:i/>
                <w:sz w:val="19"/>
              </w:rPr>
              <w:t>Stamp Amendment Act (No. 2) 1994 </w:t>
            </w:r>
            <w:r>
              <w:rPr>
                <w:sz w:val="19"/>
                <w:vertAlign w:val="superscript"/>
              </w:rPr>
              <w:t>5, 20</w:t>
            </w:r>
          </w:p>
        </w:tc>
        <w:tc>
          <w:tcPr>
            <w:tcW w:w="1133" w:type="dxa"/>
            <w:gridSpan w:val="3"/>
          </w:tcPr>
          <w:p>
            <w:pPr>
              <w:pStyle w:val="nTable"/>
              <w:spacing w:after="40"/>
              <w:rPr>
                <w:sz w:val="19"/>
              </w:rPr>
            </w:pPr>
            <w:r>
              <w:rPr>
                <w:sz w:val="19"/>
              </w:rPr>
              <w:t>79 of 1994</w:t>
            </w:r>
          </w:p>
        </w:tc>
        <w:tc>
          <w:tcPr>
            <w:tcW w:w="1136" w:type="dxa"/>
            <w:gridSpan w:val="2"/>
          </w:tcPr>
          <w:p>
            <w:pPr>
              <w:pStyle w:val="nTable"/>
              <w:spacing w:after="40"/>
              <w:rPr>
                <w:sz w:val="19"/>
              </w:rPr>
            </w:pPr>
            <w:r>
              <w:rPr>
                <w:sz w:val="19"/>
              </w:rPr>
              <w:t>22 Dec 1994</w:t>
            </w:r>
          </w:p>
        </w:tc>
        <w:tc>
          <w:tcPr>
            <w:tcW w:w="2452" w:type="dxa"/>
            <w:gridSpan w:val="2"/>
          </w:tcPr>
          <w:p>
            <w:pPr>
              <w:pStyle w:val="nTable"/>
              <w:spacing w:after="40"/>
              <w:rPr>
                <w:sz w:val="19"/>
              </w:rPr>
            </w:pPr>
            <w:r>
              <w:rPr>
                <w:sz w:val="19"/>
              </w:rPr>
              <w:t>22 Dec 1994 (see s. 2)</w:t>
            </w:r>
          </w:p>
        </w:tc>
      </w:tr>
      <w:tr>
        <w:trPr>
          <w:cantSplit/>
        </w:trPr>
        <w:tc>
          <w:tcPr>
            <w:tcW w:w="2264" w:type="dxa"/>
            <w:gridSpan w:val="2"/>
          </w:tcPr>
          <w:p>
            <w:pPr>
              <w:pStyle w:val="nTable"/>
              <w:spacing w:after="40"/>
              <w:ind w:right="113"/>
              <w:rPr>
                <w:sz w:val="19"/>
              </w:rPr>
            </w:pPr>
            <w:r>
              <w:rPr>
                <w:i/>
                <w:sz w:val="19"/>
              </w:rPr>
              <w:t xml:space="preserve">Bank of Western Australia Act 1995 </w:t>
            </w:r>
            <w:r>
              <w:rPr>
                <w:sz w:val="19"/>
              </w:rPr>
              <w:t>s. 44</w:t>
            </w:r>
          </w:p>
        </w:tc>
        <w:tc>
          <w:tcPr>
            <w:tcW w:w="1133" w:type="dxa"/>
            <w:gridSpan w:val="3"/>
          </w:tcPr>
          <w:p>
            <w:pPr>
              <w:pStyle w:val="nTable"/>
              <w:spacing w:after="40"/>
              <w:rPr>
                <w:sz w:val="19"/>
              </w:rPr>
            </w:pPr>
            <w:r>
              <w:rPr>
                <w:sz w:val="19"/>
              </w:rPr>
              <w:t>14 of 1995</w:t>
            </w:r>
          </w:p>
        </w:tc>
        <w:tc>
          <w:tcPr>
            <w:tcW w:w="1136" w:type="dxa"/>
            <w:gridSpan w:val="2"/>
          </w:tcPr>
          <w:p>
            <w:pPr>
              <w:pStyle w:val="nTable"/>
              <w:spacing w:after="40"/>
              <w:rPr>
                <w:sz w:val="19"/>
              </w:rPr>
            </w:pPr>
            <w:r>
              <w:rPr>
                <w:sz w:val="19"/>
              </w:rPr>
              <w:t>4 Jul 1995</w:t>
            </w:r>
          </w:p>
        </w:tc>
        <w:tc>
          <w:tcPr>
            <w:tcW w:w="2452" w:type="dxa"/>
            <w:gridSpan w:val="2"/>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4" w:type="dxa"/>
            <w:gridSpan w:val="2"/>
          </w:tcPr>
          <w:p>
            <w:pPr>
              <w:pStyle w:val="nTable"/>
              <w:spacing w:after="40"/>
              <w:ind w:right="113"/>
              <w:rPr>
                <w:sz w:val="19"/>
              </w:rPr>
            </w:pPr>
            <w:r>
              <w:rPr>
                <w:i/>
                <w:sz w:val="19"/>
              </w:rPr>
              <w:t xml:space="preserve">Road Traffic Amendment Act 1995 </w:t>
            </w:r>
            <w:r>
              <w:rPr>
                <w:sz w:val="19"/>
              </w:rPr>
              <w:t>s. 14</w:t>
            </w:r>
          </w:p>
        </w:tc>
        <w:tc>
          <w:tcPr>
            <w:tcW w:w="1133" w:type="dxa"/>
            <w:gridSpan w:val="3"/>
          </w:tcPr>
          <w:p>
            <w:pPr>
              <w:pStyle w:val="nTable"/>
              <w:spacing w:after="40"/>
              <w:rPr>
                <w:sz w:val="19"/>
              </w:rPr>
            </w:pPr>
            <w:r>
              <w:rPr>
                <w:sz w:val="19"/>
              </w:rPr>
              <w:t>21 of 1995</w:t>
            </w:r>
          </w:p>
        </w:tc>
        <w:tc>
          <w:tcPr>
            <w:tcW w:w="1136" w:type="dxa"/>
            <w:gridSpan w:val="2"/>
          </w:tcPr>
          <w:p>
            <w:pPr>
              <w:pStyle w:val="nTable"/>
              <w:spacing w:after="40"/>
              <w:rPr>
                <w:sz w:val="19"/>
              </w:rPr>
            </w:pPr>
            <w:r>
              <w:rPr>
                <w:sz w:val="19"/>
              </w:rPr>
              <w:t>13 Jul 1995</w:t>
            </w:r>
          </w:p>
        </w:tc>
        <w:tc>
          <w:tcPr>
            <w:tcW w:w="2452" w:type="dxa"/>
            <w:gridSpan w:val="2"/>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4" w:type="dxa"/>
            <w:gridSpan w:val="2"/>
          </w:tcPr>
          <w:p>
            <w:pPr>
              <w:pStyle w:val="nTable"/>
              <w:spacing w:after="40"/>
              <w:ind w:right="113"/>
              <w:rPr>
                <w:sz w:val="19"/>
              </w:rPr>
            </w:pPr>
            <w:r>
              <w:rPr>
                <w:i/>
                <w:sz w:val="19"/>
              </w:rPr>
              <w:t>Stamp Amendment (Marketable Securities Duty) Act 1995</w:t>
            </w:r>
            <w:r>
              <w:rPr>
                <w:sz w:val="19"/>
                <w:vertAlign w:val="superscript"/>
              </w:rPr>
              <w:t> 21</w:t>
            </w:r>
          </w:p>
        </w:tc>
        <w:tc>
          <w:tcPr>
            <w:tcW w:w="1133" w:type="dxa"/>
            <w:gridSpan w:val="3"/>
          </w:tcPr>
          <w:p>
            <w:pPr>
              <w:pStyle w:val="nTable"/>
              <w:spacing w:after="40"/>
              <w:rPr>
                <w:sz w:val="19"/>
              </w:rPr>
            </w:pPr>
            <w:r>
              <w:rPr>
                <w:sz w:val="19"/>
              </w:rPr>
              <w:t>22 of 1995</w:t>
            </w:r>
          </w:p>
        </w:tc>
        <w:tc>
          <w:tcPr>
            <w:tcW w:w="1136" w:type="dxa"/>
            <w:gridSpan w:val="2"/>
          </w:tcPr>
          <w:p>
            <w:pPr>
              <w:pStyle w:val="nTable"/>
              <w:spacing w:after="40"/>
              <w:rPr>
                <w:sz w:val="19"/>
              </w:rPr>
            </w:pPr>
            <w:r>
              <w:rPr>
                <w:sz w:val="19"/>
              </w:rPr>
              <w:t>13 Jul 1995</w:t>
            </w:r>
          </w:p>
        </w:tc>
        <w:tc>
          <w:tcPr>
            <w:tcW w:w="2452" w:type="dxa"/>
            <w:gridSpan w:val="2"/>
          </w:tcPr>
          <w:p>
            <w:pPr>
              <w:pStyle w:val="nTable"/>
              <w:spacing w:after="40"/>
              <w:rPr>
                <w:sz w:val="19"/>
              </w:rPr>
            </w:pPr>
            <w:r>
              <w:rPr>
                <w:sz w:val="19"/>
              </w:rPr>
              <w:t>1 Jul 1995 (see s. 2)</w:t>
            </w:r>
          </w:p>
        </w:tc>
      </w:tr>
      <w:tr>
        <w:trPr>
          <w:cantSplit/>
        </w:trPr>
        <w:tc>
          <w:tcPr>
            <w:tcW w:w="2264" w:type="dxa"/>
            <w:gridSpan w:val="2"/>
          </w:tcPr>
          <w:p>
            <w:pPr>
              <w:pStyle w:val="nTable"/>
              <w:spacing w:after="40"/>
              <w:ind w:right="113"/>
              <w:rPr>
                <w:sz w:val="19"/>
              </w:rPr>
            </w:pPr>
            <w:r>
              <w:rPr>
                <w:i/>
                <w:sz w:val="19"/>
              </w:rPr>
              <w:t>Stamp Amendment Act 1995</w:t>
            </w:r>
            <w:r>
              <w:rPr>
                <w:sz w:val="19"/>
                <w:vertAlign w:val="superscript"/>
              </w:rPr>
              <w:t> 22, 23</w:t>
            </w:r>
          </w:p>
        </w:tc>
        <w:tc>
          <w:tcPr>
            <w:tcW w:w="1133" w:type="dxa"/>
            <w:gridSpan w:val="3"/>
          </w:tcPr>
          <w:p>
            <w:pPr>
              <w:pStyle w:val="nTable"/>
              <w:spacing w:after="40"/>
              <w:rPr>
                <w:sz w:val="19"/>
              </w:rPr>
            </w:pPr>
            <w:r>
              <w:rPr>
                <w:sz w:val="19"/>
              </w:rPr>
              <w:t>41 of 1995</w:t>
            </w:r>
          </w:p>
        </w:tc>
        <w:tc>
          <w:tcPr>
            <w:tcW w:w="1136" w:type="dxa"/>
            <w:gridSpan w:val="2"/>
          </w:tcPr>
          <w:p>
            <w:pPr>
              <w:pStyle w:val="nTable"/>
              <w:spacing w:after="40"/>
              <w:rPr>
                <w:sz w:val="19"/>
              </w:rPr>
            </w:pPr>
            <w:r>
              <w:rPr>
                <w:sz w:val="19"/>
              </w:rPr>
              <w:t>24 Oct 1995</w:t>
            </w:r>
          </w:p>
        </w:tc>
        <w:tc>
          <w:tcPr>
            <w:tcW w:w="2452" w:type="dxa"/>
            <w:gridSpan w:val="2"/>
          </w:tcPr>
          <w:p>
            <w:pPr>
              <w:pStyle w:val="nTable"/>
              <w:spacing w:after="40"/>
              <w:rPr>
                <w:sz w:val="19"/>
              </w:rPr>
            </w:pPr>
            <w:r>
              <w:rPr>
                <w:sz w:val="19"/>
              </w:rPr>
              <w:t>24 Oct 1995 (see s. 2)</w:t>
            </w:r>
          </w:p>
        </w:tc>
      </w:tr>
      <w:tr>
        <w:trPr>
          <w:cantSplit/>
        </w:trPr>
        <w:tc>
          <w:tcPr>
            <w:tcW w:w="2264" w:type="dxa"/>
            <w:gridSpan w:val="2"/>
          </w:tcPr>
          <w:p>
            <w:pPr>
              <w:pStyle w:val="nTable"/>
              <w:spacing w:after="40"/>
              <w:ind w:right="113"/>
              <w:rPr>
                <w:sz w:val="19"/>
              </w:rPr>
            </w:pPr>
            <w:r>
              <w:rPr>
                <w:i/>
                <w:sz w:val="19"/>
              </w:rPr>
              <w:t xml:space="preserve">Acts Amendment (Vehicle Licences) Act 1995 </w:t>
            </w:r>
            <w:r>
              <w:rPr>
                <w:sz w:val="19"/>
              </w:rPr>
              <w:t>Pt. 3</w:t>
            </w:r>
          </w:p>
        </w:tc>
        <w:tc>
          <w:tcPr>
            <w:tcW w:w="1133" w:type="dxa"/>
            <w:gridSpan w:val="3"/>
          </w:tcPr>
          <w:p>
            <w:pPr>
              <w:pStyle w:val="nTable"/>
              <w:spacing w:after="40"/>
              <w:rPr>
                <w:sz w:val="19"/>
              </w:rPr>
            </w:pPr>
            <w:r>
              <w:rPr>
                <w:sz w:val="19"/>
              </w:rPr>
              <w:t>57 of 1995</w:t>
            </w:r>
          </w:p>
        </w:tc>
        <w:tc>
          <w:tcPr>
            <w:tcW w:w="1136" w:type="dxa"/>
            <w:gridSpan w:val="2"/>
          </w:tcPr>
          <w:p>
            <w:pPr>
              <w:pStyle w:val="nTable"/>
              <w:spacing w:after="40"/>
              <w:rPr>
                <w:sz w:val="19"/>
              </w:rPr>
            </w:pPr>
            <w:r>
              <w:rPr>
                <w:sz w:val="19"/>
              </w:rPr>
              <w:t>20 Dec 1995</w:t>
            </w:r>
          </w:p>
        </w:tc>
        <w:tc>
          <w:tcPr>
            <w:tcW w:w="2452" w:type="dxa"/>
            <w:gridSpan w:val="2"/>
          </w:tcPr>
          <w:p>
            <w:pPr>
              <w:pStyle w:val="nTable"/>
              <w:spacing w:after="40"/>
              <w:rPr>
                <w:sz w:val="19"/>
              </w:rPr>
            </w:pPr>
            <w:r>
              <w:rPr>
                <w:sz w:val="19"/>
              </w:rPr>
              <w:t>20 Dec 1995 (see s. 2)</w:t>
            </w:r>
          </w:p>
        </w:tc>
      </w:tr>
      <w:tr>
        <w:trPr>
          <w:cantSplit/>
        </w:trPr>
        <w:tc>
          <w:tcPr>
            <w:tcW w:w="6985" w:type="dxa"/>
            <w:gridSpan w:val="9"/>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3" w:type="dxa"/>
            <w:gridSpan w:val="3"/>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452" w:type="dxa"/>
            <w:gridSpan w:val="2"/>
          </w:tcPr>
          <w:p>
            <w:pPr>
              <w:pStyle w:val="nTable"/>
              <w:spacing w:after="40"/>
              <w:rPr>
                <w:sz w:val="19"/>
              </w:rPr>
            </w:pPr>
            <w:r>
              <w:rPr>
                <w:sz w:val="19"/>
              </w:rPr>
              <w:t>1 Jul 1996 (see s. 2)</w:t>
            </w:r>
          </w:p>
        </w:tc>
      </w:tr>
      <w:tr>
        <w:trPr>
          <w:cantSplit/>
        </w:trPr>
        <w:tc>
          <w:tcPr>
            <w:tcW w:w="2264" w:type="dxa"/>
            <w:gridSpan w:val="2"/>
          </w:tcPr>
          <w:p>
            <w:pPr>
              <w:pStyle w:val="nTable"/>
              <w:spacing w:after="40"/>
              <w:ind w:right="113"/>
              <w:rPr>
                <w:sz w:val="19"/>
              </w:rPr>
            </w:pPr>
            <w:r>
              <w:rPr>
                <w:i/>
                <w:sz w:val="19"/>
              </w:rPr>
              <w:t xml:space="preserve">Revenue Laws Amendment (Assessment) Act 1996 </w:t>
            </w:r>
            <w:r>
              <w:rPr>
                <w:sz w:val="19"/>
              </w:rPr>
              <w:t>Pt. 5 </w:t>
            </w:r>
            <w:r>
              <w:rPr>
                <w:sz w:val="19"/>
                <w:vertAlign w:val="superscript"/>
              </w:rPr>
              <w:t>24</w:t>
            </w:r>
          </w:p>
        </w:tc>
        <w:tc>
          <w:tcPr>
            <w:tcW w:w="1133" w:type="dxa"/>
            <w:gridSpan w:val="3"/>
          </w:tcPr>
          <w:p>
            <w:pPr>
              <w:pStyle w:val="nTable"/>
              <w:spacing w:after="40"/>
              <w:rPr>
                <w:sz w:val="19"/>
              </w:rPr>
            </w:pPr>
            <w:r>
              <w:rPr>
                <w:sz w:val="19"/>
              </w:rPr>
              <w:t>20 of 1996</w:t>
            </w:r>
          </w:p>
        </w:tc>
        <w:tc>
          <w:tcPr>
            <w:tcW w:w="1136" w:type="dxa"/>
            <w:gridSpan w:val="2"/>
          </w:tcPr>
          <w:p>
            <w:pPr>
              <w:pStyle w:val="nTable"/>
              <w:spacing w:after="40"/>
              <w:rPr>
                <w:sz w:val="19"/>
              </w:rPr>
            </w:pPr>
            <w:r>
              <w:rPr>
                <w:sz w:val="19"/>
              </w:rPr>
              <w:t>28 Jun 1996</w:t>
            </w:r>
          </w:p>
        </w:tc>
        <w:tc>
          <w:tcPr>
            <w:tcW w:w="2452" w:type="dxa"/>
            <w:gridSpan w:val="2"/>
          </w:tcPr>
          <w:p>
            <w:pPr>
              <w:pStyle w:val="nTable"/>
              <w:spacing w:after="40"/>
              <w:rPr>
                <w:sz w:val="19"/>
              </w:rPr>
            </w:pPr>
            <w:r>
              <w:rPr>
                <w:sz w:val="19"/>
              </w:rPr>
              <w:t>28 Jun 1996 (see s. 2(1))</w:t>
            </w:r>
          </w:p>
        </w:tc>
      </w:tr>
      <w:tr>
        <w:trPr>
          <w:cantSplit/>
        </w:trPr>
        <w:tc>
          <w:tcPr>
            <w:tcW w:w="2264" w:type="dxa"/>
            <w:gridSpan w:val="2"/>
          </w:tcPr>
          <w:p>
            <w:pPr>
              <w:pStyle w:val="nTable"/>
              <w:spacing w:after="40"/>
              <w:ind w:right="113"/>
              <w:rPr>
                <w:sz w:val="19"/>
              </w:rPr>
            </w:pPr>
            <w:r>
              <w:rPr>
                <w:i/>
                <w:sz w:val="19"/>
              </w:rPr>
              <w:t xml:space="preserve">Acts Amendment (ICWA) Act 1996 </w:t>
            </w:r>
            <w:r>
              <w:rPr>
                <w:sz w:val="19"/>
              </w:rPr>
              <w:t>s. 38</w:t>
            </w:r>
          </w:p>
        </w:tc>
        <w:tc>
          <w:tcPr>
            <w:tcW w:w="1133" w:type="dxa"/>
            <w:gridSpan w:val="3"/>
          </w:tcPr>
          <w:p>
            <w:pPr>
              <w:pStyle w:val="nTable"/>
              <w:spacing w:after="40"/>
              <w:rPr>
                <w:sz w:val="19"/>
              </w:rPr>
            </w:pPr>
            <w:r>
              <w:rPr>
                <w:sz w:val="19"/>
              </w:rPr>
              <w:t>45 of 1996</w:t>
            </w:r>
          </w:p>
        </w:tc>
        <w:tc>
          <w:tcPr>
            <w:tcW w:w="1136" w:type="dxa"/>
            <w:gridSpan w:val="2"/>
          </w:tcPr>
          <w:p>
            <w:pPr>
              <w:pStyle w:val="nTable"/>
              <w:spacing w:after="40"/>
              <w:rPr>
                <w:sz w:val="19"/>
              </w:rPr>
            </w:pPr>
            <w:r>
              <w:rPr>
                <w:sz w:val="19"/>
              </w:rPr>
              <w:t>25 Oct 1996</w:t>
            </w:r>
          </w:p>
        </w:tc>
        <w:tc>
          <w:tcPr>
            <w:tcW w:w="2452"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4"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3" w:type="dxa"/>
            <w:gridSpan w:val="3"/>
          </w:tcPr>
          <w:p>
            <w:pPr>
              <w:pStyle w:val="nTable"/>
              <w:spacing w:after="40"/>
              <w:rPr>
                <w:sz w:val="19"/>
              </w:rPr>
            </w:pPr>
            <w:r>
              <w:rPr>
                <w:sz w:val="19"/>
              </w:rPr>
              <w:t>48 of 1996</w:t>
            </w:r>
          </w:p>
        </w:tc>
        <w:tc>
          <w:tcPr>
            <w:tcW w:w="1136" w:type="dxa"/>
            <w:gridSpan w:val="2"/>
          </w:tcPr>
          <w:p>
            <w:pPr>
              <w:pStyle w:val="nTable"/>
              <w:spacing w:after="40"/>
              <w:rPr>
                <w:sz w:val="19"/>
              </w:rPr>
            </w:pPr>
            <w:r>
              <w:rPr>
                <w:sz w:val="19"/>
              </w:rPr>
              <w:t>25 Oct 1996</w:t>
            </w:r>
          </w:p>
        </w:tc>
        <w:tc>
          <w:tcPr>
            <w:tcW w:w="2452" w:type="dxa"/>
            <w:gridSpan w:val="2"/>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264" w:type="dxa"/>
            <w:gridSpan w:val="2"/>
          </w:tcPr>
          <w:p>
            <w:pPr>
              <w:pStyle w:val="nTable"/>
              <w:spacing w:after="40"/>
              <w:ind w:right="113"/>
              <w:rPr>
                <w:sz w:val="19"/>
              </w:rPr>
            </w:pPr>
            <w:r>
              <w:rPr>
                <w:i/>
                <w:sz w:val="19"/>
              </w:rPr>
              <w:t>Stamp Amendment Act 1996 </w:t>
            </w:r>
            <w:r>
              <w:rPr>
                <w:sz w:val="19"/>
                <w:vertAlign w:val="superscript"/>
              </w:rPr>
              <w:t>25</w:t>
            </w:r>
          </w:p>
        </w:tc>
        <w:tc>
          <w:tcPr>
            <w:tcW w:w="1133" w:type="dxa"/>
            <w:gridSpan w:val="3"/>
          </w:tcPr>
          <w:p>
            <w:pPr>
              <w:pStyle w:val="nTable"/>
              <w:spacing w:after="40"/>
              <w:rPr>
                <w:sz w:val="19"/>
              </w:rPr>
            </w:pPr>
            <w:r>
              <w:rPr>
                <w:sz w:val="19"/>
              </w:rPr>
              <w:t>57 of 1996</w:t>
            </w:r>
          </w:p>
        </w:tc>
        <w:tc>
          <w:tcPr>
            <w:tcW w:w="1136" w:type="dxa"/>
            <w:gridSpan w:val="2"/>
          </w:tcPr>
          <w:p>
            <w:pPr>
              <w:pStyle w:val="nTable"/>
              <w:spacing w:after="40"/>
              <w:rPr>
                <w:sz w:val="19"/>
              </w:rPr>
            </w:pPr>
            <w:r>
              <w:rPr>
                <w:sz w:val="19"/>
              </w:rPr>
              <w:t>11 Nov 1996</w:t>
            </w:r>
          </w:p>
        </w:tc>
        <w:tc>
          <w:tcPr>
            <w:tcW w:w="2452" w:type="dxa"/>
            <w:gridSpan w:val="2"/>
          </w:tcPr>
          <w:p>
            <w:pPr>
              <w:pStyle w:val="nTable"/>
              <w:spacing w:after="40"/>
              <w:rPr>
                <w:sz w:val="19"/>
              </w:rPr>
            </w:pPr>
            <w:r>
              <w:rPr>
                <w:sz w:val="19"/>
              </w:rPr>
              <w:t>20 Nov 1995 (see s. 2)</w:t>
            </w:r>
          </w:p>
        </w:tc>
      </w:tr>
      <w:tr>
        <w:trPr>
          <w:cantSplit/>
        </w:trPr>
        <w:tc>
          <w:tcPr>
            <w:tcW w:w="2264" w:type="dxa"/>
            <w:gridSpan w:val="2"/>
          </w:tcPr>
          <w:p>
            <w:pPr>
              <w:pStyle w:val="nTable"/>
              <w:spacing w:after="40"/>
              <w:ind w:right="113"/>
              <w:rPr>
                <w:sz w:val="19"/>
              </w:rPr>
            </w:pPr>
            <w:r>
              <w:rPr>
                <w:i/>
                <w:sz w:val="19"/>
              </w:rPr>
              <w:t xml:space="preserve">Strata Titles Amendment Act 1996 </w:t>
            </w:r>
            <w:r>
              <w:rPr>
                <w:sz w:val="19"/>
              </w:rPr>
              <w:t>s. 40</w:t>
            </w:r>
          </w:p>
        </w:tc>
        <w:tc>
          <w:tcPr>
            <w:tcW w:w="1133" w:type="dxa"/>
            <w:gridSpan w:val="3"/>
          </w:tcPr>
          <w:p>
            <w:pPr>
              <w:pStyle w:val="nTable"/>
              <w:spacing w:after="40"/>
              <w:rPr>
                <w:sz w:val="19"/>
              </w:rPr>
            </w:pPr>
            <w:r>
              <w:rPr>
                <w:sz w:val="19"/>
              </w:rPr>
              <w:t>61 of 1996</w:t>
            </w:r>
          </w:p>
        </w:tc>
        <w:tc>
          <w:tcPr>
            <w:tcW w:w="1136" w:type="dxa"/>
            <w:gridSpan w:val="2"/>
          </w:tcPr>
          <w:p>
            <w:pPr>
              <w:pStyle w:val="nTable"/>
              <w:spacing w:after="40"/>
              <w:rPr>
                <w:sz w:val="19"/>
              </w:rPr>
            </w:pPr>
            <w:r>
              <w:rPr>
                <w:sz w:val="19"/>
              </w:rPr>
              <w:t>11 Nov 1996</w:t>
            </w:r>
          </w:p>
        </w:tc>
        <w:tc>
          <w:tcPr>
            <w:tcW w:w="2452" w:type="dxa"/>
            <w:gridSpan w:val="2"/>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4" w:type="dxa"/>
            <w:gridSpan w:val="2"/>
          </w:tcPr>
          <w:p>
            <w:pPr>
              <w:pStyle w:val="nTable"/>
              <w:spacing w:after="40"/>
              <w:ind w:right="113"/>
              <w:rPr>
                <w:sz w:val="19"/>
              </w:rPr>
            </w:pPr>
            <w:r>
              <w:rPr>
                <w:i/>
                <w:sz w:val="19"/>
              </w:rPr>
              <w:t xml:space="preserve">Road Traffic Amendment Act 1996 </w:t>
            </w:r>
            <w:r>
              <w:rPr>
                <w:sz w:val="19"/>
              </w:rPr>
              <w:t>Pt. 3 Div. 8</w:t>
            </w:r>
          </w:p>
        </w:tc>
        <w:tc>
          <w:tcPr>
            <w:tcW w:w="1133" w:type="dxa"/>
            <w:gridSpan w:val="3"/>
          </w:tcPr>
          <w:p>
            <w:pPr>
              <w:pStyle w:val="nTable"/>
              <w:spacing w:after="40"/>
              <w:rPr>
                <w:sz w:val="19"/>
              </w:rPr>
            </w:pPr>
            <w:r>
              <w:rPr>
                <w:sz w:val="19"/>
              </w:rPr>
              <w:t>76 of 1996</w:t>
            </w:r>
          </w:p>
        </w:tc>
        <w:tc>
          <w:tcPr>
            <w:tcW w:w="1136" w:type="dxa"/>
            <w:gridSpan w:val="2"/>
          </w:tcPr>
          <w:p>
            <w:pPr>
              <w:pStyle w:val="nTable"/>
              <w:spacing w:after="40"/>
              <w:rPr>
                <w:sz w:val="19"/>
              </w:rPr>
            </w:pPr>
            <w:r>
              <w:rPr>
                <w:sz w:val="19"/>
              </w:rPr>
              <w:t>14 Nov 1996</w:t>
            </w:r>
          </w:p>
        </w:tc>
        <w:tc>
          <w:tcPr>
            <w:tcW w:w="2452"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4" w:type="dxa"/>
            <w:gridSpan w:val="2"/>
          </w:tcPr>
          <w:p>
            <w:pPr>
              <w:pStyle w:val="nTable"/>
              <w:spacing w:after="40"/>
              <w:ind w:right="113"/>
              <w:rPr>
                <w:sz w:val="19"/>
              </w:rPr>
            </w:pPr>
            <w:r>
              <w:rPr>
                <w:i/>
                <w:sz w:val="19"/>
              </w:rPr>
              <w:t xml:space="preserve">Transfer of Land Amendment Act 1996 </w:t>
            </w:r>
            <w:r>
              <w:rPr>
                <w:sz w:val="19"/>
              </w:rPr>
              <w:t>s. 153(1) and (2)</w:t>
            </w:r>
          </w:p>
        </w:tc>
        <w:tc>
          <w:tcPr>
            <w:tcW w:w="1133" w:type="dxa"/>
            <w:gridSpan w:val="3"/>
          </w:tcPr>
          <w:p>
            <w:pPr>
              <w:pStyle w:val="nTable"/>
              <w:spacing w:after="40"/>
              <w:rPr>
                <w:sz w:val="19"/>
              </w:rPr>
            </w:pPr>
            <w:r>
              <w:rPr>
                <w:sz w:val="19"/>
              </w:rPr>
              <w:t>81 of 1996</w:t>
            </w:r>
          </w:p>
        </w:tc>
        <w:tc>
          <w:tcPr>
            <w:tcW w:w="1136" w:type="dxa"/>
            <w:gridSpan w:val="2"/>
          </w:tcPr>
          <w:p>
            <w:pPr>
              <w:pStyle w:val="nTable"/>
              <w:spacing w:after="40"/>
              <w:rPr>
                <w:sz w:val="19"/>
              </w:rPr>
            </w:pPr>
            <w:r>
              <w:rPr>
                <w:sz w:val="19"/>
              </w:rPr>
              <w:t>14 Nov 1996</w:t>
            </w:r>
          </w:p>
        </w:tc>
        <w:tc>
          <w:tcPr>
            <w:tcW w:w="2452" w:type="dxa"/>
            <w:gridSpan w:val="2"/>
          </w:tcPr>
          <w:p>
            <w:pPr>
              <w:pStyle w:val="nTable"/>
              <w:spacing w:after="40"/>
              <w:rPr>
                <w:sz w:val="19"/>
              </w:rPr>
            </w:pPr>
            <w:r>
              <w:rPr>
                <w:sz w:val="19"/>
              </w:rPr>
              <w:t>14 Nov 1996 (see s. 2(1))</w:t>
            </w:r>
          </w:p>
        </w:tc>
      </w:tr>
      <w:tr>
        <w:trPr>
          <w:cantSplit/>
        </w:trPr>
        <w:tc>
          <w:tcPr>
            <w:tcW w:w="2264"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26-29</w:t>
            </w:r>
          </w:p>
        </w:tc>
        <w:tc>
          <w:tcPr>
            <w:tcW w:w="1133" w:type="dxa"/>
            <w:gridSpan w:val="3"/>
          </w:tcPr>
          <w:p>
            <w:pPr>
              <w:pStyle w:val="nTable"/>
              <w:spacing w:after="40"/>
              <w:rPr>
                <w:sz w:val="19"/>
              </w:rPr>
            </w:pPr>
            <w:r>
              <w:rPr>
                <w:sz w:val="19"/>
              </w:rPr>
              <w:t>13 of 1997</w:t>
            </w:r>
          </w:p>
        </w:tc>
        <w:tc>
          <w:tcPr>
            <w:tcW w:w="1136" w:type="dxa"/>
            <w:gridSpan w:val="2"/>
          </w:tcPr>
          <w:p>
            <w:pPr>
              <w:pStyle w:val="nTable"/>
              <w:spacing w:after="40"/>
              <w:rPr>
                <w:sz w:val="19"/>
              </w:rPr>
            </w:pPr>
            <w:r>
              <w:rPr>
                <w:sz w:val="19"/>
              </w:rPr>
              <w:t>25 Jun 1997</w:t>
            </w:r>
          </w:p>
        </w:tc>
        <w:tc>
          <w:tcPr>
            <w:tcW w:w="2452" w:type="dxa"/>
            <w:gridSpan w:val="2"/>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264"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3" w:type="dxa"/>
            <w:gridSpan w:val="3"/>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452" w:type="dxa"/>
            <w:gridSpan w:val="2"/>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4"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3" w:type="dxa"/>
            <w:gridSpan w:val="3"/>
          </w:tcPr>
          <w:p>
            <w:pPr>
              <w:pStyle w:val="nTable"/>
              <w:spacing w:after="40"/>
              <w:rPr>
                <w:sz w:val="19"/>
              </w:rPr>
            </w:pPr>
            <w:r>
              <w:rPr>
                <w:sz w:val="19"/>
              </w:rPr>
              <w:t>41 of 1997</w:t>
            </w:r>
          </w:p>
        </w:tc>
        <w:tc>
          <w:tcPr>
            <w:tcW w:w="1136" w:type="dxa"/>
            <w:gridSpan w:val="2"/>
          </w:tcPr>
          <w:p>
            <w:pPr>
              <w:pStyle w:val="nTable"/>
              <w:spacing w:after="40"/>
              <w:rPr>
                <w:sz w:val="19"/>
              </w:rPr>
            </w:pPr>
            <w:r>
              <w:rPr>
                <w:sz w:val="19"/>
              </w:rPr>
              <w:t>9 Dec 1997</w:t>
            </w:r>
          </w:p>
        </w:tc>
        <w:tc>
          <w:tcPr>
            <w:tcW w:w="2452" w:type="dxa"/>
            <w:gridSpan w:val="2"/>
          </w:tcPr>
          <w:p>
            <w:pPr>
              <w:pStyle w:val="nTable"/>
              <w:spacing w:after="40"/>
              <w:rPr>
                <w:sz w:val="19"/>
              </w:rPr>
            </w:pPr>
            <w:r>
              <w:rPr>
                <w:sz w:val="19"/>
              </w:rPr>
              <w:t>26 Sep 1998 (see s. 2)</w:t>
            </w:r>
          </w:p>
        </w:tc>
      </w:tr>
      <w:tr>
        <w:trPr>
          <w:cantSplit/>
        </w:trPr>
        <w:tc>
          <w:tcPr>
            <w:tcW w:w="2264"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3" w:type="dxa"/>
            <w:gridSpan w:val="3"/>
          </w:tcPr>
          <w:p>
            <w:pPr>
              <w:pStyle w:val="nTable"/>
              <w:spacing w:after="40"/>
              <w:rPr>
                <w:sz w:val="19"/>
              </w:rPr>
            </w:pPr>
            <w:r>
              <w:rPr>
                <w:sz w:val="19"/>
              </w:rPr>
              <w:t>51 of 1997</w:t>
            </w:r>
          </w:p>
        </w:tc>
        <w:tc>
          <w:tcPr>
            <w:tcW w:w="1136" w:type="dxa"/>
            <w:gridSpan w:val="2"/>
          </w:tcPr>
          <w:p>
            <w:pPr>
              <w:pStyle w:val="nTable"/>
              <w:spacing w:after="40"/>
              <w:rPr>
                <w:sz w:val="19"/>
              </w:rPr>
            </w:pPr>
            <w:r>
              <w:rPr>
                <w:sz w:val="19"/>
              </w:rPr>
              <w:t>12 Dec 1997</w:t>
            </w:r>
          </w:p>
        </w:tc>
        <w:tc>
          <w:tcPr>
            <w:tcW w:w="2452" w:type="dxa"/>
            <w:gridSpan w:val="2"/>
          </w:tcPr>
          <w:p>
            <w:pPr>
              <w:pStyle w:val="nTable"/>
              <w:spacing w:after="40"/>
              <w:rPr>
                <w:sz w:val="19"/>
              </w:rPr>
            </w:pPr>
            <w:r>
              <w:rPr>
                <w:sz w:val="19"/>
              </w:rPr>
              <w:t>12 Dec 1997 (see s. 2)</w:t>
            </w:r>
          </w:p>
        </w:tc>
      </w:tr>
      <w:tr>
        <w:trPr>
          <w:cantSplit/>
        </w:trPr>
        <w:tc>
          <w:tcPr>
            <w:tcW w:w="2264"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3" w:type="dxa"/>
            <w:gridSpan w:val="3"/>
          </w:tcPr>
          <w:p>
            <w:pPr>
              <w:pStyle w:val="nTable"/>
              <w:spacing w:after="40"/>
              <w:rPr>
                <w:sz w:val="19"/>
              </w:rPr>
            </w:pPr>
            <w:r>
              <w:rPr>
                <w:sz w:val="19"/>
              </w:rPr>
              <w:t>57 of 1997</w:t>
            </w:r>
          </w:p>
        </w:tc>
        <w:tc>
          <w:tcPr>
            <w:tcW w:w="1136" w:type="dxa"/>
            <w:gridSpan w:val="2"/>
          </w:tcPr>
          <w:p>
            <w:pPr>
              <w:pStyle w:val="nTable"/>
              <w:spacing w:after="40"/>
              <w:rPr>
                <w:sz w:val="19"/>
              </w:rPr>
            </w:pPr>
            <w:r>
              <w:rPr>
                <w:sz w:val="19"/>
              </w:rPr>
              <w:t>15 Dec 1997</w:t>
            </w:r>
          </w:p>
        </w:tc>
        <w:tc>
          <w:tcPr>
            <w:tcW w:w="2452" w:type="dxa"/>
            <w:gridSpan w:val="2"/>
          </w:tcPr>
          <w:p>
            <w:pPr>
              <w:pStyle w:val="nTable"/>
              <w:spacing w:after="40"/>
              <w:rPr>
                <w:sz w:val="19"/>
              </w:rPr>
            </w:pPr>
            <w:r>
              <w:rPr>
                <w:sz w:val="19"/>
              </w:rPr>
              <w:t>15 Dec 1997 (see s. 2(1))</w:t>
            </w:r>
          </w:p>
        </w:tc>
      </w:tr>
      <w:tr>
        <w:trPr>
          <w:cantSplit/>
        </w:trPr>
        <w:tc>
          <w:tcPr>
            <w:tcW w:w="2264" w:type="dxa"/>
            <w:gridSpan w:val="2"/>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30, 31</w:t>
            </w:r>
          </w:p>
        </w:tc>
        <w:tc>
          <w:tcPr>
            <w:tcW w:w="1133" w:type="dxa"/>
            <w:gridSpan w:val="3"/>
          </w:tcPr>
          <w:p>
            <w:pPr>
              <w:pStyle w:val="nTable"/>
              <w:spacing w:after="40"/>
              <w:rPr>
                <w:sz w:val="19"/>
              </w:rPr>
            </w:pPr>
            <w:r>
              <w:rPr>
                <w:sz w:val="19"/>
              </w:rPr>
              <w:t>18 of 1998</w:t>
            </w:r>
          </w:p>
        </w:tc>
        <w:tc>
          <w:tcPr>
            <w:tcW w:w="1136" w:type="dxa"/>
            <w:gridSpan w:val="2"/>
          </w:tcPr>
          <w:p>
            <w:pPr>
              <w:pStyle w:val="nTable"/>
              <w:spacing w:after="40"/>
              <w:rPr>
                <w:sz w:val="19"/>
              </w:rPr>
            </w:pPr>
            <w:r>
              <w:rPr>
                <w:sz w:val="19"/>
              </w:rPr>
              <w:t>30 Jun 1998</w:t>
            </w:r>
          </w:p>
        </w:tc>
        <w:tc>
          <w:tcPr>
            <w:tcW w:w="2452" w:type="dxa"/>
            <w:gridSpan w:val="2"/>
          </w:tcPr>
          <w:p>
            <w:pPr>
              <w:pStyle w:val="nTable"/>
              <w:spacing w:after="40"/>
              <w:rPr>
                <w:sz w:val="19"/>
              </w:rPr>
            </w:pPr>
            <w:r>
              <w:rPr>
                <w:sz w:val="19"/>
              </w:rPr>
              <w:t>1 Jul 1998 (see s. 2(2) and also take note of s. 2(4) and (5))</w:t>
            </w:r>
          </w:p>
        </w:tc>
      </w:tr>
      <w:tr>
        <w:trPr>
          <w:cantSplit/>
        </w:trPr>
        <w:tc>
          <w:tcPr>
            <w:tcW w:w="2264"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3" w:type="dxa"/>
            <w:gridSpan w:val="3"/>
          </w:tcPr>
          <w:p>
            <w:pPr>
              <w:pStyle w:val="nTable"/>
              <w:spacing w:after="40"/>
              <w:rPr>
                <w:sz w:val="19"/>
              </w:rPr>
            </w:pPr>
            <w:r>
              <w:rPr>
                <w:sz w:val="19"/>
              </w:rPr>
              <w:t>22 of 1998</w:t>
            </w:r>
          </w:p>
        </w:tc>
        <w:tc>
          <w:tcPr>
            <w:tcW w:w="1136" w:type="dxa"/>
            <w:gridSpan w:val="2"/>
          </w:tcPr>
          <w:p>
            <w:pPr>
              <w:pStyle w:val="nTable"/>
              <w:spacing w:after="40"/>
              <w:rPr>
                <w:sz w:val="19"/>
              </w:rPr>
            </w:pPr>
            <w:r>
              <w:rPr>
                <w:sz w:val="19"/>
              </w:rPr>
              <w:t>30 Jun 1998</w:t>
            </w:r>
          </w:p>
        </w:tc>
        <w:tc>
          <w:tcPr>
            <w:tcW w:w="2452" w:type="dxa"/>
            <w:gridSpan w:val="2"/>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264"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3" w:type="dxa"/>
            <w:gridSpan w:val="3"/>
          </w:tcPr>
          <w:p>
            <w:pPr>
              <w:pStyle w:val="nTable"/>
              <w:spacing w:after="40"/>
              <w:rPr>
                <w:sz w:val="19"/>
              </w:rPr>
            </w:pPr>
            <w:r>
              <w:rPr>
                <w:sz w:val="19"/>
              </w:rPr>
              <w:t>58 of 1998</w:t>
            </w:r>
          </w:p>
        </w:tc>
        <w:tc>
          <w:tcPr>
            <w:tcW w:w="1136" w:type="dxa"/>
            <w:gridSpan w:val="2"/>
          </w:tcPr>
          <w:p>
            <w:pPr>
              <w:pStyle w:val="nTable"/>
              <w:spacing w:after="40"/>
              <w:rPr>
                <w:sz w:val="19"/>
              </w:rPr>
            </w:pPr>
            <w:r>
              <w:rPr>
                <w:sz w:val="19"/>
              </w:rPr>
              <w:t>18 Dec 1998</w:t>
            </w:r>
          </w:p>
        </w:tc>
        <w:tc>
          <w:tcPr>
            <w:tcW w:w="2452" w:type="dxa"/>
            <w:gridSpan w:val="2"/>
          </w:tcPr>
          <w:p>
            <w:pPr>
              <w:pStyle w:val="nTable"/>
              <w:spacing w:after="40"/>
              <w:rPr>
                <w:sz w:val="19"/>
              </w:rPr>
            </w:pPr>
            <w:r>
              <w:rPr>
                <w:sz w:val="19"/>
              </w:rPr>
              <w:t>s. 8: 30 Mar 1998 (see s. 2(2));</w:t>
            </w:r>
            <w:r>
              <w:rPr>
                <w:sz w:val="19"/>
              </w:rPr>
              <w:br/>
              <w:t>balance: 18 Dec 1998 (see s. 2(1))</w:t>
            </w:r>
          </w:p>
        </w:tc>
      </w:tr>
      <w:tr>
        <w:trPr>
          <w:cantSplit/>
        </w:trPr>
        <w:tc>
          <w:tcPr>
            <w:tcW w:w="2264" w:type="dxa"/>
            <w:gridSpan w:val="2"/>
          </w:tcPr>
          <w:p>
            <w:pPr>
              <w:pStyle w:val="nTable"/>
              <w:spacing w:after="40"/>
              <w:ind w:right="113"/>
              <w:rPr>
                <w:sz w:val="19"/>
              </w:rPr>
            </w:pPr>
            <w:r>
              <w:rPr>
                <w:i/>
                <w:sz w:val="19"/>
              </w:rPr>
              <w:t xml:space="preserve">Friendly Societies (Western Australia) Act 1999 </w:t>
            </w:r>
            <w:r>
              <w:rPr>
                <w:sz w:val="19"/>
              </w:rPr>
              <w:t>s. 23</w:t>
            </w:r>
          </w:p>
        </w:tc>
        <w:tc>
          <w:tcPr>
            <w:tcW w:w="1133" w:type="dxa"/>
            <w:gridSpan w:val="3"/>
          </w:tcPr>
          <w:p>
            <w:pPr>
              <w:pStyle w:val="nTable"/>
              <w:spacing w:after="40"/>
              <w:rPr>
                <w:sz w:val="19"/>
              </w:rPr>
            </w:pPr>
            <w:r>
              <w:rPr>
                <w:sz w:val="19"/>
              </w:rPr>
              <w:t>2 of 1999</w:t>
            </w:r>
          </w:p>
        </w:tc>
        <w:tc>
          <w:tcPr>
            <w:tcW w:w="1136" w:type="dxa"/>
            <w:gridSpan w:val="2"/>
          </w:tcPr>
          <w:p>
            <w:pPr>
              <w:pStyle w:val="nTable"/>
              <w:spacing w:after="40"/>
              <w:rPr>
                <w:sz w:val="19"/>
              </w:rPr>
            </w:pPr>
            <w:r>
              <w:rPr>
                <w:sz w:val="19"/>
              </w:rPr>
              <w:t>25 Mar 1999</w:t>
            </w:r>
          </w:p>
        </w:tc>
        <w:tc>
          <w:tcPr>
            <w:tcW w:w="2452" w:type="dxa"/>
            <w:gridSpan w:val="2"/>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4" w:type="dxa"/>
            <w:gridSpan w:val="2"/>
          </w:tcPr>
          <w:p>
            <w:pPr>
              <w:pStyle w:val="nTable"/>
              <w:spacing w:after="40"/>
              <w:ind w:right="113"/>
              <w:rPr>
                <w:sz w:val="19"/>
              </w:rPr>
            </w:pPr>
            <w:r>
              <w:rPr>
                <w:i/>
                <w:sz w:val="19"/>
              </w:rPr>
              <w:t xml:space="preserve">Revenue Laws Amendment (Assessment) Act 1999 </w:t>
            </w:r>
            <w:r>
              <w:rPr>
                <w:sz w:val="19"/>
              </w:rPr>
              <w:t>Pt. 2</w:t>
            </w:r>
          </w:p>
        </w:tc>
        <w:tc>
          <w:tcPr>
            <w:tcW w:w="1133" w:type="dxa"/>
            <w:gridSpan w:val="3"/>
          </w:tcPr>
          <w:p>
            <w:pPr>
              <w:pStyle w:val="nTable"/>
              <w:keepNext/>
              <w:keepLines/>
              <w:spacing w:after="40"/>
              <w:rPr>
                <w:sz w:val="19"/>
              </w:rPr>
            </w:pPr>
            <w:r>
              <w:rPr>
                <w:sz w:val="19"/>
              </w:rPr>
              <w:t>24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4" w:type="dxa"/>
            <w:gridSpan w:val="2"/>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32</w:t>
            </w:r>
          </w:p>
        </w:tc>
        <w:tc>
          <w:tcPr>
            <w:tcW w:w="1133" w:type="dxa"/>
            <w:gridSpan w:val="3"/>
          </w:tcPr>
          <w:p>
            <w:pPr>
              <w:pStyle w:val="nTable"/>
              <w:keepNext/>
              <w:keepLines/>
              <w:spacing w:after="40"/>
              <w:rPr>
                <w:sz w:val="19"/>
              </w:rPr>
            </w:pPr>
            <w:r>
              <w:rPr>
                <w:sz w:val="19"/>
              </w:rPr>
              <w:t>25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1 Jul 1999 (see s. 2(4))</w:t>
            </w:r>
          </w:p>
        </w:tc>
      </w:tr>
      <w:tr>
        <w:trPr>
          <w:cantSplit/>
        </w:trPr>
        <w:tc>
          <w:tcPr>
            <w:tcW w:w="2264"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3" w:type="dxa"/>
            <w:gridSpan w:val="3"/>
          </w:tcPr>
          <w:p>
            <w:pPr>
              <w:pStyle w:val="nTable"/>
              <w:keepNext/>
              <w:keepLines/>
              <w:spacing w:after="40"/>
              <w:rPr>
                <w:sz w:val="19"/>
              </w:rPr>
            </w:pPr>
            <w:r>
              <w:rPr>
                <w:sz w:val="19"/>
              </w:rPr>
              <w:t>26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4" w:type="dxa"/>
            <w:gridSpan w:val="2"/>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33</w:t>
            </w:r>
          </w:p>
        </w:tc>
        <w:tc>
          <w:tcPr>
            <w:tcW w:w="1133" w:type="dxa"/>
            <w:gridSpan w:val="3"/>
          </w:tcPr>
          <w:p>
            <w:pPr>
              <w:pStyle w:val="nTable"/>
              <w:spacing w:after="40"/>
              <w:rPr>
                <w:sz w:val="19"/>
              </w:rPr>
            </w:pPr>
            <w:r>
              <w:rPr>
                <w:sz w:val="19"/>
              </w:rPr>
              <w:t>53 of 1999</w:t>
            </w:r>
          </w:p>
        </w:tc>
        <w:tc>
          <w:tcPr>
            <w:tcW w:w="1316" w:type="dxa"/>
            <w:gridSpan w:val="3"/>
          </w:tcPr>
          <w:p>
            <w:pPr>
              <w:pStyle w:val="nTable"/>
              <w:spacing w:after="40"/>
              <w:rPr>
                <w:sz w:val="19"/>
              </w:rPr>
            </w:pPr>
            <w:r>
              <w:rPr>
                <w:sz w:val="19"/>
              </w:rPr>
              <w:t>13 Dec 1999</w:t>
            </w:r>
          </w:p>
        </w:tc>
        <w:tc>
          <w:tcPr>
            <w:tcW w:w="2272"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083"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34</w:t>
            </w:r>
          </w:p>
        </w:tc>
        <w:tc>
          <w:tcPr>
            <w:tcW w:w="1132" w:type="dxa"/>
            <w:gridSpan w:val="3"/>
          </w:tcPr>
          <w:p>
            <w:pPr>
              <w:pStyle w:val="nTable"/>
              <w:spacing w:after="40"/>
              <w:rPr>
                <w:sz w:val="19"/>
              </w:rPr>
            </w:pPr>
            <w:r>
              <w:rPr>
                <w:sz w:val="19"/>
              </w:rPr>
              <w:t>6 of 2000</w:t>
            </w:r>
            <w:r>
              <w:rPr>
                <w:sz w:val="19"/>
              </w:rPr>
              <w:br/>
              <w:t>(as amended by No. 45 of 2002 s. 6)</w:t>
            </w:r>
          </w:p>
        </w:tc>
        <w:tc>
          <w:tcPr>
            <w:tcW w:w="1318" w:type="dxa"/>
            <w:gridSpan w:val="3"/>
          </w:tcPr>
          <w:p>
            <w:pPr>
              <w:pStyle w:val="nTable"/>
              <w:spacing w:after="40"/>
              <w:rPr>
                <w:sz w:val="19"/>
              </w:rPr>
            </w:pPr>
            <w:r>
              <w:rPr>
                <w:sz w:val="19"/>
              </w:rPr>
              <w:t>11 Apr 2000</w:t>
            </w:r>
          </w:p>
        </w:tc>
        <w:tc>
          <w:tcPr>
            <w:tcW w:w="2452" w:type="dxa"/>
            <w:gridSpan w:val="2"/>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083" w:type="dxa"/>
          </w:tcPr>
          <w:p>
            <w:pPr>
              <w:pStyle w:val="nTable"/>
              <w:spacing w:after="40"/>
              <w:ind w:right="113"/>
              <w:rPr>
                <w:i/>
                <w:sz w:val="19"/>
              </w:rPr>
            </w:pPr>
            <w:r>
              <w:rPr>
                <w:i/>
                <w:sz w:val="19"/>
              </w:rPr>
              <w:t>Stamp Amendment Act 2000</w:t>
            </w:r>
          </w:p>
        </w:tc>
        <w:tc>
          <w:tcPr>
            <w:tcW w:w="1132" w:type="dxa"/>
            <w:gridSpan w:val="3"/>
          </w:tcPr>
          <w:p>
            <w:pPr>
              <w:pStyle w:val="nTable"/>
              <w:spacing w:after="40"/>
              <w:rPr>
                <w:sz w:val="19"/>
              </w:rPr>
            </w:pPr>
            <w:r>
              <w:rPr>
                <w:sz w:val="19"/>
              </w:rPr>
              <w:t>28 of 2000</w:t>
            </w:r>
          </w:p>
        </w:tc>
        <w:tc>
          <w:tcPr>
            <w:tcW w:w="1318" w:type="dxa"/>
            <w:gridSpan w:val="3"/>
          </w:tcPr>
          <w:p>
            <w:pPr>
              <w:pStyle w:val="nTable"/>
              <w:spacing w:after="40"/>
              <w:rPr>
                <w:sz w:val="19"/>
              </w:rPr>
            </w:pPr>
            <w:r>
              <w:rPr>
                <w:sz w:val="19"/>
              </w:rPr>
              <w:t>6 Jul 2000</w:t>
            </w:r>
          </w:p>
        </w:tc>
        <w:tc>
          <w:tcPr>
            <w:tcW w:w="2452" w:type="dxa"/>
            <w:gridSpan w:val="2"/>
          </w:tcPr>
          <w:p>
            <w:pPr>
              <w:pStyle w:val="nTable"/>
              <w:spacing w:after="40"/>
              <w:rPr>
                <w:sz w:val="19"/>
              </w:rPr>
            </w:pPr>
            <w:r>
              <w:rPr>
                <w:sz w:val="19"/>
              </w:rPr>
              <w:t>6 Jul 2000 (see s. 2)</w:t>
            </w:r>
          </w:p>
        </w:tc>
      </w:tr>
      <w:tr>
        <w:trPr>
          <w:cantSplit/>
        </w:trPr>
        <w:tc>
          <w:tcPr>
            <w:tcW w:w="2083"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35, 36</w:t>
            </w:r>
          </w:p>
        </w:tc>
        <w:tc>
          <w:tcPr>
            <w:tcW w:w="1132" w:type="dxa"/>
            <w:gridSpan w:val="3"/>
          </w:tcPr>
          <w:p>
            <w:pPr>
              <w:pStyle w:val="nTable"/>
              <w:spacing w:after="40"/>
              <w:rPr>
                <w:sz w:val="19"/>
              </w:rPr>
            </w:pPr>
            <w:r>
              <w:rPr>
                <w:sz w:val="19"/>
              </w:rPr>
              <w:t>29 of 2000</w:t>
            </w:r>
          </w:p>
        </w:tc>
        <w:tc>
          <w:tcPr>
            <w:tcW w:w="1318" w:type="dxa"/>
            <w:gridSpan w:val="3"/>
          </w:tcPr>
          <w:p>
            <w:pPr>
              <w:pStyle w:val="nTable"/>
              <w:spacing w:after="40"/>
              <w:rPr>
                <w:sz w:val="19"/>
              </w:rPr>
            </w:pPr>
            <w:r>
              <w:rPr>
                <w:sz w:val="19"/>
              </w:rPr>
              <w:t>6 Jul 2000</w:t>
            </w:r>
          </w:p>
        </w:tc>
        <w:tc>
          <w:tcPr>
            <w:tcW w:w="2452" w:type="dxa"/>
            <w:gridSpan w:val="2"/>
          </w:tcPr>
          <w:p>
            <w:pPr>
              <w:pStyle w:val="nTable"/>
              <w:spacing w:after="40"/>
              <w:rPr>
                <w:sz w:val="19"/>
              </w:rPr>
            </w:pPr>
            <w:r>
              <w:rPr>
                <w:sz w:val="19"/>
              </w:rPr>
              <w:t>6 Jul 2000 (see s. 2(1))</w:t>
            </w:r>
          </w:p>
        </w:tc>
      </w:tr>
      <w:tr>
        <w:trPr>
          <w:cantSplit/>
        </w:trPr>
        <w:tc>
          <w:tcPr>
            <w:tcW w:w="2083"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37</w:t>
            </w:r>
          </w:p>
        </w:tc>
        <w:tc>
          <w:tcPr>
            <w:tcW w:w="1132" w:type="dxa"/>
            <w:gridSpan w:val="3"/>
          </w:tcPr>
          <w:p>
            <w:pPr>
              <w:pStyle w:val="nTable"/>
              <w:spacing w:after="40"/>
              <w:rPr>
                <w:sz w:val="19"/>
              </w:rPr>
            </w:pPr>
            <w:r>
              <w:rPr>
                <w:sz w:val="19"/>
              </w:rPr>
              <w:t>60 of 2000</w:t>
            </w:r>
          </w:p>
        </w:tc>
        <w:tc>
          <w:tcPr>
            <w:tcW w:w="1318" w:type="dxa"/>
            <w:gridSpan w:val="3"/>
          </w:tcPr>
          <w:p>
            <w:pPr>
              <w:pStyle w:val="nTable"/>
              <w:spacing w:after="40"/>
              <w:rPr>
                <w:sz w:val="19"/>
              </w:rPr>
            </w:pPr>
            <w:r>
              <w:rPr>
                <w:sz w:val="19"/>
              </w:rPr>
              <w:t>4 Dec 2000</w:t>
            </w:r>
          </w:p>
        </w:tc>
        <w:tc>
          <w:tcPr>
            <w:tcW w:w="2452" w:type="dxa"/>
            <w:gridSpan w:val="2"/>
          </w:tcPr>
          <w:p>
            <w:pPr>
              <w:pStyle w:val="nTable"/>
              <w:spacing w:after="40"/>
              <w:rPr>
                <w:sz w:val="19"/>
              </w:rPr>
            </w:pPr>
            <w:r>
              <w:rPr>
                <w:sz w:val="19"/>
              </w:rPr>
              <w:t>10 Aug 2000 (see s. 2)</w:t>
            </w:r>
          </w:p>
        </w:tc>
      </w:tr>
      <w:tr>
        <w:trPr>
          <w:cantSplit/>
        </w:trPr>
        <w:tc>
          <w:tcPr>
            <w:tcW w:w="2083" w:type="dxa"/>
          </w:tcPr>
          <w:p>
            <w:pPr>
              <w:pStyle w:val="nTable"/>
              <w:spacing w:after="40"/>
              <w:rPr>
                <w:sz w:val="19"/>
              </w:rPr>
            </w:pPr>
            <w:r>
              <w:rPr>
                <w:i/>
                <w:sz w:val="19"/>
              </w:rPr>
              <w:t xml:space="preserve">Revenue Laws Amendment (Assessment) Act 2001 </w:t>
            </w:r>
            <w:r>
              <w:rPr>
                <w:sz w:val="19"/>
              </w:rPr>
              <w:t>Pt. 4</w:t>
            </w:r>
          </w:p>
        </w:tc>
        <w:tc>
          <w:tcPr>
            <w:tcW w:w="1132" w:type="dxa"/>
            <w:gridSpan w:val="3"/>
          </w:tcPr>
          <w:p>
            <w:pPr>
              <w:pStyle w:val="nTable"/>
              <w:spacing w:after="40"/>
              <w:rPr>
                <w:sz w:val="19"/>
              </w:rPr>
            </w:pPr>
            <w:r>
              <w:rPr>
                <w:sz w:val="19"/>
              </w:rPr>
              <w:t>3 of 2001</w:t>
            </w:r>
          </w:p>
        </w:tc>
        <w:tc>
          <w:tcPr>
            <w:tcW w:w="1318" w:type="dxa"/>
            <w:gridSpan w:val="3"/>
          </w:tcPr>
          <w:p>
            <w:pPr>
              <w:pStyle w:val="nTable"/>
              <w:spacing w:after="40"/>
              <w:rPr>
                <w:sz w:val="19"/>
              </w:rPr>
            </w:pPr>
            <w:r>
              <w:rPr>
                <w:sz w:val="19"/>
              </w:rPr>
              <w:t xml:space="preserve">26 Jun 2001 </w:t>
            </w:r>
          </w:p>
        </w:tc>
        <w:tc>
          <w:tcPr>
            <w:tcW w:w="2452" w:type="dxa"/>
            <w:gridSpan w:val="2"/>
          </w:tcPr>
          <w:p>
            <w:pPr>
              <w:pStyle w:val="nTable"/>
              <w:spacing w:after="40"/>
              <w:rPr>
                <w:sz w:val="19"/>
              </w:rPr>
            </w:pPr>
            <w:r>
              <w:rPr>
                <w:sz w:val="19"/>
              </w:rPr>
              <w:t xml:space="preserve">Div. 1 and 2: 26 Jun 2001 </w:t>
            </w:r>
            <w:r>
              <w:rPr>
                <w:sz w:val="19"/>
              </w:rPr>
              <w:br/>
              <w:t>(see s. 2(1));</w:t>
            </w:r>
            <w:r>
              <w:rPr>
                <w:sz w:val="19"/>
              </w:rPr>
              <w:br/>
              <w:t xml:space="preserve">Div. 3: 30 Jun 2001 (see s. 2(4)); </w:t>
            </w:r>
            <w:r>
              <w:rPr>
                <w:sz w:val="19"/>
              </w:rPr>
              <w:br/>
              <w:t>Div. 4: 1 Jul 2001 (see s. 2(6))</w:t>
            </w:r>
          </w:p>
        </w:tc>
      </w:tr>
      <w:tr>
        <w:trPr>
          <w:cantSplit/>
        </w:trPr>
        <w:tc>
          <w:tcPr>
            <w:tcW w:w="2083" w:type="dxa"/>
          </w:tcPr>
          <w:p>
            <w:pPr>
              <w:pStyle w:val="nTable"/>
              <w:spacing w:after="40"/>
              <w:rPr>
                <w:sz w:val="19"/>
              </w:rPr>
            </w:pPr>
            <w:r>
              <w:rPr>
                <w:i/>
                <w:sz w:val="19"/>
              </w:rPr>
              <w:t xml:space="preserve">Revenue Laws Amendment (Taxation) Act 2001 </w:t>
            </w:r>
            <w:r>
              <w:rPr>
                <w:sz w:val="19"/>
              </w:rPr>
              <w:t>Pt. 3</w:t>
            </w:r>
          </w:p>
        </w:tc>
        <w:tc>
          <w:tcPr>
            <w:tcW w:w="1132" w:type="dxa"/>
            <w:gridSpan w:val="3"/>
          </w:tcPr>
          <w:p>
            <w:pPr>
              <w:pStyle w:val="nTable"/>
              <w:spacing w:after="40"/>
              <w:rPr>
                <w:sz w:val="19"/>
              </w:rPr>
            </w:pPr>
            <w:r>
              <w:rPr>
                <w:sz w:val="19"/>
              </w:rPr>
              <w:t>4 of 2001</w:t>
            </w:r>
          </w:p>
        </w:tc>
        <w:tc>
          <w:tcPr>
            <w:tcW w:w="1318" w:type="dxa"/>
            <w:gridSpan w:val="3"/>
          </w:tcPr>
          <w:p>
            <w:pPr>
              <w:pStyle w:val="nTable"/>
              <w:spacing w:after="40"/>
              <w:rPr>
                <w:sz w:val="19"/>
              </w:rPr>
            </w:pPr>
            <w:r>
              <w:rPr>
                <w:sz w:val="19"/>
              </w:rPr>
              <w:t xml:space="preserve">26 Jun 2001 </w:t>
            </w:r>
          </w:p>
        </w:tc>
        <w:tc>
          <w:tcPr>
            <w:tcW w:w="2452" w:type="dxa"/>
            <w:gridSpan w:val="2"/>
          </w:tcPr>
          <w:p>
            <w:pPr>
              <w:pStyle w:val="nTable"/>
              <w:spacing w:after="40"/>
              <w:rPr>
                <w:sz w:val="19"/>
              </w:rPr>
            </w:pPr>
            <w:r>
              <w:rPr>
                <w:sz w:val="19"/>
              </w:rPr>
              <w:t>30 Jun 2001 (see s. 2(4))</w:t>
            </w:r>
          </w:p>
        </w:tc>
      </w:tr>
      <w:tr>
        <w:trPr>
          <w:cantSplit/>
        </w:trPr>
        <w:tc>
          <w:tcPr>
            <w:tcW w:w="2083" w:type="dxa"/>
          </w:tcPr>
          <w:p>
            <w:pPr>
              <w:pStyle w:val="nTable"/>
              <w:keepLines/>
              <w:spacing w:after="40"/>
              <w:ind w:right="113"/>
              <w:rPr>
                <w:i/>
                <w:sz w:val="19"/>
              </w:rPr>
            </w:pPr>
            <w:r>
              <w:rPr>
                <w:i/>
                <w:sz w:val="19"/>
              </w:rPr>
              <w:t>Corporations (Consequential Amendments) Act 2001</w:t>
            </w:r>
            <w:r>
              <w:rPr>
                <w:sz w:val="19"/>
              </w:rPr>
              <w:t xml:space="preserve"> Pt. 48</w:t>
            </w:r>
          </w:p>
        </w:tc>
        <w:tc>
          <w:tcPr>
            <w:tcW w:w="1132" w:type="dxa"/>
            <w:gridSpan w:val="3"/>
          </w:tcPr>
          <w:p>
            <w:pPr>
              <w:pStyle w:val="nTable"/>
              <w:keepLines/>
              <w:spacing w:after="40"/>
              <w:rPr>
                <w:sz w:val="19"/>
              </w:rPr>
            </w:pPr>
            <w:r>
              <w:rPr>
                <w:sz w:val="19"/>
              </w:rPr>
              <w:t>10 of 2001</w:t>
            </w:r>
          </w:p>
        </w:tc>
        <w:tc>
          <w:tcPr>
            <w:tcW w:w="1318" w:type="dxa"/>
            <w:gridSpan w:val="3"/>
          </w:tcPr>
          <w:p>
            <w:pPr>
              <w:pStyle w:val="nTable"/>
              <w:keepLines/>
              <w:spacing w:after="40"/>
              <w:rPr>
                <w:sz w:val="19"/>
              </w:rPr>
            </w:pPr>
            <w:r>
              <w:rPr>
                <w:sz w:val="19"/>
              </w:rPr>
              <w:t>28 Jun 2001</w:t>
            </w:r>
          </w:p>
        </w:tc>
        <w:tc>
          <w:tcPr>
            <w:tcW w:w="2452" w:type="dxa"/>
            <w:gridSpan w:val="2"/>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083" w:type="dxa"/>
          </w:tcPr>
          <w:p>
            <w:pPr>
              <w:pStyle w:val="nTable"/>
              <w:spacing w:after="40"/>
              <w:ind w:right="113"/>
              <w:rPr>
                <w:sz w:val="19"/>
              </w:rPr>
            </w:pPr>
            <w:r>
              <w:rPr>
                <w:i/>
                <w:sz w:val="19"/>
              </w:rPr>
              <w:t xml:space="preserve">Building Societies Amendment Act 2001 </w:t>
            </w:r>
            <w:r>
              <w:rPr>
                <w:sz w:val="19"/>
              </w:rPr>
              <w:t>s. 51</w:t>
            </w:r>
          </w:p>
        </w:tc>
        <w:tc>
          <w:tcPr>
            <w:tcW w:w="1132" w:type="dxa"/>
            <w:gridSpan w:val="3"/>
          </w:tcPr>
          <w:p>
            <w:pPr>
              <w:pStyle w:val="nTable"/>
              <w:spacing w:after="40"/>
              <w:rPr>
                <w:sz w:val="19"/>
              </w:rPr>
            </w:pPr>
            <w:r>
              <w:rPr>
                <w:sz w:val="19"/>
              </w:rPr>
              <w:t>12 of 2001</w:t>
            </w:r>
          </w:p>
        </w:tc>
        <w:tc>
          <w:tcPr>
            <w:tcW w:w="1318" w:type="dxa"/>
            <w:gridSpan w:val="3"/>
          </w:tcPr>
          <w:p>
            <w:pPr>
              <w:pStyle w:val="nTable"/>
              <w:spacing w:after="40"/>
              <w:rPr>
                <w:sz w:val="19"/>
              </w:rPr>
            </w:pPr>
            <w:r>
              <w:rPr>
                <w:sz w:val="19"/>
              </w:rPr>
              <w:t>13 Jul 2001</w:t>
            </w:r>
          </w:p>
        </w:tc>
        <w:tc>
          <w:tcPr>
            <w:tcW w:w="2452" w:type="dxa"/>
            <w:gridSpan w:val="2"/>
          </w:tcPr>
          <w:p>
            <w:pPr>
              <w:pStyle w:val="nTable"/>
              <w:spacing w:after="40"/>
              <w:rPr>
                <w:sz w:val="19"/>
              </w:rPr>
            </w:pPr>
            <w:r>
              <w:rPr>
                <w:sz w:val="19"/>
              </w:rPr>
              <w:t>13 Jul 2001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083" w:type="dxa"/>
          </w:tcPr>
          <w:p>
            <w:pPr>
              <w:pStyle w:val="nTable"/>
              <w:spacing w:after="40"/>
              <w:ind w:right="113"/>
              <w:rPr>
                <w:sz w:val="19"/>
              </w:rPr>
            </w:pPr>
            <w:r>
              <w:rPr>
                <w:i/>
                <w:sz w:val="19"/>
              </w:rPr>
              <w:t>Revenue Laws Amendment (Assessment) Act (No. 2) 2001</w:t>
            </w:r>
            <w:r>
              <w:rPr>
                <w:sz w:val="19"/>
              </w:rPr>
              <w:t xml:space="preserve"> Pt. 5 and 6</w:t>
            </w:r>
          </w:p>
        </w:tc>
        <w:tc>
          <w:tcPr>
            <w:tcW w:w="1132" w:type="dxa"/>
            <w:gridSpan w:val="3"/>
          </w:tcPr>
          <w:p>
            <w:pPr>
              <w:pStyle w:val="nTable"/>
              <w:spacing w:after="40"/>
              <w:rPr>
                <w:sz w:val="19"/>
              </w:rPr>
            </w:pPr>
            <w:r>
              <w:rPr>
                <w:sz w:val="19"/>
              </w:rPr>
              <w:t>36 of 2001</w:t>
            </w:r>
          </w:p>
        </w:tc>
        <w:tc>
          <w:tcPr>
            <w:tcW w:w="1318" w:type="dxa"/>
            <w:gridSpan w:val="3"/>
          </w:tcPr>
          <w:p>
            <w:pPr>
              <w:pStyle w:val="nTable"/>
              <w:spacing w:after="40"/>
              <w:rPr>
                <w:sz w:val="19"/>
              </w:rPr>
            </w:pPr>
            <w:r>
              <w:rPr>
                <w:sz w:val="19"/>
              </w:rPr>
              <w:t>7 Jan 2002</w:t>
            </w:r>
          </w:p>
        </w:tc>
        <w:tc>
          <w:tcPr>
            <w:tcW w:w="2452" w:type="dxa"/>
            <w:gridSpan w:val="2"/>
          </w:tcPr>
          <w:p>
            <w:pPr>
              <w:pStyle w:val="nTable"/>
              <w:spacing w:after="40"/>
              <w:rPr>
                <w:sz w:val="19"/>
              </w:rPr>
            </w:pPr>
            <w:r>
              <w:rPr>
                <w:sz w:val="19"/>
              </w:rPr>
              <w:t>7 Jan 2002 (see s. 2(1))</w:t>
            </w:r>
          </w:p>
        </w:tc>
      </w:tr>
      <w:tr>
        <w:trPr>
          <w:cantSplit/>
        </w:trPr>
        <w:tc>
          <w:tcPr>
            <w:tcW w:w="2083"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32" w:type="dxa"/>
            <w:gridSpan w:val="3"/>
          </w:tcPr>
          <w:p>
            <w:pPr>
              <w:pStyle w:val="nTable"/>
              <w:spacing w:after="40"/>
              <w:rPr>
                <w:sz w:val="19"/>
              </w:rPr>
            </w:pPr>
            <w:r>
              <w:rPr>
                <w:sz w:val="19"/>
              </w:rPr>
              <w:t>37 of 2001</w:t>
            </w:r>
          </w:p>
        </w:tc>
        <w:tc>
          <w:tcPr>
            <w:tcW w:w="1318" w:type="dxa"/>
            <w:gridSpan w:val="3"/>
          </w:tcPr>
          <w:p>
            <w:pPr>
              <w:pStyle w:val="nTable"/>
              <w:spacing w:after="40"/>
              <w:rPr>
                <w:sz w:val="19"/>
              </w:rPr>
            </w:pPr>
            <w:r>
              <w:rPr>
                <w:sz w:val="19"/>
              </w:rPr>
              <w:t>7 Jan 2002</w:t>
            </w:r>
          </w:p>
        </w:tc>
        <w:tc>
          <w:tcPr>
            <w:tcW w:w="2452" w:type="dxa"/>
            <w:gridSpan w:val="2"/>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083"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2" w:type="dxa"/>
            <w:gridSpan w:val="3"/>
          </w:tcPr>
          <w:p>
            <w:pPr>
              <w:pStyle w:val="nTable"/>
              <w:spacing w:after="40"/>
              <w:rPr>
                <w:sz w:val="19"/>
              </w:rPr>
            </w:pPr>
            <w:r>
              <w:rPr>
                <w:sz w:val="19"/>
              </w:rPr>
              <w:t>7 of 2002</w:t>
            </w:r>
          </w:p>
        </w:tc>
        <w:tc>
          <w:tcPr>
            <w:tcW w:w="1318" w:type="dxa"/>
            <w:gridSpan w:val="3"/>
          </w:tcPr>
          <w:p>
            <w:pPr>
              <w:pStyle w:val="nTable"/>
              <w:spacing w:after="40"/>
              <w:rPr>
                <w:sz w:val="19"/>
              </w:rPr>
            </w:pPr>
            <w:r>
              <w:rPr>
                <w:sz w:val="19"/>
              </w:rPr>
              <w:t>19 Jun 2002</w:t>
            </w:r>
          </w:p>
        </w:tc>
        <w:tc>
          <w:tcPr>
            <w:tcW w:w="2452"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083" w:type="dxa"/>
          </w:tcPr>
          <w:p>
            <w:pPr>
              <w:pStyle w:val="nTable"/>
              <w:spacing w:after="40"/>
              <w:ind w:right="113"/>
              <w:rPr>
                <w:sz w:val="19"/>
              </w:rPr>
            </w:pPr>
            <w:r>
              <w:rPr>
                <w:i/>
                <w:sz w:val="19"/>
              </w:rPr>
              <w:t>Stamp Amendment (Budget) Act 2002</w:t>
            </w:r>
            <w:r>
              <w:rPr>
                <w:sz w:val="19"/>
              </w:rPr>
              <w:t xml:space="preserve"> </w:t>
            </w:r>
            <w:r>
              <w:rPr>
                <w:sz w:val="19"/>
                <w:vertAlign w:val="superscript"/>
              </w:rPr>
              <w:t>38, 39, 40</w:t>
            </w:r>
          </w:p>
        </w:tc>
        <w:tc>
          <w:tcPr>
            <w:tcW w:w="1132" w:type="dxa"/>
            <w:gridSpan w:val="3"/>
          </w:tcPr>
          <w:p>
            <w:pPr>
              <w:pStyle w:val="nTable"/>
              <w:spacing w:after="40"/>
              <w:rPr>
                <w:sz w:val="19"/>
              </w:rPr>
            </w:pPr>
            <w:r>
              <w:rPr>
                <w:sz w:val="19"/>
              </w:rPr>
              <w:t>11 of 2002</w:t>
            </w:r>
          </w:p>
        </w:tc>
        <w:tc>
          <w:tcPr>
            <w:tcW w:w="1318" w:type="dxa"/>
            <w:gridSpan w:val="3"/>
          </w:tcPr>
          <w:p>
            <w:pPr>
              <w:pStyle w:val="nTable"/>
              <w:spacing w:after="40"/>
              <w:rPr>
                <w:sz w:val="19"/>
              </w:rPr>
            </w:pPr>
            <w:r>
              <w:rPr>
                <w:sz w:val="19"/>
              </w:rPr>
              <w:t>28 Jun 2002</w:t>
            </w:r>
          </w:p>
        </w:tc>
        <w:tc>
          <w:tcPr>
            <w:tcW w:w="2452" w:type="dxa"/>
            <w:gridSpan w:val="2"/>
          </w:tcPr>
          <w:p>
            <w:pPr>
              <w:pStyle w:val="nTable"/>
              <w:spacing w:after="40"/>
              <w:rPr>
                <w:sz w:val="19"/>
              </w:rPr>
            </w:pPr>
            <w:r>
              <w:rPr>
                <w:sz w:val="19"/>
              </w:rPr>
              <w:t>1 Jul 2002 (see s. 2)</w:t>
            </w:r>
          </w:p>
        </w:tc>
      </w:tr>
      <w:tr>
        <w:trPr>
          <w:cantSplit/>
        </w:trPr>
        <w:tc>
          <w:tcPr>
            <w:tcW w:w="2083" w:type="dxa"/>
          </w:tcPr>
          <w:p>
            <w:pPr>
              <w:pStyle w:val="nTable"/>
              <w:spacing w:after="40"/>
              <w:ind w:right="113"/>
              <w:rPr>
                <w:sz w:val="19"/>
              </w:rPr>
            </w:pPr>
            <w:r>
              <w:rPr>
                <w:i/>
                <w:sz w:val="19"/>
              </w:rPr>
              <w:t>Family Court Amendment Act 2002</w:t>
            </w:r>
            <w:r>
              <w:rPr>
                <w:sz w:val="19"/>
              </w:rPr>
              <w:t xml:space="preserve"> s. 52</w:t>
            </w:r>
          </w:p>
        </w:tc>
        <w:tc>
          <w:tcPr>
            <w:tcW w:w="1132" w:type="dxa"/>
            <w:gridSpan w:val="3"/>
          </w:tcPr>
          <w:p>
            <w:pPr>
              <w:pStyle w:val="nTable"/>
              <w:spacing w:after="40"/>
              <w:rPr>
                <w:sz w:val="19"/>
              </w:rPr>
            </w:pPr>
            <w:r>
              <w:rPr>
                <w:sz w:val="19"/>
              </w:rPr>
              <w:t>25 of 2002</w:t>
            </w:r>
          </w:p>
        </w:tc>
        <w:tc>
          <w:tcPr>
            <w:tcW w:w="1318" w:type="dxa"/>
            <w:gridSpan w:val="3"/>
          </w:tcPr>
          <w:p>
            <w:pPr>
              <w:pStyle w:val="nTable"/>
              <w:spacing w:after="40"/>
              <w:rPr>
                <w:sz w:val="19"/>
              </w:rPr>
            </w:pPr>
            <w:r>
              <w:rPr>
                <w:sz w:val="19"/>
              </w:rPr>
              <w:t>25 Sep 2002</w:t>
            </w:r>
          </w:p>
        </w:tc>
        <w:tc>
          <w:tcPr>
            <w:tcW w:w="2452" w:type="dxa"/>
            <w:gridSpan w:val="2"/>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083"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41</w:t>
            </w:r>
          </w:p>
        </w:tc>
        <w:tc>
          <w:tcPr>
            <w:tcW w:w="1132" w:type="dxa"/>
            <w:gridSpan w:val="3"/>
          </w:tcPr>
          <w:p>
            <w:pPr>
              <w:pStyle w:val="nTable"/>
              <w:spacing w:after="40"/>
              <w:rPr>
                <w:sz w:val="19"/>
              </w:rPr>
            </w:pPr>
            <w:r>
              <w:rPr>
                <w:sz w:val="19"/>
              </w:rPr>
              <w:t>46 of 2002</w:t>
            </w:r>
          </w:p>
        </w:tc>
        <w:tc>
          <w:tcPr>
            <w:tcW w:w="1318" w:type="dxa"/>
            <w:gridSpan w:val="3"/>
          </w:tcPr>
          <w:p>
            <w:pPr>
              <w:pStyle w:val="nTable"/>
              <w:spacing w:after="40"/>
              <w:rPr>
                <w:sz w:val="19"/>
              </w:rPr>
            </w:pPr>
            <w:r>
              <w:rPr>
                <w:sz w:val="19"/>
              </w:rPr>
              <w:t>20 Mar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083" w:type="dxa"/>
          </w:tcPr>
          <w:p>
            <w:pPr>
              <w:pStyle w:val="nTable"/>
              <w:spacing w:after="40"/>
              <w:ind w:right="113"/>
              <w:rPr>
                <w:i/>
                <w:sz w:val="19"/>
              </w:rPr>
            </w:pPr>
            <w:r>
              <w:rPr>
                <w:i/>
                <w:sz w:val="19"/>
              </w:rPr>
              <w:t>Stamp Amendment Act 2003</w:t>
            </w:r>
          </w:p>
        </w:tc>
        <w:tc>
          <w:tcPr>
            <w:tcW w:w="1132" w:type="dxa"/>
            <w:gridSpan w:val="3"/>
          </w:tcPr>
          <w:p>
            <w:pPr>
              <w:pStyle w:val="nTable"/>
              <w:spacing w:after="40"/>
              <w:rPr>
                <w:sz w:val="19"/>
              </w:rPr>
            </w:pPr>
            <w:r>
              <w:rPr>
                <w:sz w:val="19"/>
              </w:rPr>
              <w:t>2 of 2003</w:t>
            </w:r>
          </w:p>
        </w:tc>
        <w:tc>
          <w:tcPr>
            <w:tcW w:w="1318" w:type="dxa"/>
            <w:gridSpan w:val="3"/>
          </w:tcPr>
          <w:p>
            <w:pPr>
              <w:pStyle w:val="nTable"/>
              <w:spacing w:after="40"/>
              <w:rPr>
                <w:sz w:val="19"/>
              </w:rPr>
            </w:pPr>
            <w:r>
              <w:rPr>
                <w:sz w:val="19"/>
              </w:rPr>
              <w:t>20 Mar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083"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42</w:t>
            </w:r>
          </w:p>
        </w:tc>
        <w:tc>
          <w:tcPr>
            <w:tcW w:w="1132" w:type="dxa"/>
            <w:gridSpan w:val="3"/>
          </w:tcPr>
          <w:p>
            <w:pPr>
              <w:pStyle w:val="nTable"/>
              <w:spacing w:after="40"/>
              <w:rPr>
                <w:sz w:val="19"/>
              </w:rPr>
            </w:pPr>
            <w:r>
              <w:rPr>
                <w:sz w:val="19"/>
              </w:rPr>
              <w:t>21 of 2003</w:t>
            </w:r>
          </w:p>
        </w:tc>
        <w:tc>
          <w:tcPr>
            <w:tcW w:w="1318" w:type="dxa"/>
            <w:gridSpan w:val="3"/>
          </w:tcPr>
          <w:p>
            <w:pPr>
              <w:pStyle w:val="nTable"/>
              <w:spacing w:after="40"/>
              <w:rPr>
                <w:sz w:val="19"/>
              </w:rPr>
            </w:pPr>
            <w:r>
              <w:rPr>
                <w:sz w:val="19"/>
              </w:rPr>
              <w:t>23 Apr 2003</w:t>
            </w:r>
          </w:p>
        </w:tc>
        <w:tc>
          <w:tcPr>
            <w:tcW w:w="2452" w:type="dxa"/>
            <w:gridSpan w:val="2"/>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083" w:type="dxa"/>
          </w:tcPr>
          <w:p>
            <w:pPr>
              <w:pStyle w:val="nTable"/>
              <w:spacing w:after="40"/>
              <w:ind w:right="113"/>
              <w:rPr>
                <w:sz w:val="19"/>
              </w:rPr>
            </w:pPr>
            <w:r>
              <w:rPr>
                <w:i/>
                <w:sz w:val="19"/>
              </w:rPr>
              <w:t>Acts Amendment (Equality of Status) Act 2003</w:t>
            </w:r>
            <w:r>
              <w:rPr>
                <w:sz w:val="19"/>
              </w:rPr>
              <w:t xml:space="preserve"> Pt. 55</w:t>
            </w:r>
          </w:p>
        </w:tc>
        <w:tc>
          <w:tcPr>
            <w:tcW w:w="1132" w:type="dxa"/>
            <w:gridSpan w:val="3"/>
          </w:tcPr>
          <w:p>
            <w:pPr>
              <w:pStyle w:val="nTable"/>
              <w:spacing w:after="40"/>
              <w:rPr>
                <w:sz w:val="19"/>
              </w:rPr>
            </w:pPr>
            <w:r>
              <w:rPr>
                <w:sz w:val="19"/>
              </w:rPr>
              <w:t>28 of 2003</w:t>
            </w:r>
          </w:p>
        </w:tc>
        <w:tc>
          <w:tcPr>
            <w:tcW w:w="1318" w:type="dxa"/>
            <w:gridSpan w:val="3"/>
          </w:tcPr>
          <w:p>
            <w:pPr>
              <w:pStyle w:val="nTable"/>
              <w:spacing w:after="40"/>
              <w:rPr>
                <w:sz w:val="19"/>
              </w:rPr>
            </w:pPr>
            <w:r>
              <w:rPr>
                <w:sz w:val="19"/>
              </w:rPr>
              <w:t>22 May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083" w:type="dxa"/>
          </w:tcPr>
          <w:p>
            <w:pPr>
              <w:pStyle w:val="nTable"/>
              <w:spacing w:after="40"/>
              <w:ind w:right="113"/>
              <w:rPr>
                <w:sz w:val="19"/>
              </w:rPr>
            </w:pPr>
            <w:r>
              <w:rPr>
                <w:i/>
                <w:sz w:val="19"/>
              </w:rPr>
              <w:t>Stamp Amendment (Budget) Act 2003</w:t>
            </w:r>
            <w:r>
              <w:rPr>
                <w:sz w:val="19"/>
                <w:vertAlign w:val="superscript"/>
              </w:rPr>
              <w:t> 43</w:t>
            </w:r>
          </w:p>
        </w:tc>
        <w:tc>
          <w:tcPr>
            <w:tcW w:w="1132" w:type="dxa"/>
            <w:gridSpan w:val="3"/>
          </w:tcPr>
          <w:p>
            <w:pPr>
              <w:pStyle w:val="nTable"/>
              <w:spacing w:after="40"/>
              <w:rPr>
                <w:sz w:val="19"/>
              </w:rPr>
            </w:pPr>
            <w:r>
              <w:rPr>
                <w:sz w:val="19"/>
              </w:rPr>
              <w:t>44 of 2003</w:t>
            </w:r>
          </w:p>
        </w:tc>
        <w:tc>
          <w:tcPr>
            <w:tcW w:w="1318" w:type="dxa"/>
            <w:gridSpan w:val="3"/>
          </w:tcPr>
          <w:p>
            <w:pPr>
              <w:pStyle w:val="nTable"/>
              <w:spacing w:after="40"/>
              <w:rPr>
                <w:sz w:val="19"/>
              </w:rPr>
            </w:pPr>
            <w:r>
              <w:rPr>
                <w:sz w:val="19"/>
              </w:rPr>
              <w:t>30 Jun 2003</w:t>
            </w:r>
          </w:p>
        </w:tc>
        <w:tc>
          <w:tcPr>
            <w:tcW w:w="2452" w:type="dxa"/>
            <w:gridSpan w:val="2"/>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083" w:type="dxa"/>
          </w:tcPr>
          <w:p>
            <w:pPr>
              <w:pStyle w:val="nTable"/>
              <w:spacing w:after="40"/>
              <w:rPr>
                <w:sz w:val="19"/>
              </w:rPr>
            </w:pPr>
            <w:r>
              <w:rPr>
                <w:i/>
                <w:sz w:val="19"/>
              </w:rPr>
              <w:t>Acts Amendment (Carbon Rights and Tree Plantation Agreements) Act 2003</w:t>
            </w:r>
            <w:r>
              <w:rPr>
                <w:sz w:val="19"/>
              </w:rPr>
              <w:t xml:space="preserve"> Pt. 4</w:t>
            </w:r>
          </w:p>
        </w:tc>
        <w:tc>
          <w:tcPr>
            <w:tcW w:w="1132" w:type="dxa"/>
            <w:gridSpan w:val="3"/>
          </w:tcPr>
          <w:p>
            <w:pPr>
              <w:pStyle w:val="nTable"/>
              <w:spacing w:after="40"/>
              <w:rPr>
                <w:sz w:val="19"/>
              </w:rPr>
            </w:pPr>
            <w:r>
              <w:rPr>
                <w:sz w:val="19"/>
              </w:rPr>
              <w:t>56 of 2003</w:t>
            </w:r>
          </w:p>
        </w:tc>
        <w:tc>
          <w:tcPr>
            <w:tcW w:w="1318" w:type="dxa"/>
            <w:gridSpan w:val="3"/>
          </w:tcPr>
          <w:p>
            <w:pPr>
              <w:pStyle w:val="nTable"/>
              <w:spacing w:after="40"/>
              <w:rPr>
                <w:sz w:val="19"/>
              </w:rPr>
            </w:pPr>
            <w:r>
              <w:rPr>
                <w:sz w:val="19"/>
              </w:rPr>
              <w:t>29 Oct 2003</w:t>
            </w:r>
          </w:p>
        </w:tc>
        <w:tc>
          <w:tcPr>
            <w:tcW w:w="2452"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083" w:type="dxa"/>
          </w:tcPr>
          <w:p>
            <w:pPr>
              <w:pStyle w:val="nTable"/>
              <w:spacing w:after="40"/>
              <w:ind w:right="113"/>
              <w:rPr>
                <w:sz w:val="19"/>
                <w:vertAlign w:val="superscript"/>
              </w:rPr>
            </w:pPr>
            <w:r>
              <w:rPr>
                <w:i/>
                <w:sz w:val="19"/>
              </w:rPr>
              <w:t>Business Tax Review (Taxing) Act (No. 2) 2003</w:t>
            </w:r>
            <w:r>
              <w:rPr>
                <w:sz w:val="19"/>
                <w:vertAlign w:val="superscript"/>
              </w:rPr>
              <w:t> </w:t>
            </w:r>
          </w:p>
        </w:tc>
        <w:tc>
          <w:tcPr>
            <w:tcW w:w="1132" w:type="dxa"/>
            <w:gridSpan w:val="3"/>
          </w:tcPr>
          <w:p>
            <w:pPr>
              <w:pStyle w:val="nTable"/>
              <w:spacing w:after="40"/>
              <w:rPr>
                <w:sz w:val="19"/>
              </w:rPr>
            </w:pPr>
            <w:r>
              <w:rPr>
                <w:sz w:val="19"/>
              </w:rPr>
              <w:t>59 of 2003</w:t>
            </w:r>
          </w:p>
        </w:tc>
        <w:tc>
          <w:tcPr>
            <w:tcW w:w="1318" w:type="dxa"/>
            <w:gridSpan w:val="3"/>
          </w:tcPr>
          <w:p>
            <w:pPr>
              <w:pStyle w:val="nTable"/>
              <w:spacing w:after="40"/>
              <w:rPr>
                <w:sz w:val="19"/>
              </w:rPr>
            </w:pPr>
            <w:r>
              <w:rPr>
                <w:sz w:val="19"/>
              </w:rPr>
              <w:t>26 Nov 2003</w:t>
            </w:r>
          </w:p>
        </w:tc>
        <w:tc>
          <w:tcPr>
            <w:tcW w:w="2452" w:type="dxa"/>
            <w:gridSpan w:val="2"/>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083"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4, 44</w:t>
            </w:r>
          </w:p>
        </w:tc>
        <w:tc>
          <w:tcPr>
            <w:tcW w:w="1132" w:type="dxa"/>
            <w:gridSpan w:val="3"/>
          </w:tcPr>
          <w:p>
            <w:pPr>
              <w:pStyle w:val="nTable"/>
              <w:spacing w:after="40"/>
              <w:rPr>
                <w:sz w:val="19"/>
              </w:rPr>
            </w:pPr>
            <w:r>
              <w:rPr>
                <w:sz w:val="19"/>
              </w:rPr>
              <w:t>66 of 2003</w:t>
            </w:r>
          </w:p>
        </w:tc>
        <w:tc>
          <w:tcPr>
            <w:tcW w:w="1318" w:type="dxa"/>
            <w:gridSpan w:val="3"/>
          </w:tcPr>
          <w:p>
            <w:pPr>
              <w:pStyle w:val="nTable"/>
              <w:spacing w:after="40"/>
              <w:rPr>
                <w:sz w:val="19"/>
              </w:rPr>
            </w:pPr>
            <w:r>
              <w:rPr>
                <w:sz w:val="19"/>
              </w:rPr>
              <w:t>5 Dec 2003</w:t>
            </w:r>
          </w:p>
        </w:tc>
        <w:tc>
          <w:tcPr>
            <w:tcW w:w="2452" w:type="dxa"/>
            <w:gridSpan w:val="2"/>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083" w:type="dxa"/>
          </w:tcPr>
          <w:p>
            <w:pPr>
              <w:pStyle w:val="nTable"/>
              <w:spacing w:after="40"/>
              <w:rPr>
                <w:sz w:val="19"/>
              </w:rPr>
            </w:pPr>
            <w:r>
              <w:rPr>
                <w:i/>
                <w:sz w:val="19"/>
              </w:rPr>
              <w:t>Revenue Laws Amendment Act 2004</w:t>
            </w:r>
            <w:r>
              <w:rPr>
                <w:sz w:val="19"/>
              </w:rPr>
              <w:t xml:space="preserve"> Pt. 3 </w:t>
            </w:r>
            <w:r>
              <w:rPr>
                <w:sz w:val="19"/>
                <w:vertAlign w:val="superscript"/>
              </w:rPr>
              <w:t>7</w:t>
            </w:r>
          </w:p>
        </w:tc>
        <w:tc>
          <w:tcPr>
            <w:tcW w:w="1132" w:type="dxa"/>
            <w:gridSpan w:val="3"/>
          </w:tcPr>
          <w:p>
            <w:pPr>
              <w:pStyle w:val="nTable"/>
              <w:spacing w:after="40"/>
              <w:rPr>
                <w:sz w:val="19"/>
              </w:rPr>
            </w:pPr>
            <w:r>
              <w:rPr>
                <w:sz w:val="19"/>
              </w:rPr>
              <w:t>11 of 2004</w:t>
            </w:r>
          </w:p>
        </w:tc>
        <w:tc>
          <w:tcPr>
            <w:tcW w:w="1318" w:type="dxa"/>
            <w:gridSpan w:val="3"/>
          </w:tcPr>
          <w:p>
            <w:pPr>
              <w:pStyle w:val="nTable"/>
              <w:spacing w:after="40"/>
              <w:rPr>
                <w:sz w:val="19"/>
              </w:rPr>
            </w:pPr>
            <w:r>
              <w:rPr>
                <w:sz w:val="19"/>
              </w:rPr>
              <w:t>29 Jun 2004</w:t>
            </w:r>
          </w:p>
        </w:tc>
        <w:tc>
          <w:tcPr>
            <w:tcW w:w="2452" w:type="dxa"/>
            <w:gridSpan w:val="2"/>
          </w:tcPr>
          <w:p>
            <w:pPr>
              <w:pStyle w:val="nTable"/>
              <w:spacing w:after="40"/>
              <w:rPr>
                <w:sz w:val="19"/>
              </w:rPr>
            </w:pPr>
            <w:r>
              <w:rPr>
                <w:sz w:val="19"/>
              </w:rPr>
              <w:t>1 Jul 2004 (see s. 2(2))</w:t>
            </w:r>
          </w:p>
        </w:tc>
      </w:tr>
      <w:tr>
        <w:trPr>
          <w:cantSplit/>
        </w:trPr>
        <w:tc>
          <w:tcPr>
            <w:tcW w:w="2083"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2</w:t>
            </w:r>
          </w:p>
        </w:tc>
        <w:tc>
          <w:tcPr>
            <w:tcW w:w="1132" w:type="dxa"/>
            <w:gridSpan w:val="3"/>
          </w:tcPr>
          <w:p>
            <w:pPr>
              <w:pStyle w:val="nTable"/>
              <w:spacing w:after="40"/>
              <w:rPr>
                <w:sz w:val="19"/>
              </w:rPr>
            </w:pPr>
            <w:r>
              <w:rPr>
                <w:sz w:val="19"/>
              </w:rPr>
              <w:t>12 of 2004</w:t>
            </w:r>
          </w:p>
        </w:tc>
        <w:tc>
          <w:tcPr>
            <w:tcW w:w="1318" w:type="dxa"/>
            <w:gridSpan w:val="3"/>
          </w:tcPr>
          <w:p>
            <w:pPr>
              <w:pStyle w:val="nTable"/>
              <w:spacing w:after="40"/>
              <w:rPr>
                <w:sz w:val="19"/>
              </w:rPr>
            </w:pPr>
            <w:r>
              <w:rPr>
                <w:sz w:val="19"/>
              </w:rPr>
              <w:t>29 Jun 2004</w:t>
            </w:r>
          </w:p>
        </w:tc>
        <w:tc>
          <w:tcPr>
            <w:tcW w:w="2452" w:type="dxa"/>
            <w:gridSpan w:val="2"/>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083"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32" w:type="dxa"/>
            <w:gridSpan w:val="3"/>
          </w:tcPr>
          <w:p>
            <w:pPr>
              <w:pStyle w:val="nTable"/>
              <w:spacing w:after="40"/>
              <w:rPr>
                <w:sz w:val="19"/>
              </w:rPr>
            </w:pPr>
            <w:r>
              <w:rPr>
                <w:snapToGrid w:val="0"/>
                <w:sz w:val="19"/>
                <w:lang w:val="en-US"/>
              </w:rPr>
              <w:t>42 of 2004</w:t>
            </w:r>
          </w:p>
        </w:tc>
        <w:tc>
          <w:tcPr>
            <w:tcW w:w="1318" w:type="dxa"/>
            <w:gridSpan w:val="3"/>
          </w:tcPr>
          <w:p>
            <w:pPr>
              <w:pStyle w:val="nTable"/>
              <w:spacing w:after="40"/>
              <w:rPr>
                <w:sz w:val="19"/>
              </w:rPr>
            </w:pPr>
            <w:r>
              <w:rPr>
                <w:sz w:val="19"/>
              </w:rPr>
              <w:t>9 Nov 2004</w:t>
            </w:r>
          </w:p>
        </w:tc>
        <w:tc>
          <w:tcPr>
            <w:tcW w:w="2452" w:type="dxa"/>
            <w:gridSpan w:val="2"/>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083"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45</w:t>
            </w:r>
          </w:p>
        </w:tc>
        <w:tc>
          <w:tcPr>
            <w:tcW w:w="1132" w:type="dxa"/>
            <w:gridSpan w:val="3"/>
          </w:tcPr>
          <w:p>
            <w:pPr>
              <w:pStyle w:val="nTable"/>
              <w:spacing w:after="40"/>
              <w:rPr>
                <w:sz w:val="19"/>
              </w:rPr>
            </w:pPr>
            <w:r>
              <w:rPr>
                <w:sz w:val="19"/>
              </w:rPr>
              <w:t>83 of 2004</w:t>
            </w:r>
          </w:p>
        </w:tc>
        <w:tc>
          <w:tcPr>
            <w:tcW w:w="1318" w:type="dxa"/>
            <w:gridSpan w:val="3"/>
          </w:tcPr>
          <w:p>
            <w:pPr>
              <w:pStyle w:val="nTable"/>
              <w:spacing w:after="40"/>
              <w:rPr>
                <w:sz w:val="19"/>
              </w:rPr>
            </w:pPr>
            <w:r>
              <w:rPr>
                <w:sz w:val="19"/>
              </w:rPr>
              <w:t>8 Dec 2004</w:t>
            </w:r>
          </w:p>
        </w:tc>
        <w:tc>
          <w:tcPr>
            <w:tcW w:w="2452" w:type="dxa"/>
            <w:gridSpan w:val="2"/>
          </w:tcPr>
          <w:p>
            <w:pPr>
              <w:pStyle w:val="nTable"/>
              <w:spacing w:after="40"/>
              <w:rPr>
                <w:spacing w:val="-2"/>
                <w:sz w:val="19"/>
              </w:rPr>
            </w:pPr>
            <w:r>
              <w:rPr>
                <w:sz w:val="19"/>
              </w:rPr>
              <w:t>8 Dec 2004 (see s. 2)</w:t>
            </w:r>
          </w:p>
        </w:tc>
      </w:tr>
      <w:tr>
        <w:trPr>
          <w:cantSplit/>
        </w:trPr>
        <w:tc>
          <w:tcPr>
            <w:tcW w:w="6985"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083" w:type="dxa"/>
          </w:tcPr>
          <w:p>
            <w:pPr>
              <w:pStyle w:val="nTable"/>
              <w:spacing w:after="40"/>
              <w:rPr>
                <w:sz w:val="19"/>
              </w:rPr>
            </w:pPr>
            <w:r>
              <w:rPr>
                <w:i/>
                <w:sz w:val="19"/>
              </w:rPr>
              <w:t>Revenue Laws Amendment Act 2005</w:t>
            </w:r>
            <w:r>
              <w:rPr>
                <w:sz w:val="19"/>
              </w:rPr>
              <w:t xml:space="preserve"> Pt. 3 </w:t>
            </w:r>
            <w:r>
              <w:rPr>
                <w:sz w:val="19"/>
                <w:vertAlign w:val="superscript"/>
              </w:rPr>
              <w:t>46, 47</w:t>
            </w:r>
          </w:p>
        </w:tc>
        <w:tc>
          <w:tcPr>
            <w:tcW w:w="1075" w:type="dxa"/>
            <w:gridSpan w:val="2"/>
          </w:tcPr>
          <w:p>
            <w:pPr>
              <w:pStyle w:val="nTable"/>
              <w:spacing w:after="40"/>
              <w:rPr>
                <w:sz w:val="19"/>
              </w:rPr>
            </w:pPr>
            <w:r>
              <w:rPr>
                <w:sz w:val="19"/>
              </w:rPr>
              <w:t>11 of 2005</w:t>
            </w:r>
          </w:p>
        </w:tc>
        <w:tc>
          <w:tcPr>
            <w:tcW w:w="1375" w:type="dxa"/>
            <w:gridSpan w:val="4"/>
          </w:tcPr>
          <w:p>
            <w:pPr>
              <w:pStyle w:val="nTable"/>
              <w:spacing w:after="40"/>
              <w:rPr>
                <w:sz w:val="19"/>
              </w:rPr>
            </w:pPr>
            <w:r>
              <w:rPr>
                <w:sz w:val="19"/>
              </w:rPr>
              <w:t>30 Aug 2005</w:t>
            </w:r>
          </w:p>
        </w:tc>
        <w:tc>
          <w:tcPr>
            <w:tcW w:w="2452" w:type="dxa"/>
            <w:gridSpan w:val="2"/>
          </w:tcPr>
          <w:p>
            <w:pPr>
              <w:pStyle w:val="nTable"/>
              <w:spacing w:after="40"/>
              <w:rPr>
                <w:sz w:val="19"/>
              </w:rPr>
            </w:pPr>
            <w:r>
              <w:rPr>
                <w:sz w:val="19"/>
              </w:rPr>
              <w:t>s. 27 &amp; 29: 1 Jan 2004 (see s. 2(3));</w:t>
            </w:r>
            <w:r>
              <w:rPr>
                <w:sz w:val="19"/>
              </w:rPr>
              <w:br/>
              <w:t>s. 28: 1 Jul 2004 (see s. 2(4));</w:t>
            </w:r>
            <w:r>
              <w:rPr>
                <w:sz w:val="19"/>
              </w:rPr>
              <w:br/>
              <w:t>s. 8, 11(1), 13(2) &amp; (3) and 18-25: 18 May 2005 (see s. 2(2));</w:t>
            </w:r>
            <w:r>
              <w:rPr>
                <w:sz w:val="19"/>
              </w:rPr>
              <w:br/>
              <w:t>balance: 30 Aug 2005 (see s. 2(1))</w:t>
            </w:r>
          </w:p>
        </w:tc>
      </w:tr>
      <w:tr>
        <w:trPr>
          <w:cantSplit/>
        </w:trPr>
        <w:tc>
          <w:tcPr>
            <w:tcW w:w="2083" w:type="dxa"/>
          </w:tcPr>
          <w:p>
            <w:pPr>
              <w:pStyle w:val="nTable"/>
              <w:spacing w:after="40"/>
              <w:rPr>
                <w:sz w:val="19"/>
              </w:rPr>
            </w:pPr>
            <w:r>
              <w:rPr>
                <w:i/>
                <w:sz w:val="19"/>
              </w:rPr>
              <w:t>Revenue Laws Amendment Act (No. 2) 2005</w:t>
            </w:r>
            <w:r>
              <w:rPr>
                <w:sz w:val="19"/>
              </w:rPr>
              <w:t xml:space="preserve"> Pt. 3</w:t>
            </w:r>
          </w:p>
        </w:tc>
        <w:tc>
          <w:tcPr>
            <w:tcW w:w="1075" w:type="dxa"/>
            <w:gridSpan w:val="2"/>
          </w:tcPr>
          <w:p>
            <w:pPr>
              <w:pStyle w:val="nTable"/>
              <w:spacing w:after="40"/>
              <w:rPr>
                <w:sz w:val="19"/>
              </w:rPr>
            </w:pPr>
            <w:r>
              <w:rPr>
                <w:sz w:val="19"/>
              </w:rPr>
              <w:t>12 of 2005</w:t>
            </w:r>
          </w:p>
        </w:tc>
        <w:tc>
          <w:tcPr>
            <w:tcW w:w="1375" w:type="dxa"/>
            <w:gridSpan w:val="4"/>
          </w:tcPr>
          <w:p>
            <w:pPr>
              <w:pStyle w:val="nTable"/>
              <w:spacing w:after="40"/>
              <w:rPr>
                <w:sz w:val="19"/>
              </w:rPr>
            </w:pPr>
            <w:r>
              <w:rPr>
                <w:sz w:val="19"/>
              </w:rPr>
              <w:t>30 Aug 2005</w:t>
            </w:r>
          </w:p>
        </w:tc>
        <w:tc>
          <w:tcPr>
            <w:tcW w:w="2452" w:type="dxa"/>
            <w:gridSpan w:val="2"/>
          </w:tcPr>
          <w:p>
            <w:pPr>
              <w:pStyle w:val="nTable"/>
              <w:spacing w:after="40"/>
              <w:rPr>
                <w:sz w:val="19"/>
              </w:rPr>
            </w:pPr>
            <w:r>
              <w:rPr>
                <w:sz w:val="19"/>
              </w:rPr>
              <w:t>30 Aug 2005 (see s. 2(1))</w:t>
            </w:r>
          </w:p>
        </w:tc>
      </w:tr>
      <w:tr>
        <w:trPr>
          <w:cantSplit/>
        </w:trPr>
        <w:tc>
          <w:tcPr>
            <w:tcW w:w="2083" w:type="dxa"/>
          </w:tcPr>
          <w:p>
            <w:pPr>
              <w:pStyle w:val="nTable"/>
              <w:spacing w:after="40"/>
              <w:rPr>
                <w:sz w:val="19"/>
              </w:rPr>
            </w:pPr>
            <w:r>
              <w:rPr>
                <w:i/>
                <w:sz w:val="19"/>
              </w:rPr>
              <w:t>Stamp Amendment Act 2005</w:t>
            </w:r>
            <w:r>
              <w:rPr>
                <w:sz w:val="19"/>
              </w:rPr>
              <w:t> </w:t>
            </w:r>
            <w:r>
              <w:rPr>
                <w:sz w:val="19"/>
                <w:vertAlign w:val="superscript"/>
              </w:rPr>
              <w:t>49, 50</w:t>
            </w:r>
          </w:p>
        </w:tc>
        <w:tc>
          <w:tcPr>
            <w:tcW w:w="1075" w:type="dxa"/>
            <w:gridSpan w:val="2"/>
          </w:tcPr>
          <w:p>
            <w:pPr>
              <w:pStyle w:val="nTable"/>
              <w:spacing w:after="40"/>
              <w:rPr>
                <w:sz w:val="19"/>
              </w:rPr>
            </w:pPr>
            <w:r>
              <w:rPr>
                <w:sz w:val="19"/>
              </w:rPr>
              <w:t>34 of 2005</w:t>
            </w:r>
          </w:p>
        </w:tc>
        <w:tc>
          <w:tcPr>
            <w:tcW w:w="1375" w:type="dxa"/>
            <w:gridSpan w:val="4"/>
          </w:tcPr>
          <w:p>
            <w:pPr>
              <w:pStyle w:val="nTable"/>
              <w:spacing w:after="40"/>
              <w:rPr>
                <w:sz w:val="19"/>
              </w:rPr>
            </w:pPr>
            <w:r>
              <w:rPr>
                <w:sz w:val="19"/>
              </w:rPr>
              <w:t>12 Dec 2005</w:t>
            </w:r>
          </w:p>
        </w:tc>
        <w:tc>
          <w:tcPr>
            <w:tcW w:w="2452" w:type="dxa"/>
            <w:gridSpan w:val="2"/>
          </w:tcPr>
          <w:p>
            <w:pPr>
              <w:pStyle w:val="nTable"/>
              <w:spacing w:after="40"/>
              <w:rPr>
                <w:sz w:val="20"/>
              </w:rPr>
            </w:pPr>
            <w:r>
              <w:rPr>
                <w:sz w:val="19"/>
              </w:rPr>
              <w:t>Act</w:t>
            </w:r>
            <w:r>
              <w:rPr>
                <w:sz w:val="20"/>
              </w:rPr>
              <w:t xml:space="preserve"> other than Pt. 3: 12 Dec 2005 (see s. 2);</w:t>
            </w:r>
          </w:p>
          <w:p>
            <w:pPr>
              <w:pStyle w:val="nTable"/>
              <w:spacing w:after="40"/>
              <w:rPr>
                <w:sz w:val="19"/>
              </w:rPr>
            </w:pPr>
            <w:r>
              <w:rPr>
                <w:sz w:val="20"/>
              </w:rPr>
              <w:t>Pt. 3: 1 Jan 2006 (see s. 2(2))</w:t>
            </w:r>
          </w:p>
        </w:tc>
      </w:tr>
      <w:tr>
        <w:trPr>
          <w:cantSplit/>
        </w:trPr>
        <w:tc>
          <w:tcPr>
            <w:tcW w:w="2083" w:type="dxa"/>
          </w:tcPr>
          <w:p>
            <w:pPr>
              <w:pStyle w:val="nTable"/>
              <w:spacing w:after="40"/>
              <w:rPr>
                <w:i/>
                <w:sz w:val="19"/>
              </w:rPr>
            </w:pPr>
            <w:r>
              <w:rPr>
                <w:i/>
                <w:sz w:val="19"/>
              </w:rPr>
              <w:t>Stamp Amendment (Taxing) Act 2005</w:t>
            </w:r>
          </w:p>
        </w:tc>
        <w:tc>
          <w:tcPr>
            <w:tcW w:w="1075" w:type="dxa"/>
            <w:gridSpan w:val="2"/>
          </w:tcPr>
          <w:p>
            <w:pPr>
              <w:pStyle w:val="nTable"/>
              <w:spacing w:after="40"/>
              <w:rPr>
                <w:sz w:val="19"/>
              </w:rPr>
            </w:pPr>
            <w:r>
              <w:rPr>
                <w:sz w:val="19"/>
              </w:rPr>
              <w:t>35 of 2005</w:t>
            </w:r>
          </w:p>
        </w:tc>
        <w:tc>
          <w:tcPr>
            <w:tcW w:w="1375" w:type="dxa"/>
            <w:gridSpan w:val="4"/>
          </w:tcPr>
          <w:p>
            <w:pPr>
              <w:pStyle w:val="nTable"/>
              <w:spacing w:after="40"/>
              <w:rPr>
                <w:sz w:val="19"/>
              </w:rPr>
            </w:pPr>
            <w:r>
              <w:rPr>
                <w:sz w:val="19"/>
              </w:rPr>
              <w:t>12 Dec 2005</w:t>
            </w:r>
          </w:p>
        </w:tc>
        <w:tc>
          <w:tcPr>
            <w:tcW w:w="2452" w:type="dxa"/>
            <w:gridSpan w:val="2"/>
          </w:tcPr>
          <w:p>
            <w:pPr>
              <w:pStyle w:val="nTable"/>
              <w:spacing w:after="40"/>
              <w:rPr>
                <w:sz w:val="20"/>
              </w:rPr>
            </w:pPr>
            <w:r>
              <w:rPr>
                <w:sz w:val="20"/>
              </w:rPr>
              <w:t xml:space="preserve">1 Mar 2006 (see s. 2 and </w:t>
            </w:r>
            <w:r>
              <w:rPr>
                <w:i/>
                <w:iCs/>
                <w:sz w:val="20"/>
              </w:rPr>
              <w:t>Gazette</w:t>
            </w:r>
            <w:r>
              <w:rPr>
                <w:sz w:val="20"/>
              </w:rPr>
              <w:t xml:space="preserve"> 24 Jan 2006 p. 429)</w:t>
            </w:r>
          </w:p>
        </w:tc>
      </w:tr>
      <w:tr>
        <w:trPr>
          <w:cantSplit/>
        </w:trPr>
        <w:tc>
          <w:tcPr>
            <w:tcW w:w="2083" w:type="dxa"/>
          </w:tcPr>
          <w:p>
            <w:pPr>
              <w:pStyle w:val="nTable"/>
              <w:spacing w:after="40"/>
              <w:rPr>
                <w:sz w:val="19"/>
              </w:rPr>
            </w:pPr>
            <w:r>
              <w:rPr>
                <w:i/>
                <w:sz w:val="19"/>
              </w:rPr>
              <w:t>Stamp Amendment (Assessment) Act 2005</w:t>
            </w:r>
            <w:r>
              <w:rPr>
                <w:sz w:val="19"/>
              </w:rPr>
              <w:t xml:space="preserve"> </w:t>
            </w:r>
            <w:r>
              <w:rPr>
                <w:sz w:val="19"/>
                <w:vertAlign w:val="superscript"/>
              </w:rPr>
              <w:t>52</w:t>
            </w:r>
          </w:p>
        </w:tc>
        <w:tc>
          <w:tcPr>
            <w:tcW w:w="1075" w:type="dxa"/>
            <w:gridSpan w:val="2"/>
          </w:tcPr>
          <w:p>
            <w:pPr>
              <w:pStyle w:val="nTable"/>
              <w:spacing w:after="40"/>
              <w:rPr>
                <w:sz w:val="19"/>
              </w:rPr>
            </w:pPr>
            <w:r>
              <w:rPr>
                <w:sz w:val="19"/>
              </w:rPr>
              <w:t>36 of 2005</w:t>
            </w:r>
          </w:p>
        </w:tc>
        <w:tc>
          <w:tcPr>
            <w:tcW w:w="1375" w:type="dxa"/>
            <w:gridSpan w:val="4"/>
          </w:tcPr>
          <w:p>
            <w:pPr>
              <w:pStyle w:val="nTable"/>
              <w:spacing w:after="40"/>
              <w:rPr>
                <w:sz w:val="19"/>
              </w:rPr>
            </w:pPr>
            <w:r>
              <w:rPr>
                <w:sz w:val="19"/>
              </w:rPr>
              <w:t>12 Dec 2005</w:t>
            </w:r>
          </w:p>
        </w:tc>
        <w:tc>
          <w:tcPr>
            <w:tcW w:w="2452" w:type="dxa"/>
            <w:gridSpan w:val="2"/>
          </w:tcPr>
          <w:p>
            <w:pPr>
              <w:pStyle w:val="nTable"/>
              <w:spacing w:after="40"/>
              <w:rPr>
                <w:sz w:val="19"/>
              </w:rPr>
            </w:pPr>
            <w:r>
              <w:rPr>
                <w:sz w:val="19"/>
              </w:rPr>
              <w:t>s. 1-4 and 7: 12 Dec 2005 (see s. 2(1));</w:t>
            </w:r>
          </w:p>
          <w:p>
            <w:pPr>
              <w:pStyle w:val="nTable"/>
              <w:spacing w:after="40"/>
              <w:rPr>
                <w:sz w:val="19"/>
              </w:rPr>
            </w:pPr>
            <w:r>
              <w:rPr>
                <w:sz w:val="19"/>
              </w:rPr>
              <w:t>s. 5: 1 Jul 1997 (see s. 2(2))</w:t>
            </w:r>
          </w:p>
          <w:p>
            <w:pPr>
              <w:pStyle w:val="nTable"/>
              <w:spacing w:before="0" w:after="40"/>
              <w:rPr>
                <w:sz w:val="19"/>
              </w:rPr>
            </w:pPr>
            <w:r>
              <w:rPr>
                <w:sz w:val="19"/>
              </w:rPr>
              <w:t xml:space="preserve">s. 6 and 8: 1 Mar 2006 (see s. 2(3) and </w:t>
            </w:r>
            <w:r>
              <w:rPr>
                <w:i/>
                <w:iCs/>
                <w:sz w:val="19"/>
              </w:rPr>
              <w:t>Gazette</w:t>
            </w:r>
            <w:r>
              <w:rPr>
                <w:sz w:val="19"/>
              </w:rPr>
              <w:t xml:space="preserve"> 24 Jan 2006 p. 429)</w:t>
            </w:r>
          </w:p>
        </w:tc>
      </w:tr>
      <w:tr>
        <w:trPr>
          <w:cantSplit/>
        </w:trPr>
        <w:tc>
          <w:tcPr>
            <w:tcW w:w="2083" w:type="dxa"/>
            <w:tcBorders>
              <w:bottom w:val="single" w:sz="4" w:space="0" w:color="auto"/>
            </w:tcBorders>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075" w:type="dxa"/>
            <w:gridSpan w:val="2"/>
            <w:tcBorders>
              <w:bottom w:val="single" w:sz="4" w:space="0" w:color="auto"/>
            </w:tcBorders>
          </w:tcPr>
          <w:p>
            <w:pPr>
              <w:pStyle w:val="nTable"/>
              <w:spacing w:after="40"/>
              <w:rPr>
                <w:sz w:val="19"/>
              </w:rPr>
            </w:pPr>
            <w:r>
              <w:rPr>
                <w:snapToGrid w:val="0"/>
                <w:sz w:val="19"/>
                <w:lang w:val="en-US"/>
              </w:rPr>
              <w:t>38 of 2005</w:t>
            </w:r>
          </w:p>
        </w:tc>
        <w:tc>
          <w:tcPr>
            <w:tcW w:w="1375" w:type="dxa"/>
            <w:gridSpan w:val="4"/>
            <w:tcBorders>
              <w:bottom w:val="single" w:sz="4" w:space="0" w:color="auto"/>
            </w:tcBorders>
          </w:tcPr>
          <w:p>
            <w:pPr>
              <w:pStyle w:val="nTable"/>
              <w:spacing w:after="40"/>
              <w:rPr>
                <w:sz w:val="19"/>
              </w:rPr>
            </w:pPr>
            <w:r>
              <w:rPr>
                <w:sz w:val="19"/>
              </w:rPr>
              <w:t>12 Dec 2005</w:t>
            </w:r>
          </w:p>
        </w:tc>
        <w:tc>
          <w:tcPr>
            <w:tcW w:w="2452" w:type="dxa"/>
            <w:gridSpan w:val="2"/>
            <w:tcBorders>
              <w:bottom w:val="single" w:sz="4"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11" w:name="_Toc534778309"/>
      <w:bookmarkStart w:id="2212" w:name="_Toc7405063"/>
      <w:bookmarkStart w:id="2213" w:name="_Toc116703346"/>
      <w:bookmarkStart w:id="2214" w:name="_Toc131416296"/>
      <w:bookmarkStart w:id="2215" w:name="_Toc170193479"/>
      <w:r>
        <w:rPr>
          <w:snapToGrid w:val="0"/>
        </w:rPr>
        <w:t>Provisions that have not come into operation</w:t>
      </w:r>
      <w:bookmarkEnd w:id="2211"/>
      <w:bookmarkEnd w:id="2212"/>
      <w:bookmarkEnd w:id="2213"/>
      <w:bookmarkEnd w:id="2214"/>
      <w:bookmarkEnd w:id="221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397"/>
      </w:tblGrid>
      <w:tr>
        <w:tc>
          <w:tcPr>
            <w:tcW w:w="2280" w:type="dxa"/>
            <w:tcBorders>
              <w:bottom w:val="single" w:sz="4" w:space="0" w:color="auto"/>
            </w:tcBorders>
          </w:tcPr>
          <w:p>
            <w:pPr>
              <w:pStyle w:val="nTable"/>
              <w:rPr>
                <w:b/>
                <w:snapToGrid w:val="0"/>
                <w:lang w:val="en-US"/>
              </w:rPr>
            </w:pPr>
            <w:r>
              <w:rPr>
                <w:b/>
                <w:snapToGrid w:val="0"/>
                <w:lang w:val="en-US"/>
              </w:rPr>
              <w:t>Short title</w:t>
            </w:r>
          </w:p>
        </w:tc>
        <w:tc>
          <w:tcPr>
            <w:tcW w:w="1080" w:type="dxa"/>
            <w:tcBorders>
              <w:bottom w:val="single" w:sz="4" w:space="0" w:color="auto"/>
            </w:tcBorders>
          </w:tcPr>
          <w:p>
            <w:pPr>
              <w:pStyle w:val="nTable"/>
              <w:rPr>
                <w:b/>
                <w:snapToGrid w:val="0"/>
                <w:lang w:val="en-US"/>
              </w:rPr>
            </w:pPr>
            <w:r>
              <w:rPr>
                <w:b/>
                <w:snapToGrid w:val="0"/>
                <w:lang w:val="en-US"/>
              </w:rPr>
              <w:t>Number and Year</w:t>
            </w:r>
          </w:p>
        </w:tc>
        <w:tc>
          <w:tcPr>
            <w:tcW w:w="1200" w:type="dxa"/>
            <w:tcBorders>
              <w:bottom w:val="single" w:sz="4" w:space="0" w:color="auto"/>
            </w:tcBorders>
          </w:tcPr>
          <w:p>
            <w:pPr>
              <w:pStyle w:val="nTable"/>
              <w:rPr>
                <w:b/>
                <w:snapToGrid w:val="0"/>
                <w:lang w:val="en-US"/>
              </w:rPr>
            </w:pPr>
            <w:r>
              <w:rPr>
                <w:b/>
                <w:snapToGrid w:val="0"/>
                <w:lang w:val="en-US"/>
              </w:rPr>
              <w:t>Assent</w:t>
            </w:r>
          </w:p>
        </w:tc>
        <w:tc>
          <w:tcPr>
            <w:tcW w:w="2397" w:type="dxa"/>
            <w:tcBorders>
              <w:bottom w:val="single" w:sz="4" w:space="0" w:color="auto"/>
            </w:tcBorders>
          </w:tcPr>
          <w:p>
            <w:pPr>
              <w:pStyle w:val="nTable"/>
              <w:rPr>
                <w:b/>
                <w:snapToGrid w:val="0"/>
                <w:lang w:val="en-US"/>
              </w:rPr>
            </w:pPr>
            <w:r>
              <w:rPr>
                <w:b/>
                <w:snapToGrid w:val="0"/>
                <w:lang w:val="en-US"/>
              </w:rPr>
              <w:t>Commencement</w:t>
            </w:r>
          </w:p>
        </w:tc>
      </w:tr>
      <w:tr>
        <w:tc>
          <w:tcPr>
            <w:tcW w:w="2280" w:type="dxa"/>
            <w:tcBorders>
              <w:bottom w:val="single" w:sz="4" w:space="0" w:color="auto"/>
            </w:tcBorders>
          </w:tcPr>
          <w:p>
            <w:pPr>
              <w:pStyle w:val="nTable"/>
              <w:rPr>
                <w:snapToGrid w:val="0"/>
                <w:vertAlign w:val="superscript"/>
                <w:lang w:val="en-US"/>
              </w:rPr>
            </w:pPr>
            <w:r>
              <w:rPr>
                <w:i/>
                <w:sz w:val="19"/>
              </w:rPr>
              <w:t>Housing Societies Repeal Act 2005</w:t>
            </w:r>
            <w:r>
              <w:rPr>
                <w:sz w:val="19"/>
              </w:rPr>
              <w:t xml:space="preserve"> s. 30 </w:t>
            </w:r>
            <w:r>
              <w:rPr>
                <w:sz w:val="19"/>
                <w:vertAlign w:val="superscript"/>
              </w:rPr>
              <w:t>48</w:t>
            </w:r>
          </w:p>
        </w:tc>
        <w:tc>
          <w:tcPr>
            <w:tcW w:w="1080" w:type="dxa"/>
            <w:tcBorders>
              <w:bottom w:val="single" w:sz="4" w:space="0" w:color="auto"/>
            </w:tcBorders>
          </w:tcPr>
          <w:p>
            <w:pPr>
              <w:pStyle w:val="nTable"/>
              <w:rPr>
                <w:snapToGrid w:val="0"/>
                <w:lang w:val="en-US"/>
              </w:rPr>
            </w:pPr>
            <w:r>
              <w:rPr>
                <w:sz w:val="19"/>
              </w:rPr>
              <w:t>17 of 2005</w:t>
            </w:r>
          </w:p>
        </w:tc>
        <w:tc>
          <w:tcPr>
            <w:tcW w:w="1200" w:type="dxa"/>
            <w:tcBorders>
              <w:bottom w:val="single" w:sz="4" w:space="0" w:color="auto"/>
            </w:tcBorders>
          </w:tcPr>
          <w:p>
            <w:pPr>
              <w:pStyle w:val="nTable"/>
              <w:rPr>
                <w:snapToGrid w:val="0"/>
                <w:lang w:val="en-US"/>
              </w:rPr>
            </w:pPr>
            <w:r>
              <w:rPr>
                <w:sz w:val="19"/>
              </w:rPr>
              <w:t>5 Oct 2005</w:t>
            </w:r>
          </w:p>
        </w:tc>
        <w:tc>
          <w:tcPr>
            <w:tcW w:w="2397" w:type="dxa"/>
            <w:tcBorders>
              <w:bottom w:val="single" w:sz="4" w:space="0" w:color="auto"/>
            </w:tcBorders>
          </w:tcPr>
          <w:p>
            <w:pPr>
              <w:pStyle w:val="nTable"/>
              <w:rPr>
                <w:snapToGrid w:val="0"/>
                <w:lang w:val="en-US"/>
              </w:rPr>
            </w:pPr>
            <w:r>
              <w:rPr>
                <w:sz w:val="19"/>
              </w:rPr>
              <w:t>To be proclaimed (see s. 2(3) and (4))</w:t>
            </w:r>
          </w:p>
        </w:tc>
      </w:tr>
    </w:tbl>
    <w:p>
      <w:pPr>
        <w:pStyle w:val="nSubsection"/>
      </w:pPr>
      <w:r>
        <w:rPr>
          <w:vertAlign w:val="superscript"/>
        </w:rPr>
        <w:t>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 xml:space="preserve">Section 91(2) is amended by inserting after “located in” — </w:t>
      </w:r>
    </w:p>
    <w:p>
      <w:pPr>
        <w:pStyle w:val="Subsection"/>
        <w:rPr>
          <w:sz w:val="20"/>
        </w:rPr>
      </w:pPr>
      <w:r>
        <w:tab/>
      </w:r>
      <w:r>
        <w:rPr>
          <w:sz w:val="20"/>
        </w:rPr>
        <w:tab/>
      </w:r>
      <w:r>
        <w:rPr>
          <w:sz w:val="20"/>
        </w:rP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rPr>
          <w:i/>
        </w:rPr>
      </w:pPr>
      <w:r>
        <w:rPr>
          <w:vertAlign w:val="superscript"/>
        </w:rPr>
        <w:t>3</w:t>
      </w:r>
      <w:r>
        <w:tab/>
        <w:t xml:space="preserve">Repealed by the </w:t>
      </w:r>
      <w:r>
        <w:rPr>
          <w:i/>
        </w:rPr>
        <w:t>Mining Act 1978.</w:t>
      </w:r>
    </w:p>
    <w:p>
      <w:pPr>
        <w:pStyle w:val="nSubsection"/>
      </w:pPr>
      <w:r>
        <w:rPr>
          <w:vertAlign w:val="superscript"/>
        </w:rPr>
        <w:t>4</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However, section 63AF(2) of the Stamp Act 1921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xml:space="preserve">, as inserted by subsection (1), does not apply to or in relation to a disposition referred to in that section —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 xml:space="preserve">an agreement for the conveyance or transfer of residential property executed before this section came into operation regardless of when any instrument of conveyance or transfer entered into in accordance with the agreement is executed; or </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 xml:space="preserve">the reference in section 75JB(1)(d)(i) to section 75JA(1a) is to be read as a reference to that subsection as in force from time to time prior to its repeal by this Act; and </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 </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 </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 xml:space="preserve">Without limiting sections 63AD and 63AE of the new provisions, a disqualifying event occurs for the purposes of those sections if —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 xml:space="preserve">Determinations under section 75JBA or 75JC </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 </w:t>
      </w:r>
    </w:p>
    <w:p>
      <w:pPr>
        <w:pStyle w:val="nzHeading5"/>
      </w:pPr>
      <w:r>
        <w:rPr>
          <w:rStyle w:val="CharSectno"/>
        </w:rPr>
        <w:t>91</w:t>
      </w:r>
      <w:r>
        <w:t>.</w:t>
      </w:r>
      <w:r>
        <w:tab/>
        <w:t xml:space="preserve">Agreements for lease </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 xml:space="preserve">Mortgages </w:t>
      </w:r>
    </w:p>
    <w:p>
      <w:pPr>
        <w:pStyle w:val="nzSubsection"/>
      </w:pPr>
      <w:r>
        <w:tab/>
        <w:t>(1)</w:t>
      </w:r>
      <w:r>
        <w:tab/>
        <w:t xml:space="preserve">In this section —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 xml:space="preserve">Life insurance </w:t>
      </w:r>
    </w:p>
    <w:p>
      <w:pPr>
        <w:pStyle w:val="nzSubsection"/>
        <w:rPr>
          <w:b/>
        </w:rPr>
      </w:pPr>
      <w:r>
        <w:tab/>
      </w:r>
      <w:r>
        <w:tab/>
        <w:t xml:space="preserve">The amendments effected by sections 80, 81, 82, 83 and 87(9) do not apply in relation to a policy of life insurance where the period for which the insurance is effected commenced before this section came into operation. </w:t>
      </w:r>
    </w:p>
    <w:p>
      <w:pPr>
        <w:pStyle w:val="nzHeading5"/>
      </w:pPr>
      <w:r>
        <w:rPr>
          <w:rStyle w:val="CharSectno"/>
        </w:rPr>
        <w:t>94</w:t>
      </w:r>
      <w:r>
        <w:t>.</w:t>
      </w:r>
      <w:r>
        <w:tab/>
        <w:t xml:space="preserve">Hire of goods </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 xml:space="preserve">Despite the repeal of old Part IVB, it continues to apply —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pPr>
      <w:r>
        <w:rPr>
          <w:vertAlign w:val="superscript"/>
        </w:rPr>
        <w:t>6</w:t>
      </w:r>
      <w:r>
        <w:rPr>
          <w:i/>
        </w:rPr>
        <w:tab/>
      </w:r>
      <w:r>
        <w:t>Formerly referred to the</w:t>
      </w:r>
      <w:r>
        <w:rPr>
          <w:i/>
        </w:rPr>
        <w:t xml:space="preserve"> Workers’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This reference was changed under the </w:t>
      </w:r>
      <w:r>
        <w:rPr>
          <w:i/>
        </w:rPr>
        <w:t>Reprints Act 1984</w:t>
      </w:r>
      <w:r>
        <w:t xml:space="preserve"> s. 7(3)(gb).</w:t>
      </w:r>
    </w:p>
    <w:p>
      <w:pPr>
        <w:pStyle w:val="nSubsection"/>
      </w:pPr>
      <w:r>
        <w:rPr>
          <w:vertAlign w:val="superscript"/>
        </w:rPr>
        <w:t>7</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rPr>
          <w:snapToGrid w:val="0"/>
        </w:rPr>
      </w:pPr>
      <w:r>
        <w:rPr>
          <w:snapToGrid w:val="0"/>
          <w:vertAlign w:val="superscript"/>
        </w:rPr>
        <w:t>8</w:t>
      </w:r>
      <w:r>
        <w:rPr>
          <w:snapToGrid w:val="0"/>
        </w:rPr>
        <w:tab/>
      </w:r>
      <w:r>
        <w:rPr>
          <w:i/>
          <w:snapToGrid w:val="0"/>
        </w:rPr>
        <w:t>The Acts Amendment (Land Administration) Act 1997</w:t>
      </w:r>
      <w:r>
        <w:rPr>
          <w:snapToGrid w:val="0"/>
        </w:rPr>
        <w:t xml:space="preserve"> came into operation 30 Mar 1998.</w:t>
      </w:r>
    </w:p>
    <w:p>
      <w:pPr>
        <w:pStyle w:val="nSubsection"/>
        <w:keepNext/>
        <w:rPr>
          <w:snapToGrid w:val="0"/>
        </w:rPr>
      </w:pPr>
      <w:r>
        <w:rPr>
          <w:snapToGrid w:val="0"/>
          <w:vertAlign w:val="superscript"/>
        </w:rPr>
        <w:t>9</w:t>
      </w:r>
      <w:r>
        <w:rPr>
          <w:snapToGrid w:val="0"/>
        </w:rPr>
        <w:tab/>
        <w:t xml:space="preserve">The </w:t>
      </w:r>
      <w:r>
        <w:rPr>
          <w:i/>
          <w:snapToGrid w:val="0"/>
        </w:rPr>
        <w:t>Road Traffic Amendment Act 2000</w:t>
      </w:r>
      <w:r>
        <w:rPr>
          <w:snapToGrid w:val="0"/>
        </w:rPr>
        <w:t xml:space="preserve"> Pt. 3 Div. 3 will not come into operation because it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 xml:space="preserve">After section 1 the following section is inserted —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 xml:space="preserve">“    </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 xml:space="preserve">At the end of section 8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xml:space="preserve"> 31B modified </w:t>
      </w:r>
    </w:p>
    <w:p>
      <w:pPr>
        <w:pStyle w:val="nzSubsection"/>
      </w:pPr>
      <w:r>
        <w:tab/>
      </w:r>
      <w:r>
        <w:tab/>
        <w:t>Section 31B(5) is modified by deleting “the law of another State or of a Territory” and inserting instead —</w:t>
      </w:r>
    </w:p>
    <w:p>
      <w:pPr>
        <w:pStyle w:val="MiscOpen"/>
        <w:spacing w:before="0"/>
        <w:ind w:left="601"/>
      </w:pPr>
      <w:r>
        <w:t xml:space="preserve">“    </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 xml:space="preserve">After subsection 75AE(2)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 xml:space="preserve">Section 76AH(4)(b)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 xml:space="preserve">Section 76AO(4)(b)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 xml:space="preserve">After section 84(4)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(5)</w:t>
      </w:r>
      <w:r>
        <w:tab/>
        <w:t xml:space="preserve">In this section —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 xml:space="preserve">“    </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pPr>
      <w:r>
        <w:tab/>
        <w:t>(2)</w:t>
      </w:r>
      <w:r>
        <w:tab/>
        <w:t>Section 87(1b) is modified by inserting after “or (2)” —</w:t>
      </w:r>
    </w:p>
    <w:p>
      <w:pPr>
        <w:pStyle w:val="MiscOpen"/>
        <w:spacing w:before="0"/>
        <w:ind w:left="601"/>
      </w:pPr>
      <w:r>
        <w:t xml:space="preserve">“    </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 xml:space="preserve">“    </w:t>
      </w:r>
    </w:p>
    <w:p>
      <w:pPr>
        <w:pStyle w:val="nzMiscellaneousBody"/>
        <w:keepNext/>
        <w:tabs>
          <w:tab w:val="left" w:pos="1418"/>
        </w:tabs>
        <w:spacing w:before="0"/>
        <w:ind w:left="1418" w:hanging="851"/>
      </w:pPr>
      <w:r>
        <w:tab/>
        <w:t>“</w:t>
      </w:r>
      <w:r>
        <w:rPr>
          <w:b/>
          <w:snapToGrid w:val="0"/>
        </w:rPr>
        <w:t>corresponding law</w:t>
      </w:r>
      <w:r>
        <w:t>”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11</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 xml:space="preserve">a reference to the Treasurer is to be read as a reference to the Treasurer of Western Australia; </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 xml:space="preserve">Section 4(1) is modified by inserting the following definitions in their appropriate alphabetical positions — </w:t>
      </w:r>
    </w:p>
    <w:p>
      <w:pPr>
        <w:pStyle w:val="Subsection"/>
      </w:pPr>
      <w:r>
        <w:tab/>
      </w:r>
      <w:r>
        <w:tab/>
        <w:t xml:space="preserve">“    </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 xml:space="preserve">in the definition of “Commissioner” by deleting all the words after “office” and inserting instead — </w:t>
      </w:r>
    </w:p>
    <w:p>
      <w:pPr>
        <w:pStyle w:val="MiscOpen"/>
        <w:spacing w:before="80"/>
        <w:ind w:left="1418"/>
      </w:pPr>
      <w:r>
        <w:t xml:space="preserve">“    </w:t>
      </w:r>
    </w:p>
    <w:p>
      <w:pPr>
        <w:pStyle w:val="nzMiscellaneousBody"/>
        <w:tabs>
          <w:tab w:val="left" w:pos="2268"/>
        </w:tabs>
        <w:ind w:left="2268"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 xml:space="preserve">After section 4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ind w:right="577"/>
      </w:pPr>
      <w:r>
        <w:t xml:space="preserve">    ”.</w:t>
      </w:r>
    </w:p>
    <w:p>
      <w:pPr>
        <w:pStyle w:val="nzHeading5"/>
      </w:pPr>
      <w:r>
        <w:t>88.</w:t>
      </w:r>
      <w:r>
        <w:tab/>
        <w:t>Section 6 modified</w:t>
      </w:r>
    </w:p>
    <w:p>
      <w:pPr>
        <w:pStyle w:val="nzSubsection"/>
        <w:keepNext/>
      </w:pPr>
      <w:r>
        <w:tab/>
      </w:r>
      <w:r>
        <w:tab/>
        <w:t xml:space="preserve">After section 6(2) the following subsections are inserted — </w:t>
      </w:r>
    </w:p>
    <w:p>
      <w:pPr>
        <w:pStyle w:val="MiscOpen"/>
        <w:ind w:left="595"/>
      </w:pPr>
      <w:r>
        <w:t xml:space="preserve">“    </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 xml:space="preserve">by inserting after “this Act” — </w:t>
      </w:r>
    </w:p>
    <w:p>
      <w:pPr>
        <w:pStyle w:val="nzMiscellaneousBody"/>
        <w:tabs>
          <w:tab w:val="left" w:pos="2268"/>
        </w:tabs>
        <w:ind w:left="2268" w:hanging="1701"/>
      </w:pPr>
      <w:r>
        <w:tab/>
        <w:t>“    or the corresponding Stamp Act    ”;</w:t>
      </w:r>
    </w:p>
    <w:p>
      <w:pPr>
        <w:pStyle w:val="nzIndenta"/>
      </w:pPr>
      <w:r>
        <w:tab/>
        <w:t>(c)</w:t>
      </w:r>
      <w:r>
        <w:tab/>
        <w:t xml:space="preserve">by inserting before “any other Act” — </w:t>
      </w:r>
    </w:p>
    <w:p>
      <w:pPr>
        <w:pStyle w:val="nzMiscellaneousBody"/>
        <w:tabs>
          <w:tab w:val="left" w:pos="2268"/>
        </w:tabs>
        <w:ind w:left="2268" w:hanging="1701"/>
      </w:pPr>
      <w:r>
        <w:tab/>
        <w:t>“    this Act or    ”.</w:t>
      </w:r>
    </w:p>
    <w:p>
      <w:pPr>
        <w:pStyle w:val="nzSubsection"/>
      </w:pPr>
      <w:r>
        <w:tab/>
        <w:t>(2)</w:t>
      </w:r>
      <w:r>
        <w:tab/>
        <w:t xml:space="preserve">At the end of section 8 the following subsection is inserted — </w:t>
      </w:r>
    </w:p>
    <w:p>
      <w:pPr>
        <w:pStyle w:val="MiscOpen"/>
        <w:ind w:left="595"/>
      </w:pPr>
      <w:r>
        <w:t xml:space="preserve">“    </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 xml:space="preserve">in paragraph (a) by inserting after “this Act” — </w:t>
      </w:r>
    </w:p>
    <w:p>
      <w:pPr>
        <w:pStyle w:val="nzMiscellaneousBody"/>
        <w:tabs>
          <w:tab w:val="left" w:pos="2268"/>
        </w:tabs>
        <w:ind w:left="2268" w:hanging="1701"/>
      </w:pPr>
      <w:r>
        <w:tab/>
        <w:t>“     or the corresponding Stamp Act    ”;</w:t>
      </w:r>
    </w:p>
    <w:p>
      <w:pPr>
        <w:pStyle w:val="nzIndenta"/>
      </w:pPr>
      <w:r>
        <w:tab/>
        <w:t>(b)</w:t>
      </w:r>
      <w:r>
        <w:tab/>
        <w:t xml:space="preserve">in paragraph (b) by inserting after “this Act” —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xml:space="preserve">” and inserting instead — </w:t>
      </w:r>
    </w:p>
    <w:p>
      <w:pPr>
        <w:pStyle w:val="MiscOpen"/>
        <w:ind w:left="993"/>
      </w:pPr>
      <w:r>
        <w:t xml:space="preserve">“    </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 xml:space="preserve">Section 26(1) is modified by deleting “Crown” and inserting instead — </w:t>
      </w:r>
    </w:p>
    <w:p>
      <w:pPr>
        <w:pStyle w:val="nzMiscellaneousBody"/>
        <w:tabs>
          <w:tab w:val="left" w:pos="1418"/>
        </w:tabs>
        <w:ind w:left="1418" w:hanging="851"/>
      </w:pPr>
      <w:r>
        <w:tab/>
        <w:t>“    Commonwealth    ”.</w:t>
      </w:r>
    </w:p>
    <w:p>
      <w:pPr>
        <w:pStyle w:val="nzSubsection"/>
      </w:pPr>
      <w:r>
        <w:tab/>
        <w:t>(2)</w:t>
      </w:r>
      <w:r>
        <w:tab/>
        <w:t xml:space="preserve">Section 26(1a) is modified by deleting “Crown” and inserting instead —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 xml:space="preserve">Section 31B(5) is modified by deleting “the law of another State or of a Territory” and inserting instead — </w:t>
      </w:r>
    </w:p>
    <w:p>
      <w:pPr>
        <w:pStyle w:val="MiscOpen"/>
        <w:ind w:left="879"/>
      </w:pPr>
      <w:r>
        <w:t xml:space="preserve">“    </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 xml:space="preserve">Section 39A(1) is modified by deleting “Crown” and inserting instead —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 xml:space="preserve">Section 73D(6a)(b) is modified by deleting “in another jurisdiction” and inserting instead — </w:t>
      </w:r>
    </w:p>
    <w:p>
      <w:pPr>
        <w:pStyle w:val="MiscOpen"/>
        <w:ind w:left="879"/>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98.</w:t>
      </w:r>
      <w:r>
        <w:tab/>
        <w:t>Section 75AE modified</w:t>
      </w:r>
    </w:p>
    <w:p>
      <w:pPr>
        <w:pStyle w:val="nzSubsection"/>
      </w:pPr>
      <w:r>
        <w:tab/>
      </w:r>
      <w:r>
        <w:tab/>
        <w:t xml:space="preserve">After section 75AE(2) the following subsection is inserted — </w:t>
      </w:r>
    </w:p>
    <w:p>
      <w:pPr>
        <w:pStyle w:val="MiscOpen"/>
        <w:ind w:left="600"/>
      </w:pPr>
      <w:r>
        <w:t xml:space="preserve">“    </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 xml:space="preserve">Section 76AH(4)(b) is modified by deleting “in another jurisdiction” and inserting instead — </w:t>
      </w:r>
    </w:p>
    <w:p>
      <w:pPr>
        <w:pStyle w:val="MiscOpen"/>
        <w:ind w:left="600"/>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100.</w:t>
      </w:r>
      <w:r>
        <w:tab/>
        <w:t>Section 76AO modified</w:t>
      </w:r>
    </w:p>
    <w:p>
      <w:pPr>
        <w:pStyle w:val="nzSubsection"/>
      </w:pPr>
      <w:r>
        <w:tab/>
      </w:r>
      <w:r>
        <w:tab/>
        <w:t xml:space="preserve">Section 76AO(4)(b) is modified by deleting “in another jurisdiction” and inserting instead —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 xml:space="preserve">After section 84(4) the following subsection is inserted — </w:t>
      </w:r>
    </w:p>
    <w:p>
      <w:pPr>
        <w:pStyle w:val="MiscOpen"/>
        <w:ind w:left="600"/>
      </w:pPr>
      <w:r>
        <w:t xml:space="preserve">“    </w:t>
      </w:r>
    </w:p>
    <w:p>
      <w:pPr>
        <w:pStyle w:val="nzMiscellaneousBody"/>
        <w:tabs>
          <w:tab w:val="left" w:pos="1418"/>
          <w:tab w:val="left" w:pos="1985"/>
        </w:tabs>
        <w:ind w:left="1985" w:hanging="1418"/>
      </w:pPr>
      <w:r>
        <w:tab/>
        <w:t>(5)</w:t>
      </w:r>
      <w:r>
        <w:tab/>
        <w:t xml:space="preserve">In this section —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 xml:space="preserve">Section 87(1) is modified by inserting after “chargeable under item 13” — </w:t>
      </w:r>
    </w:p>
    <w:p>
      <w:pPr>
        <w:pStyle w:val="MiscOpen"/>
        <w:ind w:left="879"/>
      </w:pPr>
      <w:r>
        <w:t xml:space="preserve">“    </w:t>
      </w:r>
    </w:p>
    <w:p>
      <w:pPr>
        <w:pStyle w:val="nzMiscellaneousBody"/>
        <w:tabs>
          <w:tab w:val="left" w:pos="1418"/>
        </w:tabs>
        <w:ind w:left="1418"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 xml:space="preserve">Section 112A(1) is modified by deleting the definition of “corresponding law” and inserting the following definition instead — </w:t>
      </w:r>
    </w:p>
    <w:p>
      <w:pPr>
        <w:pStyle w:val="MiscOpen"/>
        <w:ind w:left="879"/>
      </w:pPr>
      <w:r>
        <w:t xml:space="preserve">“    </w:t>
      </w:r>
    </w:p>
    <w:p>
      <w:pPr>
        <w:pStyle w:val="nzMiscellaneousBody"/>
        <w:tabs>
          <w:tab w:val="left" w:pos="1418"/>
          <w:tab w:val="left" w:pos="1985"/>
        </w:tabs>
        <w:ind w:left="1985" w:hanging="1418"/>
      </w:pPr>
      <w:r>
        <w:tab/>
        <w:t>“</w:t>
      </w:r>
      <w:r>
        <w:rPr>
          <w:b/>
        </w:rPr>
        <w:t>corresponding law</w:t>
      </w:r>
      <w:r>
        <w:t xml:space="preserve">” means —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 xml:space="preserve">After section 112K(1a) the following subsection is inserted — </w:t>
      </w:r>
    </w:p>
    <w:p>
      <w:pPr>
        <w:pStyle w:val="MiscOpen"/>
        <w:ind w:left="600"/>
      </w:pPr>
      <w:r>
        <w:t xml:space="preserve">“    </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 xml:space="preserve">Section 120(1)(f) is modified by deleting “Crown” and inserting instead —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12</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13</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14</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(No. 2) 1994</w:t>
      </w:r>
      <w:r>
        <w:rPr>
          <w:snapToGrid w:val="0"/>
        </w:rPr>
        <w:t xml:space="preserve"> s. 5(2)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 xml:space="preserve">Saving provision </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Stamp Amendment Act 1995</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The </w:t>
      </w:r>
      <w:r>
        <w:rPr>
          <w:i/>
          <w:snapToGrid w:val="0"/>
        </w:rPr>
        <w:t>Revenue Laws Amendment (Assessment) Act 1996</w:t>
      </w:r>
      <w:r>
        <w:rPr>
          <w:snapToGrid w:val="0"/>
        </w:rPr>
        <w:t xml:space="preserve"> s. 32(5) reads as follows: </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Stamp Amendment Act 1996</w:t>
      </w:r>
      <w:r>
        <w:rPr>
          <w:snapToGrid w:val="0"/>
        </w:rPr>
        <w:t xml:space="preserve"> s. 9 reads as follows: </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Revenue Laws Amendment (Assessment) Act 1997</w:t>
      </w:r>
      <w:r>
        <w:rPr>
          <w:snapToGrid w:val="0"/>
        </w:rPr>
        <w:t xml:space="preserve"> s. 36(2)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Revenue Laws Amendment (Assessment) Act 1997</w:t>
      </w:r>
      <w:r>
        <w:rPr>
          <w:snapToGrid w:val="0"/>
        </w:rPr>
        <w:t xml:space="preserve"> s. 39(2) and (3)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28</w:t>
      </w:r>
      <w:r>
        <w:rPr>
          <w:snapToGrid w:val="0"/>
        </w:rPr>
        <w:tab/>
        <w:t xml:space="preserve">The </w:t>
      </w:r>
      <w:r>
        <w:rPr>
          <w:i/>
          <w:snapToGrid w:val="0"/>
        </w:rPr>
        <w:t>Revenue Laws Amendment (Assessment) Act 1997</w:t>
      </w:r>
      <w:r>
        <w:rPr>
          <w:snapToGrid w:val="0"/>
        </w:rPr>
        <w:t xml:space="preserve"> s. 24 reads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 xml:space="preserve">Reassessment </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 xml:space="preserve">The reassessment supersedes the original assessment. </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MiscClose"/>
        <w:rPr>
          <w:snapToGrid w:val="0"/>
        </w:rPr>
      </w:pPr>
      <w:r>
        <w:rPr>
          <w:snapToGrid w:val="0"/>
        </w:rPr>
        <w:t>”.</w:t>
      </w:r>
    </w:p>
    <w:p>
      <w:pPr>
        <w:pStyle w:val="nSubsection"/>
        <w:keepNext/>
        <w:rPr>
          <w:snapToGrid w:val="0"/>
        </w:rPr>
      </w:pPr>
      <w:r>
        <w:rPr>
          <w:snapToGrid w:val="0"/>
          <w:vertAlign w:val="superscript"/>
        </w:rPr>
        <w:t>29</w:t>
      </w:r>
      <w:r>
        <w:rPr>
          <w:snapToGrid w:val="0"/>
        </w:rPr>
        <w:tab/>
        <w:t xml:space="preserve">The </w:t>
      </w:r>
      <w:r>
        <w:rPr>
          <w:i/>
          <w:snapToGrid w:val="0"/>
        </w:rPr>
        <w:t>Revenue Laws Amendment (Assessment) Act 1997</w:t>
      </w:r>
      <w:r>
        <w:rPr>
          <w:snapToGrid w:val="0"/>
        </w:rPr>
        <w:t xml:space="preserve"> s. 48 reads as follows:</w:t>
      </w:r>
    </w:p>
    <w:p>
      <w:pPr>
        <w:pStyle w:val="MiscOpen"/>
        <w:rPr>
          <w:snapToGrid w:val="0"/>
        </w:rPr>
      </w:pPr>
      <w:r>
        <w:rPr>
          <w:snapToGrid w:val="0"/>
        </w:rPr>
        <w:t>“</w:t>
      </w:r>
    </w:p>
    <w:p>
      <w:pPr>
        <w:pStyle w:val="nzHeading5"/>
        <w:spacing w:before="40"/>
        <w:rPr>
          <w:snapToGrid w:val="0"/>
        </w:rPr>
      </w:pPr>
      <w:r>
        <w:rPr>
          <w:snapToGrid w:val="0"/>
        </w:rPr>
        <w:t>48.</w:t>
      </w:r>
      <w:r>
        <w:rPr>
          <w:snapToGrid w:val="0"/>
        </w:rPr>
        <w:tab/>
        <w:t xml:space="preserve">Transitional </w:t>
      </w:r>
    </w:p>
    <w:p>
      <w:pPr>
        <w:pStyle w:val="nzSubsection"/>
        <w:rPr>
          <w:snapToGrid w:val="0"/>
        </w:rPr>
      </w:pPr>
      <w:r>
        <w:rPr>
          <w:snapToGrid w:val="0"/>
        </w:rPr>
        <w:tab/>
      </w:r>
      <w:r>
        <w:rPr>
          <w:snapToGrid w:val="0"/>
        </w:rPr>
        <w:tab/>
        <w:t>The Commissioner is to refund the amount of any duty paid on a vehicle licence if —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30</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rPr>
          <w:snapToGrid w:val="0"/>
        </w:rPr>
      </w:pPr>
      <w:r>
        <w:rPr>
          <w:snapToGrid w:val="0"/>
          <w:vertAlign w:val="superscript"/>
        </w:rPr>
        <w:t>31</w:t>
      </w:r>
      <w:r>
        <w:rPr>
          <w:snapToGrid w:val="0"/>
        </w:rPr>
        <w:tab/>
        <w:t xml:space="preserve">The </w:t>
      </w:r>
      <w:r>
        <w:rPr>
          <w:i/>
          <w:snapToGrid w:val="0"/>
        </w:rPr>
        <w:t>Revenue Laws Amendment (Taxation) Act 1998</w:t>
      </w:r>
      <w:r>
        <w:rPr>
          <w:snapToGrid w:val="0"/>
        </w:rPr>
        <w:t xml:space="preserve"> s. 2(4) and (5) read as follows: </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 xml:space="preserve">Subject to subsection (2), the former provisions continue to apply as if this Division were not enacted, to and in relation to —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 xml:space="preserve">In this section —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34</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Revenue Laws Amendment (Assessment) Act 2000</w:t>
      </w:r>
      <w:r>
        <w:rPr>
          <w:snapToGrid w:val="0"/>
        </w:rPr>
        <w:t xml:space="preserve"> s. 6(2) reads as follows: </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 </w:t>
      </w:r>
    </w:p>
    <w:p>
      <w:pPr>
        <w:pStyle w:val="MiscClose"/>
        <w:rPr>
          <w:snapToGrid w:val="0"/>
        </w:rPr>
      </w:pPr>
      <w:r>
        <w:rPr>
          <w:snapToGrid w:val="0"/>
        </w:rPr>
        <w:t>”.</w:t>
      </w:r>
    </w:p>
    <w:p>
      <w:pPr>
        <w:pStyle w:val="nSubsection"/>
        <w:keepNext/>
        <w:rPr>
          <w:snapToGrid w:val="0"/>
        </w:rPr>
      </w:pPr>
      <w:r>
        <w:rPr>
          <w:snapToGrid w:val="0"/>
          <w:vertAlign w:val="superscript"/>
        </w:rPr>
        <w:t>36</w:t>
      </w:r>
      <w:r>
        <w:rPr>
          <w:snapToGrid w:val="0"/>
        </w:rPr>
        <w:tab/>
        <w:t xml:space="preserve">The </w:t>
      </w:r>
      <w:r>
        <w:rPr>
          <w:i/>
          <w:snapToGrid w:val="0"/>
        </w:rPr>
        <w:t>Revenue Laws Amendment (Assessment) Act 2000</w:t>
      </w:r>
      <w:r>
        <w:rPr>
          <w:snapToGrid w:val="0"/>
        </w:rPr>
        <w:t xml:space="preserve"> s. 8(2), (3) and (4) read as follows: </w:t>
      </w:r>
    </w:p>
    <w:p>
      <w:pPr>
        <w:pStyle w:val="MiscOpen"/>
        <w:rPr>
          <w:snapToGrid w:val="0"/>
        </w:rPr>
      </w:pPr>
      <w:r>
        <w:rPr>
          <w:snapToGrid w:val="0"/>
        </w:rPr>
        <w:t>“</w:t>
      </w:r>
    </w:p>
    <w:p>
      <w:pPr>
        <w:pStyle w:val="nzSubsection"/>
        <w:keepNext/>
        <w:spacing w:before="0"/>
      </w:pPr>
      <w:r>
        <w:tab/>
        <w:t>(2)</w:t>
      </w:r>
      <w:r>
        <w:tab/>
        <w:t xml:space="preserve">In subsections (3) and (4) —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37</w:t>
      </w:r>
      <w:r>
        <w:rPr>
          <w:snapToGrid w:val="0"/>
        </w:rPr>
        <w:tab/>
        <w:t xml:space="preserve">The </w:t>
      </w:r>
      <w:r>
        <w:rPr>
          <w:i/>
          <w:snapToGrid w:val="0"/>
        </w:rPr>
        <w:t xml:space="preserve">Stamp Amendment Act (No. 3) 2000 </w:t>
      </w:r>
      <w:r>
        <w:rPr>
          <w:snapToGrid w:val="0"/>
        </w:rPr>
        <w:t>s.</w:t>
      </w:r>
      <w:r>
        <w:rPr>
          <w:i/>
          <w:snapToGrid w:val="0"/>
        </w:rPr>
        <w:t> </w:t>
      </w:r>
      <w:r>
        <w:rPr>
          <w:snapToGrid w:val="0"/>
        </w:rPr>
        <w:t xml:space="preserve">21 reads as follows: </w:t>
      </w:r>
    </w:p>
    <w:p>
      <w:pPr>
        <w:pStyle w:val="MiscOpen"/>
        <w:rPr>
          <w:snapToGrid w:val="0"/>
          <w:highlight w:val="cyan"/>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2216" w:author="Isobel Bond" w:date="2006-03-27T14:07: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2217" w:author="Isobel Bond" w:date="2006-03-27T14:07: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pPr>
      <w:r>
        <w:tab/>
        <w:t>(4)</w:t>
      </w:r>
      <w:r>
        <w:tab/>
        <w:t xml:space="preserve">If —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 xml:space="preserve">an acquisition of an interest in a corporation occurred on or after 10 August 2000 but before this Act receives the Royal Assent; </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38</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 xml:space="preserve">were effected or renewed on or after 16 May 2002 but before 1 July 2002; and </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39</w:t>
      </w:r>
      <w:r>
        <w:tab/>
      </w:r>
      <w:r>
        <w:rPr>
          <w:snapToGrid w:val="0"/>
        </w:rPr>
        <w:t xml:space="preserve">The </w:t>
      </w:r>
      <w:r>
        <w:rPr>
          <w:i/>
          <w:snapToGrid w:val="0"/>
        </w:rPr>
        <w:t>Stamp Amendment (Budget) Act 2002</w:t>
      </w:r>
      <w:r>
        <w:rPr>
          <w:snapToGrid w:val="0"/>
        </w:rPr>
        <w:t xml:space="preserve"> s. 5 reads as follows:</w:t>
      </w:r>
    </w:p>
    <w:p>
      <w:pPr>
        <w:pStyle w:val="MiscOpen"/>
        <w:spacing w:before="80"/>
        <w:rPr>
          <w:snapToGrid w:val="0"/>
        </w:rPr>
      </w:pPr>
      <w:r>
        <w:rPr>
          <w:snapToGrid w:val="0"/>
        </w:rPr>
        <w:t>“</w:t>
      </w:r>
    </w:p>
    <w:p>
      <w:pPr>
        <w:pStyle w:val="nzHeading5"/>
        <w:spacing w:before="0"/>
      </w:pPr>
      <w:r>
        <w:rPr>
          <w:rStyle w:val="CharSectno"/>
        </w:rPr>
        <w:t>5</w:t>
      </w:r>
      <w:r>
        <w:t>.</w:t>
      </w:r>
      <w:r>
        <w:tab/>
        <w:t xml:space="preserve">Transitional </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 </w:t>
      </w:r>
    </w:p>
    <w:p>
      <w:pPr>
        <w:pStyle w:val="MiscClose"/>
        <w:rPr>
          <w:snapToGrid w:val="0"/>
        </w:rPr>
      </w:pPr>
      <w:r>
        <w:rPr>
          <w:snapToGrid w:val="0"/>
        </w:rPr>
        <w:t>”.</w:t>
      </w:r>
    </w:p>
    <w:p>
      <w:pPr>
        <w:pStyle w:val="nSubsection"/>
        <w:keepNext/>
        <w:rPr>
          <w:snapToGrid w:val="0"/>
        </w:rPr>
      </w:pPr>
      <w:r>
        <w:rPr>
          <w:vertAlign w:val="superscript"/>
        </w:rPr>
        <w:t>40</w:t>
      </w:r>
      <w:r>
        <w:tab/>
      </w:r>
      <w:r>
        <w:rPr>
          <w:snapToGrid w:val="0"/>
        </w:rPr>
        <w:t xml:space="preserve">The </w:t>
      </w:r>
      <w:r>
        <w:rPr>
          <w:i/>
          <w:snapToGrid w:val="0"/>
        </w:rPr>
        <w:t>Stamp Amendment (Budget) Act 2002</w:t>
      </w:r>
      <w:r>
        <w:rPr>
          <w:snapToGrid w:val="0"/>
        </w:rPr>
        <w:t xml:space="preserve"> s. 9 reads as follows:</w:t>
      </w:r>
    </w:p>
    <w:p>
      <w:pPr>
        <w:pStyle w:val="MiscOpen"/>
        <w:spacing w:before="80"/>
        <w:rPr>
          <w:snapToGrid w:val="0"/>
        </w:rPr>
      </w:pPr>
      <w:r>
        <w:rPr>
          <w:snapToGrid w:val="0"/>
        </w:rPr>
        <w:t>“</w:t>
      </w:r>
    </w:p>
    <w:p>
      <w:pPr>
        <w:pStyle w:val="nzHeading5"/>
        <w:spacing w:before="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 xml:space="preserve">the commencement day is after 1 July 2002; </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 </w:t>
      </w:r>
    </w:p>
    <w:p>
      <w:pPr>
        <w:pStyle w:val="nzSubsection"/>
      </w:pPr>
      <w:r>
        <w:tab/>
        <w:t>(4)</w:t>
      </w:r>
      <w:r>
        <w:tab/>
        <w:t xml:space="preserve">In this Part — </w:t>
      </w:r>
    </w:p>
    <w:p>
      <w:pPr>
        <w:pStyle w:val="nzDefstart"/>
      </w:pPr>
      <w:r>
        <w:tab/>
      </w:r>
      <w:r>
        <w:rPr>
          <w:b/>
        </w:rPr>
        <w:t>“commencement day”</w:t>
      </w:r>
      <w:r>
        <w:t xml:space="preserve"> means day on which this Part comes into operation. </w:t>
      </w:r>
    </w:p>
    <w:p>
      <w:pPr>
        <w:pStyle w:val="MiscClose"/>
      </w:pPr>
      <w:r>
        <w:t>”.</w:t>
      </w:r>
    </w:p>
    <w:p>
      <w:pPr>
        <w:pStyle w:val="nSubsection"/>
        <w:keepNext/>
        <w:rPr>
          <w:snapToGrid w:val="0"/>
        </w:rPr>
      </w:pPr>
      <w:r>
        <w:rPr>
          <w:vertAlign w:val="superscript"/>
        </w:rPr>
        <w:t>41</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0"/>
      </w:pPr>
      <w:r>
        <w:rPr>
          <w:rStyle w:val="CharPartNo"/>
        </w:rPr>
        <w:t>Part 4</w:t>
      </w:r>
      <w:r>
        <w:t xml:space="preserve"> — </w:t>
      </w:r>
      <w:r>
        <w:rPr>
          <w:rStyle w:val="CharPartText"/>
        </w:rPr>
        <w:t>Transitional provisions</w:t>
      </w:r>
    </w:p>
    <w:p>
      <w:pPr>
        <w:pStyle w:val="nzHeading2"/>
        <w:spacing w:before="0"/>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Subsection"/>
        <w:jc w:val="right"/>
        <w:rPr>
          <w:vertAlign w:val="superscript"/>
        </w:rPr>
      </w:pPr>
      <w:r>
        <w:rPr>
          <w:snapToGrid w:val="0"/>
        </w:rPr>
        <w:t>”.</w:t>
      </w:r>
    </w:p>
    <w:p>
      <w:pPr>
        <w:pStyle w:val="nSubsection"/>
      </w:pPr>
      <w:r>
        <w:rPr>
          <w:vertAlign w:val="superscript"/>
        </w:rPr>
        <w:t>42</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t>“</w:t>
      </w:r>
      <w:r>
        <w:rPr>
          <w:b/>
        </w:rPr>
        <w:t>FSR commencement time</w:t>
      </w:r>
      <w:r>
        <w:t>”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43</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44</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keepNext/>
      </w:pPr>
      <w:r>
        <w:rPr>
          <w:vertAlign w:val="superscript"/>
        </w:rPr>
        <w:t>45</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 xml:space="preserve">In this section —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46</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47</w:t>
      </w:r>
      <w:r>
        <w:tab/>
        <w:t xml:space="preserve">The </w:t>
      </w:r>
      <w:r>
        <w:rPr>
          <w:i/>
        </w:rPr>
        <w:t xml:space="preserve">Revenue Laws Amendment Act 2005 </w:t>
      </w:r>
      <w:r>
        <w:t>s. 30 reads as follows:</w:t>
      </w:r>
    </w:p>
    <w:p>
      <w:pPr>
        <w:pStyle w:val="MiscOpen"/>
      </w:pPr>
      <w:r>
        <w:t>“</w:t>
      </w:r>
    </w:p>
    <w:p>
      <w:pPr>
        <w:pStyle w:val="nzHeading5"/>
      </w:pPr>
      <w:bookmarkStart w:id="2218" w:name="_Toc103160669"/>
      <w:bookmarkStart w:id="2219" w:name="_Toc112652971"/>
      <w:bookmarkStart w:id="2220" w:name="_Toc112658839"/>
      <w:r>
        <w:rPr>
          <w:rStyle w:val="CharSectno"/>
        </w:rPr>
        <w:t>30</w:t>
      </w:r>
      <w:r>
        <w:t>.</w:t>
      </w:r>
      <w:r>
        <w:tab/>
        <w:t>Saving and transitional provisions</w:t>
      </w:r>
      <w:bookmarkEnd w:id="2218"/>
      <w:bookmarkEnd w:id="2219"/>
      <w:bookmarkEnd w:id="2220"/>
    </w:p>
    <w:p>
      <w:pPr>
        <w:pStyle w:val="nzSubsection"/>
      </w:pPr>
      <w:r>
        <w:tab/>
        <w:t>(1)</w:t>
      </w:r>
      <w:r>
        <w:tab/>
        <w:t xml:space="preserve">In this section —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snapToGrid w:val="0"/>
          <w:vertAlign w:val="superscript"/>
        </w:rPr>
        <w:t>48</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bookmarkStart w:id="2221" w:name="_Toc102877598"/>
      <w:bookmarkStart w:id="2222" w:name="_Toc115180712"/>
      <w:r>
        <w:rPr>
          <w:rStyle w:val="CharSectno"/>
        </w:rPr>
        <w:t>30</w:t>
      </w:r>
      <w:r>
        <w:t>.</w:t>
      </w:r>
      <w:r>
        <w:tab/>
      </w:r>
      <w:r>
        <w:rPr>
          <w:i/>
        </w:rPr>
        <w:t xml:space="preserve">Stamp Act 1921 </w:t>
      </w:r>
      <w:r>
        <w:t>amended</w:t>
      </w:r>
      <w:bookmarkEnd w:id="2221"/>
      <w:bookmarkEnd w:id="2222"/>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rPr>
          <w:snapToGrid w:val="0"/>
        </w:rPr>
      </w:pPr>
      <w:r>
        <w:rPr>
          <w:vertAlign w:val="superscript"/>
        </w:rPr>
        <w:t>49</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223" w:name="_Toc122241799"/>
      <w:bookmarkStart w:id="2224" w:name="_Toc122331087"/>
      <w:r>
        <w:rPr>
          <w:rStyle w:val="CharSectno"/>
        </w:rPr>
        <w:t>8</w:t>
      </w:r>
      <w:r>
        <w:t>.</w:t>
      </w:r>
      <w:r>
        <w:tab/>
        <w:t>Retrospective effect of certain provisions</w:t>
      </w:r>
      <w:bookmarkEnd w:id="2223"/>
      <w:bookmarkEnd w:id="2224"/>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 xml:space="preserve">For the purposes of assessing or reassessing the liability, at a particular time during the retrospective period, of a person who was a dealer at that time —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 xml:space="preserve">In this section —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50</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pPr>
      <w:r>
        <w:rPr>
          <w:vertAlign w:val="superscript"/>
        </w:rPr>
        <w:t>51</w:t>
      </w:r>
      <w:r>
        <w:tab/>
        <w:t>Footnote no longer applicable.</w:t>
      </w:r>
    </w:p>
    <w:p>
      <w:pPr>
        <w:pStyle w:val="nSubsection"/>
        <w:rPr>
          <w:snapToGrid w:val="0"/>
        </w:rPr>
      </w:pPr>
      <w:r>
        <w:rPr>
          <w:vertAlign w:val="superscript"/>
        </w:rPr>
        <w:t>52</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225" w:name="_Toc85339015"/>
      <w:bookmarkStart w:id="2226" w:name="_Toc111349322"/>
      <w:bookmarkStart w:id="2227" w:name="_Toc111430349"/>
      <w:bookmarkStart w:id="2228" w:name="_Toc122240664"/>
      <w:bookmarkStart w:id="2229" w:name="_Toc122341085"/>
      <w:r>
        <w:rPr>
          <w:rStyle w:val="CharSectno"/>
        </w:rPr>
        <w:t>7</w:t>
      </w:r>
      <w:r>
        <w:t>.</w:t>
      </w:r>
      <w:r>
        <w:tab/>
        <w:t>Transitional provisions</w:t>
      </w:r>
      <w:bookmarkEnd w:id="2225"/>
      <w:r>
        <w:t> — offshore risk policies</w:t>
      </w:r>
      <w:bookmarkEnd w:id="2226"/>
      <w:bookmarkEnd w:id="2227"/>
      <w:bookmarkEnd w:id="2228"/>
      <w:bookmarkEnd w:id="2229"/>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 xml:space="preserve">In this section —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 xml:space="preserve">In this section —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
      <w:pPr>
        <w:spacing w:after="40"/>
        <w:sectPr>
          <w:headerReference w:type="even" r:id="rId53"/>
          <w:headerReference w:type="default" r:id="rId54"/>
          <w:headerReference w:type="first" r:id="rId55"/>
          <w:pgSz w:w="11906" w:h="16838" w:code="9"/>
          <w:pgMar w:top="2376" w:right="2405" w:bottom="3542" w:left="2405" w:header="706" w:footer="3380" w:gutter="0"/>
          <w:cols w:space="720"/>
          <w:noEndnote/>
          <w:docGrid w:linePitch="326"/>
        </w:sectPr>
      </w:pPr>
    </w:p>
    <w:p/>
    <w:sectPr>
      <w:headerReference w:type="even" r:id="rId56"/>
      <w:headerReference w:type="defaul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1"/>
      <w:gridCol w:w="4922"/>
    </w:tblGrid>
    <w:tr>
      <w:trPr>
        <w:cantSplit/>
      </w:trPr>
      <w:tc>
        <w:tcPr>
          <w:tcW w:w="7263" w:type="dxa"/>
          <w:gridSpan w:val="2"/>
        </w:tcPr>
        <w:p>
          <w:pPr>
            <w:pStyle w:val="HeaderActNameLeft"/>
          </w:pPr>
          <w:fldSimple w:instr=" Styleref &quot;Name of Act/Reg&quot; ">
            <w:r>
              <w:rPr>
                <w:noProof/>
              </w:rPr>
              <w:t>Stamp Act 1921</w:t>
            </w:r>
          </w:fldSimple>
        </w:p>
      </w:tc>
    </w:tr>
    <w:tr>
      <w:tc>
        <w:tcPr>
          <w:tcW w:w="2341" w:type="dxa"/>
        </w:tcPr>
        <w:p>
          <w:pPr>
            <w:pStyle w:val="HeaderNumberLeft"/>
          </w:pPr>
        </w:p>
      </w:tc>
      <w:tc>
        <w:tcPr>
          <w:tcW w:w="4922" w:type="dxa"/>
        </w:tcPr>
        <w:p>
          <w:pPr>
            <w:pStyle w:val="HeaderTextLeft"/>
          </w:pPr>
        </w:p>
      </w:tc>
    </w:tr>
    <w:tr>
      <w:tc>
        <w:tcPr>
          <w:tcW w:w="2341" w:type="dxa"/>
        </w:tcPr>
        <w:p>
          <w:pPr>
            <w:pStyle w:val="HeaderNumberLeft"/>
          </w:pPr>
        </w:p>
      </w:tc>
      <w:tc>
        <w:tcPr>
          <w:tcW w:w="4922" w:type="dxa"/>
        </w:tcPr>
        <w:p>
          <w:pPr>
            <w:pStyle w:val="HeaderTextLeft"/>
          </w:pPr>
        </w:p>
      </w:tc>
    </w:tr>
    <w:tr>
      <w:trPr>
        <w:cantSplit/>
      </w:trPr>
      <w:tc>
        <w:tcPr>
          <w:tcW w:w="2341" w:type="dxa"/>
        </w:tcPr>
        <w:p>
          <w:pPr>
            <w:pStyle w:val="HeaderSectionRight"/>
            <w:ind w:right="17"/>
            <w:jc w:val="left"/>
          </w:pPr>
          <w:r>
            <w:fldChar w:fldCharType="begin"/>
          </w:r>
          <w:r>
            <w:instrText xml:space="preserve"> STYLEREF CharSchNo \* MERGEFORMAT </w:instrText>
          </w:r>
          <w:r>
            <w:fldChar w:fldCharType="end"/>
          </w:r>
        </w:p>
      </w:tc>
      <w:tc>
        <w:tcPr>
          <w:tcW w:w="492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FE3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FE3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5A96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9A7A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862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48DC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E2CD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E292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D423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25659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5AC6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DFA43C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oleObject" Target="embeddings/oleObject11.bin"/><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footer" Target="footer7.xml"/><Relationship Id="rId47" Type="http://schemas.openxmlformats.org/officeDocument/2006/relationships/oleObject" Target="embeddings/oleObject12.bin"/><Relationship Id="rId50" Type="http://schemas.openxmlformats.org/officeDocument/2006/relationships/header" Target="header9.xm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1.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7.xml"/><Relationship Id="rId54"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header" Target="header1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image" Target="media/image9.wmf"/><Relationship Id="rId49" Type="http://schemas.openxmlformats.org/officeDocument/2006/relationships/oleObject" Target="embeddings/oleObject13.bin"/><Relationship Id="rId57"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footer" Target="footer8.xml"/><Relationship Id="rId48" Type="http://schemas.openxmlformats.org/officeDocument/2006/relationships/image" Target="media/image12.wmf"/><Relationship Id="rId56" Type="http://schemas.openxmlformats.org/officeDocument/2006/relationships/header" Target="header15.xml"/><Relationship Id="rId8" Type="http://schemas.openxmlformats.org/officeDocument/2006/relationships/header" Target="header1.xml"/><Relationship Id="rId51" Type="http://schemas.openxmlformats.org/officeDocument/2006/relationships/header" Target="header10.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420</Pages>
  <Words>116620</Words>
  <Characters>549283</Characters>
  <Application>Microsoft Office Word</Application>
  <DocSecurity>0</DocSecurity>
  <Lines>15693</Lines>
  <Paragraphs>7482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1921 - 15-k0-02</dc:title>
  <dc:subject/>
  <dc:creator/>
  <cp:keywords/>
  <dc:description/>
  <cp:lastModifiedBy>svcMRProcess</cp:lastModifiedBy>
  <cp:revision>4</cp:revision>
  <cp:lastPrinted>2006-02-21T04:55:00Z</cp:lastPrinted>
  <dcterms:created xsi:type="dcterms:W3CDTF">2020-02-20T14:58:00Z</dcterms:created>
  <dcterms:modified xsi:type="dcterms:W3CDTF">2020-02-20T14:58:00Z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770</vt:i4>
  </property>
  <property fmtid="{D5CDD505-2E9C-101B-9397-08002B2CF9AE}" pid="6" name="AsAtDate">
    <vt:lpwstr>09 Apr 2006</vt:lpwstr>
  </property>
  <property fmtid="{D5CDD505-2E9C-101B-9397-08002B2CF9AE}" pid="7" name="Suffix">
    <vt:lpwstr>15-k0-02</vt:lpwstr>
  </property>
</Properties>
</file>