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B0" w:rsidRDefault="00C12CCE">
      <w:pPr>
        <w:pStyle w:val="WA"/>
        <w:pageBreakBefore/>
      </w:pPr>
      <w:bookmarkStart w:id="0" w:name="_GoBack"/>
      <w:bookmarkEnd w:id="0"/>
      <w:r>
        <w:t>Western Australia</w:t>
      </w:r>
    </w:p>
    <w:p w:rsidR="00E20FB0" w:rsidRDefault="00C12CCE">
      <w:pPr>
        <w:pStyle w:val="NameofActRegPage1"/>
        <w:spacing w:before="3760" w:after="4200"/>
      </w:pPr>
      <w:r>
        <w:fldChar w:fldCharType="begin"/>
      </w:r>
      <w:r>
        <w:instrText xml:space="preserve"> STYLEREF "Name Of Act/Reg"</w:instrText>
      </w:r>
      <w:r>
        <w:fldChar w:fldCharType="separate"/>
      </w:r>
      <w:r w:rsidR="003E6D89">
        <w:rPr>
          <w:noProof/>
        </w:rPr>
        <w:t>Standard Time Act 1895</w:t>
      </w:r>
      <w:r>
        <w:fldChar w:fldCharType="end"/>
      </w:r>
    </w:p>
    <w:p w:rsidR="00E20FB0" w:rsidRDefault="00E20FB0">
      <w:pPr>
        <w:jc w:val="center"/>
        <w:rPr>
          <w:b/>
        </w:rPr>
        <w:sectPr w:rsidR="00E20FB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20FB0" w:rsidRDefault="00C12CCE">
      <w:pPr>
        <w:pStyle w:val="WA"/>
        <w:spacing w:before="120"/>
      </w:pPr>
      <w:r>
        <w:lastRenderedPageBreak/>
        <w:t>Western Australia</w:t>
      </w:r>
    </w:p>
    <w:p w:rsidR="00E20FB0" w:rsidRDefault="00C12CCE">
      <w:pPr>
        <w:pStyle w:val="NameofActRegPage1"/>
      </w:pPr>
      <w:r>
        <w:fldChar w:fldCharType="begin"/>
      </w:r>
      <w:r>
        <w:instrText xml:space="preserve"> STYLEREF "Name Of Act/Reg"</w:instrText>
      </w:r>
      <w:r>
        <w:fldChar w:fldCharType="separate"/>
      </w:r>
      <w:r w:rsidR="003E6D89">
        <w:rPr>
          <w:noProof/>
        </w:rPr>
        <w:t>Standard Time Act 1895</w:t>
      </w:r>
      <w:r>
        <w:fldChar w:fldCharType="end"/>
      </w:r>
    </w:p>
    <w:p w:rsidR="00E20FB0" w:rsidRDefault="00C12CCE">
      <w:pPr>
        <w:pStyle w:val="Arrangement"/>
      </w:pPr>
      <w:r>
        <w:t>CONTENTS</w:t>
      </w:r>
    </w:p>
    <w:p w:rsidR="00E20FB0" w:rsidRDefault="00C12CCE">
      <w:pPr>
        <w:pStyle w:val="TOC4"/>
        <w:rPr>
          <w:noProof/>
        </w:rPr>
      </w:pPr>
      <w:r>
        <w:rPr>
          <w:noProof/>
        </w:rPr>
        <w:fldChar w:fldCharType="begin"/>
      </w:r>
      <w:r>
        <w:rPr>
          <w:noProof/>
        </w:rPr>
        <w:instrText xml:space="preserve"> TOC \o "2-3" \t "Heading 4,3,Heading 5,4, Miscellaneous Heading,6, 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Short title</w:t>
      </w:r>
      <w:r>
        <w:rPr>
          <w:noProof/>
        </w:rPr>
        <w:tab/>
      </w:r>
      <w:r>
        <w:rPr>
          <w:noProof/>
        </w:rPr>
        <w:fldChar w:fldCharType="begin"/>
      </w:r>
      <w:r>
        <w:rPr>
          <w:noProof/>
        </w:rPr>
        <w:instrText xml:space="preserve"> PAGEREF _Toc60636629 \h </w:instrText>
      </w:r>
      <w:r>
        <w:rPr>
          <w:noProof/>
        </w:rPr>
      </w:r>
      <w:r>
        <w:rPr>
          <w:noProof/>
        </w:rPr>
        <w:fldChar w:fldCharType="separate"/>
      </w:r>
      <w:r w:rsidR="003E6D89">
        <w:rPr>
          <w:noProof/>
        </w:rPr>
        <w:t>1</w:t>
      </w:r>
      <w:r>
        <w:rPr>
          <w:noProof/>
        </w:rPr>
        <w:fldChar w:fldCharType="end"/>
      </w:r>
    </w:p>
    <w:p w:rsidR="00E20FB0" w:rsidRDefault="00C12CCE">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_Toc60636630 \h </w:instrText>
      </w:r>
      <w:r>
        <w:rPr>
          <w:noProof/>
        </w:rPr>
      </w:r>
      <w:r>
        <w:rPr>
          <w:noProof/>
        </w:rPr>
        <w:fldChar w:fldCharType="separate"/>
      </w:r>
      <w:r w:rsidR="003E6D89">
        <w:rPr>
          <w:noProof/>
        </w:rPr>
        <w:t>1</w:t>
      </w:r>
      <w:r>
        <w:rPr>
          <w:noProof/>
        </w:rPr>
        <w:fldChar w:fldCharType="end"/>
      </w:r>
    </w:p>
    <w:p w:rsidR="00E20FB0" w:rsidRDefault="00C12CCE">
      <w:pPr>
        <w:pStyle w:val="TOC4"/>
        <w:rPr>
          <w:noProof/>
        </w:rPr>
      </w:pPr>
      <w:r>
        <w:rPr>
          <w:noProof/>
        </w:rPr>
        <w:t>3</w:t>
      </w:r>
      <w:r>
        <w:rPr>
          <w:noProof/>
          <w:snapToGrid w:val="0"/>
        </w:rPr>
        <w:t>.</w:t>
      </w:r>
      <w:r>
        <w:rPr>
          <w:noProof/>
        </w:rPr>
        <w:tab/>
      </w:r>
      <w:r>
        <w:rPr>
          <w:noProof/>
          <w:snapToGrid w:val="0"/>
        </w:rPr>
        <w:t>The time of the 120th meridian to be standard time</w:t>
      </w:r>
      <w:r>
        <w:rPr>
          <w:noProof/>
        </w:rPr>
        <w:tab/>
      </w:r>
      <w:r>
        <w:rPr>
          <w:noProof/>
        </w:rPr>
        <w:fldChar w:fldCharType="begin"/>
      </w:r>
      <w:r>
        <w:rPr>
          <w:noProof/>
        </w:rPr>
        <w:instrText xml:space="preserve"> PAGEREF _Toc60636631 \h </w:instrText>
      </w:r>
      <w:r>
        <w:rPr>
          <w:noProof/>
        </w:rPr>
      </w:r>
      <w:r>
        <w:rPr>
          <w:noProof/>
        </w:rPr>
        <w:fldChar w:fldCharType="separate"/>
      </w:r>
      <w:r w:rsidR="003E6D89">
        <w:rPr>
          <w:noProof/>
        </w:rPr>
        <w:t>1</w:t>
      </w:r>
      <w:r>
        <w:rPr>
          <w:noProof/>
        </w:rPr>
        <w:fldChar w:fldCharType="end"/>
      </w:r>
    </w:p>
    <w:p w:rsidR="00E20FB0" w:rsidRDefault="00C12CCE">
      <w:pPr>
        <w:pStyle w:val="TOC4"/>
        <w:rPr>
          <w:noProof/>
        </w:rPr>
      </w:pPr>
      <w:r>
        <w:rPr>
          <w:noProof/>
        </w:rPr>
        <w:t>4</w:t>
      </w:r>
      <w:r>
        <w:rPr>
          <w:noProof/>
          <w:snapToGrid w:val="0"/>
        </w:rPr>
        <w:t>.</w:t>
      </w:r>
      <w:r>
        <w:rPr>
          <w:noProof/>
        </w:rPr>
        <w:tab/>
      </w:r>
      <w:r>
        <w:rPr>
          <w:noProof/>
          <w:snapToGrid w:val="0"/>
        </w:rPr>
        <w:t>Times mentioned in Acts, rules, or instruments to mean standard time</w:t>
      </w:r>
      <w:r>
        <w:rPr>
          <w:noProof/>
        </w:rPr>
        <w:tab/>
      </w:r>
      <w:r>
        <w:rPr>
          <w:noProof/>
        </w:rPr>
        <w:fldChar w:fldCharType="begin"/>
      </w:r>
      <w:r>
        <w:rPr>
          <w:noProof/>
        </w:rPr>
        <w:instrText xml:space="preserve"> PAGEREF _Toc60636632 \h </w:instrText>
      </w:r>
      <w:r>
        <w:rPr>
          <w:noProof/>
        </w:rPr>
      </w:r>
      <w:r>
        <w:rPr>
          <w:noProof/>
        </w:rPr>
        <w:fldChar w:fldCharType="separate"/>
      </w:r>
      <w:r w:rsidR="003E6D89">
        <w:rPr>
          <w:noProof/>
        </w:rPr>
        <w:t>1</w:t>
      </w:r>
      <w:r>
        <w:rPr>
          <w:noProof/>
        </w:rPr>
        <w:fldChar w:fldCharType="end"/>
      </w:r>
    </w:p>
    <w:p w:rsidR="00E20FB0" w:rsidRDefault="00C12CCE">
      <w:pPr>
        <w:pStyle w:val="TOC2"/>
        <w:tabs>
          <w:tab w:val="right" w:leader="dot" w:pos="7086"/>
        </w:tabs>
        <w:rPr>
          <w:noProof/>
        </w:rPr>
      </w:pPr>
      <w:r>
        <w:rPr>
          <w:noProof/>
        </w:rPr>
        <w:t>Notes</w:t>
      </w:r>
    </w:p>
    <w:p w:rsidR="00E20FB0" w:rsidRDefault="00C12CCE">
      <w:pPr>
        <w:pStyle w:val="TOC4"/>
        <w:rPr>
          <w:noProof/>
        </w:rPr>
      </w:pPr>
      <w:r>
        <w:rPr>
          <w:noProof/>
          <w:snapToGrid w:val="0"/>
        </w:rPr>
        <w:t>Compilation table</w:t>
      </w:r>
      <w:r>
        <w:rPr>
          <w:noProof/>
        </w:rPr>
        <w:tab/>
      </w:r>
      <w:r>
        <w:rPr>
          <w:noProof/>
        </w:rPr>
        <w:fldChar w:fldCharType="begin"/>
      </w:r>
      <w:r>
        <w:rPr>
          <w:noProof/>
        </w:rPr>
        <w:instrText xml:space="preserve"> PAGEREF _Toc60636633 \h </w:instrText>
      </w:r>
      <w:r>
        <w:rPr>
          <w:noProof/>
        </w:rPr>
      </w:r>
      <w:r>
        <w:rPr>
          <w:noProof/>
        </w:rPr>
        <w:fldChar w:fldCharType="separate"/>
      </w:r>
      <w:r w:rsidR="003E6D89">
        <w:rPr>
          <w:noProof/>
        </w:rPr>
        <w:t>1</w:t>
      </w:r>
      <w:r>
        <w:rPr>
          <w:noProof/>
        </w:rPr>
        <w:fldChar w:fldCharType="end"/>
      </w:r>
    </w:p>
    <w:p w:rsidR="00E20FB0" w:rsidRDefault="00C12CCE">
      <w:pPr>
        <w:pStyle w:val="TOC2"/>
      </w:pPr>
      <w:r>
        <w:fldChar w:fldCharType="end"/>
      </w:r>
    </w:p>
    <w:p w:rsidR="00E20FB0" w:rsidRDefault="00C12C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20FB0" w:rsidRDefault="00E20FB0">
      <w:pPr>
        <w:pStyle w:val="NoteHeading"/>
        <w:sectPr w:rsidR="00E20FB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20FB0" w:rsidRDefault="00C12CCE">
      <w:pPr>
        <w:pStyle w:val="WA"/>
        <w:spacing w:before="120"/>
      </w:pPr>
      <w:r>
        <w:lastRenderedPageBreak/>
        <w:t>Western Australia</w:t>
      </w:r>
    </w:p>
    <w:p w:rsidR="00E20FB0" w:rsidRDefault="00C12CCE">
      <w:pPr>
        <w:pStyle w:val="NameofActReg"/>
      </w:pPr>
      <w:r>
        <w:t xml:space="preserve">Standard Time Act 1895 </w:t>
      </w:r>
    </w:p>
    <w:p w:rsidR="00E20FB0" w:rsidRDefault="00C12CCE">
      <w:pPr>
        <w:pStyle w:val="LongTitle"/>
        <w:rPr>
          <w:snapToGrid w:val="0"/>
        </w:rPr>
      </w:pPr>
      <w:r>
        <w:rPr>
          <w:snapToGrid w:val="0"/>
        </w:rPr>
        <w:t xml:space="preserve">An Act to establish a standard of time in Western Australia. </w:t>
      </w:r>
    </w:p>
    <w:p w:rsidR="00E20FB0" w:rsidRDefault="00C12CCE">
      <w:pPr>
        <w:pStyle w:val="Preamble"/>
        <w:tabs>
          <w:tab w:val="clear" w:pos="567"/>
        </w:tabs>
        <w:ind w:left="895" w:firstLine="0"/>
        <w:rPr>
          <w:b/>
          <w:snapToGrid w:val="0"/>
        </w:rPr>
      </w:pPr>
      <w:r>
        <w:rPr>
          <w:b/>
          <w:snapToGrid w:val="0"/>
        </w:rPr>
        <w:t>Preamble</w:t>
      </w:r>
    </w:p>
    <w:p w:rsidR="00E20FB0" w:rsidRDefault="00C12CCE">
      <w:pPr>
        <w:pStyle w:val="Enactment"/>
        <w:spacing w:before="160"/>
        <w:ind w:left="881"/>
        <w:rPr>
          <w:snapToGrid w:val="0"/>
        </w:rPr>
      </w:pPr>
      <w:r>
        <w:rPr>
          <w:snapToGrid w:val="0"/>
        </w:rPr>
        <w:t xml:space="preserve">Whereas it is expedient to establish a standard of time in Western Australia, and to declare the mean time of the 120th meridian of longitude East of Greenwich, in England, to be such standard time throughout Western Australia: Be it therefore enacted by the Queen’s Most Excellent Majesty, by and with the advice and consent of the Legislative Council and the Legislative Assembly of Western Australia, in this present Parliament assembled, and by the authority of the same, as follows (that is to say): —  </w:t>
      </w:r>
    </w:p>
    <w:p w:rsidR="00E20FB0" w:rsidRDefault="00C12CCE">
      <w:pPr>
        <w:pStyle w:val="Heading5"/>
      </w:pPr>
      <w:bookmarkStart w:id="1" w:name="_Toc60636629"/>
      <w:bookmarkStart w:id="2" w:name="_Toc52677112"/>
      <w:bookmarkStart w:id="3" w:name="_Toc411843758"/>
      <w:r>
        <w:rPr>
          <w:rStyle w:val="CharSectno"/>
        </w:rPr>
        <w:t>1</w:t>
      </w:r>
      <w:r>
        <w:t>.</w:t>
      </w:r>
      <w:r>
        <w:tab/>
        <w:t>Short title</w:t>
      </w:r>
      <w:bookmarkEnd w:id="1"/>
    </w:p>
    <w:p w:rsidR="00E20FB0" w:rsidRDefault="00C12CCE">
      <w:pPr>
        <w:pStyle w:val="Subsection"/>
      </w:pPr>
      <w:r>
        <w:tab/>
      </w:r>
      <w:r>
        <w:tab/>
        <w:t xml:space="preserve">This Act may be cited as the </w:t>
      </w:r>
      <w:r>
        <w:rPr>
          <w:i/>
        </w:rPr>
        <w:t>Standard Time Act 1895</w:t>
      </w:r>
      <w:r>
        <w:t>.</w:t>
      </w:r>
    </w:p>
    <w:p w:rsidR="00E20FB0" w:rsidRDefault="00C12CCE">
      <w:pPr>
        <w:pStyle w:val="Footnotesection"/>
      </w:pPr>
      <w:r>
        <w:tab/>
        <w:t>[Section 1 inserted by No. 74 of 2003 s. 151.]</w:t>
      </w:r>
    </w:p>
    <w:p w:rsidR="00E20FB0" w:rsidRDefault="00C12CCE">
      <w:pPr>
        <w:pStyle w:val="Heading5"/>
        <w:rPr>
          <w:snapToGrid w:val="0"/>
        </w:rPr>
      </w:pPr>
      <w:bookmarkStart w:id="4" w:name="_Toc60636630"/>
      <w:r>
        <w:rPr>
          <w:rStyle w:val="CharSectno"/>
        </w:rPr>
        <w:t>2</w:t>
      </w:r>
      <w:r>
        <w:rPr>
          <w:snapToGrid w:val="0"/>
        </w:rPr>
        <w:t>.</w:t>
      </w:r>
      <w:r>
        <w:rPr>
          <w:snapToGrid w:val="0"/>
        </w:rPr>
        <w:tab/>
        <w:t>Commencement</w:t>
      </w:r>
      <w:bookmarkEnd w:id="2"/>
      <w:bookmarkEnd w:id="4"/>
      <w:r>
        <w:rPr>
          <w:snapToGrid w:val="0"/>
        </w:rPr>
        <w:t xml:space="preserve"> </w:t>
      </w:r>
      <w:bookmarkEnd w:id="3"/>
    </w:p>
    <w:p w:rsidR="00E20FB0" w:rsidRDefault="00C12CCE">
      <w:pPr>
        <w:pStyle w:val="Subsection"/>
        <w:rPr>
          <w:snapToGrid w:val="0"/>
        </w:rPr>
      </w:pPr>
      <w:r>
        <w:rPr>
          <w:snapToGrid w:val="0"/>
        </w:rPr>
        <w:tab/>
      </w:r>
      <w:r>
        <w:rPr>
          <w:snapToGrid w:val="0"/>
        </w:rPr>
        <w:tab/>
        <w:t>This Act shall commence and take effect on and from 1 December 1895.</w:t>
      </w:r>
    </w:p>
    <w:p w:rsidR="00E20FB0" w:rsidRDefault="00C12CCE">
      <w:pPr>
        <w:pStyle w:val="Heading5"/>
        <w:rPr>
          <w:snapToGrid w:val="0"/>
        </w:rPr>
      </w:pPr>
      <w:bookmarkStart w:id="5" w:name="_Toc411843759"/>
      <w:bookmarkStart w:id="6" w:name="_Toc52677113"/>
      <w:bookmarkStart w:id="7" w:name="_Toc60636631"/>
      <w:r>
        <w:rPr>
          <w:rStyle w:val="CharSectno"/>
        </w:rPr>
        <w:t>3</w:t>
      </w:r>
      <w:r>
        <w:rPr>
          <w:snapToGrid w:val="0"/>
        </w:rPr>
        <w:t>.</w:t>
      </w:r>
      <w:r>
        <w:rPr>
          <w:snapToGrid w:val="0"/>
        </w:rPr>
        <w:tab/>
        <w:t>The time of the 120th meridian to be standard time</w:t>
      </w:r>
      <w:bookmarkEnd w:id="5"/>
      <w:bookmarkEnd w:id="6"/>
      <w:bookmarkEnd w:id="7"/>
      <w:r>
        <w:rPr>
          <w:snapToGrid w:val="0"/>
        </w:rPr>
        <w:t xml:space="preserve"> </w:t>
      </w:r>
    </w:p>
    <w:p w:rsidR="00E20FB0" w:rsidRDefault="00C12CCE">
      <w:pPr>
        <w:pStyle w:val="Subsection"/>
        <w:rPr>
          <w:snapToGrid w:val="0"/>
        </w:rPr>
      </w:pPr>
      <w:r>
        <w:rPr>
          <w:snapToGrid w:val="0"/>
        </w:rPr>
        <w:tab/>
      </w:r>
      <w:r>
        <w:rPr>
          <w:snapToGrid w:val="0"/>
        </w:rPr>
        <w:tab/>
        <w:t>The mean time of the 120th meridian of longitude East of Greenwich, in England, shall be deemed, and is hereby declared to be standard time throughout Western Australia.</w:t>
      </w:r>
    </w:p>
    <w:p w:rsidR="00E20FB0" w:rsidRDefault="00C12CCE">
      <w:pPr>
        <w:pStyle w:val="Heading5"/>
        <w:rPr>
          <w:snapToGrid w:val="0"/>
        </w:rPr>
      </w:pPr>
      <w:bookmarkStart w:id="8" w:name="_Toc411843760"/>
      <w:bookmarkStart w:id="9" w:name="_Toc52677114"/>
      <w:bookmarkStart w:id="10" w:name="_Toc60636632"/>
      <w:r>
        <w:rPr>
          <w:rStyle w:val="CharSectno"/>
        </w:rPr>
        <w:t>4</w:t>
      </w:r>
      <w:r>
        <w:rPr>
          <w:snapToGrid w:val="0"/>
        </w:rPr>
        <w:t>.</w:t>
      </w:r>
      <w:r>
        <w:rPr>
          <w:snapToGrid w:val="0"/>
        </w:rPr>
        <w:tab/>
        <w:t>Times mentioned in Acts, rules, or instruments to mean standard time</w:t>
      </w:r>
      <w:bookmarkEnd w:id="8"/>
      <w:bookmarkEnd w:id="9"/>
      <w:bookmarkEnd w:id="10"/>
      <w:r>
        <w:rPr>
          <w:snapToGrid w:val="0"/>
        </w:rPr>
        <w:t xml:space="preserve"> </w:t>
      </w:r>
    </w:p>
    <w:p w:rsidR="00E20FB0" w:rsidRDefault="00C12CCE">
      <w:pPr>
        <w:pStyle w:val="Subsection"/>
        <w:rPr>
          <w:snapToGrid w:val="0"/>
        </w:rPr>
      </w:pPr>
      <w:r>
        <w:rPr>
          <w:snapToGrid w:val="0"/>
        </w:rPr>
        <w:tab/>
      </w:r>
      <w:r>
        <w:rPr>
          <w:snapToGrid w:val="0"/>
        </w:rPr>
        <w:tab/>
        <w:t>Whenever any expression of time occurs in any Act, Order in Council, rule, regulation, local law or by</w:t>
      </w:r>
      <w:r>
        <w:rPr>
          <w:snapToGrid w:val="0"/>
        </w:rPr>
        <w:noBreakHyphen/>
        <w:t>law, or deed, or in any instrument whatsoever, and whenever the doing or not doing anything at a certain time of day or night, or during a certain part of the day or the night, has an effect in law, such time shall, unless it is otherwise specifically stated, be held to be standard time throughout Western Australia, as declared by this Act.</w:t>
      </w:r>
    </w:p>
    <w:p w:rsidR="00E20FB0" w:rsidRDefault="00C12CCE">
      <w:pPr>
        <w:pStyle w:val="Footnotesection"/>
      </w:pPr>
      <w:r>
        <w:tab/>
        <w:t xml:space="preserve">[Section 4 amended by No. 14 of 1996 s. 4.] </w:t>
      </w:r>
    </w:p>
    <w:p w:rsidR="00E20FB0" w:rsidRDefault="00E20FB0">
      <w:pPr>
        <w:rPr>
          <w:rStyle w:val="CharDivText"/>
        </w:rPr>
        <w:sectPr w:rsidR="00E20FB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20FB0" w:rsidRDefault="00C12CCE">
      <w:pPr>
        <w:pStyle w:val="nHeading2"/>
      </w:pPr>
      <w:r>
        <w:t>Notes</w:t>
      </w:r>
    </w:p>
    <w:p w:rsidR="00E20FB0" w:rsidRDefault="00C12CCE">
      <w:pPr>
        <w:pStyle w:val="nSubsection"/>
        <w:rPr>
          <w:snapToGrid w:val="0"/>
        </w:rPr>
      </w:pPr>
      <w:r>
        <w:rPr>
          <w:snapToGrid w:val="0"/>
          <w:vertAlign w:val="superscript"/>
        </w:rPr>
        <w:t>1</w:t>
      </w:r>
      <w:r>
        <w:rPr>
          <w:snapToGrid w:val="0"/>
        </w:rPr>
        <w:tab/>
        <w:t xml:space="preserve">This is a compilation of the </w:t>
      </w:r>
      <w:r>
        <w:rPr>
          <w:i/>
          <w:noProof/>
          <w:snapToGrid w:val="0"/>
        </w:rPr>
        <w:t>Standard Time Act 1895</w:t>
      </w:r>
      <w:r>
        <w:rPr>
          <w:snapToGrid w:val="0"/>
        </w:rPr>
        <w:t xml:space="preserve"> and includes the amendments made by the other written laws referred to in the following table.  The table also contains information about any reprint.</w:t>
      </w:r>
    </w:p>
    <w:p w:rsidR="00E20FB0" w:rsidRDefault="00C12CCE">
      <w:pPr>
        <w:pStyle w:val="nHeading3"/>
        <w:rPr>
          <w:snapToGrid w:val="0"/>
        </w:rPr>
      </w:pPr>
      <w:bookmarkStart w:id="11" w:name="_Toc52677115"/>
      <w:bookmarkStart w:id="12" w:name="_Toc60636633"/>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20FB0">
        <w:trPr>
          <w:tblHeader/>
        </w:trPr>
        <w:tc>
          <w:tcPr>
            <w:tcW w:w="2268" w:type="dxa"/>
            <w:tcBorders>
              <w:top w:val="single" w:sz="8" w:space="0" w:color="auto"/>
              <w:bottom w:val="single" w:sz="8" w:space="0" w:color="auto"/>
            </w:tcBorders>
          </w:tcPr>
          <w:p w:rsidR="00E20FB0" w:rsidRDefault="00C12CCE">
            <w:pPr>
              <w:pStyle w:val="nTable"/>
              <w:spacing w:after="40"/>
              <w:rPr>
                <w:b/>
                <w:sz w:val="19"/>
              </w:rPr>
            </w:pPr>
            <w:r>
              <w:rPr>
                <w:b/>
                <w:sz w:val="19"/>
              </w:rPr>
              <w:t>Short title</w:t>
            </w:r>
          </w:p>
        </w:tc>
        <w:tc>
          <w:tcPr>
            <w:tcW w:w="1134" w:type="dxa"/>
            <w:tcBorders>
              <w:top w:val="single" w:sz="8" w:space="0" w:color="auto"/>
              <w:bottom w:val="single" w:sz="8" w:space="0" w:color="auto"/>
            </w:tcBorders>
          </w:tcPr>
          <w:p w:rsidR="00E20FB0" w:rsidRDefault="00C12CC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20FB0" w:rsidRDefault="00C12CCE">
            <w:pPr>
              <w:pStyle w:val="nTable"/>
              <w:spacing w:after="40"/>
              <w:rPr>
                <w:b/>
                <w:sz w:val="19"/>
              </w:rPr>
            </w:pPr>
            <w:r>
              <w:rPr>
                <w:b/>
                <w:sz w:val="19"/>
              </w:rPr>
              <w:t>Assent</w:t>
            </w:r>
          </w:p>
        </w:tc>
        <w:tc>
          <w:tcPr>
            <w:tcW w:w="2551" w:type="dxa"/>
            <w:tcBorders>
              <w:top w:val="single" w:sz="8" w:space="0" w:color="auto"/>
              <w:bottom w:val="single" w:sz="8" w:space="0" w:color="auto"/>
            </w:tcBorders>
          </w:tcPr>
          <w:p w:rsidR="00E20FB0" w:rsidRDefault="00C12CCE">
            <w:pPr>
              <w:pStyle w:val="nTable"/>
              <w:spacing w:after="40"/>
              <w:rPr>
                <w:b/>
                <w:sz w:val="19"/>
              </w:rPr>
            </w:pPr>
            <w:r>
              <w:rPr>
                <w:b/>
                <w:sz w:val="19"/>
              </w:rPr>
              <w:t>Commencement</w:t>
            </w:r>
          </w:p>
        </w:tc>
      </w:tr>
      <w:tr w:rsidR="00E20FB0">
        <w:tc>
          <w:tcPr>
            <w:tcW w:w="2268" w:type="dxa"/>
          </w:tcPr>
          <w:p w:rsidR="00E20FB0" w:rsidRDefault="00C12CCE">
            <w:pPr>
              <w:pStyle w:val="nTable"/>
              <w:spacing w:after="40"/>
              <w:rPr>
                <w:i/>
                <w:sz w:val="19"/>
                <w:vertAlign w:val="superscript"/>
              </w:rPr>
            </w:pPr>
            <w:r>
              <w:rPr>
                <w:i/>
                <w:sz w:val="19"/>
              </w:rPr>
              <w:t xml:space="preserve">The Standard Time Act 1895 </w:t>
            </w:r>
            <w:r>
              <w:rPr>
                <w:i/>
                <w:sz w:val="19"/>
                <w:vertAlign w:val="superscript"/>
              </w:rPr>
              <w:t>2</w:t>
            </w:r>
          </w:p>
        </w:tc>
        <w:tc>
          <w:tcPr>
            <w:tcW w:w="1134" w:type="dxa"/>
          </w:tcPr>
          <w:p w:rsidR="00E20FB0" w:rsidRDefault="00C12CCE">
            <w:pPr>
              <w:pStyle w:val="nTable"/>
              <w:spacing w:after="40"/>
              <w:rPr>
                <w:sz w:val="19"/>
              </w:rPr>
            </w:pPr>
            <w:r>
              <w:rPr>
                <w:sz w:val="19"/>
              </w:rPr>
              <w:t>59 Vict., No. 2</w:t>
            </w:r>
          </w:p>
        </w:tc>
        <w:tc>
          <w:tcPr>
            <w:tcW w:w="1134" w:type="dxa"/>
          </w:tcPr>
          <w:p w:rsidR="00E20FB0" w:rsidRDefault="00C12CCE">
            <w:pPr>
              <w:pStyle w:val="nTable"/>
              <w:spacing w:after="40"/>
              <w:rPr>
                <w:sz w:val="19"/>
              </w:rPr>
            </w:pPr>
            <w:r>
              <w:rPr>
                <w:sz w:val="19"/>
              </w:rPr>
              <w:t>17 Jul 1895</w:t>
            </w:r>
          </w:p>
        </w:tc>
        <w:tc>
          <w:tcPr>
            <w:tcW w:w="2551" w:type="dxa"/>
          </w:tcPr>
          <w:p w:rsidR="00E20FB0" w:rsidRDefault="00C12CCE">
            <w:pPr>
              <w:pStyle w:val="nTable"/>
              <w:spacing w:after="40"/>
              <w:rPr>
                <w:sz w:val="19"/>
              </w:rPr>
            </w:pPr>
            <w:r>
              <w:rPr>
                <w:sz w:val="19"/>
              </w:rPr>
              <w:t>1 Dec 1895 (see s. 2)</w:t>
            </w:r>
          </w:p>
        </w:tc>
      </w:tr>
      <w:tr w:rsidR="00E20FB0">
        <w:tc>
          <w:tcPr>
            <w:tcW w:w="2268" w:type="dxa"/>
          </w:tcPr>
          <w:p w:rsidR="00E20FB0" w:rsidRDefault="00C12CCE">
            <w:pPr>
              <w:pStyle w:val="nTable"/>
              <w:spacing w:after="40"/>
              <w:rPr>
                <w:sz w:val="19"/>
              </w:rPr>
            </w:pPr>
            <w:r>
              <w:rPr>
                <w:i/>
                <w:sz w:val="19"/>
              </w:rPr>
              <w:t>Local Government (Consequential Amendments) Act 1996</w:t>
            </w:r>
            <w:r>
              <w:rPr>
                <w:sz w:val="19"/>
              </w:rPr>
              <w:t xml:space="preserve"> s. 4</w:t>
            </w:r>
          </w:p>
        </w:tc>
        <w:tc>
          <w:tcPr>
            <w:tcW w:w="1134" w:type="dxa"/>
          </w:tcPr>
          <w:p w:rsidR="00E20FB0" w:rsidRDefault="00C12CCE">
            <w:pPr>
              <w:pStyle w:val="nTable"/>
              <w:spacing w:after="40"/>
              <w:rPr>
                <w:sz w:val="19"/>
              </w:rPr>
            </w:pPr>
            <w:r>
              <w:rPr>
                <w:sz w:val="19"/>
              </w:rPr>
              <w:t>14 of 1996</w:t>
            </w:r>
          </w:p>
        </w:tc>
        <w:tc>
          <w:tcPr>
            <w:tcW w:w="1134" w:type="dxa"/>
          </w:tcPr>
          <w:p w:rsidR="00E20FB0" w:rsidRDefault="00C12CCE">
            <w:pPr>
              <w:pStyle w:val="nTable"/>
              <w:spacing w:after="40"/>
              <w:rPr>
                <w:sz w:val="19"/>
              </w:rPr>
            </w:pPr>
            <w:r>
              <w:rPr>
                <w:sz w:val="19"/>
              </w:rPr>
              <w:t>28 Jun 1996</w:t>
            </w:r>
          </w:p>
        </w:tc>
        <w:tc>
          <w:tcPr>
            <w:tcW w:w="2551" w:type="dxa"/>
          </w:tcPr>
          <w:p w:rsidR="00E20FB0" w:rsidRDefault="00C12CCE">
            <w:pPr>
              <w:pStyle w:val="nTable"/>
              <w:spacing w:after="40"/>
              <w:rPr>
                <w:sz w:val="19"/>
              </w:rPr>
            </w:pPr>
            <w:r>
              <w:rPr>
                <w:sz w:val="19"/>
              </w:rPr>
              <w:t>1 Jul 1996 (see s. 2)</w:t>
            </w:r>
          </w:p>
        </w:tc>
      </w:tr>
      <w:tr w:rsidR="00E20FB0">
        <w:trPr>
          <w:cantSplit/>
        </w:trPr>
        <w:tc>
          <w:tcPr>
            <w:tcW w:w="7087" w:type="dxa"/>
            <w:gridSpan w:val="4"/>
          </w:tcPr>
          <w:p w:rsidR="00E20FB0" w:rsidRDefault="00C12CCE">
            <w:pPr>
              <w:pStyle w:val="nTable"/>
              <w:spacing w:after="40"/>
              <w:rPr>
                <w:b/>
                <w:sz w:val="19"/>
              </w:rPr>
            </w:pPr>
            <w:r>
              <w:rPr>
                <w:b/>
                <w:sz w:val="19"/>
              </w:rPr>
              <w:t xml:space="preserve">Reprint 1: </w:t>
            </w:r>
            <w:r>
              <w:rPr>
                <w:b/>
                <w:i/>
                <w:sz w:val="19"/>
              </w:rPr>
              <w:t>The Standard Time Act 1895</w:t>
            </w:r>
            <w:r>
              <w:rPr>
                <w:b/>
                <w:sz w:val="19"/>
              </w:rPr>
              <w:t xml:space="preserve"> as at 12 Sep 2003</w:t>
            </w:r>
            <w:r>
              <w:rPr>
                <w:sz w:val="19"/>
              </w:rPr>
              <w:t xml:space="preserve"> (includes amendments listed above)</w:t>
            </w:r>
          </w:p>
        </w:tc>
      </w:tr>
      <w:tr w:rsidR="00E20FB0">
        <w:tc>
          <w:tcPr>
            <w:tcW w:w="2268" w:type="dxa"/>
            <w:tcBorders>
              <w:bottom w:val="single" w:sz="8" w:space="0" w:color="auto"/>
            </w:tcBorders>
          </w:tcPr>
          <w:p w:rsidR="00E20FB0" w:rsidRDefault="00C12CCE">
            <w:pPr>
              <w:pStyle w:val="nTable"/>
              <w:spacing w:after="40"/>
              <w:rPr>
                <w:sz w:val="19"/>
              </w:rPr>
            </w:pPr>
            <w:r>
              <w:rPr>
                <w:i/>
                <w:sz w:val="19"/>
              </w:rPr>
              <w:t>Statutes (Repeals and Minor Amendments) Act 2003</w:t>
            </w:r>
            <w:r>
              <w:rPr>
                <w:sz w:val="19"/>
              </w:rPr>
              <w:t xml:space="preserve"> s. 151</w:t>
            </w:r>
          </w:p>
        </w:tc>
        <w:tc>
          <w:tcPr>
            <w:tcW w:w="1134" w:type="dxa"/>
            <w:tcBorders>
              <w:bottom w:val="single" w:sz="8" w:space="0" w:color="auto"/>
            </w:tcBorders>
          </w:tcPr>
          <w:p w:rsidR="00E20FB0" w:rsidRDefault="00C12CCE">
            <w:pPr>
              <w:pStyle w:val="nTable"/>
              <w:spacing w:after="40"/>
              <w:rPr>
                <w:sz w:val="19"/>
              </w:rPr>
            </w:pPr>
            <w:r>
              <w:rPr>
                <w:sz w:val="19"/>
              </w:rPr>
              <w:t>74 of 2003</w:t>
            </w:r>
          </w:p>
        </w:tc>
        <w:tc>
          <w:tcPr>
            <w:tcW w:w="1134" w:type="dxa"/>
            <w:tcBorders>
              <w:bottom w:val="single" w:sz="8" w:space="0" w:color="auto"/>
            </w:tcBorders>
          </w:tcPr>
          <w:p w:rsidR="00E20FB0" w:rsidRDefault="00C12CCE">
            <w:pPr>
              <w:pStyle w:val="nTable"/>
              <w:spacing w:after="40"/>
              <w:rPr>
                <w:sz w:val="19"/>
              </w:rPr>
            </w:pPr>
            <w:r>
              <w:rPr>
                <w:sz w:val="19"/>
              </w:rPr>
              <w:t>15 Dec 2003</w:t>
            </w:r>
          </w:p>
        </w:tc>
        <w:tc>
          <w:tcPr>
            <w:tcW w:w="2551" w:type="dxa"/>
            <w:tcBorders>
              <w:bottom w:val="single" w:sz="8" w:space="0" w:color="auto"/>
            </w:tcBorders>
          </w:tcPr>
          <w:p w:rsidR="00E20FB0" w:rsidRDefault="00C12CCE">
            <w:pPr>
              <w:pStyle w:val="nTable"/>
              <w:spacing w:after="40"/>
              <w:rPr>
                <w:sz w:val="19"/>
              </w:rPr>
            </w:pPr>
            <w:r>
              <w:rPr>
                <w:spacing w:val="-2"/>
                <w:sz w:val="19"/>
              </w:rPr>
              <w:t>15 Dec 2003 (see s. 2)</w:t>
            </w:r>
          </w:p>
        </w:tc>
      </w:tr>
    </w:tbl>
    <w:p w:rsidR="00E20FB0" w:rsidRDefault="00E20FB0"/>
    <w:p w:rsidR="00E20FB0" w:rsidRDefault="00C12CCE">
      <w:pPr>
        <w:pStyle w:val="nSubsection"/>
        <w:keepNext/>
        <w:rPr>
          <w:sz w:val="19"/>
        </w:rPr>
      </w:pPr>
      <w:r>
        <w:rPr>
          <w:vertAlign w:val="superscript"/>
        </w:rPr>
        <w:t>2</w:t>
      </w:r>
      <w:r>
        <w:tab/>
        <w:t xml:space="preserve">Now known as the </w:t>
      </w:r>
      <w:r>
        <w:rPr>
          <w:i/>
          <w:sz w:val="19"/>
        </w:rPr>
        <w:t>Standard Time Act </w:t>
      </w:r>
      <w:r>
        <w:rPr>
          <w:sz w:val="19"/>
        </w:rPr>
        <w:t>1895; short title changed (see note under s. 1).</w:t>
      </w:r>
    </w:p>
    <w:p w:rsidR="00E20FB0" w:rsidRDefault="00E20FB0"/>
    <w:p w:rsidR="00E20FB0" w:rsidRDefault="00E20FB0">
      <w:pPr>
        <w:sectPr w:rsidR="00E20FB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20FB0" w:rsidRDefault="00E20FB0"/>
    <w:sectPr w:rsidR="00E20FB0">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B0" w:rsidRDefault="00C12CCE">
      <w:r>
        <w:separator/>
      </w:r>
    </w:p>
  </w:endnote>
  <w:endnote w:type="continuationSeparator" w:id="0">
    <w:p w:rsidR="00E20FB0" w:rsidRDefault="00C1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p>
  <w:p w:rsidR="00E20FB0" w:rsidRDefault="00C12C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E20FB0" w:rsidRDefault="00C12C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E20FB0" w:rsidRDefault="00C12C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p>
  <w:p w:rsidR="00E20FB0" w:rsidRDefault="00C12C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0FB0" w:rsidRDefault="00C12C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6D89">
      <w:rPr>
        <w:rStyle w:val="PageNumber"/>
        <w:rFonts w:ascii="Arial" w:hAnsi="Arial" w:cs="Arial"/>
        <w:noProof/>
      </w:rPr>
      <w:t>i</w:t>
    </w:r>
    <w:r>
      <w:rPr>
        <w:rStyle w:val="PageNumber"/>
        <w:rFonts w:ascii="Arial" w:hAnsi="Arial" w:cs="Arial"/>
      </w:rPr>
      <w:fldChar w:fldCharType="end"/>
    </w:r>
  </w:p>
  <w:p w:rsidR="00E20FB0" w:rsidRDefault="00C12C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6D8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rsidR="00E20FB0" w:rsidRDefault="00C12C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6D89">
      <w:rPr>
        <w:rStyle w:val="CharPageNo"/>
        <w:rFonts w:ascii="Arial" w:hAnsi="Arial"/>
        <w:noProof/>
      </w:rPr>
      <w:t>3</w:t>
    </w:r>
    <w:r>
      <w:rPr>
        <w:rStyle w:val="CharPageNo"/>
        <w:rFonts w:ascii="Arial" w:hAnsi="Arial"/>
      </w:rPr>
      <w:fldChar w:fldCharType="end"/>
    </w:r>
  </w:p>
  <w:p w:rsidR="00E20FB0" w:rsidRDefault="00C12C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Footer"/>
      <w:tabs>
        <w:tab w:val="clear" w:pos="4153"/>
        <w:tab w:val="right" w:pos="7088"/>
      </w:tabs>
      <w:rPr>
        <w:rStyle w:val="PageNumber"/>
      </w:rPr>
    </w:pPr>
  </w:p>
  <w:p w:rsidR="00E20FB0" w:rsidRDefault="00C12C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6D89">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6D8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6D89">
      <w:rPr>
        <w:rStyle w:val="CharPageNo"/>
        <w:rFonts w:ascii="Arial" w:hAnsi="Arial"/>
        <w:noProof/>
      </w:rPr>
      <w:t>1</w:t>
    </w:r>
    <w:r>
      <w:rPr>
        <w:rStyle w:val="CharPageNo"/>
        <w:rFonts w:ascii="Arial" w:hAnsi="Arial"/>
      </w:rPr>
      <w:fldChar w:fldCharType="end"/>
    </w:r>
  </w:p>
  <w:p w:rsidR="00E20FB0" w:rsidRDefault="00C12CC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B0" w:rsidRDefault="00C12CCE">
      <w:r>
        <w:separator/>
      </w:r>
    </w:p>
  </w:footnote>
  <w:footnote w:type="continuationSeparator" w:id="0">
    <w:p w:rsidR="00E20FB0" w:rsidRDefault="00C1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89" w:rsidRDefault="003E6D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20FB0">
      <w:trPr>
        <w:cantSplit/>
      </w:trPr>
      <w:tc>
        <w:tcPr>
          <w:tcW w:w="7160" w:type="dxa"/>
          <w:gridSpan w:val="2"/>
        </w:tcPr>
        <w:p w:rsidR="00E20FB0" w:rsidRDefault="00C12CCE">
          <w:pPr>
            <w:pStyle w:val="HeaderActNameRight"/>
          </w:pPr>
          <w:fldSimple w:instr=" Styleref &quot;Name of Act/Reg&quot; ">
            <w:r w:rsidR="003E6D89">
              <w:rPr>
                <w:noProof/>
              </w:rPr>
              <w:t>Standard Time Act 1895</w:t>
            </w:r>
          </w:fldSimple>
        </w:p>
      </w:tc>
    </w:tr>
    <w:tr w:rsidR="00E20FB0">
      <w:tc>
        <w:tcPr>
          <w:tcW w:w="5760" w:type="dxa"/>
        </w:tcPr>
        <w:p w:rsidR="00E20FB0" w:rsidRDefault="00E20FB0">
          <w:pPr>
            <w:pStyle w:val="HeaderTextRight"/>
          </w:pPr>
        </w:p>
      </w:tc>
      <w:tc>
        <w:tcPr>
          <w:tcW w:w="1400" w:type="dxa"/>
        </w:tcPr>
        <w:p w:rsidR="00E20FB0" w:rsidRDefault="00E20FB0">
          <w:pPr>
            <w:pStyle w:val="HeaderNumberRight"/>
          </w:pPr>
        </w:p>
      </w:tc>
    </w:tr>
    <w:tr w:rsidR="00E20FB0">
      <w:tc>
        <w:tcPr>
          <w:tcW w:w="5760" w:type="dxa"/>
        </w:tcPr>
        <w:p w:rsidR="00E20FB0" w:rsidRDefault="00E20FB0">
          <w:pPr>
            <w:pStyle w:val="HeaderTextRight"/>
          </w:pPr>
        </w:p>
      </w:tc>
      <w:tc>
        <w:tcPr>
          <w:tcW w:w="1400" w:type="dxa"/>
        </w:tcPr>
        <w:p w:rsidR="00E20FB0" w:rsidRDefault="00E20FB0">
          <w:pPr>
            <w:pStyle w:val="HeaderNumberRight"/>
          </w:pPr>
        </w:p>
      </w:tc>
    </w:tr>
    <w:tr w:rsidR="00E20FB0">
      <w:trPr>
        <w:cantSplit/>
      </w:trPr>
      <w:tc>
        <w:tcPr>
          <w:tcW w:w="7160" w:type="dxa"/>
          <w:gridSpan w:val="2"/>
        </w:tcPr>
        <w:p w:rsidR="00E20FB0" w:rsidRDefault="00E20FB0">
          <w:pPr>
            <w:pStyle w:val="HeaderSectionRight"/>
          </w:pPr>
        </w:p>
      </w:tc>
    </w:tr>
  </w:tbl>
  <w:p w:rsidR="00E20FB0" w:rsidRDefault="00E20F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C12CCE">
    <w:pPr>
      <w:pStyle w:val="headerpartodd"/>
      <w:ind w:left="0" w:firstLine="0"/>
      <w:rPr>
        <w:i/>
      </w:rPr>
    </w:pPr>
    <w:r>
      <w:rPr>
        <w:i/>
      </w:rPr>
      <w:fldChar w:fldCharType="begin"/>
    </w:r>
    <w:r>
      <w:rPr>
        <w:i/>
      </w:rPr>
      <w:instrText xml:space="preserve"> Styleref "Name of Act/Reg" </w:instrText>
    </w:r>
    <w:r>
      <w:rPr>
        <w:i/>
      </w:rPr>
      <w:fldChar w:fldCharType="separate"/>
    </w:r>
    <w:r w:rsidR="003E6D89">
      <w:rPr>
        <w:i/>
        <w:noProof/>
      </w:rPr>
      <w:t>Standard Time Act 1895</w:t>
    </w:r>
    <w:r>
      <w:rPr>
        <w:i/>
      </w:rPr>
      <w:fldChar w:fldCharType="end"/>
    </w:r>
  </w:p>
  <w:p w:rsidR="00E20FB0" w:rsidRDefault="00E20FB0">
    <w:pPr>
      <w:pStyle w:val="headerpartodd"/>
      <w:ind w:left="0" w:firstLine="0"/>
      <w:rPr>
        <w:b w:val="0"/>
        <w:i/>
      </w:rPr>
    </w:pPr>
  </w:p>
  <w:p w:rsidR="00E20FB0" w:rsidRDefault="00E20FB0">
    <w:pPr>
      <w:pStyle w:val="headerpart"/>
    </w:pPr>
  </w:p>
  <w:p w:rsidR="00E20FB0" w:rsidRDefault="00E20FB0">
    <w:pPr>
      <w:pStyle w:val="headerpart"/>
    </w:pPr>
  </w:p>
  <w:p w:rsidR="00E20FB0" w:rsidRDefault="00E20FB0">
    <w:pPr>
      <w:pBdr>
        <w:bottom w:val="single" w:sz="6" w:space="1" w:color="auto"/>
      </w:pBdr>
      <w:rPr>
        <w:b/>
      </w:rPr>
    </w:pPr>
  </w:p>
  <w:p w:rsidR="00E20FB0" w:rsidRDefault="00E20F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C12CCE">
    <w:pPr>
      <w:pStyle w:val="headerpartodd"/>
      <w:ind w:left="0" w:firstLine="0"/>
      <w:jc w:val="right"/>
      <w:rPr>
        <w:i/>
      </w:rPr>
    </w:pPr>
    <w:r>
      <w:rPr>
        <w:i/>
      </w:rPr>
      <w:fldChar w:fldCharType="begin"/>
    </w:r>
    <w:r>
      <w:rPr>
        <w:i/>
      </w:rPr>
      <w:instrText xml:space="preserve"> Styleref "Name of Act/Reg" </w:instrText>
    </w:r>
    <w:r>
      <w:rPr>
        <w:i/>
      </w:rPr>
      <w:fldChar w:fldCharType="separate"/>
    </w:r>
    <w:r w:rsidR="003E6D89">
      <w:rPr>
        <w:i/>
        <w:noProof/>
      </w:rPr>
      <w:t>Standard Time Act 1895</w:t>
    </w:r>
    <w:r>
      <w:rPr>
        <w:i/>
      </w:rPr>
      <w:fldChar w:fldCharType="end"/>
    </w:r>
  </w:p>
  <w:p w:rsidR="00E20FB0" w:rsidRDefault="00E20FB0">
    <w:pPr>
      <w:pStyle w:val="headerpartodd"/>
      <w:ind w:left="0" w:firstLine="0"/>
      <w:jc w:val="right"/>
      <w:rPr>
        <w:b w:val="0"/>
        <w:i/>
      </w:rPr>
    </w:pPr>
  </w:p>
  <w:p w:rsidR="00E20FB0" w:rsidRDefault="00E20FB0">
    <w:pPr>
      <w:pStyle w:val="headerpart"/>
      <w:jc w:val="right"/>
    </w:pPr>
  </w:p>
  <w:p w:rsidR="00E20FB0" w:rsidRDefault="00E20FB0">
    <w:pPr>
      <w:pStyle w:val="headerpart"/>
      <w:jc w:val="right"/>
    </w:pPr>
  </w:p>
  <w:p w:rsidR="00E20FB0" w:rsidRDefault="00E20FB0">
    <w:pPr>
      <w:pBdr>
        <w:bottom w:val="single" w:sz="6" w:space="1" w:color="auto"/>
      </w:pBdr>
      <w:jc w:val="right"/>
      <w:rPr>
        <w:b/>
      </w:rPr>
    </w:pPr>
  </w:p>
  <w:p w:rsidR="00E20FB0" w:rsidRDefault="00E20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89" w:rsidRDefault="003E6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89" w:rsidRDefault="003E6D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0FB0">
      <w:trPr>
        <w:cantSplit/>
      </w:trPr>
      <w:tc>
        <w:tcPr>
          <w:tcW w:w="7258" w:type="dxa"/>
          <w:gridSpan w:val="2"/>
        </w:tcPr>
        <w:p w:rsidR="00E20FB0" w:rsidRDefault="00C12CCE">
          <w:pPr>
            <w:pStyle w:val="HeaderActNameLeft"/>
          </w:pPr>
          <w:fldSimple w:instr=" Styleref &quot;Name of Act/Reg&quot; ">
            <w:r w:rsidR="003E6D89">
              <w:rPr>
                <w:noProof/>
              </w:rPr>
              <w:t>Standard Time Act 1895</w:t>
            </w:r>
          </w:fldSimple>
        </w:p>
      </w:tc>
    </w:tr>
    <w:tr w:rsidR="00E20FB0">
      <w:tc>
        <w:tcPr>
          <w:tcW w:w="1548" w:type="dxa"/>
        </w:tcPr>
        <w:p w:rsidR="00E20FB0" w:rsidRDefault="00E20FB0">
          <w:pPr>
            <w:pStyle w:val="HeaderNumberLeft"/>
          </w:pPr>
        </w:p>
      </w:tc>
      <w:tc>
        <w:tcPr>
          <w:tcW w:w="5715" w:type="dxa"/>
        </w:tcPr>
        <w:p w:rsidR="00E20FB0" w:rsidRDefault="00E20FB0">
          <w:pPr>
            <w:pStyle w:val="HeaderTextLeft"/>
          </w:pPr>
        </w:p>
      </w:tc>
    </w:tr>
    <w:tr w:rsidR="00E20FB0">
      <w:tc>
        <w:tcPr>
          <w:tcW w:w="1548" w:type="dxa"/>
        </w:tcPr>
        <w:p w:rsidR="00E20FB0" w:rsidRDefault="00E20FB0">
          <w:pPr>
            <w:pStyle w:val="HeaderNumberLeft"/>
          </w:pPr>
        </w:p>
      </w:tc>
      <w:tc>
        <w:tcPr>
          <w:tcW w:w="5715" w:type="dxa"/>
        </w:tcPr>
        <w:p w:rsidR="00E20FB0" w:rsidRDefault="00E20FB0">
          <w:pPr>
            <w:pStyle w:val="HeaderTextLeft"/>
          </w:pPr>
        </w:p>
      </w:tc>
    </w:tr>
    <w:tr w:rsidR="00E20FB0">
      <w:trPr>
        <w:cantSplit/>
      </w:trPr>
      <w:tc>
        <w:tcPr>
          <w:tcW w:w="7258" w:type="dxa"/>
          <w:gridSpan w:val="2"/>
        </w:tcPr>
        <w:p w:rsidR="00E20FB0" w:rsidRDefault="00C12CCE">
          <w:pPr>
            <w:pStyle w:val="HeaderSectionLeft"/>
            <w:rPr>
              <w:b w:val="0"/>
            </w:rPr>
          </w:pPr>
          <w:r>
            <w:rPr>
              <w:b w:val="0"/>
            </w:rPr>
            <w:t>Contents</w:t>
          </w:r>
        </w:p>
      </w:tc>
    </w:tr>
  </w:tbl>
  <w:p w:rsidR="00E20FB0" w:rsidRDefault="00E20F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0FB0">
      <w:trPr>
        <w:cantSplit/>
      </w:trPr>
      <w:tc>
        <w:tcPr>
          <w:tcW w:w="7258" w:type="dxa"/>
          <w:gridSpan w:val="2"/>
        </w:tcPr>
        <w:p w:rsidR="00E20FB0" w:rsidRDefault="00C12CCE">
          <w:pPr>
            <w:pStyle w:val="HeaderActNameRight"/>
            <w:ind w:right="17"/>
          </w:pPr>
          <w:fldSimple w:instr=" Styleref &quot;Name of Act/Reg&quot; ">
            <w:r w:rsidR="003E6D89">
              <w:rPr>
                <w:noProof/>
              </w:rPr>
              <w:t>Standard Time Act 1895</w:t>
            </w:r>
          </w:fldSimple>
        </w:p>
      </w:tc>
    </w:tr>
    <w:tr w:rsidR="00E20FB0">
      <w:tc>
        <w:tcPr>
          <w:tcW w:w="5715" w:type="dxa"/>
        </w:tcPr>
        <w:p w:rsidR="00E20FB0" w:rsidRDefault="00E20FB0">
          <w:pPr>
            <w:pStyle w:val="HeaderTextRight"/>
          </w:pPr>
        </w:p>
      </w:tc>
      <w:tc>
        <w:tcPr>
          <w:tcW w:w="1548" w:type="dxa"/>
        </w:tcPr>
        <w:p w:rsidR="00E20FB0" w:rsidRDefault="00E20FB0">
          <w:pPr>
            <w:pStyle w:val="HeaderNumberRight"/>
            <w:ind w:right="17"/>
          </w:pPr>
        </w:p>
      </w:tc>
    </w:tr>
    <w:tr w:rsidR="00E20FB0">
      <w:tc>
        <w:tcPr>
          <w:tcW w:w="5715" w:type="dxa"/>
        </w:tcPr>
        <w:p w:rsidR="00E20FB0" w:rsidRDefault="00E20FB0">
          <w:pPr>
            <w:pStyle w:val="HeaderTextRight"/>
          </w:pPr>
        </w:p>
      </w:tc>
      <w:tc>
        <w:tcPr>
          <w:tcW w:w="1548" w:type="dxa"/>
        </w:tcPr>
        <w:p w:rsidR="00E20FB0" w:rsidRDefault="00E20FB0">
          <w:pPr>
            <w:pStyle w:val="HeaderNumberRight"/>
            <w:ind w:right="17"/>
          </w:pPr>
        </w:p>
      </w:tc>
    </w:tr>
    <w:tr w:rsidR="00E20FB0">
      <w:trPr>
        <w:cantSplit/>
      </w:trPr>
      <w:tc>
        <w:tcPr>
          <w:tcW w:w="7258" w:type="dxa"/>
          <w:gridSpan w:val="2"/>
        </w:tcPr>
        <w:p w:rsidR="00E20FB0" w:rsidRDefault="00C12CCE">
          <w:pPr>
            <w:pStyle w:val="HeaderSectionRight"/>
            <w:ind w:right="17"/>
            <w:rPr>
              <w:b w:val="0"/>
            </w:rPr>
          </w:pPr>
          <w:r>
            <w:rPr>
              <w:b w:val="0"/>
            </w:rPr>
            <w:t>Contents</w:t>
          </w:r>
        </w:p>
      </w:tc>
    </w:tr>
  </w:tbl>
  <w:p w:rsidR="00E20FB0" w:rsidRDefault="00E20F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0FB0">
      <w:trPr>
        <w:cantSplit/>
      </w:trPr>
      <w:tc>
        <w:tcPr>
          <w:tcW w:w="7258" w:type="dxa"/>
          <w:gridSpan w:val="2"/>
        </w:tcPr>
        <w:p w:rsidR="00E20FB0" w:rsidRDefault="00C12CCE">
          <w:pPr>
            <w:pStyle w:val="HeaderActNameLeft"/>
          </w:pPr>
          <w:fldSimple w:instr=" Styleref &quot;Name of Act/Reg&quot; ">
            <w:r w:rsidR="003E6D89">
              <w:rPr>
                <w:noProof/>
              </w:rPr>
              <w:t>Standard Time Act 1895</w:t>
            </w:r>
          </w:fldSimple>
        </w:p>
      </w:tc>
    </w:tr>
    <w:tr w:rsidR="00E20FB0">
      <w:tc>
        <w:tcPr>
          <w:tcW w:w="1548" w:type="dxa"/>
        </w:tcPr>
        <w:p w:rsidR="00E20FB0" w:rsidRDefault="00C12CCE">
          <w:pPr>
            <w:pStyle w:val="HeaderNumberLeft"/>
          </w:pPr>
          <w:r>
            <w:fldChar w:fldCharType="begin"/>
          </w:r>
          <w:r>
            <w:instrText xml:space="preserve"> styleref CharPartNo </w:instrText>
          </w:r>
          <w:r>
            <w:fldChar w:fldCharType="end"/>
          </w:r>
        </w:p>
      </w:tc>
      <w:tc>
        <w:tcPr>
          <w:tcW w:w="5715" w:type="dxa"/>
        </w:tcPr>
        <w:p w:rsidR="00E20FB0" w:rsidRDefault="00C12CCE">
          <w:pPr>
            <w:pStyle w:val="HeaderTextLeft"/>
            <w:rPr>
              <w:sz w:val="19"/>
            </w:rPr>
          </w:pPr>
          <w:r>
            <w:rPr>
              <w:sz w:val="19"/>
            </w:rPr>
            <w:fldChar w:fldCharType="begin"/>
          </w:r>
          <w:r>
            <w:rPr>
              <w:sz w:val="19"/>
            </w:rPr>
            <w:instrText xml:space="preserve"> styleref CharPartText </w:instrText>
          </w:r>
          <w:r>
            <w:rPr>
              <w:sz w:val="19"/>
            </w:rPr>
            <w:fldChar w:fldCharType="end"/>
          </w:r>
        </w:p>
      </w:tc>
    </w:tr>
    <w:tr w:rsidR="00E20FB0">
      <w:tc>
        <w:tcPr>
          <w:tcW w:w="1548" w:type="dxa"/>
        </w:tcPr>
        <w:p w:rsidR="00E20FB0" w:rsidRDefault="00C12CCE">
          <w:pPr>
            <w:pStyle w:val="HeaderNumberLeft"/>
          </w:pPr>
          <w:r>
            <w:fldChar w:fldCharType="begin"/>
          </w:r>
          <w:r>
            <w:instrText xml:space="preserve"> styleref CharDivNo </w:instrText>
          </w:r>
          <w:r>
            <w:fldChar w:fldCharType="end"/>
          </w:r>
        </w:p>
      </w:tc>
      <w:tc>
        <w:tcPr>
          <w:tcW w:w="5715" w:type="dxa"/>
        </w:tcPr>
        <w:p w:rsidR="00E20FB0" w:rsidRDefault="00C12CCE">
          <w:pPr>
            <w:pStyle w:val="HeaderTextLeft"/>
          </w:pPr>
          <w:r>
            <w:fldChar w:fldCharType="begin"/>
          </w:r>
          <w:r>
            <w:instrText xml:space="preserve"> styleref CharDivText </w:instrText>
          </w:r>
          <w:r>
            <w:fldChar w:fldCharType="end"/>
          </w:r>
        </w:p>
      </w:tc>
    </w:tr>
    <w:tr w:rsidR="00E20FB0">
      <w:trPr>
        <w:cantSplit/>
      </w:trPr>
      <w:tc>
        <w:tcPr>
          <w:tcW w:w="7258" w:type="dxa"/>
          <w:gridSpan w:val="2"/>
        </w:tcPr>
        <w:p w:rsidR="00E20FB0" w:rsidRDefault="00C12CCE">
          <w:pPr>
            <w:pStyle w:val="HeaderSectionLeft"/>
          </w:pPr>
          <w:r>
            <w:t xml:space="preserve">s. </w:t>
          </w:r>
          <w:fldSimple w:instr=" styleref CharSectno ">
            <w:r w:rsidR="003E6D89">
              <w:rPr>
                <w:noProof/>
              </w:rPr>
              <w:t>1</w:t>
            </w:r>
          </w:fldSimple>
        </w:p>
      </w:tc>
    </w:tr>
  </w:tbl>
  <w:p w:rsidR="00E20FB0" w:rsidRDefault="00E20FB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20FB0">
      <w:trPr>
        <w:cantSplit/>
      </w:trPr>
      <w:tc>
        <w:tcPr>
          <w:tcW w:w="7312" w:type="dxa"/>
          <w:gridSpan w:val="2"/>
        </w:tcPr>
        <w:p w:rsidR="00E20FB0" w:rsidRDefault="00C12CCE">
          <w:pPr>
            <w:pStyle w:val="HeaderActNameRight"/>
          </w:pPr>
          <w:fldSimple w:instr=" Styleref &quot;Name of Act/Reg&quot; ">
            <w:r w:rsidR="003E6D89">
              <w:rPr>
                <w:noProof/>
              </w:rPr>
              <w:t>Standard Time Act 1895</w:t>
            </w:r>
          </w:fldSimple>
        </w:p>
      </w:tc>
    </w:tr>
    <w:tr w:rsidR="00E20FB0">
      <w:tc>
        <w:tcPr>
          <w:tcW w:w="5985" w:type="dxa"/>
        </w:tcPr>
        <w:p w:rsidR="00E20FB0" w:rsidRDefault="00C12CCE">
          <w:pPr>
            <w:pStyle w:val="HeaderTextRight"/>
          </w:pPr>
          <w:r>
            <w:fldChar w:fldCharType="begin"/>
          </w:r>
          <w:r>
            <w:instrText xml:space="preserve"> styleref CharPartText </w:instrText>
          </w:r>
          <w:r>
            <w:fldChar w:fldCharType="end"/>
          </w:r>
        </w:p>
      </w:tc>
      <w:tc>
        <w:tcPr>
          <w:tcW w:w="1327" w:type="dxa"/>
        </w:tcPr>
        <w:p w:rsidR="00E20FB0" w:rsidRDefault="00C12CCE">
          <w:pPr>
            <w:pStyle w:val="HeaderNumberRight"/>
          </w:pPr>
          <w:r>
            <w:fldChar w:fldCharType="begin"/>
          </w:r>
          <w:r>
            <w:instrText xml:space="preserve"> styleref CharPartNo </w:instrText>
          </w:r>
          <w:r>
            <w:fldChar w:fldCharType="end"/>
          </w:r>
        </w:p>
      </w:tc>
    </w:tr>
    <w:tr w:rsidR="00E20FB0">
      <w:tc>
        <w:tcPr>
          <w:tcW w:w="5985" w:type="dxa"/>
        </w:tcPr>
        <w:p w:rsidR="00E20FB0" w:rsidRDefault="00C12CCE">
          <w:pPr>
            <w:pStyle w:val="HeaderTextRight"/>
          </w:pPr>
          <w:r>
            <w:fldChar w:fldCharType="begin"/>
          </w:r>
          <w:r>
            <w:instrText xml:space="preserve"> styleref CharDivText </w:instrText>
          </w:r>
          <w:r>
            <w:fldChar w:fldCharType="end"/>
          </w:r>
        </w:p>
      </w:tc>
      <w:tc>
        <w:tcPr>
          <w:tcW w:w="1327" w:type="dxa"/>
        </w:tcPr>
        <w:p w:rsidR="00E20FB0" w:rsidRDefault="00C12CCE">
          <w:pPr>
            <w:pStyle w:val="HeaderNumberRight"/>
          </w:pPr>
          <w:r>
            <w:fldChar w:fldCharType="begin"/>
          </w:r>
          <w:r>
            <w:instrText xml:space="preserve"> styleref CharDivNo </w:instrText>
          </w:r>
          <w:r>
            <w:fldChar w:fldCharType="end"/>
          </w:r>
        </w:p>
      </w:tc>
    </w:tr>
    <w:tr w:rsidR="00E20FB0">
      <w:trPr>
        <w:cantSplit/>
      </w:trPr>
      <w:tc>
        <w:tcPr>
          <w:tcW w:w="7312" w:type="dxa"/>
          <w:gridSpan w:val="2"/>
        </w:tcPr>
        <w:p w:rsidR="00E20FB0" w:rsidRDefault="00C12CCE">
          <w:pPr>
            <w:pStyle w:val="HeaderSectionRight"/>
          </w:pPr>
          <w:r>
            <w:t xml:space="preserve">s. </w:t>
          </w:r>
          <w:fldSimple w:instr=" styleref CharSectno ">
            <w:r w:rsidR="003E6D89">
              <w:rPr>
                <w:noProof/>
              </w:rPr>
              <w:t>1</w:t>
            </w:r>
          </w:fldSimple>
        </w:p>
      </w:tc>
    </w:tr>
  </w:tbl>
  <w:p w:rsidR="00E20FB0" w:rsidRDefault="00E20F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B0" w:rsidRDefault="00E20F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20FB0">
      <w:trPr>
        <w:cantSplit/>
      </w:trPr>
      <w:tc>
        <w:tcPr>
          <w:tcW w:w="7160" w:type="dxa"/>
          <w:gridSpan w:val="2"/>
        </w:tcPr>
        <w:p w:rsidR="00E20FB0" w:rsidRDefault="00C12CCE">
          <w:pPr>
            <w:pStyle w:val="HeaderActNameLeft"/>
          </w:pPr>
          <w:fldSimple w:instr=" Styleref &quot;Name of Act/Reg&quot; ">
            <w:r w:rsidR="003E6D89">
              <w:rPr>
                <w:noProof/>
              </w:rPr>
              <w:t>Standard Time Act 1895</w:t>
            </w:r>
          </w:fldSimple>
        </w:p>
      </w:tc>
    </w:tr>
    <w:tr w:rsidR="00E20FB0">
      <w:tc>
        <w:tcPr>
          <w:tcW w:w="1548" w:type="dxa"/>
        </w:tcPr>
        <w:p w:rsidR="00E20FB0" w:rsidRDefault="00E20FB0">
          <w:pPr>
            <w:pStyle w:val="HeaderNumberLeft"/>
          </w:pPr>
        </w:p>
      </w:tc>
      <w:tc>
        <w:tcPr>
          <w:tcW w:w="5612" w:type="dxa"/>
        </w:tcPr>
        <w:p w:rsidR="00E20FB0" w:rsidRDefault="00E20FB0">
          <w:pPr>
            <w:pStyle w:val="HeaderTextLeft"/>
          </w:pPr>
        </w:p>
      </w:tc>
    </w:tr>
    <w:tr w:rsidR="00E20FB0">
      <w:tc>
        <w:tcPr>
          <w:tcW w:w="1548" w:type="dxa"/>
        </w:tcPr>
        <w:p w:rsidR="00E20FB0" w:rsidRDefault="00E20FB0">
          <w:pPr>
            <w:pStyle w:val="HeaderNumberLeft"/>
          </w:pPr>
        </w:p>
      </w:tc>
      <w:tc>
        <w:tcPr>
          <w:tcW w:w="5612" w:type="dxa"/>
        </w:tcPr>
        <w:p w:rsidR="00E20FB0" w:rsidRDefault="00E20FB0">
          <w:pPr>
            <w:pStyle w:val="HeaderTextLeft"/>
          </w:pPr>
        </w:p>
      </w:tc>
    </w:tr>
    <w:tr w:rsidR="00E20FB0">
      <w:trPr>
        <w:cantSplit/>
      </w:trPr>
      <w:tc>
        <w:tcPr>
          <w:tcW w:w="7160" w:type="dxa"/>
          <w:gridSpan w:val="2"/>
        </w:tcPr>
        <w:p w:rsidR="00E20FB0" w:rsidRDefault="00E20FB0">
          <w:pPr>
            <w:pStyle w:val="HeaderSectionLeft"/>
          </w:pPr>
        </w:p>
      </w:tc>
    </w:tr>
  </w:tbl>
  <w:p w:rsidR="00E20FB0" w:rsidRDefault="00E20FB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CE"/>
    <w:rsid w:val="000711FC"/>
    <w:rsid w:val="003E6D89"/>
    <w:rsid w:val="008D693E"/>
    <w:rsid w:val="00C12CCE"/>
    <w:rsid w:val="00E20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2539</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Time Act 1895 - 01-b0-02</dc:title>
  <dc:subject/>
  <dc:creator>svcMRProcess</dc:creator>
  <cp:keywords/>
  <cp:lastModifiedBy>svcMRProcess</cp:lastModifiedBy>
  <cp:revision>4</cp:revision>
  <cp:lastPrinted>2006-04-18T05:27:00Z</cp:lastPrinted>
  <dcterms:created xsi:type="dcterms:W3CDTF">2013-02-20T16:05:00Z</dcterms:created>
  <dcterms:modified xsi:type="dcterms:W3CDTF">2013-02-20T16:05:00Z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1895</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772</vt:i4>
  </property>
  <property fmtid="{D5CDD505-2E9C-101B-9397-08002B2CF9AE}" pid="6" name="AsAtDate">
    <vt:lpwstr>15 Dec 2003</vt:lpwstr>
  </property>
  <property fmtid="{D5CDD505-2E9C-101B-9397-08002B2CF9AE}" pid="7" name="Suffix">
    <vt:lpwstr>01-b0-02</vt:lpwstr>
  </property>
</Properties>
</file>