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200" w:after="0"/>
        <w:rPr>
          <w:i/>
        </w:rPr>
      </w:pPr>
      <w:r>
        <w:t>Housing Act 1980</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Regulations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_Toc294259368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_Toc294259369 \h </w:instrText>
      </w:r>
      <w:r>
        <w:fldChar w:fldCharType="separate"/>
      </w:r>
      <w:r>
        <w:t>2</w:t>
      </w:r>
      <w:r>
        <w:fldChar w:fldCharType="end"/>
      </w:r>
    </w:p>
    <w:p>
      <w:pPr>
        <w:pStyle w:val="TOC8"/>
        <w:rPr>
          <w:sz w:val="24"/>
          <w:szCs w:val="24"/>
          <w:lang w:val="en-US"/>
        </w:rPr>
      </w:pPr>
      <w:r>
        <w:t>3.</w:t>
      </w:r>
      <w:r>
        <w:tab/>
        <w:t>Repeal</w:t>
      </w:r>
      <w:r>
        <w:tab/>
      </w:r>
      <w:r>
        <w:fldChar w:fldCharType="begin"/>
      </w:r>
      <w:r>
        <w:instrText xml:space="preserve"> PAGEREF _Toc294259370 \h </w:instrText>
      </w:r>
      <w:r>
        <w:fldChar w:fldCharType="separate"/>
      </w:r>
      <w:r>
        <w:t>2</w:t>
      </w:r>
      <w:r>
        <w:fldChar w:fldCharType="end"/>
      </w:r>
    </w:p>
    <w:p>
      <w:pPr>
        <w:pStyle w:val="TOC8"/>
        <w:rPr>
          <w:sz w:val="24"/>
          <w:szCs w:val="24"/>
          <w:lang w:val="en-US"/>
        </w:rPr>
      </w:pPr>
      <w:r>
        <w:t>4.</w:t>
      </w:r>
      <w:r>
        <w:tab/>
        <w:t>Definition</w:t>
      </w:r>
      <w:r>
        <w:tab/>
      </w:r>
      <w:r>
        <w:fldChar w:fldCharType="begin"/>
      </w:r>
      <w:r>
        <w:instrText xml:space="preserve"> PAGEREF _Toc294259371 \h </w:instrText>
      </w:r>
      <w:r>
        <w:fldChar w:fldCharType="separate"/>
      </w:r>
      <w:r>
        <w:t>2</w:t>
      </w:r>
      <w:r>
        <w:fldChar w:fldCharType="end"/>
      </w:r>
    </w:p>
    <w:p>
      <w:pPr>
        <w:pStyle w:val="TOC2"/>
        <w:tabs>
          <w:tab w:val="right" w:leader="dot" w:pos="7078"/>
        </w:tabs>
        <w:rPr>
          <w:b w:val="0"/>
          <w:sz w:val="24"/>
          <w:szCs w:val="24"/>
          <w:lang w:val="en-US"/>
        </w:rPr>
      </w:pPr>
      <w:r>
        <w:t>Part 2 — Administration of Authority</w:t>
      </w:r>
    </w:p>
    <w:p>
      <w:pPr>
        <w:pStyle w:val="TOC8"/>
        <w:rPr>
          <w:sz w:val="24"/>
          <w:szCs w:val="24"/>
          <w:lang w:val="en-US"/>
        </w:rPr>
      </w:pPr>
      <w:r>
        <w:t>5.</w:t>
      </w:r>
      <w:r>
        <w:tab/>
        <w:t>Common Seal</w:t>
      </w:r>
      <w:r>
        <w:tab/>
      </w:r>
      <w:r>
        <w:fldChar w:fldCharType="begin"/>
      </w:r>
      <w:r>
        <w:instrText xml:space="preserve"> PAGEREF _Toc294259373 \h </w:instrText>
      </w:r>
      <w:r>
        <w:fldChar w:fldCharType="separate"/>
      </w:r>
      <w:r>
        <w:t>3</w:t>
      </w:r>
      <w:r>
        <w:fldChar w:fldCharType="end"/>
      </w:r>
    </w:p>
    <w:p>
      <w:pPr>
        <w:pStyle w:val="TOC2"/>
        <w:tabs>
          <w:tab w:val="right" w:leader="dot" w:pos="7078"/>
        </w:tabs>
        <w:rPr>
          <w:b w:val="0"/>
          <w:sz w:val="24"/>
          <w:szCs w:val="24"/>
          <w:lang w:val="en-US"/>
        </w:rPr>
      </w:pPr>
      <w:r>
        <w:t>Part 3 — Aboriginal housing</w:t>
      </w:r>
    </w:p>
    <w:p>
      <w:pPr>
        <w:pStyle w:val="TOC8"/>
        <w:rPr>
          <w:sz w:val="24"/>
          <w:szCs w:val="24"/>
          <w:lang w:val="en-US"/>
        </w:rPr>
      </w:pPr>
      <w:r>
        <w:t>6A.</w:t>
      </w:r>
      <w:r>
        <w:tab/>
        <w:t>Terms used</w:t>
      </w:r>
      <w:r>
        <w:tab/>
      </w:r>
      <w:r>
        <w:fldChar w:fldCharType="begin"/>
      </w:r>
      <w:r>
        <w:instrText xml:space="preserve"> PAGEREF _Toc294259375 \h </w:instrText>
      </w:r>
      <w:r>
        <w:fldChar w:fldCharType="separate"/>
      </w:r>
      <w:r>
        <w:t>4</w:t>
      </w:r>
      <w:r>
        <w:fldChar w:fldCharType="end"/>
      </w:r>
    </w:p>
    <w:p>
      <w:pPr>
        <w:pStyle w:val="TOC8"/>
        <w:rPr>
          <w:sz w:val="24"/>
          <w:szCs w:val="24"/>
          <w:lang w:val="en-US"/>
        </w:rPr>
      </w:pPr>
      <w:r>
        <w:t>6B.</w:t>
      </w:r>
      <w:r>
        <w:tab/>
        <w:t>State</w:t>
      </w:r>
      <w:r>
        <w:noBreakHyphen/>
        <w:t>Commonwealth agreement</w:t>
      </w:r>
      <w:r>
        <w:tab/>
      </w:r>
      <w:r>
        <w:fldChar w:fldCharType="begin"/>
      </w:r>
      <w:r>
        <w:instrText xml:space="preserve"> PAGEREF _Toc294259376 \h </w:instrText>
      </w:r>
      <w:r>
        <w:fldChar w:fldCharType="separate"/>
      </w:r>
      <w:r>
        <w:t>5</w:t>
      </w:r>
      <w:r>
        <w:fldChar w:fldCharType="end"/>
      </w:r>
    </w:p>
    <w:p>
      <w:pPr>
        <w:pStyle w:val="TOC8"/>
        <w:rPr>
          <w:sz w:val="24"/>
          <w:szCs w:val="24"/>
          <w:lang w:val="en-US"/>
        </w:rPr>
      </w:pPr>
      <w:r>
        <w:t>6C.</w:t>
      </w:r>
      <w:r>
        <w:tab/>
        <w:t>Purposes of this Part</w:t>
      </w:r>
      <w:r>
        <w:tab/>
      </w:r>
      <w:r>
        <w:fldChar w:fldCharType="begin"/>
      </w:r>
      <w:r>
        <w:instrText xml:space="preserve"> PAGEREF _Toc294259377 \h </w:instrText>
      </w:r>
      <w:r>
        <w:fldChar w:fldCharType="separate"/>
      </w:r>
      <w:r>
        <w:t>5</w:t>
      </w:r>
      <w:r>
        <w:fldChar w:fldCharType="end"/>
      </w:r>
    </w:p>
    <w:p>
      <w:pPr>
        <w:pStyle w:val="TOC8"/>
        <w:rPr>
          <w:sz w:val="24"/>
          <w:szCs w:val="24"/>
          <w:lang w:val="en-US"/>
        </w:rPr>
      </w:pPr>
      <w:r>
        <w:t>6D.</w:t>
      </w:r>
      <w:r>
        <w:tab/>
        <w:t>Authority may enter into housing management agreement</w:t>
      </w:r>
      <w:r>
        <w:tab/>
      </w:r>
      <w:r>
        <w:fldChar w:fldCharType="begin"/>
      </w:r>
      <w:r>
        <w:instrText xml:space="preserve"> PAGEREF _Toc294259378 \h </w:instrText>
      </w:r>
      <w:r>
        <w:fldChar w:fldCharType="separate"/>
      </w:r>
      <w:r>
        <w:t>6</w:t>
      </w:r>
      <w:r>
        <w:fldChar w:fldCharType="end"/>
      </w:r>
    </w:p>
    <w:p>
      <w:pPr>
        <w:pStyle w:val="TOC8"/>
        <w:rPr>
          <w:sz w:val="24"/>
          <w:szCs w:val="24"/>
          <w:lang w:val="en-US"/>
        </w:rPr>
      </w:pPr>
      <w:r>
        <w:t>6E.</w:t>
      </w:r>
      <w:r>
        <w:tab/>
        <w:t>Application of Part VIIA Division 2 of the Act</w:t>
      </w:r>
      <w:r>
        <w:tab/>
      </w:r>
      <w:r>
        <w:fldChar w:fldCharType="begin"/>
      </w:r>
      <w:r>
        <w:instrText xml:space="preserve"> PAGEREF _Toc294259379 \h </w:instrText>
      </w:r>
      <w:r>
        <w:fldChar w:fldCharType="separate"/>
      </w:r>
      <w:r>
        <w:t>6</w:t>
      </w:r>
      <w:r>
        <w:fldChar w:fldCharType="end"/>
      </w:r>
    </w:p>
    <w:p>
      <w:pPr>
        <w:pStyle w:val="TOC8"/>
        <w:rPr>
          <w:sz w:val="24"/>
          <w:szCs w:val="24"/>
          <w:lang w:val="en-US"/>
        </w:rPr>
      </w:pPr>
      <w:r>
        <w:t>6F.</w:t>
      </w:r>
      <w:r>
        <w:tab/>
        <w:t>Approval of Minister for Indigenous Affairs not required</w:t>
      </w:r>
      <w:r>
        <w:tab/>
      </w:r>
      <w:r>
        <w:fldChar w:fldCharType="begin"/>
      </w:r>
      <w:r>
        <w:instrText xml:space="preserve"> PAGEREF _Toc294259380 \h </w:instrText>
      </w:r>
      <w:r>
        <w:fldChar w:fldCharType="separate"/>
      </w:r>
      <w:r>
        <w:t>6</w:t>
      </w:r>
      <w:r>
        <w:fldChar w:fldCharType="end"/>
      </w:r>
    </w:p>
    <w:p>
      <w:pPr>
        <w:pStyle w:val="TOC8"/>
        <w:rPr>
          <w:sz w:val="24"/>
          <w:szCs w:val="24"/>
          <w:lang w:val="en-US"/>
        </w:rPr>
      </w:pPr>
      <w:r>
        <w:t>6G.</w:t>
      </w:r>
      <w:r>
        <w:tab/>
        <w:t xml:space="preserve">Application of </w:t>
      </w:r>
      <w:r>
        <w:rPr>
          <w:i/>
        </w:rPr>
        <w:t>Land Administration Act 1997</w:t>
      </w:r>
      <w:r>
        <w:tab/>
      </w:r>
      <w:r>
        <w:fldChar w:fldCharType="begin"/>
      </w:r>
      <w:r>
        <w:instrText xml:space="preserve"> PAGEREF _Toc294259381 \h </w:instrText>
      </w:r>
      <w:r>
        <w:fldChar w:fldCharType="separate"/>
      </w:r>
      <w:r>
        <w:t>7</w:t>
      </w:r>
      <w:r>
        <w:fldChar w:fldCharType="end"/>
      </w:r>
    </w:p>
    <w:p>
      <w:pPr>
        <w:pStyle w:val="TOC2"/>
        <w:tabs>
          <w:tab w:val="right" w:leader="dot" w:pos="7078"/>
        </w:tabs>
        <w:rPr>
          <w:b w:val="0"/>
          <w:sz w:val="24"/>
          <w:szCs w:val="24"/>
          <w:lang w:val="en-US"/>
        </w:rPr>
      </w:pPr>
      <w:r>
        <w:t>Part 4 — Financial assistance to home owners</w:t>
      </w:r>
    </w:p>
    <w:p>
      <w:pPr>
        <w:pStyle w:val="TOC8"/>
        <w:rPr>
          <w:sz w:val="24"/>
          <w:szCs w:val="24"/>
          <w:lang w:val="en-US"/>
        </w:rPr>
      </w:pPr>
      <w:r>
        <w:t>6.</w:t>
      </w:r>
      <w:r>
        <w:tab/>
        <w:t>Interest on loans made under 1978 agreement</w:t>
      </w:r>
      <w:r>
        <w:tab/>
      </w:r>
      <w:r>
        <w:fldChar w:fldCharType="begin"/>
      </w:r>
      <w:r>
        <w:instrText xml:space="preserve"> PAGEREF _Toc294259383 \h </w:instrText>
      </w:r>
      <w:r>
        <w:fldChar w:fldCharType="separate"/>
      </w:r>
      <w:r>
        <w:t>8</w:t>
      </w:r>
      <w:r>
        <w:fldChar w:fldCharType="end"/>
      </w:r>
    </w:p>
    <w:p>
      <w:pPr>
        <w:pStyle w:val="TOC2"/>
        <w:tabs>
          <w:tab w:val="right" w:leader="dot" w:pos="7078"/>
        </w:tabs>
        <w:rPr>
          <w:b w:val="0"/>
          <w:sz w:val="24"/>
          <w:szCs w:val="24"/>
          <w:lang w:val="en-US"/>
        </w:rPr>
      </w:pPr>
      <w:r>
        <w:lastRenderedPageBreak/>
        <w:t>Part 5 — Fees</w:t>
      </w:r>
    </w:p>
    <w:p>
      <w:pPr>
        <w:pStyle w:val="TOC8"/>
        <w:rPr>
          <w:sz w:val="24"/>
          <w:szCs w:val="24"/>
          <w:lang w:val="en-US"/>
        </w:rPr>
      </w:pPr>
      <w:r>
        <w:t>8.</w:t>
      </w:r>
      <w:r>
        <w:tab/>
        <w:t>Conveyancing fees</w:t>
      </w:r>
      <w:r>
        <w:tab/>
      </w:r>
      <w:r>
        <w:fldChar w:fldCharType="begin"/>
      </w:r>
      <w:r>
        <w:instrText xml:space="preserve"> PAGEREF _Toc294259385 \h </w:instrText>
      </w:r>
      <w:r>
        <w:fldChar w:fldCharType="separate"/>
      </w:r>
      <w:r>
        <w:t>10</w:t>
      </w:r>
      <w:r>
        <w:fldChar w:fldCharType="end"/>
      </w:r>
    </w:p>
    <w:p>
      <w:pPr>
        <w:pStyle w:val="TOC8"/>
        <w:rPr>
          <w:sz w:val="24"/>
          <w:szCs w:val="24"/>
          <w:lang w:val="en-US"/>
        </w:rPr>
      </w:pPr>
      <w:r>
        <w:t>9.</w:t>
      </w:r>
      <w:r>
        <w:tab/>
        <w:t>Architectural fees</w:t>
      </w:r>
      <w:r>
        <w:tab/>
      </w:r>
      <w:r>
        <w:fldChar w:fldCharType="begin"/>
      </w:r>
      <w:r>
        <w:instrText xml:space="preserve"> PAGEREF _Toc294259386 \h </w:instrText>
      </w:r>
      <w:r>
        <w:fldChar w:fldCharType="separate"/>
      </w:r>
      <w:r>
        <w:t>11</w:t>
      </w:r>
      <w:r>
        <w:fldChar w:fldCharType="end"/>
      </w:r>
    </w:p>
    <w:p>
      <w:pPr>
        <w:pStyle w:val="TOC8"/>
        <w:rPr>
          <w:sz w:val="24"/>
          <w:szCs w:val="24"/>
          <w:lang w:val="en-US"/>
        </w:rPr>
      </w:pPr>
      <w:r>
        <w:t>10.</w:t>
      </w:r>
      <w:r>
        <w:tab/>
        <w:t>Strata management fees</w:t>
      </w:r>
      <w:r>
        <w:tab/>
      </w:r>
      <w:r>
        <w:fldChar w:fldCharType="begin"/>
      </w:r>
      <w:r>
        <w:instrText xml:space="preserve"> PAGEREF _Toc294259387 \h </w:instrText>
      </w:r>
      <w:r>
        <w:fldChar w:fldCharType="separate"/>
      </w:r>
      <w:r>
        <w:t>12</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_Toc294259389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Housing Act 1980</w:t>
      </w:r>
    </w:p>
    <w:p>
      <w:pPr>
        <w:pStyle w:val="NameofActReg"/>
      </w:pPr>
      <w:r>
        <w:t>Housing Regulations 1980</w:t>
      </w:r>
    </w:p>
    <w:p>
      <w:pPr>
        <w:pStyle w:val="Heading2"/>
      </w:pPr>
      <w:bookmarkStart w:id="1" w:name="_Toc294184669"/>
      <w:bookmarkStart w:id="2" w:name="_Toc294259367"/>
      <w:bookmarkStart w:id="3" w:name="_Toc434313644"/>
      <w:bookmarkStart w:id="4" w:name="_Toc521399486"/>
      <w:bookmarkStart w:id="5" w:name="_Toc523124815"/>
      <w:r>
        <w:rPr>
          <w:rStyle w:val="CharPartNo"/>
        </w:rPr>
        <w:t>Part 1</w:t>
      </w:r>
      <w:r>
        <w:rPr>
          <w:rStyle w:val="CharDivNo"/>
        </w:rPr>
        <w:t> </w:t>
      </w:r>
      <w:r>
        <w:t>—</w:t>
      </w:r>
      <w:r>
        <w:rPr>
          <w:rStyle w:val="CharDivText"/>
        </w:rPr>
        <w:t> </w:t>
      </w:r>
      <w:r>
        <w:rPr>
          <w:rStyle w:val="CharPartText"/>
        </w:rPr>
        <w:t>Preliminary matters</w:t>
      </w:r>
      <w:bookmarkEnd w:id="1"/>
      <w:bookmarkEnd w:id="2"/>
    </w:p>
    <w:p>
      <w:pPr>
        <w:pStyle w:val="Footnoteheading"/>
      </w:pPr>
      <w:r>
        <w:tab/>
        <w:t>[Heading inserted in Gazette 27 May 2011 p. 1924.]</w:t>
      </w:r>
    </w:p>
    <w:p>
      <w:pPr>
        <w:pStyle w:val="Heading5"/>
      </w:pPr>
      <w:bookmarkStart w:id="6" w:name="_Toc294259368"/>
      <w:r>
        <w:rPr>
          <w:rStyle w:val="CharSectno"/>
        </w:rPr>
        <w:t>1</w:t>
      </w:r>
      <w:r>
        <w:t>.</w:t>
      </w:r>
      <w:r>
        <w:tab/>
        <w:t>Citation</w:t>
      </w:r>
      <w:bookmarkEnd w:id="3"/>
      <w:bookmarkEnd w:id="4"/>
      <w:bookmarkEnd w:id="5"/>
      <w:bookmarkEnd w:id="6"/>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7" w:name="_Toc434313645"/>
      <w:bookmarkStart w:id="8" w:name="_Toc521399487"/>
      <w:bookmarkStart w:id="9" w:name="_Toc523124816"/>
      <w:bookmarkStart w:id="10" w:name="_Toc294259369"/>
      <w:r>
        <w:rPr>
          <w:rStyle w:val="CharSectno"/>
        </w:rPr>
        <w:t>2</w:t>
      </w:r>
      <w:r>
        <w:t>.</w:t>
      </w:r>
      <w:r>
        <w:tab/>
        <w:t>Commencement</w:t>
      </w:r>
      <w:bookmarkEnd w:id="7"/>
      <w:bookmarkEnd w:id="8"/>
      <w:bookmarkEnd w:id="9"/>
      <w:bookmarkEnd w:id="10"/>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11" w:name="_Toc434313646"/>
      <w:bookmarkStart w:id="12" w:name="_Toc521399488"/>
      <w:bookmarkStart w:id="13" w:name="_Toc523124817"/>
      <w:bookmarkStart w:id="14" w:name="_Toc294259370"/>
      <w:r>
        <w:rPr>
          <w:rStyle w:val="CharSectno"/>
        </w:rPr>
        <w:t>3</w:t>
      </w:r>
      <w:r>
        <w:t>.</w:t>
      </w:r>
      <w:r>
        <w:tab/>
        <w:t>Repeal</w:t>
      </w:r>
      <w:bookmarkEnd w:id="11"/>
      <w:bookmarkEnd w:id="12"/>
      <w:bookmarkEnd w:id="13"/>
      <w:bookmarkEnd w:id="14"/>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15" w:name="_Toc434313647"/>
      <w:bookmarkStart w:id="16" w:name="_Toc521399489"/>
      <w:bookmarkStart w:id="17" w:name="_Toc523124818"/>
      <w:bookmarkStart w:id="18" w:name="_Toc294259371"/>
      <w:r>
        <w:rPr>
          <w:rStyle w:val="CharSectno"/>
        </w:rPr>
        <w:t>4</w:t>
      </w:r>
      <w:r>
        <w:t>.</w:t>
      </w:r>
      <w:r>
        <w:tab/>
        <w:t>Definition</w:t>
      </w:r>
      <w:bookmarkEnd w:id="15"/>
      <w:bookmarkEnd w:id="16"/>
      <w:bookmarkEnd w:id="17"/>
      <w:bookmarkEnd w:id="18"/>
    </w:p>
    <w:p>
      <w:pPr>
        <w:pStyle w:val="Subsection"/>
      </w:pPr>
      <w:r>
        <w:tab/>
      </w:r>
      <w:r>
        <w:tab/>
        <w:t xml:space="preserve">In these regulations </w:t>
      </w:r>
      <w:r>
        <w:rPr>
          <w:rStyle w:val="CharDefText"/>
        </w:rPr>
        <w:t>the Act</w:t>
      </w:r>
      <w:r>
        <w:t xml:space="preserve"> means the </w:t>
      </w:r>
      <w:r>
        <w:rPr>
          <w:i/>
        </w:rPr>
        <w:t>Housing Act 1980</w:t>
      </w:r>
      <w:r>
        <w:t>.</w:t>
      </w:r>
    </w:p>
    <w:p>
      <w:pPr>
        <w:pStyle w:val="Heading2"/>
      </w:pPr>
      <w:bookmarkStart w:id="19" w:name="_Toc294184674"/>
      <w:bookmarkStart w:id="20" w:name="_Toc294259372"/>
      <w:bookmarkStart w:id="21" w:name="_Toc434313648"/>
      <w:bookmarkStart w:id="22" w:name="_Toc521399490"/>
      <w:bookmarkStart w:id="23" w:name="_Toc523124819"/>
      <w:r>
        <w:rPr>
          <w:rStyle w:val="CharPartNo"/>
        </w:rPr>
        <w:t>Part 2</w:t>
      </w:r>
      <w:r>
        <w:rPr>
          <w:rStyle w:val="CharDivNo"/>
        </w:rPr>
        <w:t> </w:t>
      </w:r>
      <w:r>
        <w:t>—</w:t>
      </w:r>
      <w:r>
        <w:rPr>
          <w:rStyle w:val="CharDivText"/>
        </w:rPr>
        <w:t> </w:t>
      </w:r>
      <w:r>
        <w:rPr>
          <w:rStyle w:val="CharPartText"/>
        </w:rPr>
        <w:t>Administration of Authority</w:t>
      </w:r>
      <w:bookmarkEnd w:id="19"/>
      <w:bookmarkEnd w:id="20"/>
    </w:p>
    <w:p>
      <w:pPr>
        <w:pStyle w:val="Footnoteheading"/>
      </w:pPr>
      <w:r>
        <w:tab/>
        <w:t>[Heading inserted in Gazette 27 May 2011 p. 1924.]</w:t>
      </w:r>
    </w:p>
    <w:p>
      <w:pPr>
        <w:pStyle w:val="Heading5"/>
      </w:pPr>
      <w:bookmarkStart w:id="24" w:name="_Toc294259373"/>
      <w:r>
        <w:rPr>
          <w:rStyle w:val="CharSectno"/>
        </w:rPr>
        <w:t>5</w:t>
      </w:r>
      <w:r>
        <w:t>.</w:t>
      </w:r>
      <w:r>
        <w:tab/>
        <w:t>Common Seal</w:t>
      </w:r>
      <w:bookmarkEnd w:id="21"/>
      <w:bookmarkEnd w:id="22"/>
      <w:bookmarkEnd w:id="23"/>
      <w:bookmarkEnd w:id="24"/>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5" w:name="_Toc294184676"/>
      <w:bookmarkStart w:id="26" w:name="_Toc294259374"/>
      <w:bookmarkStart w:id="27" w:name="_Toc434313649"/>
      <w:bookmarkStart w:id="28" w:name="_Toc521399491"/>
      <w:bookmarkStart w:id="29" w:name="_Toc523124820"/>
      <w:r>
        <w:rPr>
          <w:rStyle w:val="CharPartNo"/>
        </w:rPr>
        <w:t>Part 3</w:t>
      </w:r>
      <w:r>
        <w:rPr>
          <w:rStyle w:val="CharDivNo"/>
        </w:rPr>
        <w:t> </w:t>
      </w:r>
      <w:r>
        <w:t>—</w:t>
      </w:r>
      <w:r>
        <w:rPr>
          <w:rStyle w:val="CharDivText"/>
        </w:rPr>
        <w:t> </w:t>
      </w:r>
      <w:r>
        <w:rPr>
          <w:rStyle w:val="CharPartText"/>
        </w:rPr>
        <w:t>Aboriginal housing</w:t>
      </w:r>
      <w:bookmarkEnd w:id="25"/>
      <w:bookmarkEnd w:id="26"/>
    </w:p>
    <w:p>
      <w:pPr>
        <w:pStyle w:val="Footnoteheading"/>
      </w:pPr>
      <w:r>
        <w:tab/>
        <w:t>[Heading inserted in Gazette 27 May 2010 p. 1925.]</w:t>
      </w:r>
    </w:p>
    <w:p>
      <w:pPr>
        <w:pStyle w:val="Heading5"/>
      </w:pPr>
      <w:bookmarkStart w:id="30" w:name="_Toc294259375"/>
      <w:r>
        <w:rPr>
          <w:rStyle w:val="CharSectno"/>
        </w:rPr>
        <w:t>6A</w:t>
      </w:r>
      <w:r>
        <w:t>.</w:t>
      </w:r>
      <w:r>
        <w:tab/>
        <w:t>Terms used</w:t>
      </w:r>
      <w:bookmarkEnd w:id="30"/>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31" w:name="_Toc294259376"/>
      <w:r>
        <w:rPr>
          <w:rStyle w:val="CharSectno"/>
        </w:rPr>
        <w:t>6B</w:t>
      </w:r>
      <w:r>
        <w:t>.</w:t>
      </w:r>
      <w:r>
        <w:tab/>
        <w:t>State</w:t>
      </w:r>
      <w:r>
        <w:noBreakHyphen/>
        <w:t>Commonwealth agreement</w:t>
      </w:r>
      <w:bookmarkEnd w:id="31"/>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32" w:name="_Toc294259377"/>
      <w:r>
        <w:rPr>
          <w:rStyle w:val="CharSectno"/>
        </w:rPr>
        <w:t>6C</w:t>
      </w:r>
      <w:r>
        <w:t>.</w:t>
      </w:r>
      <w:r>
        <w:tab/>
        <w:t>Purposes of this Part</w:t>
      </w:r>
      <w:bookmarkEnd w:id="32"/>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33" w:name="_Toc294259378"/>
      <w:r>
        <w:rPr>
          <w:rStyle w:val="CharSectno"/>
        </w:rPr>
        <w:t>6D</w:t>
      </w:r>
      <w:r>
        <w:t>.</w:t>
      </w:r>
      <w:r>
        <w:tab/>
        <w:t>Authority may enter into housing management agreement</w:t>
      </w:r>
      <w:bookmarkEnd w:id="33"/>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34" w:name="_Toc294259379"/>
      <w:r>
        <w:rPr>
          <w:rStyle w:val="CharSectno"/>
        </w:rPr>
        <w:t>6E</w:t>
      </w:r>
      <w:r>
        <w:t>.</w:t>
      </w:r>
      <w:r>
        <w:tab/>
        <w:t>Application of Part VIIA Division 2 of the Act</w:t>
      </w:r>
      <w:bookmarkEnd w:id="34"/>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35" w:name="_Toc294259380"/>
      <w:r>
        <w:rPr>
          <w:rStyle w:val="CharSectno"/>
        </w:rPr>
        <w:t>6F</w:t>
      </w:r>
      <w:r>
        <w:t>.</w:t>
      </w:r>
      <w:r>
        <w:tab/>
        <w:t>Approval of Minister for Indigenous Affairs not required</w:t>
      </w:r>
      <w:bookmarkEnd w:id="35"/>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36" w:name="_Toc294259381"/>
      <w:r>
        <w:rPr>
          <w:rStyle w:val="CharSectno"/>
        </w:rPr>
        <w:t>6G</w:t>
      </w:r>
      <w:r>
        <w:t>.</w:t>
      </w:r>
      <w:r>
        <w:tab/>
        <w:t xml:space="preserve">Application of </w:t>
      </w:r>
      <w:r>
        <w:rPr>
          <w:i/>
        </w:rPr>
        <w:t>Land Administration Act 1997</w:t>
      </w:r>
      <w:bookmarkEnd w:id="36"/>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37" w:name="_Toc294184684"/>
      <w:bookmarkStart w:id="38" w:name="_Toc294259382"/>
      <w:r>
        <w:rPr>
          <w:rStyle w:val="CharPartNo"/>
        </w:rPr>
        <w:t>Part 4</w:t>
      </w:r>
      <w:r>
        <w:rPr>
          <w:rStyle w:val="CharDivNo"/>
        </w:rPr>
        <w:t> </w:t>
      </w:r>
      <w:r>
        <w:t>—</w:t>
      </w:r>
      <w:r>
        <w:rPr>
          <w:rStyle w:val="CharDivText"/>
        </w:rPr>
        <w:t> </w:t>
      </w:r>
      <w:r>
        <w:rPr>
          <w:rStyle w:val="CharPartText"/>
        </w:rPr>
        <w:t>Financial assistance to home owners</w:t>
      </w:r>
      <w:bookmarkEnd w:id="37"/>
      <w:bookmarkEnd w:id="38"/>
    </w:p>
    <w:p>
      <w:pPr>
        <w:pStyle w:val="Footnoteheading"/>
      </w:pPr>
      <w:r>
        <w:tab/>
        <w:t>[Heading inserted in Gazette 27 May 2011 p. 1927.]</w:t>
      </w:r>
    </w:p>
    <w:p>
      <w:pPr>
        <w:pStyle w:val="Heading5"/>
      </w:pPr>
      <w:bookmarkStart w:id="39" w:name="_Toc294259383"/>
      <w:r>
        <w:rPr>
          <w:rStyle w:val="CharSectno"/>
        </w:rPr>
        <w:t>6</w:t>
      </w:r>
      <w:r>
        <w:t>.</w:t>
      </w:r>
      <w:r>
        <w:tab/>
        <w:t>Interest on loans made under 1978 agreement</w:t>
      </w:r>
      <w:bookmarkEnd w:id="27"/>
      <w:bookmarkEnd w:id="28"/>
      <w:bookmarkEnd w:id="29"/>
      <w:bookmarkEnd w:id="39"/>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40" w:name="_Toc294184686"/>
      <w:bookmarkStart w:id="41" w:name="_Toc294259384"/>
      <w:bookmarkStart w:id="42" w:name="_Toc434313650"/>
      <w:bookmarkStart w:id="43" w:name="_Toc521399492"/>
      <w:bookmarkStart w:id="44" w:name="_Toc523124821"/>
      <w:r>
        <w:rPr>
          <w:rStyle w:val="CharPartNo"/>
        </w:rPr>
        <w:t>Part 5</w:t>
      </w:r>
      <w:r>
        <w:rPr>
          <w:rStyle w:val="CharDivNo"/>
        </w:rPr>
        <w:t> </w:t>
      </w:r>
      <w:r>
        <w:t>—</w:t>
      </w:r>
      <w:r>
        <w:rPr>
          <w:rStyle w:val="CharDivText"/>
        </w:rPr>
        <w:t> </w:t>
      </w:r>
      <w:r>
        <w:rPr>
          <w:rStyle w:val="CharPartText"/>
        </w:rPr>
        <w:t>Fees</w:t>
      </w:r>
      <w:bookmarkEnd w:id="40"/>
      <w:bookmarkEnd w:id="41"/>
    </w:p>
    <w:p>
      <w:pPr>
        <w:pStyle w:val="Footnoteheading"/>
      </w:pPr>
      <w:r>
        <w:tab/>
        <w:t>[Heading inserted in Gazette 27 May 2010 p. 1927.]</w:t>
      </w:r>
    </w:p>
    <w:p>
      <w:pPr>
        <w:pStyle w:val="Heading5"/>
      </w:pPr>
      <w:bookmarkStart w:id="45" w:name="_Toc294259385"/>
      <w:r>
        <w:rPr>
          <w:rStyle w:val="CharSectno"/>
        </w:rPr>
        <w:t>8</w:t>
      </w:r>
      <w:r>
        <w:t>.</w:t>
      </w:r>
      <w:r>
        <w:tab/>
        <w:t>Conveyancing fees</w:t>
      </w:r>
      <w:bookmarkEnd w:id="42"/>
      <w:bookmarkEnd w:id="43"/>
      <w:bookmarkEnd w:id="44"/>
      <w:bookmarkEnd w:id="45"/>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382"/>
      </w:tblGrid>
      <w:tr>
        <w:trPr>
          <w:tblHeader/>
        </w:trPr>
        <w:tc>
          <w:tcPr>
            <w:tcW w:w="1276" w:type="dxa"/>
          </w:tcPr>
          <w:p>
            <w:pPr>
              <w:pStyle w:val="TableNAm"/>
              <w:jc w:val="center"/>
              <w:rPr>
                <w:b/>
                <w:bCs/>
              </w:rPr>
            </w:pPr>
            <w:r>
              <w:rPr>
                <w:b/>
                <w:bCs/>
              </w:rPr>
              <w:t>Column 1</w:t>
            </w:r>
            <w:r>
              <w:rPr>
                <w:b/>
                <w:bCs/>
              </w:rPr>
              <w:br/>
              <w:t>Item no.</w:t>
            </w:r>
          </w:p>
        </w:tc>
        <w:tc>
          <w:tcPr>
            <w:tcW w:w="3685" w:type="dxa"/>
          </w:tcPr>
          <w:p>
            <w:pPr>
              <w:pStyle w:val="TableNAm"/>
              <w:jc w:val="center"/>
              <w:rPr>
                <w:b/>
                <w:bCs/>
              </w:rPr>
            </w:pPr>
            <w:r>
              <w:rPr>
                <w:b/>
                <w:bCs/>
              </w:rPr>
              <w:t>Column 2</w:t>
            </w:r>
            <w:r>
              <w:rPr>
                <w:b/>
                <w:bCs/>
              </w:rPr>
              <w:br/>
              <w:t>Item</w:t>
            </w:r>
          </w:p>
        </w:tc>
        <w:tc>
          <w:tcPr>
            <w:tcW w:w="1382" w:type="dxa"/>
          </w:tcPr>
          <w:p>
            <w:pPr>
              <w:pStyle w:val="TableNAm"/>
              <w:jc w:val="center"/>
              <w:rPr>
                <w:b/>
                <w:bCs/>
              </w:rPr>
            </w:pPr>
            <w:r>
              <w:rPr>
                <w:b/>
                <w:bCs/>
              </w:rPr>
              <w:t>Column 3</w:t>
            </w:r>
            <w:r>
              <w:rPr>
                <w:b/>
                <w:bCs/>
              </w:rPr>
              <w:br/>
              <w:t>Fee $</w:t>
            </w:r>
          </w:p>
        </w:tc>
      </w:tr>
      <w:tr>
        <w:tc>
          <w:tcPr>
            <w:tcW w:w="1276" w:type="dxa"/>
          </w:tcPr>
          <w:p>
            <w:pPr>
              <w:pStyle w:val="TableNAm"/>
            </w:pPr>
          </w:p>
        </w:tc>
        <w:tc>
          <w:tcPr>
            <w:tcW w:w="3685" w:type="dxa"/>
          </w:tcPr>
          <w:p>
            <w:pPr>
              <w:pStyle w:val="TableNAm"/>
              <w:rPr>
                <w:b/>
                <w:bCs/>
                <w:i/>
                <w:iCs/>
              </w:rPr>
            </w:pPr>
            <w:r>
              <w:rPr>
                <w:b/>
                <w:bCs/>
                <w:i/>
                <w:iCs/>
              </w:rPr>
              <w:t>Preparation of documents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Mortgage</w:t>
            </w:r>
          </w:p>
        </w:tc>
        <w:tc>
          <w:tcPr>
            <w:tcW w:w="1382" w:type="dxa"/>
          </w:tcPr>
          <w:p>
            <w:pPr>
              <w:pStyle w:val="TableNAm"/>
              <w:tabs>
                <w:tab w:val="clear" w:pos="567"/>
                <w:tab w:val="right" w:pos="680"/>
              </w:tabs>
            </w:pPr>
            <w:r>
              <w:tab/>
              <w:t>128</w:t>
            </w:r>
          </w:p>
        </w:tc>
      </w:tr>
      <w:tr>
        <w:tc>
          <w:tcPr>
            <w:tcW w:w="1276" w:type="dxa"/>
          </w:tcPr>
          <w:p>
            <w:pPr>
              <w:pStyle w:val="TableNAm"/>
            </w:pPr>
            <w:r>
              <w:t>2.</w:t>
            </w:r>
          </w:p>
        </w:tc>
        <w:tc>
          <w:tcPr>
            <w:tcW w:w="3685" w:type="dxa"/>
          </w:tcPr>
          <w:p>
            <w:pPr>
              <w:pStyle w:val="TableNAm"/>
            </w:pPr>
            <w:r>
              <w:t>Discharge of mortgage</w:t>
            </w:r>
          </w:p>
        </w:tc>
        <w:tc>
          <w:tcPr>
            <w:tcW w:w="1382" w:type="dxa"/>
          </w:tcPr>
          <w:p>
            <w:pPr>
              <w:pStyle w:val="TableNAm"/>
              <w:tabs>
                <w:tab w:val="clear" w:pos="567"/>
                <w:tab w:val="right" w:pos="680"/>
              </w:tabs>
            </w:pPr>
            <w:r>
              <w:tab/>
              <w:t>50</w:t>
            </w:r>
          </w:p>
        </w:tc>
      </w:tr>
      <w:tr>
        <w:tc>
          <w:tcPr>
            <w:tcW w:w="1276" w:type="dxa"/>
          </w:tcPr>
          <w:p>
            <w:pPr>
              <w:pStyle w:val="TableNAm"/>
            </w:pPr>
            <w:r>
              <w:t>3.</w:t>
            </w:r>
          </w:p>
        </w:tc>
        <w:tc>
          <w:tcPr>
            <w:tcW w:w="3685" w:type="dxa"/>
          </w:tcPr>
          <w:p>
            <w:pPr>
              <w:pStyle w:val="TableNAm"/>
            </w:pPr>
            <w:r>
              <w:t>Caveat</w:t>
            </w:r>
          </w:p>
        </w:tc>
        <w:tc>
          <w:tcPr>
            <w:tcW w:w="1382" w:type="dxa"/>
          </w:tcPr>
          <w:p>
            <w:pPr>
              <w:pStyle w:val="TableNAm"/>
              <w:tabs>
                <w:tab w:val="clear" w:pos="567"/>
                <w:tab w:val="right" w:pos="680"/>
              </w:tabs>
            </w:pPr>
            <w:r>
              <w:tab/>
              <w:t>45</w:t>
            </w:r>
          </w:p>
        </w:tc>
      </w:tr>
      <w:tr>
        <w:tc>
          <w:tcPr>
            <w:tcW w:w="1276" w:type="dxa"/>
          </w:tcPr>
          <w:p>
            <w:pPr>
              <w:pStyle w:val="TableNAm"/>
            </w:pPr>
            <w:r>
              <w:t>4.</w:t>
            </w:r>
          </w:p>
        </w:tc>
        <w:tc>
          <w:tcPr>
            <w:tcW w:w="3685" w:type="dxa"/>
          </w:tcPr>
          <w:p>
            <w:pPr>
              <w:pStyle w:val="TableNAm"/>
            </w:pPr>
            <w:r>
              <w:t>Withdrawal of caveat</w:t>
            </w:r>
          </w:p>
        </w:tc>
        <w:tc>
          <w:tcPr>
            <w:tcW w:w="1382" w:type="dxa"/>
          </w:tcPr>
          <w:p>
            <w:pPr>
              <w:pStyle w:val="TableNAm"/>
              <w:tabs>
                <w:tab w:val="clear" w:pos="567"/>
                <w:tab w:val="right" w:pos="680"/>
              </w:tabs>
            </w:pPr>
            <w:r>
              <w:tab/>
              <w:t>45</w:t>
            </w:r>
          </w:p>
        </w:tc>
      </w:tr>
      <w:tr>
        <w:tc>
          <w:tcPr>
            <w:tcW w:w="1276" w:type="dxa"/>
          </w:tcPr>
          <w:p>
            <w:pPr>
              <w:pStyle w:val="TableNAm"/>
            </w:pPr>
            <w:r>
              <w:t>5.</w:t>
            </w:r>
          </w:p>
        </w:tc>
        <w:tc>
          <w:tcPr>
            <w:tcW w:w="3685" w:type="dxa"/>
          </w:tcPr>
          <w:p>
            <w:pPr>
              <w:pStyle w:val="TableNAm"/>
            </w:pPr>
            <w:r>
              <w:t>Deed of co-ownership</w:t>
            </w:r>
          </w:p>
        </w:tc>
        <w:tc>
          <w:tcPr>
            <w:tcW w:w="1382" w:type="dxa"/>
          </w:tcPr>
          <w:p>
            <w:pPr>
              <w:pStyle w:val="TableNAm"/>
              <w:tabs>
                <w:tab w:val="clear" w:pos="567"/>
                <w:tab w:val="right" w:pos="680"/>
              </w:tabs>
            </w:pPr>
            <w:r>
              <w:tab/>
              <w:t>153</w:t>
            </w:r>
          </w:p>
        </w:tc>
      </w:tr>
      <w:tr>
        <w:tc>
          <w:tcPr>
            <w:tcW w:w="1276" w:type="dxa"/>
          </w:tcPr>
          <w:p>
            <w:pPr>
              <w:pStyle w:val="TableNAm"/>
            </w:pPr>
            <w:r>
              <w:t>6.</w:t>
            </w:r>
          </w:p>
        </w:tc>
        <w:tc>
          <w:tcPr>
            <w:tcW w:w="3685" w:type="dxa"/>
          </w:tcPr>
          <w:p>
            <w:pPr>
              <w:pStyle w:val="TableNAm"/>
            </w:pPr>
            <w:r>
              <w:t>Any other deed</w:t>
            </w:r>
          </w:p>
        </w:tc>
        <w:tc>
          <w:tcPr>
            <w:tcW w:w="1382" w:type="dxa"/>
          </w:tcPr>
          <w:p>
            <w:pPr>
              <w:pStyle w:val="TableNAm"/>
              <w:tabs>
                <w:tab w:val="clear" w:pos="567"/>
                <w:tab w:val="right" w:pos="680"/>
              </w:tabs>
            </w:pPr>
            <w:r>
              <w:tab/>
              <w:t>95</w:t>
            </w:r>
          </w:p>
        </w:tc>
      </w:tr>
      <w:tr>
        <w:tc>
          <w:tcPr>
            <w:tcW w:w="1276" w:type="dxa"/>
          </w:tcPr>
          <w:p>
            <w:pPr>
              <w:pStyle w:val="TableNAm"/>
            </w:pPr>
            <w:r>
              <w:t>7.</w:t>
            </w:r>
          </w:p>
        </w:tc>
        <w:tc>
          <w:tcPr>
            <w:tcW w:w="3685" w:type="dxa"/>
          </w:tcPr>
          <w:p>
            <w:pPr>
              <w:pStyle w:val="TableNAm"/>
            </w:pPr>
            <w:r>
              <w:t>Transfer of land</w:t>
            </w:r>
          </w:p>
        </w:tc>
        <w:tc>
          <w:tcPr>
            <w:tcW w:w="1382" w:type="dxa"/>
          </w:tcPr>
          <w:p>
            <w:pPr>
              <w:pStyle w:val="TableNAm"/>
              <w:tabs>
                <w:tab w:val="clear" w:pos="567"/>
                <w:tab w:val="right" w:pos="680"/>
              </w:tabs>
            </w:pPr>
            <w:r>
              <w:tab/>
              <w:t>160</w:t>
            </w:r>
          </w:p>
        </w:tc>
      </w:tr>
      <w:tr>
        <w:tc>
          <w:tcPr>
            <w:tcW w:w="1276" w:type="dxa"/>
          </w:tcPr>
          <w:p>
            <w:pPr>
              <w:pStyle w:val="TableNAm"/>
            </w:pPr>
            <w:r>
              <w:t>8.</w:t>
            </w:r>
          </w:p>
        </w:tc>
        <w:tc>
          <w:tcPr>
            <w:tcW w:w="3685" w:type="dxa"/>
          </w:tcPr>
          <w:p>
            <w:pPr>
              <w:pStyle w:val="TableNAm"/>
            </w:pPr>
            <w:r>
              <w:t>Statutory declaration</w:t>
            </w:r>
          </w:p>
        </w:tc>
        <w:tc>
          <w:tcPr>
            <w:tcW w:w="1382" w:type="dxa"/>
          </w:tcPr>
          <w:p>
            <w:pPr>
              <w:pStyle w:val="TableNAm"/>
              <w:tabs>
                <w:tab w:val="clear" w:pos="567"/>
                <w:tab w:val="right" w:pos="680"/>
              </w:tabs>
            </w:pPr>
            <w:r>
              <w:tab/>
              <w:t>38</w:t>
            </w:r>
          </w:p>
        </w:tc>
      </w:tr>
      <w:tr>
        <w:tc>
          <w:tcPr>
            <w:tcW w:w="1276" w:type="dxa"/>
          </w:tcPr>
          <w:p>
            <w:pPr>
              <w:pStyle w:val="TableNAm"/>
            </w:pPr>
            <w:r>
              <w:t>9.</w:t>
            </w:r>
          </w:p>
        </w:tc>
        <w:tc>
          <w:tcPr>
            <w:tcW w:w="3685" w:type="dxa"/>
          </w:tcPr>
          <w:p>
            <w:pPr>
              <w:pStyle w:val="TableNAm"/>
            </w:pPr>
            <w:r>
              <w:t>Settlement statement</w:t>
            </w:r>
          </w:p>
        </w:tc>
        <w:tc>
          <w:tcPr>
            <w:tcW w:w="1382" w:type="dxa"/>
          </w:tcPr>
          <w:p>
            <w:pPr>
              <w:pStyle w:val="TableNAm"/>
              <w:tabs>
                <w:tab w:val="clear" w:pos="567"/>
                <w:tab w:val="right" w:pos="680"/>
              </w:tabs>
            </w:pPr>
            <w:r>
              <w:tab/>
              <w:t>126</w:t>
            </w:r>
          </w:p>
        </w:tc>
      </w:tr>
      <w:tr>
        <w:tc>
          <w:tcPr>
            <w:tcW w:w="1276" w:type="dxa"/>
          </w:tcPr>
          <w:p>
            <w:pPr>
              <w:pStyle w:val="TableNAm"/>
            </w:pPr>
            <w:r>
              <w:t>10.</w:t>
            </w:r>
          </w:p>
        </w:tc>
        <w:tc>
          <w:tcPr>
            <w:tcW w:w="3685" w:type="dxa"/>
          </w:tcPr>
          <w:p>
            <w:pPr>
              <w:pStyle w:val="TableNAm"/>
            </w:pPr>
            <w:r>
              <w:t>Any other document</w:t>
            </w:r>
          </w:p>
        </w:tc>
        <w:tc>
          <w:tcPr>
            <w:tcW w:w="1382" w:type="dxa"/>
          </w:tcPr>
          <w:p>
            <w:pPr>
              <w:pStyle w:val="TableNAm"/>
              <w:tabs>
                <w:tab w:val="clear" w:pos="567"/>
                <w:tab w:val="right" w:pos="680"/>
              </w:tabs>
            </w:pPr>
            <w:r>
              <w:tab/>
              <w:t>59</w:t>
            </w:r>
          </w:p>
        </w:tc>
      </w:tr>
      <w:tr>
        <w:tc>
          <w:tcPr>
            <w:tcW w:w="1276" w:type="dxa"/>
          </w:tcPr>
          <w:p>
            <w:pPr>
              <w:pStyle w:val="TableNAm"/>
            </w:pPr>
          </w:p>
        </w:tc>
        <w:tc>
          <w:tcPr>
            <w:tcW w:w="3685" w:type="dxa"/>
          </w:tcPr>
          <w:p>
            <w:pPr>
              <w:pStyle w:val="TableNAm"/>
              <w:rPr>
                <w:b/>
                <w:bCs/>
              </w:rPr>
            </w:pPr>
            <w:r>
              <w:rPr>
                <w:b/>
                <w:bCs/>
                <w:i/>
                <w:iCs/>
              </w:rPr>
              <w:t>Miscellaneous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Production of titles and other documents</w:t>
            </w:r>
          </w:p>
        </w:tc>
        <w:tc>
          <w:tcPr>
            <w:tcW w:w="1382" w:type="dxa"/>
          </w:tcPr>
          <w:p>
            <w:pPr>
              <w:pStyle w:val="TableNAm"/>
              <w:tabs>
                <w:tab w:val="clear" w:pos="567"/>
                <w:tab w:val="right" w:pos="680"/>
              </w:tabs>
            </w:pPr>
            <w:r>
              <w:tab/>
              <w:t>24</w:t>
            </w:r>
          </w:p>
        </w:tc>
      </w:tr>
    </w:tbl>
    <w:p>
      <w:pPr>
        <w:pStyle w:val="Footnotesection"/>
      </w:pPr>
      <w:r>
        <w:tab/>
        <w:t>[Regulation 8 inserted in Gazette 1 Jun 1993 p. 2682; amended in Gazette 13 Apr 1995 p. 1323</w:t>
      </w:r>
      <w:r>
        <w:noBreakHyphen/>
        <w:t>4; 16 Jul 1996 p. 3397; 16 Jan 1998 p. 344; 30 Jun 2006 p. 2361; 12 Jun 2009 p. 2115.]</w:t>
      </w:r>
    </w:p>
    <w:p>
      <w:pPr>
        <w:pStyle w:val="Heading5"/>
      </w:pPr>
      <w:bookmarkStart w:id="46" w:name="_Toc434313651"/>
      <w:bookmarkStart w:id="47" w:name="_Toc521399493"/>
      <w:bookmarkStart w:id="48" w:name="_Toc523124822"/>
      <w:bookmarkStart w:id="49" w:name="_Toc294259386"/>
      <w:r>
        <w:rPr>
          <w:rStyle w:val="CharSectno"/>
        </w:rPr>
        <w:t>9</w:t>
      </w:r>
      <w:r>
        <w:t>.</w:t>
      </w:r>
      <w:r>
        <w:tab/>
        <w:t>Architectural fees</w:t>
      </w:r>
      <w:bookmarkEnd w:id="46"/>
      <w:bookmarkEnd w:id="47"/>
      <w:bookmarkEnd w:id="48"/>
      <w:bookmarkEnd w:id="49"/>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50" w:name="_Toc434313652"/>
      <w:bookmarkStart w:id="51" w:name="_Toc521399494"/>
      <w:bookmarkStart w:id="52" w:name="_Toc523124823"/>
      <w:bookmarkStart w:id="53" w:name="_Toc294259387"/>
      <w:r>
        <w:rPr>
          <w:rStyle w:val="CharSectno"/>
        </w:rPr>
        <w:t>10</w:t>
      </w:r>
      <w:r>
        <w:t>.</w:t>
      </w:r>
      <w:r>
        <w:tab/>
        <w:t>Strata management fees</w:t>
      </w:r>
      <w:bookmarkEnd w:id="50"/>
      <w:bookmarkEnd w:id="51"/>
      <w:bookmarkEnd w:id="52"/>
      <w:bookmarkEnd w:id="53"/>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54" w:name="endcomma"/>
      <w:bookmarkEnd w:id="54"/>
      <w:r>
        <w:rPr>
          <w:rStyle w:val="CharDefText"/>
        </w:rPr>
        <w:t>strata company</w:t>
      </w:r>
      <w:r>
        <w:t xml:space="preserve"> </w:t>
      </w:r>
      <w:bookmarkStart w:id="55" w:name="comma"/>
      <w:bookmarkEnd w:id="55"/>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56" w:name="_Toc139430969"/>
      <w:bookmarkStart w:id="57" w:name="_Toc139683124"/>
      <w:bookmarkStart w:id="58" w:name="_Toc232587393"/>
      <w:bookmarkStart w:id="59" w:name="_Toc233186085"/>
      <w:bookmarkStart w:id="60" w:name="_Toc233186190"/>
      <w:bookmarkStart w:id="61" w:name="_Toc294184690"/>
      <w:bookmarkStart w:id="62" w:name="_Toc294259388"/>
      <w:r>
        <w:t>Notes</w:t>
      </w:r>
      <w:bookmarkEnd w:id="56"/>
      <w:bookmarkEnd w:id="57"/>
      <w:bookmarkEnd w:id="58"/>
      <w:bookmarkEnd w:id="59"/>
      <w:bookmarkEnd w:id="60"/>
      <w:bookmarkEnd w:id="61"/>
      <w:bookmarkEnd w:id="62"/>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  </w:t>
      </w:r>
      <w:r>
        <w:rPr>
          <w:snapToGrid w:val="0"/>
        </w:rPr>
        <w:t>The table also contains information about any reprint.</w:t>
      </w:r>
    </w:p>
    <w:p>
      <w:pPr>
        <w:pStyle w:val="nHeading3"/>
      </w:pPr>
      <w:bookmarkStart w:id="63" w:name="_Toc294259389"/>
      <w:r>
        <w:t>Compilation table</w:t>
      </w:r>
      <w:bookmarkEnd w:id="6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ind w:left="35"/>
              <w:rPr>
                <w:b/>
                <w:sz w:val="19"/>
              </w:rPr>
            </w:pPr>
            <w:r>
              <w:rPr>
                <w:b/>
                <w:sz w:val="19"/>
              </w:rPr>
              <w:t>Commencement</w:t>
            </w:r>
          </w:p>
        </w:tc>
      </w:tr>
      <w:tr>
        <w:trPr>
          <w:cantSplit/>
        </w:trPr>
        <w:tc>
          <w:tcPr>
            <w:tcW w:w="3118" w:type="dxa"/>
          </w:tcPr>
          <w:p>
            <w:pPr>
              <w:pStyle w:val="nTable"/>
              <w:spacing w:after="40"/>
              <w:ind w:right="113"/>
              <w:rPr>
                <w:sz w:val="19"/>
              </w:rPr>
            </w:pPr>
            <w:r>
              <w:rPr>
                <w:i/>
                <w:sz w:val="19"/>
              </w:rPr>
              <w:t>Housing Regulations 1980</w:t>
            </w:r>
          </w:p>
        </w:tc>
        <w:tc>
          <w:tcPr>
            <w:tcW w:w="1276" w:type="dxa"/>
          </w:tcPr>
          <w:p>
            <w:pPr>
              <w:pStyle w:val="nTable"/>
              <w:spacing w:after="40"/>
              <w:ind w:left="65"/>
              <w:rPr>
                <w:sz w:val="19"/>
              </w:rPr>
            </w:pPr>
            <w:r>
              <w:rPr>
                <w:sz w:val="19"/>
              </w:rPr>
              <w:t>24 Dec 1980 p. 4361</w:t>
            </w:r>
            <w:r>
              <w:rPr>
                <w:sz w:val="19"/>
              </w:rPr>
              <w:noBreakHyphen/>
              <w:t>3</w:t>
            </w:r>
          </w:p>
        </w:tc>
        <w:tc>
          <w:tcPr>
            <w:tcW w:w="2693" w:type="dxa"/>
          </w:tcPr>
          <w:p>
            <w:pPr>
              <w:pStyle w:val="nTable"/>
              <w:spacing w:after="40"/>
              <w:ind w:left="35"/>
              <w:rPr>
                <w:sz w:val="19"/>
              </w:rPr>
            </w:pPr>
            <w:r>
              <w:rPr>
                <w:sz w:val="19"/>
              </w:rPr>
              <w:t xml:space="preserve">1 Jan 1981 (see r. 2 and </w:t>
            </w:r>
            <w:r>
              <w:rPr>
                <w:i/>
                <w:sz w:val="19"/>
              </w:rPr>
              <w:t>Gazette</w:t>
            </w:r>
            <w:r>
              <w:rPr>
                <w:sz w:val="19"/>
              </w:rPr>
              <w:t xml:space="preserve"> 24 Dec 1980 p. 4349)</w:t>
            </w:r>
          </w:p>
        </w:tc>
      </w:tr>
      <w:tr>
        <w:trPr>
          <w:cantSplit/>
        </w:trPr>
        <w:tc>
          <w:tcPr>
            <w:tcW w:w="3118" w:type="dxa"/>
          </w:tcPr>
          <w:p>
            <w:pPr>
              <w:pStyle w:val="nTable"/>
              <w:spacing w:after="40"/>
              <w:ind w:right="113"/>
              <w:rPr>
                <w:sz w:val="19"/>
              </w:rPr>
            </w:pPr>
            <w:r>
              <w:rPr>
                <w:i/>
                <w:sz w:val="19"/>
              </w:rPr>
              <w:t>Housing Amendment Regulations 1984</w:t>
            </w:r>
          </w:p>
        </w:tc>
        <w:tc>
          <w:tcPr>
            <w:tcW w:w="1276" w:type="dxa"/>
          </w:tcPr>
          <w:p>
            <w:pPr>
              <w:pStyle w:val="nTable"/>
              <w:spacing w:after="40"/>
              <w:ind w:left="65"/>
              <w:rPr>
                <w:sz w:val="19"/>
              </w:rPr>
            </w:pPr>
            <w:r>
              <w:rPr>
                <w:sz w:val="19"/>
              </w:rPr>
              <w:t xml:space="preserve">19 Apr 1984 </w:t>
            </w:r>
            <w:r>
              <w:rPr>
                <w:sz w:val="19"/>
              </w:rPr>
              <w:br/>
              <w:t>p. 1114</w:t>
            </w:r>
          </w:p>
        </w:tc>
        <w:tc>
          <w:tcPr>
            <w:tcW w:w="2693" w:type="dxa"/>
          </w:tcPr>
          <w:p>
            <w:pPr>
              <w:pStyle w:val="nTable"/>
              <w:spacing w:after="40"/>
              <w:ind w:left="35"/>
              <w:rPr>
                <w:sz w:val="19"/>
              </w:rPr>
            </w:pPr>
            <w:r>
              <w:rPr>
                <w:sz w:val="19"/>
              </w:rPr>
              <w:t>19 Apr 1984</w:t>
            </w:r>
          </w:p>
        </w:tc>
      </w:tr>
      <w:tr>
        <w:trPr>
          <w:cantSplit/>
        </w:trPr>
        <w:tc>
          <w:tcPr>
            <w:tcW w:w="3118" w:type="dxa"/>
          </w:tcPr>
          <w:p>
            <w:pPr>
              <w:pStyle w:val="nTable"/>
              <w:spacing w:after="40"/>
              <w:ind w:right="113"/>
              <w:rPr>
                <w:sz w:val="19"/>
              </w:rPr>
            </w:pPr>
            <w:r>
              <w:rPr>
                <w:i/>
                <w:sz w:val="19"/>
              </w:rPr>
              <w:t>Housing Amendment Regulations 1986</w:t>
            </w:r>
          </w:p>
        </w:tc>
        <w:tc>
          <w:tcPr>
            <w:tcW w:w="1276" w:type="dxa"/>
          </w:tcPr>
          <w:p>
            <w:pPr>
              <w:pStyle w:val="nTable"/>
              <w:spacing w:after="40"/>
              <w:ind w:left="65"/>
              <w:rPr>
                <w:sz w:val="19"/>
              </w:rPr>
            </w:pPr>
            <w:r>
              <w:rPr>
                <w:sz w:val="19"/>
              </w:rPr>
              <w:t xml:space="preserve">24 Oct 1986 </w:t>
            </w:r>
            <w:r>
              <w:rPr>
                <w:sz w:val="19"/>
              </w:rPr>
              <w:br/>
              <w:t>p. 3958</w:t>
            </w:r>
          </w:p>
        </w:tc>
        <w:tc>
          <w:tcPr>
            <w:tcW w:w="2693" w:type="dxa"/>
          </w:tcPr>
          <w:p>
            <w:pPr>
              <w:pStyle w:val="nTable"/>
              <w:spacing w:after="40"/>
              <w:ind w:left="35"/>
              <w:rPr>
                <w:sz w:val="19"/>
              </w:rPr>
            </w:pPr>
            <w:r>
              <w:rPr>
                <w:sz w:val="19"/>
              </w:rPr>
              <w:t>24 Oct 1986</w:t>
            </w:r>
          </w:p>
        </w:tc>
      </w:tr>
      <w:tr>
        <w:trPr>
          <w:cantSplit/>
        </w:trPr>
        <w:tc>
          <w:tcPr>
            <w:tcW w:w="3118" w:type="dxa"/>
          </w:tcPr>
          <w:p>
            <w:pPr>
              <w:pStyle w:val="nTable"/>
              <w:spacing w:after="40"/>
              <w:ind w:right="113"/>
              <w:rPr>
                <w:sz w:val="19"/>
              </w:rPr>
            </w:pPr>
            <w:r>
              <w:rPr>
                <w:i/>
                <w:sz w:val="19"/>
              </w:rPr>
              <w:t>Housing Amendment Regulations 1993</w:t>
            </w:r>
          </w:p>
        </w:tc>
        <w:tc>
          <w:tcPr>
            <w:tcW w:w="1276" w:type="dxa"/>
          </w:tcPr>
          <w:p>
            <w:pPr>
              <w:pStyle w:val="nTable"/>
              <w:spacing w:after="40"/>
              <w:ind w:left="65"/>
              <w:rPr>
                <w:sz w:val="19"/>
              </w:rPr>
            </w:pPr>
            <w:r>
              <w:rPr>
                <w:sz w:val="19"/>
              </w:rPr>
              <w:t xml:space="preserve">1 Jun 1993 </w:t>
            </w:r>
            <w:r>
              <w:rPr>
                <w:sz w:val="19"/>
              </w:rPr>
              <w:br/>
              <w:t>p. 2682</w:t>
            </w:r>
          </w:p>
        </w:tc>
        <w:tc>
          <w:tcPr>
            <w:tcW w:w="2693" w:type="dxa"/>
          </w:tcPr>
          <w:p>
            <w:pPr>
              <w:pStyle w:val="nTable"/>
              <w:spacing w:after="40"/>
              <w:ind w:left="35"/>
              <w:rPr>
                <w:sz w:val="19"/>
              </w:rPr>
            </w:pPr>
            <w:r>
              <w:rPr>
                <w:sz w:val="19"/>
              </w:rPr>
              <w:t>1 Jul 1993 (see r. 2)</w:t>
            </w:r>
          </w:p>
        </w:tc>
      </w:tr>
      <w:tr>
        <w:trPr>
          <w:cantSplit/>
        </w:trPr>
        <w:tc>
          <w:tcPr>
            <w:tcW w:w="3118" w:type="dxa"/>
          </w:tcPr>
          <w:p>
            <w:pPr>
              <w:pStyle w:val="nTable"/>
              <w:spacing w:after="40"/>
              <w:ind w:right="113"/>
              <w:rPr>
                <w:sz w:val="19"/>
              </w:rPr>
            </w:pPr>
            <w:r>
              <w:rPr>
                <w:i/>
                <w:sz w:val="19"/>
              </w:rPr>
              <w:t>Housing Amendment Regulations 1995</w:t>
            </w:r>
          </w:p>
        </w:tc>
        <w:tc>
          <w:tcPr>
            <w:tcW w:w="1276" w:type="dxa"/>
          </w:tcPr>
          <w:p>
            <w:pPr>
              <w:pStyle w:val="nTable"/>
              <w:spacing w:after="40"/>
              <w:ind w:left="65"/>
              <w:rPr>
                <w:sz w:val="19"/>
              </w:rPr>
            </w:pPr>
            <w:r>
              <w:rPr>
                <w:sz w:val="19"/>
              </w:rPr>
              <w:t>13 Apr 1995 p. 1323</w:t>
            </w:r>
            <w:r>
              <w:rPr>
                <w:sz w:val="19"/>
              </w:rPr>
              <w:noBreakHyphen/>
              <w:t>4</w:t>
            </w:r>
          </w:p>
        </w:tc>
        <w:tc>
          <w:tcPr>
            <w:tcW w:w="2693" w:type="dxa"/>
          </w:tcPr>
          <w:p>
            <w:pPr>
              <w:pStyle w:val="nTable"/>
              <w:spacing w:after="40"/>
              <w:ind w:left="35"/>
              <w:rPr>
                <w:sz w:val="19"/>
              </w:rPr>
            </w:pPr>
            <w:r>
              <w:rPr>
                <w:sz w:val="19"/>
              </w:rPr>
              <w:t>13 Apr 1995</w:t>
            </w:r>
          </w:p>
        </w:tc>
      </w:tr>
      <w:tr>
        <w:trPr>
          <w:cantSplit/>
        </w:trPr>
        <w:tc>
          <w:tcPr>
            <w:tcW w:w="3118" w:type="dxa"/>
          </w:tcPr>
          <w:p>
            <w:pPr>
              <w:pStyle w:val="nTable"/>
              <w:spacing w:after="40"/>
              <w:ind w:right="113"/>
              <w:rPr>
                <w:sz w:val="19"/>
              </w:rPr>
            </w:pPr>
            <w:r>
              <w:rPr>
                <w:i/>
                <w:sz w:val="19"/>
              </w:rPr>
              <w:t>Housing Amendment Regulations 1996</w:t>
            </w:r>
          </w:p>
        </w:tc>
        <w:tc>
          <w:tcPr>
            <w:tcW w:w="1276" w:type="dxa"/>
          </w:tcPr>
          <w:p>
            <w:pPr>
              <w:pStyle w:val="nTable"/>
              <w:spacing w:after="40"/>
              <w:ind w:left="65"/>
              <w:rPr>
                <w:sz w:val="19"/>
              </w:rPr>
            </w:pPr>
            <w:r>
              <w:rPr>
                <w:sz w:val="19"/>
              </w:rPr>
              <w:t>16 Jul 1996 p. 3397</w:t>
            </w:r>
            <w:r>
              <w:rPr>
                <w:sz w:val="19"/>
              </w:rPr>
              <w:noBreakHyphen/>
              <w:t>8</w:t>
            </w:r>
          </w:p>
        </w:tc>
        <w:tc>
          <w:tcPr>
            <w:tcW w:w="2693" w:type="dxa"/>
          </w:tcPr>
          <w:p>
            <w:pPr>
              <w:pStyle w:val="nTable"/>
              <w:spacing w:after="40"/>
              <w:ind w:left="35"/>
              <w:rPr>
                <w:sz w:val="19"/>
              </w:rPr>
            </w:pPr>
            <w:r>
              <w:rPr>
                <w:sz w:val="19"/>
              </w:rPr>
              <w:t>16 Jul 1996</w:t>
            </w:r>
          </w:p>
        </w:tc>
      </w:tr>
      <w:tr>
        <w:trPr>
          <w:cantSplit/>
        </w:trPr>
        <w:tc>
          <w:tcPr>
            <w:tcW w:w="3118" w:type="dxa"/>
          </w:tcPr>
          <w:p>
            <w:pPr>
              <w:pStyle w:val="nTable"/>
              <w:spacing w:after="40"/>
              <w:ind w:right="113"/>
              <w:rPr>
                <w:sz w:val="19"/>
              </w:rPr>
            </w:pPr>
            <w:r>
              <w:rPr>
                <w:i/>
                <w:sz w:val="19"/>
              </w:rPr>
              <w:t>Housing Amendment Regulations 1997</w:t>
            </w:r>
          </w:p>
        </w:tc>
        <w:tc>
          <w:tcPr>
            <w:tcW w:w="1276" w:type="dxa"/>
          </w:tcPr>
          <w:p>
            <w:pPr>
              <w:pStyle w:val="nTable"/>
              <w:spacing w:after="40"/>
              <w:ind w:left="65"/>
              <w:rPr>
                <w:sz w:val="19"/>
              </w:rPr>
            </w:pPr>
            <w:r>
              <w:rPr>
                <w:sz w:val="19"/>
              </w:rPr>
              <w:t xml:space="preserve">16 Jan 1998 </w:t>
            </w:r>
            <w:r>
              <w:rPr>
                <w:sz w:val="19"/>
              </w:rPr>
              <w:br/>
              <w:t>p. 344</w:t>
            </w:r>
          </w:p>
        </w:tc>
        <w:tc>
          <w:tcPr>
            <w:tcW w:w="2693" w:type="dxa"/>
          </w:tcPr>
          <w:p>
            <w:pPr>
              <w:pStyle w:val="nTable"/>
              <w:spacing w:after="40"/>
              <w:ind w:left="35"/>
              <w:rPr>
                <w:sz w:val="19"/>
              </w:rPr>
            </w:pPr>
            <w:r>
              <w:rPr>
                <w:sz w:val="19"/>
              </w:rPr>
              <w:t>16 Jan 1998</w:t>
            </w:r>
          </w:p>
        </w:tc>
      </w:tr>
      <w:tr>
        <w:trPr>
          <w:cantSplit/>
        </w:trPr>
        <w:tc>
          <w:tcPr>
            <w:tcW w:w="7087" w:type="dxa"/>
            <w:gridSpan w:val="3"/>
          </w:tcPr>
          <w:p>
            <w:pPr>
              <w:pStyle w:val="nTable"/>
              <w:spacing w:after="40"/>
              <w:ind w:left="35" w:right="113"/>
              <w:rPr>
                <w:sz w:val="19"/>
              </w:rPr>
            </w:pPr>
            <w:r>
              <w:rPr>
                <w:b/>
                <w:sz w:val="19"/>
              </w:rPr>
              <w:t xml:space="preserve">Reprint of the </w:t>
            </w:r>
            <w:r>
              <w:rPr>
                <w:b/>
                <w:i/>
                <w:sz w:val="19"/>
              </w:rPr>
              <w:t>Housing Regulations 1980</w:t>
            </w:r>
            <w:r>
              <w:rPr>
                <w:b/>
                <w:sz w:val="19"/>
              </w:rPr>
              <w:t xml:space="preserve"> as at 24 August 2001 </w:t>
            </w:r>
            <w:r>
              <w:rPr>
                <w:sz w:val="19"/>
              </w:rPr>
              <w:t xml:space="preserve"> (includes amendments listed above)</w:t>
            </w:r>
          </w:p>
        </w:tc>
      </w:tr>
      <w:tr>
        <w:trPr>
          <w:cantSplit/>
        </w:trPr>
        <w:tc>
          <w:tcPr>
            <w:tcW w:w="3118" w:type="dxa"/>
          </w:tcPr>
          <w:p>
            <w:pPr>
              <w:pStyle w:val="nTable"/>
              <w:spacing w:after="40"/>
              <w:ind w:right="113"/>
              <w:rPr>
                <w:sz w:val="19"/>
              </w:rPr>
            </w:pPr>
            <w:r>
              <w:rPr>
                <w:i/>
                <w:sz w:val="19"/>
              </w:rPr>
              <w:t>Housing Amendment Regulations 2006</w:t>
            </w:r>
          </w:p>
        </w:tc>
        <w:tc>
          <w:tcPr>
            <w:tcW w:w="1276" w:type="dxa"/>
          </w:tcPr>
          <w:p>
            <w:pPr>
              <w:pStyle w:val="nTable"/>
              <w:spacing w:after="40"/>
              <w:ind w:left="65"/>
              <w:rPr>
                <w:sz w:val="19"/>
              </w:rPr>
            </w:pPr>
            <w:r>
              <w:rPr>
                <w:sz w:val="19"/>
              </w:rPr>
              <w:t>30 Jun 2006 p. 2360-1</w:t>
            </w:r>
          </w:p>
        </w:tc>
        <w:tc>
          <w:tcPr>
            <w:tcW w:w="2693" w:type="dxa"/>
          </w:tcPr>
          <w:p>
            <w:pPr>
              <w:pStyle w:val="nTable"/>
              <w:spacing w:after="40"/>
              <w:ind w:left="35"/>
              <w:rPr>
                <w:sz w:val="19"/>
              </w:rPr>
            </w:pPr>
            <w:r>
              <w:rPr>
                <w:sz w:val="19"/>
              </w:rPr>
              <w:t>1 Jul 2006 (see r. 2)</w:t>
            </w:r>
          </w:p>
        </w:tc>
      </w:tr>
      <w:tr>
        <w:trPr>
          <w:cantSplit/>
        </w:trPr>
        <w:tc>
          <w:tcPr>
            <w:tcW w:w="3118" w:type="dxa"/>
          </w:tcPr>
          <w:p>
            <w:pPr>
              <w:pStyle w:val="nTable"/>
              <w:spacing w:after="40"/>
              <w:ind w:right="113"/>
              <w:rPr>
                <w:i/>
                <w:sz w:val="19"/>
              </w:rPr>
            </w:pPr>
            <w:r>
              <w:rPr>
                <w:i/>
                <w:sz w:val="19"/>
              </w:rPr>
              <w:t xml:space="preserve">Housing Amendment Regulations 2009 </w:t>
            </w:r>
          </w:p>
        </w:tc>
        <w:tc>
          <w:tcPr>
            <w:tcW w:w="1276" w:type="dxa"/>
          </w:tcPr>
          <w:p>
            <w:pPr>
              <w:pStyle w:val="nTable"/>
              <w:spacing w:after="40"/>
              <w:ind w:left="65"/>
              <w:rPr>
                <w:sz w:val="19"/>
              </w:rPr>
            </w:pPr>
            <w:r>
              <w:rPr>
                <w:sz w:val="19"/>
              </w:rPr>
              <w:t>12 Jun 2009 p. 2114</w:t>
            </w:r>
            <w:r>
              <w:rPr>
                <w:sz w:val="19"/>
              </w:rPr>
              <w:noBreakHyphen/>
              <w:t>15</w:t>
            </w:r>
          </w:p>
        </w:tc>
        <w:tc>
          <w:tcPr>
            <w:tcW w:w="2693" w:type="dxa"/>
          </w:tcPr>
          <w:p>
            <w:pPr>
              <w:pStyle w:val="nTable"/>
              <w:spacing w:after="40"/>
              <w:ind w:left="35"/>
              <w:rPr>
                <w:sz w:val="19"/>
              </w:rPr>
            </w:pPr>
            <w:r>
              <w:rPr>
                <w:sz w:val="19"/>
              </w:rPr>
              <w:t>r. 1 and 2: 12 Jun 2009 (see r. 2(a));</w:t>
            </w:r>
            <w:r>
              <w:rPr>
                <w:sz w:val="19"/>
              </w:rPr>
              <w:br/>
              <w:t>Regulations other than r. 1 and 2: 1 Jul 2009 (see r. 2(b))</w:t>
            </w:r>
          </w:p>
        </w:tc>
      </w:tr>
      <w:tr>
        <w:trPr>
          <w:cantSplit/>
        </w:trPr>
        <w:tc>
          <w:tcPr>
            <w:tcW w:w="3118" w:type="dxa"/>
            <w:tcBorders>
              <w:bottom w:val="single" w:sz="8" w:space="0" w:color="auto"/>
            </w:tcBorders>
            <w:shd w:val="clear" w:color="auto" w:fill="auto"/>
          </w:tcPr>
          <w:p>
            <w:pPr>
              <w:pStyle w:val="nTable"/>
              <w:spacing w:after="40"/>
              <w:ind w:right="113"/>
              <w:rPr>
                <w:i/>
                <w:sz w:val="19"/>
              </w:rPr>
            </w:pPr>
            <w:r>
              <w:rPr>
                <w:i/>
                <w:sz w:val="19"/>
              </w:rPr>
              <w:t>Housing Amendment Regulations 2011</w:t>
            </w:r>
          </w:p>
        </w:tc>
        <w:tc>
          <w:tcPr>
            <w:tcW w:w="1276" w:type="dxa"/>
            <w:tcBorders>
              <w:bottom w:val="single" w:sz="8" w:space="0" w:color="auto"/>
            </w:tcBorders>
            <w:shd w:val="clear" w:color="auto" w:fill="auto"/>
          </w:tcPr>
          <w:p>
            <w:pPr>
              <w:pStyle w:val="nTable"/>
              <w:spacing w:after="40"/>
              <w:ind w:left="65"/>
              <w:rPr>
                <w:sz w:val="19"/>
              </w:rPr>
            </w:pPr>
            <w:r>
              <w:rPr>
                <w:sz w:val="19"/>
              </w:rPr>
              <w:t>27 May 2011 p. 1924-7</w:t>
            </w:r>
          </w:p>
        </w:tc>
        <w:tc>
          <w:tcPr>
            <w:tcW w:w="2693" w:type="dxa"/>
            <w:tcBorders>
              <w:bottom w:val="single" w:sz="8" w:space="0" w:color="auto"/>
            </w:tcBorders>
            <w:shd w:val="clear" w:color="auto" w:fill="auto"/>
          </w:tcPr>
          <w:p>
            <w:pPr>
              <w:pStyle w:val="nTable"/>
              <w:spacing w:after="40"/>
              <w:ind w:left="35"/>
              <w:rPr>
                <w:sz w:val="19"/>
              </w:rPr>
            </w:pPr>
            <w:r>
              <w:rPr>
                <w:sz w:val="19"/>
              </w:rPr>
              <w:t>r. 1 and 2: 27 May 2011 (see r. 2(a));</w:t>
            </w:r>
            <w:r>
              <w:rPr>
                <w:sz w:val="19"/>
              </w:rPr>
              <w:br/>
              <w:t>Regulations other than r. 1 and 2: 28 May 2011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2042.</w:t>
      </w:r>
    </w:p>
    <w:p>
      <w:pPr>
        <w:pStyle w:val="nSubsection"/>
        <w:tabs>
          <w:tab w:val="clear" w:pos="454"/>
          <w:tab w:val="left" w:pos="461"/>
        </w:tabs>
        <w:spacing w:before="16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p>
      <w:pPr>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Housing Regulations 1980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Regulations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62A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645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607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2C10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362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25E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C83C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9A47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D017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9E4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5324F19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C1149068"/>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47"/>
    <w:docVar w:name="WAFER_20151211132747" w:val="RemoveTrackChanges"/>
    <w:docVar w:name="WAFER_20151211132747_GUID" w:val="e35a368a-acff-4fef-9fd1-0e47f7f05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2393</Words>
  <Characters>11800</Characters>
  <Application>Microsoft Office Word</Application>
  <DocSecurity>0</DocSecurity>
  <Lines>453</Lines>
  <Paragraphs>308</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1980 - 01-e0-02</dc:title>
  <dc:subject/>
  <dc:creator/>
  <cp:keywords/>
  <dc:description/>
  <cp:lastModifiedBy>svcMRProcess</cp:lastModifiedBy>
  <cp:revision>4</cp:revision>
  <cp:lastPrinted>2001-08-24T08:33:00Z</cp:lastPrinted>
  <dcterms:created xsi:type="dcterms:W3CDTF">2015-12-14T07:17:00Z</dcterms:created>
  <dcterms:modified xsi:type="dcterms:W3CDTF">2015-12-14T07:17:00Z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20110528</vt:lpwstr>
  </property>
  <property fmtid="{D5CDD505-2E9C-101B-9397-08002B2CF9AE}" pid="4" name="DocumentType">
    <vt:lpwstr>Reg</vt:lpwstr>
  </property>
  <property fmtid="{D5CDD505-2E9C-101B-9397-08002B2CF9AE}" pid="5" name="OwlsUID">
    <vt:i4>4513</vt:i4>
  </property>
  <property fmtid="{D5CDD505-2E9C-101B-9397-08002B2CF9AE}" pid="6" name="AsAtDate">
    <vt:lpwstr>28 May 2011</vt:lpwstr>
  </property>
  <property fmtid="{D5CDD505-2E9C-101B-9397-08002B2CF9AE}" pid="7" name="Suffix">
    <vt:lpwstr>01-e0-02</vt:lpwstr>
  </property>
</Properties>
</file>