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Petroleum (Submerged Lands) Act 1982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(Submerged Lands) Regulations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(Submerged Lands) Regulations 1990</w:t>
      </w:r>
      <w:r>
        <w:fldChar w:fldCharType="end"/>
      </w:r>
    </w:p>
    <w:p>
      <w:pPr>
        <w:pStyle w:val="Arrangement"/>
        <w:spacing w:after="360"/>
        <w:ind w:left="2302" w:right="2302"/>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_Toc297294772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_Toc297294773 \h </w:instrText>
      </w:r>
      <w:r>
        <w:fldChar w:fldCharType="separate"/>
      </w:r>
      <w:r>
        <w:t>1</w:t>
      </w:r>
      <w:r>
        <w:fldChar w:fldCharType="end"/>
      </w:r>
    </w:p>
    <w:p>
      <w:pPr>
        <w:pStyle w:val="TOC8"/>
        <w:rPr>
          <w:sz w:val="24"/>
          <w:szCs w:val="24"/>
          <w:lang w:val="en-US"/>
        </w:rPr>
      </w:pPr>
      <w:r>
        <w:t>2A.</w:t>
      </w:r>
      <w:r>
        <w:tab/>
        <w:t>Terms used</w:t>
      </w:r>
      <w:r>
        <w:tab/>
      </w:r>
      <w:r>
        <w:fldChar w:fldCharType="begin"/>
      </w:r>
      <w:r>
        <w:instrText xml:space="preserve"> PAGEREF _Toc297294774 \h </w:instrText>
      </w:r>
      <w:r>
        <w:fldChar w:fldCharType="separate"/>
      </w:r>
      <w:r>
        <w:t>1</w:t>
      </w:r>
      <w:r>
        <w:fldChar w:fldCharType="end"/>
      </w:r>
    </w:p>
    <w:p>
      <w:pPr>
        <w:pStyle w:val="TOC8"/>
        <w:rPr>
          <w:sz w:val="24"/>
          <w:szCs w:val="24"/>
          <w:lang w:val="en-US"/>
        </w:rPr>
      </w:pPr>
      <w:r>
        <w:t>3</w:t>
      </w:r>
      <w:r>
        <w:rPr>
          <w:snapToGrid w:val="0"/>
        </w:rPr>
        <w:t>.</w:t>
      </w:r>
      <w:r>
        <w:rPr>
          <w:snapToGrid w:val="0"/>
        </w:rPr>
        <w:tab/>
        <w:t>Prescribed fees, rates and sums</w:t>
      </w:r>
      <w:r>
        <w:tab/>
      </w:r>
      <w:r>
        <w:fldChar w:fldCharType="begin"/>
      </w:r>
      <w:r>
        <w:instrText xml:space="preserve"> PAGEREF _Toc297294775 \h </w:instrText>
      </w:r>
      <w:r>
        <w:fldChar w:fldCharType="separate"/>
      </w:r>
      <w:r>
        <w:t>1</w:t>
      </w:r>
      <w:r>
        <w:fldChar w:fldCharType="end"/>
      </w:r>
    </w:p>
    <w:p>
      <w:pPr>
        <w:pStyle w:val="TOC8"/>
        <w:rPr>
          <w:sz w:val="24"/>
          <w:szCs w:val="24"/>
          <w:lang w:val="en-US"/>
        </w:rPr>
      </w:pPr>
      <w:r>
        <w:t>4</w:t>
      </w:r>
      <w:r>
        <w:rPr>
          <w:snapToGrid w:val="0"/>
        </w:rPr>
        <w:t>.</w:t>
      </w:r>
      <w:r>
        <w:rPr>
          <w:snapToGrid w:val="0"/>
        </w:rPr>
        <w:tab/>
        <w:t>Form of instrument of transfer</w:t>
      </w:r>
      <w:r>
        <w:tab/>
      </w:r>
      <w:r>
        <w:fldChar w:fldCharType="begin"/>
      </w:r>
      <w:r>
        <w:instrText xml:space="preserve"> PAGEREF _Toc297294776 \h </w:instrText>
      </w:r>
      <w:r>
        <w:fldChar w:fldCharType="separate"/>
      </w:r>
      <w:r>
        <w:t>3</w:t>
      </w:r>
      <w:r>
        <w:fldChar w:fldCharType="end"/>
      </w:r>
    </w:p>
    <w:p>
      <w:pPr>
        <w:pStyle w:val="TOC8"/>
        <w:rPr>
          <w:sz w:val="24"/>
          <w:szCs w:val="24"/>
          <w:lang w:val="en-US"/>
        </w:rPr>
      </w:pPr>
      <w:r>
        <w:t>5</w:t>
      </w:r>
      <w:r>
        <w:rPr>
          <w:snapToGrid w:val="0"/>
        </w:rPr>
        <w:t>.</w:t>
      </w:r>
      <w:r>
        <w:rPr>
          <w:snapToGrid w:val="0"/>
        </w:rPr>
        <w:tab/>
        <w:t>Instrument under Act s. 81(4)(b)</w:t>
      </w:r>
      <w:r>
        <w:tab/>
      </w:r>
      <w:r>
        <w:fldChar w:fldCharType="begin"/>
      </w:r>
      <w:r>
        <w:instrText xml:space="preserve"> PAGEREF _Toc297294777 \h </w:instrText>
      </w:r>
      <w:r>
        <w:fldChar w:fldCharType="separate"/>
      </w:r>
      <w:r>
        <w:t>4</w:t>
      </w:r>
      <w:r>
        <w:fldChar w:fldCharType="end"/>
      </w:r>
    </w:p>
    <w:p>
      <w:pPr>
        <w:pStyle w:val="TOC8"/>
        <w:rPr>
          <w:sz w:val="24"/>
          <w:szCs w:val="24"/>
          <w:lang w:val="en-US"/>
        </w:rPr>
      </w:pPr>
      <w:r>
        <w:t>8</w:t>
      </w:r>
      <w:r>
        <w:rPr>
          <w:snapToGrid w:val="0"/>
        </w:rPr>
        <w:t>.</w:t>
      </w:r>
      <w:r>
        <w:rPr>
          <w:snapToGrid w:val="0"/>
        </w:rPr>
        <w:tab/>
        <w:t>Royalty value — deductible imposts</w:t>
      </w:r>
      <w:r>
        <w:tab/>
      </w:r>
      <w:r>
        <w:fldChar w:fldCharType="begin"/>
      </w:r>
      <w:r>
        <w:instrText xml:space="preserve"> PAGEREF _Toc297294778 \h </w:instrText>
      </w:r>
      <w:r>
        <w:fldChar w:fldCharType="separate"/>
      </w:r>
      <w:r>
        <w:t>5</w:t>
      </w:r>
      <w:r>
        <w:fldChar w:fldCharType="end"/>
      </w:r>
    </w:p>
    <w:p>
      <w:pPr>
        <w:pStyle w:val="TOC8"/>
        <w:rPr>
          <w:sz w:val="24"/>
          <w:szCs w:val="24"/>
          <w:lang w:val="en-US"/>
        </w:rPr>
      </w:pPr>
      <w:r>
        <w:t>9.</w:t>
      </w:r>
      <w:r>
        <w:tab/>
        <w:t>Application of Geocentric Datum of Australia</w:t>
      </w:r>
      <w:r>
        <w:tab/>
      </w:r>
      <w:r>
        <w:fldChar w:fldCharType="begin"/>
      </w:r>
      <w:r>
        <w:instrText xml:space="preserve"> PAGEREF _Toc297294779 \h </w:instrText>
      </w:r>
      <w:r>
        <w:fldChar w:fldCharType="separate"/>
      </w:r>
      <w:r>
        <w:t>6</w:t>
      </w:r>
      <w:r>
        <w:fldChar w:fldCharType="end"/>
      </w:r>
    </w:p>
    <w:p>
      <w:pPr>
        <w:pStyle w:val="TOC8"/>
        <w:rPr>
          <w:sz w:val="24"/>
          <w:szCs w:val="24"/>
          <w:lang w:val="en-US"/>
        </w:rPr>
      </w:pPr>
      <w:r>
        <w:t>10.</w:t>
      </w:r>
      <w:r>
        <w:tab/>
        <w:t>Application of GDA to certain instruments</w:t>
      </w:r>
      <w:r>
        <w:tab/>
      </w:r>
      <w:r>
        <w:fldChar w:fldCharType="begin"/>
      </w:r>
      <w:r>
        <w:instrText xml:space="preserve"> PAGEREF _Toc297294780 \h </w:instrText>
      </w:r>
      <w:r>
        <w:fldChar w:fldCharType="separate"/>
      </w:r>
      <w:r>
        <w:t>7</w:t>
      </w:r>
      <w:r>
        <w:fldChar w:fldCharType="end"/>
      </w:r>
    </w:p>
    <w:p>
      <w:pPr>
        <w:pStyle w:val="TOC8"/>
        <w:rPr>
          <w:sz w:val="24"/>
          <w:szCs w:val="24"/>
          <w:lang w:val="en-US"/>
        </w:rPr>
      </w:pPr>
      <w:r>
        <w:t>11.</w:t>
      </w:r>
      <w:r>
        <w:tab/>
        <w:t>Application of Australian Geodetic Datum</w:t>
      </w:r>
      <w:r>
        <w:tab/>
      </w:r>
      <w:r>
        <w:fldChar w:fldCharType="begin"/>
      </w:r>
      <w:r>
        <w:instrText xml:space="preserve"> PAGEREF _Toc297294781 \h </w:instrText>
      </w:r>
      <w:r>
        <w:fldChar w:fldCharType="separate"/>
      </w:r>
      <w:r>
        <w:t>8</w:t>
      </w:r>
      <w:r>
        <w:fldChar w:fldCharType="end"/>
      </w:r>
    </w:p>
    <w:p>
      <w:pPr>
        <w:pStyle w:val="TOC2"/>
        <w:tabs>
          <w:tab w:val="right" w:leader="dot" w:pos="7086"/>
        </w:tabs>
        <w:rPr>
          <w:b w:val="0"/>
          <w:sz w:val="24"/>
          <w:szCs w:val="24"/>
          <w:lang w:val="en-US"/>
        </w:rPr>
      </w:pPr>
      <w:r>
        <w:t>Schedule 1 — Prescribed fees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_Toc297294785 \h </w:instrText>
      </w:r>
      <w:r>
        <w:fldChar w:fldCharType="separate"/>
      </w:r>
      <w:r>
        <w:t>13</w:t>
      </w:r>
      <w:r>
        <w:fldChar w:fldCharType="end"/>
      </w:r>
    </w:p>
    <w:p>
      <w:pPr>
        <w:pStyle w:val="TOC2"/>
        <w:tabs>
          <w:tab w:val="right" w:leader="dot" w:pos="7086"/>
        </w:tabs>
        <w:rPr>
          <w:b w:val="0"/>
          <w:sz w:val="24"/>
          <w:szCs w:val="24"/>
          <w:lang w:val="en-US"/>
        </w:rPr>
      </w:pPr>
      <w:r>
        <w:t>Defined Terms</w:t>
      </w:r>
    </w:p>
    <w:p>
      <w:pPr>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1" w:name="_Toc501857721"/>
      <w:bookmarkStart w:id="2" w:name="_Toc34127021"/>
      <w:bookmarkStart w:id="3" w:name="_Toc34198096"/>
      <w:bookmarkStart w:id="4" w:name="_Toc297294772"/>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5" w:name="_Toc501857722"/>
      <w:bookmarkStart w:id="6" w:name="_Toc34127022"/>
      <w:bookmarkStart w:id="7" w:name="_Toc34198097"/>
      <w:bookmarkStart w:id="8" w:name="_Toc297294773"/>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9" w:name="_Toc501857723"/>
      <w:bookmarkStart w:id="10" w:name="_Toc34127023"/>
      <w:bookmarkStart w:id="11" w:name="_Toc34198098"/>
      <w:bookmarkStart w:id="12" w:name="_Toc297294774"/>
      <w:r>
        <w:rPr>
          <w:rStyle w:val="CharSectno"/>
        </w:rPr>
        <w:t>2A</w:t>
      </w:r>
      <w:r>
        <w:t>.</w:t>
      </w:r>
      <w:r>
        <w:tab/>
      </w:r>
      <w:bookmarkEnd w:id="9"/>
      <w:bookmarkEnd w:id="10"/>
      <w:bookmarkEnd w:id="11"/>
      <w:r>
        <w:t>Terms used</w:t>
      </w:r>
      <w:bookmarkEnd w:id="12"/>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in Gazette 15 Dec 2000 p. 7216.]</w:t>
      </w:r>
    </w:p>
    <w:p>
      <w:pPr>
        <w:pStyle w:val="Heading5"/>
        <w:rPr>
          <w:snapToGrid w:val="0"/>
        </w:rPr>
      </w:pPr>
      <w:bookmarkStart w:id="13" w:name="_Toc501857724"/>
      <w:bookmarkStart w:id="14" w:name="_Toc34127024"/>
      <w:bookmarkStart w:id="15" w:name="_Toc34198099"/>
      <w:bookmarkStart w:id="16" w:name="_Toc297294775"/>
      <w:r>
        <w:rPr>
          <w:rStyle w:val="CharSectno"/>
        </w:rPr>
        <w:t>3</w:t>
      </w:r>
      <w:r>
        <w:rPr>
          <w:snapToGrid w:val="0"/>
        </w:rPr>
        <w:t>.</w:t>
      </w:r>
      <w:r>
        <w:rPr>
          <w:snapToGrid w:val="0"/>
        </w:rPr>
        <w:tab/>
        <w:t>Prescribed fees, rates and sums</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87(2) of the Act, the prescribed fee is a fee calculated at the rate of $3.50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 xml:space="preserve">$41.00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 xml:space="preserve">$41.00 </w:t>
      </w:r>
      <w:r>
        <w:rPr>
          <w:snapToGrid w:val="0"/>
        </w:rPr>
        <w:t>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keepNext/>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 xml:space="preserve">$41.00 </w:t>
      </w:r>
      <w:r>
        <w:rPr>
          <w:snapToGrid w:val="0"/>
        </w:rPr>
        <w:t>per day or part of a day during which that core, cutting or sample is on loan to that person;</w:t>
      </w:r>
    </w:p>
    <w:p>
      <w:pPr>
        <w:pStyle w:val="Indenta"/>
        <w:rPr>
          <w:snapToGrid w:val="0"/>
        </w:rPr>
      </w:pPr>
      <w:r>
        <w:rPr>
          <w:snapToGrid w:val="0"/>
        </w:rPr>
        <w:tab/>
        <w:t>(b)</w:t>
      </w:r>
      <w:r>
        <w:rPr>
          <w:snapToGrid w:val="0"/>
        </w:rPr>
        <w:tab/>
        <w:t xml:space="preserve">if the relev ant core, cutting or sample is not readily available and a search is necessary to locate that core, cutting or sample, an amount calculated at the rate of </w:t>
      </w:r>
      <w:r>
        <w:t xml:space="preserve">$41.00 </w:t>
      </w:r>
      <w:r>
        <w:rPr>
          <w:snapToGrid w:val="0"/>
        </w:rPr>
        <w:t>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139(a) of the Act, the prescribed minimum fee is </w:t>
      </w:r>
      <w:r>
        <w:t>$1 724.00.</w:t>
      </w:r>
    </w:p>
    <w:p>
      <w:pPr>
        <w:pStyle w:val="Subsection"/>
        <w:rPr>
          <w:snapToGrid w:val="0"/>
        </w:rPr>
      </w:pPr>
      <w:r>
        <w:rPr>
          <w:snapToGrid w:val="0"/>
        </w:rPr>
        <w:tab/>
        <w:t>(7)</w:t>
      </w:r>
      <w:r>
        <w:rPr>
          <w:snapToGrid w:val="0"/>
        </w:rPr>
        <w:tab/>
        <w:t>For the purposes of section 139(b) of the Act, the prescribed rate is a rate of </w:t>
      </w:r>
      <w:r>
        <w:t>$82.00.</w:t>
      </w:r>
    </w:p>
    <w:p>
      <w:pPr>
        <w:pStyle w:val="Subsection"/>
        <w:rPr>
          <w:snapToGrid w:val="0"/>
        </w:rPr>
      </w:pPr>
      <w:r>
        <w:rPr>
          <w:snapToGrid w:val="0"/>
        </w:rPr>
        <w:tab/>
        <w:t>(8)</w:t>
      </w:r>
      <w:r>
        <w:rPr>
          <w:snapToGrid w:val="0"/>
        </w:rPr>
        <w:tab/>
        <w:t>For the purposes of section 139A of the Act, the prescribed rate is a rate of</w:t>
      </w:r>
      <w:r>
        <w:t xml:space="preserve"> $9 886.00.</w:t>
      </w:r>
    </w:p>
    <w:p>
      <w:pPr>
        <w:pStyle w:val="Subsection"/>
        <w:rPr>
          <w:snapToGrid w:val="0"/>
        </w:rPr>
      </w:pPr>
      <w:r>
        <w:rPr>
          <w:snapToGrid w:val="0"/>
        </w:rPr>
        <w:tab/>
        <w:t>(9)</w:t>
      </w:r>
      <w:r>
        <w:rPr>
          <w:snapToGrid w:val="0"/>
        </w:rPr>
        <w:tab/>
        <w:t>For the purposes of section 140 of the Act, the prescribed rate is a rate of</w:t>
      </w:r>
      <w:r>
        <w:t xml:space="preserve"> $13 228.00.</w:t>
      </w:r>
    </w:p>
    <w:p>
      <w:pPr>
        <w:pStyle w:val="Subsection"/>
      </w:pPr>
      <w:r>
        <w:tab/>
        <w:t>(10)</w:t>
      </w:r>
      <w:r>
        <w:tab/>
        <w:t>For the purposes of section 141A of the Act, the fee is $13 228.00.</w:t>
      </w:r>
    </w:p>
    <w:p>
      <w:pPr>
        <w:pStyle w:val="Footnotesection"/>
      </w:pPr>
      <w:r>
        <w:tab/>
        <w:t>[Regulation 3 amended in Gazette 22 Jul 1994 p. 3781; 27 Jun 2000 p. 3253; 28 Jun 2002 p. 3093; 28 Feb 2003 p. 674; 23 Jun 2009 p. 2475; 9 Feb 2010 p. 270; 11 May 2010 p. 1819</w:t>
      </w:r>
      <w:r>
        <w:noBreakHyphen/>
        <w:t xml:space="preserve">20; 16 Jul 2010 p. 3360; 24 May 2011 p. 1898; 1 Jul 2011 p. 2737.] </w:t>
      </w:r>
    </w:p>
    <w:p>
      <w:pPr>
        <w:pStyle w:val="Ednotesection"/>
      </w:pPr>
      <w:r>
        <w:t>[</w:t>
      </w:r>
      <w:r>
        <w:rPr>
          <w:b/>
          <w:bCs/>
        </w:rPr>
        <w:t>3A.</w:t>
      </w:r>
      <w:r>
        <w:rPr>
          <w:b/>
          <w:bCs/>
        </w:rPr>
        <w:tab/>
      </w:r>
      <w:r>
        <w:t>Deleted in Gazette 23 Jun 2009 p. 2475.]</w:t>
      </w:r>
    </w:p>
    <w:p>
      <w:pPr>
        <w:pStyle w:val="Heading5"/>
        <w:rPr>
          <w:snapToGrid w:val="0"/>
        </w:rPr>
      </w:pPr>
      <w:bookmarkStart w:id="17" w:name="_Toc501857726"/>
      <w:bookmarkStart w:id="18" w:name="_Toc34127026"/>
      <w:bookmarkStart w:id="19" w:name="_Toc34198101"/>
      <w:bookmarkStart w:id="20" w:name="_Toc297294776"/>
      <w:r>
        <w:rPr>
          <w:rStyle w:val="CharSectno"/>
        </w:rPr>
        <w:t>4</w:t>
      </w:r>
      <w:r>
        <w:rPr>
          <w:snapToGrid w:val="0"/>
        </w:rPr>
        <w:t>.</w:t>
      </w:r>
      <w:r>
        <w:rPr>
          <w:snapToGrid w:val="0"/>
        </w:rPr>
        <w:tab/>
        <w:t>Form of instrument of transfer</w:t>
      </w:r>
      <w:bookmarkEnd w:id="17"/>
      <w:bookmarkEnd w:id="18"/>
      <w:bookmarkEnd w:id="19"/>
      <w:bookmarkEnd w:id="20"/>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21" w:name="_Toc501857727"/>
      <w:bookmarkStart w:id="22" w:name="_Toc34127027"/>
      <w:bookmarkStart w:id="23" w:name="_Toc34198102"/>
      <w:bookmarkStart w:id="24" w:name="_Toc297294777"/>
      <w:r>
        <w:rPr>
          <w:rStyle w:val="CharSectno"/>
        </w:rPr>
        <w:t>5</w:t>
      </w:r>
      <w:r>
        <w:rPr>
          <w:snapToGrid w:val="0"/>
        </w:rPr>
        <w:t>.</w:t>
      </w:r>
      <w:r>
        <w:rPr>
          <w:snapToGrid w:val="0"/>
        </w:rPr>
        <w:tab/>
        <w:t>Instrument under Act s. 81(4)(b)</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the</w:t>
      </w:r>
      <w:r>
        <w:rPr>
          <w:rStyle w:val="CharDefText"/>
        </w:rPr>
        <w:t xml:space="preserve"> 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 or</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bookmarkStart w:id="25" w:name="_Toc501857730"/>
      <w:bookmarkStart w:id="26" w:name="_Toc34127030"/>
      <w:bookmarkStart w:id="27" w:name="_Toc34198105"/>
      <w:r>
        <w:t>[</w:t>
      </w:r>
      <w:r>
        <w:rPr>
          <w:b/>
          <w:bCs/>
        </w:rPr>
        <w:t>6, 7.</w:t>
      </w:r>
      <w:r>
        <w:rPr>
          <w:b/>
          <w:bCs/>
        </w:rPr>
        <w:tab/>
      </w:r>
      <w:r>
        <w:t>Deleted in Gazette 23 Jun 2009 p. 2475.]</w:t>
      </w:r>
    </w:p>
    <w:p>
      <w:pPr>
        <w:pStyle w:val="Heading5"/>
        <w:rPr>
          <w:snapToGrid w:val="0"/>
        </w:rPr>
      </w:pPr>
      <w:bookmarkStart w:id="28" w:name="_Toc297294778"/>
      <w:r>
        <w:rPr>
          <w:rStyle w:val="CharSectno"/>
        </w:rPr>
        <w:t>8</w:t>
      </w:r>
      <w:r>
        <w:rPr>
          <w:snapToGrid w:val="0"/>
        </w:rPr>
        <w:t>.</w:t>
      </w:r>
      <w:r>
        <w:rPr>
          <w:snapToGrid w:val="0"/>
        </w:rPr>
        <w:tab/>
        <w:t>Royalty value — deductible imposts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 2125</w:t>
      </w:r>
      <w:r>
        <w:noBreakHyphen/>
        <w:t xml:space="preserve">6.] </w:t>
      </w:r>
    </w:p>
    <w:p>
      <w:pPr>
        <w:pStyle w:val="Heading5"/>
      </w:pPr>
      <w:bookmarkStart w:id="29" w:name="_Toc501857731"/>
      <w:bookmarkStart w:id="30" w:name="_Toc34127031"/>
      <w:bookmarkStart w:id="31" w:name="_Toc34198106"/>
      <w:bookmarkStart w:id="32" w:name="_Toc297294779"/>
      <w:r>
        <w:rPr>
          <w:rStyle w:val="CharSectno"/>
        </w:rPr>
        <w:t>9</w:t>
      </w:r>
      <w:r>
        <w:t>.</w:t>
      </w:r>
      <w:r>
        <w:tab/>
        <w:t xml:space="preserve">Application of Geocentric Datum of </w:t>
      </w:r>
      <w:smartTag w:uri="urn:schemas-microsoft-com:office:smarttags" w:element="country-region">
        <w:r>
          <w:t>Australia</w:t>
        </w:r>
      </w:smartTag>
      <w:bookmarkEnd w:id="29"/>
      <w:bookmarkEnd w:id="30"/>
      <w:bookmarkEnd w:id="31"/>
      <w:bookmarkEnd w:id="32"/>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 2000 p. 7216</w:t>
      </w:r>
      <w:r>
        <w:noBreakHyphen/>
        <w:t>17.]</w:t>
      </w:r>
    </w:p>
    <w:p>
      <w:pPr>
        <w:pStyle w:val="Heading5"/>
      </w:pPr>
      <w:bookmarkStart w:id="33" w:name="_Toc501857732"/>
      <w:bookmarkStart w:id="34" w:name="_Toc34127032"/>
      <w:bookmarkStart w:id="35" w:name="_Toc34198107"/>
      <w:bookmarkStart w:id="36" w:name="_Toc297294780"/>
      <w:r>
        <w:rPr>
          <w:rStyle w:val="CharSectno"/>
        </w:rPr>
        <w:t>10</w:t>
      </w:r>
      <w:r>
        <w:t>.</w:t>
      </w:r>
      <w:r>
        <w:tab/>
        <w:t>Application of GDA to certain instruments</w:t>
      </w:r>
      <w:bookmarkEnd w:id="33"/>
      <w:bookmarkEnd w:id="34"/>
      <w:bookmarkEnd w:id="35"/>
      <w:bookmarkEnd w:id="36"/>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3</w:t>
      </w:r>
      <w:r>
        <w:t>.</w:t>
      </w:r>
    </w:p>
    <w:p>
      <w:pPr>
        <w:pStyle w:val="Footnotesection"/>
      </w:pPr>
      <w:r>
        <w:tab/>
        <w:t>[Regulation 10 inserted in Gazette 15 Dec 2000 p. 7217</w:t>
      </w:r>
      <w:r>
        <w:noBreakHyphen/>
        <w:t>18.]</w:t>
      </w:r>
    </w:p>
    <w:p>
      <w:pPr>
        <w:pStyle w:val="Heading5"/>
      </w:pPr>
      <w:bookmarkStart w:id="37" w:name="_Toc501857733"/>
      <w:bookmarkStart w:id="38" w:name="_Toc34127033"/>
      <w:bookmarkStart w:id="39" w:name="_Toc34198108"/>
      <w:bookmarkStart w:id="40" w:name="_Toc297294781"/>
      <w:r>
        <w:rPr>
          <w:rStyle w:val="CharSectno"/>
        </w:rPr>
        <w:t>11</w:t>
      </w:r>
      <w:r>
        <w:t>.</w:t>
      </w:r>
      <w:r>
        <w:tab/>
        <w:t>Application of Australian Geodetic Datum</w:t>
      </w:r>
      <w:bookmarkEnd w:id="37"/>
      <w:bookmarkEnd w:id="38"/>
      <w:bookmarkEnd w:id="39"/>
      <w:bookmarkEnd w:id="40"/>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41" w:name="_Toc297294782"/>
      <w:bookmarkStart w:id="42" w:name="_Toc34198110"/>
      <w:bookmarkStart w:id="43" w:name="_Toc233612461"/>
      <w:bookmarkStart w:id="44" w:name="_Toc233612479"/>
      <w:bookmarkStart w:id="45" w:name="_Toc233704718"/>
      <w:bookmarkStart w:id="46" w:name="_Toc253405285"/>
      <w:bookmarkStart w:id="47" w:name="_Toc253405385"/>
      <w:bookmarkStart w:id="48" w:name="_Toc261269660"/>
      <w:bookmarkStart w:id="49" w:name="_Toc266972227"/>
      <w:bookmarkStart w:id="50" w:name="_Toc270335437"/>
      <w:bookmarkStart w:id="51" w:name="_Toc270335518"/>
      <w:bookmarkStart w:id="52" w:name="_Toc271527798"/>
      <w:bookmarkStart w:id="53" w:name="_Toc271528297"/>
      <w:r>
        <w:rPr>
          <w:rStyle w:val="CharSchNo"/>
        </w:rPr>
        <w:t>Schedule 1</w:t>
      </w:r>
      <w:r>
        <w:rPr>
          <w:rStyle w:val="CharSDivNo"/>
        </w:rPr>
        <w:t> </w:t>
      </w:r>
      <w:r>
        <w:t>—</w:t>
      </w:r>
      <w:r>
        <w:rPr>
          <w:rStyle w:val="CharSDivText"/>
        </w:rPr>
        <w:t> </w:t>
      </w:r>
      <w:r>
        <w:rPr>
          <w:rStyle w:val="CharSchText"/>
        </w:rPr>
        <w:t>Prescribed fees</w:t>
      </w:r>
      <w:bookmarkEnd w:id="41"/>
    </w:p>
    <w:p>
      <w:pPr>
        <w:pStyle w:val="yShoulderClause"/>
        <w:spacing w:after="120"/>
      </w:pPr>
      <w:r>
        <w:t>[r. 3(1)]</w:t>
      </w:r>
    </w:p>
    <w:p>
      <w:pPr>
        <w:pStyle w:val="yFootnoteheading"/>
        <w:spacing w:after="60"/>
      </w:pPr>
      <w:r>
        <w:tab/>
        <w:t>[Heading inserted in Gazette 1 Jul 2011 p. 2737.]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rPr>
                <w:b/>
                <w:bCs/>
              </w:rPr>
            </w:pPr>
            <w:r>
              <w:rPr>
                <w:b/>
                <w:bCs/>
              </w:rPr>
              <w:t>Column 1</w:t>
            </w:r>
            <w:r>
              <w:rPr>
                <w:b/>
                <w:bCs/>
              </w:rPr>
              <w:br/>
              <w:t>Item</w:t>
            </w:r>
          </w:p>
        </w:tc>
        <w:tc>
          <w:tcPr>
            <w:tcW w:w="2126" w:type="dxa"/>
          </w:tcPr>
          <w:p>
            <w:pPr>
              <w:pStyle w:val="yTableNAm"/>
              <w:jc w:val="center"/>
              <w:rPr>
                <w:b/>
                <w:bCs/>
              </w:rPr>
            </w:pPr>
            <w:r>
              <w:rPr>
                <w:b/>
                <w:bCs/>
              </w:rPr>
              <w:t>Column 2</w:t>
            </w:r>
            <w:r>
              <w:rPr>
                <w:b/>
                <w:bCs/>
              </w:rPr>
              <w:br/>
              <w:t>Provision of Act</w:t>
            </w:r>
          </w:p>
        </w:tc>
        <w:tc>
          <w:tcPr>
            <w:tcW w:w="2835" w:type="dxa"/>
          </w:tcPr>
          <w:p>
            <w:pPr>
              <w:pStyle w:val="yTableNAm"/>
              <w:tabs>
                <w:tab w:val="clear" w:pos="567"/>
              </w:tabs>
              <w:jc w:val="center"/>
              <w:rPr>
                <w:b/>
                <w:bCs/>
              </w:rPr>
            </w:pPr>
            <w:r>
              <w:rPr>
                <w:b/>
                <w:bCs/>
              </w:rPr>
              <w:t>Column 3</w:t>
            </w:r>
            <w:r>
              <w:rPr>
                <w:b/>
                <w:bCs/>
              </w:rPr>
              <w:br/>
              <w:t>Amount of prescribed fee</w:t>
            </w:r>
            <w:r>
              <w:rPr>
                <w:b/>
                <w:bCs/>
              </w:rPr>
              <w:br/>
              <w:t>($)</w:t>
            </w:r>
          </w:p>
        </w:tc>
      </w:tr>
      <w:tr>
        <w:tc>
          <w:tcPr>
            <w:tcW w:w="1276" w:type="dxa"/>
          </w:tcPr>
          <w:p>
            <w:pPr>
              <w:pStyle w:val="yTableNAm"/>
              <w:jc w:val="center"/>
            </w:pPr>
            <w:r>
              <w:t>1.</w:t>
            </w:r>
          </w:p>
        </w:tc>
        <w:tc>
          <w:tcPr>
            <w:tcW w:w="2126" w:type="dxa"/>
          </w:tcPr>
          <w:p>
            <w:pPr>
              <w:pStyle w:val="yTableNAm"/>
            </w:pPr>
            <w:r>
              <w:t>s. 21(1)(f)</w:t>
            </w:r>
          </w:p>
        </w:tc>
        <w:tc>
          <w:tcPr>
            <w:tcW w:w="2835" w:type="dxa"/>
          </w:tcPr>
          <w:p>
            <w:pPr>
              <w:pStyle w:val="yTableNAm"/>
              <w:tabs>
                <w:tab w:val="clear" w:pos="567"/>
                <w:tab w:val="decimal" w:pos="1181"/>
              </w:tabs>
            </w:pPr>
            <w:r>
              <w:t>4 932.00</w:t>
            </w:r>
          </w:p>
        </w:tc>
      </w:tr>
      <w:tr>
        <w:tc>
          <w:tcPr>
            <w:tcW w:w="1276" w:type="dxa"/>
          </w:tcPr>
          <w:p>
            <w:pPr>
              <w:pStyle w:val="yTableNAm"/>
              <w:jc w:val="center"/>
            </w:pPr>
            <w:r>
              <w:t>2.</w:t>
            </w:r>
          </w:p>
        </w:tc>
        <w:tc>
          <w:tcPr>
            <w:tcW w:w="2126" w:type="dxa"/>
          </w:tcPr>
          <w:p>
            <w:pPr>
              <w:pStyle w:val="yTableNAm"/>
            </w:pPr>
            <w:r>
              <w:t>s. 24(1)(a)</w:t>
            </w:r>
          </w:p>
        </w:tc>
        <w:tc>
          <w:tcPr>
            <w:tcW w:w="2835" w:type="dxa"/>
          </w:tcPr>
          <w:p>
            <w:pPr>
              <w:pStyle w:val="yTableNAm"/>
              <w:tabs>
                <w:tab w:val="clear" w:pos="567"/>
                <w:tab w:val="decimal" w:pos="1181"/>
              </w:tabs>
            </w:pPr>
            <w:r>
              <w:t>4 932.00</w:t>
            </w:r>
          </w:p>
        </w:tc>
      </w:tr>
      <w:tr>
        <w:tc>
          <w:tcPr>
            <w:tcW w:w="1276" w:type="dxa"/>
          </w:tcPr>
          <w:p>
            <w:pPr>
              <w:pStyle w:val="yTableNAm"/>
              <w:jc w:val="center"/>
            </w:pPr>
            <w:r>
              <w:t>3.</w:t>
            </w:r>
          </w:p>
        </w:tc>
        <w:tc>
          <w:tcPr>
            <w:tcW w:w="2126" w:type="dxa"/>
          </w:tcPr>
          <w:p>
            <w:pPr>
              <w:pStyle w:val="yTableNAm"/>
            </w:pPr>
            <w:r>
              <w:t>s. 30(2)(c)</w:t>
            </w:r>
          </w:p>
        </w:tc>
        <w:tc>
          <w:tcPr>
            <w:tcW w:w="2835" w:type="dxa"/>
          </w:tcPr>
          <w:p>
            <w:pPr>
              <w:pStyle w:val="yTableNAm"/>
              <w:tabs>
                <w:tab w:val="clear" w:pos="567"/>
                <w:tab w:val="decimal" w:pos="1181"/>
              </w:tabs>
            </w:pPr>
            <w:r>
              <w:t>1 973.00</w:t>
            </w:r>
          </w:p>
        </w:tc>
      </w:tr>
      <w:tr>
        <w:tc>
          <w:tcPr>
            <w:tcW w:w="1276" w:type="dxa"/>
          </w:tcPr>
          <w:p>
            <w:pPr>
              <w:pStyle w:val="yTableNAm"/>
              <w:jc w:val="center"/>
            </w:pPr>
            <w:r>
              <w:t>4.</w:t>
            </w:r>
          </w:p>
        </w:tc>
        <w:tc>
          <w:tcPr>
            <w:tcW w:w="2126" w:type="dxa"/>
          </w:tcPr>
          <w:p>
            <w:pPr>
              <w:pStyle w:val="yTableNAm"/>
            </w:pPr>
            <w:r>
              <w:t>s. 38A(2)(e)</w:t>
            </w:r>
          </w:p>
        </w:tc>
        <w:tc>
          <w:tcPr>
            <w:tcW w:w="2835" w:type="dxa"/>
          </w:tcPr>
          <w:p>
            <w:pPr>
              <w:pStyle w:val="yTableNAm"/>
              <w:tabs>
                <w:tab w:val="clear" w:pos="567"/>
                <w:tab w:val="decimal" w:pos="1181"/>
              </w:tabs>
            </w:pPr>
            <w:r>
              <w:t>1 973.00</w:t>
            </w:r>
          </w:p>
        </w:tc>
      </w:tr>
      <w:tr>
        <w:tc>
          <w:tcPr>
            <w:tcW w:w="1276" w:type="dxa"/>
          </w:tcPr>
          <w:p>
            <w:pPr>
              <w:pStyle w:val="yTableNAm"/>
              <w:jc w:val="center"/>
            </w:pPr>
            <w:r>
              <w:t>5A.</w:t>
            </w:r>
          </w:p>
        </w:tc>
        <w:tc>
          <w:tcPr>
            <w:tcW w:w="2126" w:type="dxa"/>
          </w:tcPr>
          <w:p>
            <w:pPr>
              <w:pStyle w:val="yTableNAm"/>
            </w:pPr>
            <w:r>
              <w:t>s. 38CA(2)(d)</w:t>
            </w:r>
          </w:p>
        </w:tc>
        <w:tc>
          <w:tcPr>
            <w:tcW w:w="2835" w:type="dxa"/>
          </w:tcPr>
          <w:p>
            <w:pPr>
              <w:pStyle w:val="yTableNAm"/>
              <w:tabs>
                <w:tab w:val="clear" w:pos="567"/>
                <w:tab w:val="decimal" w:pos="1181"/>
              </w:tabs>
            </w:pPr>
            <w:r>
              <w:t>1 973.00</w:t>
            </w:r>
          </w:p>
        </w:tc>
      </w:tr>
      <w:tr>
        <w:tc>
          <w:tcPr>
            <w:tcW w:w="1276" w:type="dxa"/>
          </w:tcPr>
          <w:p>
            <w:pPr>
              <w:pStyle w:val="yTableNAm"/>
              <w:jc w:val="center"/>
            </w:pPr>
            <w:r>
              <w:t>5.</w:t>
            </w:r>
          </w:p>
        </w:tc>
        <w:tc>
          <w:tcPr>
            <w:tcW w:w="2126" w:type="dxa"/>
          </w:tcPr>
          <w:p>
            <w:pPr>
              <w:pStyle w:val="yTableNAm"/>
            </w:pPr>
            <w:r>
              <w:t>s. 38F(2)(d)</w:t>
            </w:r>
          </w:p>
        </w:tc>
        <w:tc>
          <w:tcPr>
            <w:tcW w:w="2835" w:type="dxa"/>
          </w:tcPr>
          <w:p>
            <w:pPr>
              <w:pStyle w:val="yTableNAm"/>
              <w:tabs>
                <w:tab w:val="clear" w:pos="567"/>
                <w:tab w:val="decimal" w:pos="1181"/>
              </w:tabs>
            </w:pPr>
            <w:r>
              <w:t>1 973.00</w:t>
            </w:r>
          </w:p>
        </w:tc>
      </w:tr>
      <w:tr>
        <w:tc>
          <w:tcPr>
            <w:tcW w:w="1276" w:type="dxa"/>
          </w:tcPr>
          <w:p>
            <w:pPr>
              <w:pStyle w:val="yTableNAm"/>
              <w:jc w:val="center"/>
            </w:pPr>
            <w:r>
              <w:t>6.</w:t>
            </w:r>
          </w:p>
        </w:tc>
        <w:tc>
          <w:tcPr>
            <w:tcW w:w="2126" w:type="dxa"/>
          </w:tcPr>
          <w:p>
            <w:pPr>
              <w:pStyle w:val="yTableNAm"/>
            </w:pPr>
            <w:r>
              <w:t>s. 41(1)(e)</w:t>
            </w:r>
          </w:p>
        </w:tc>
        <w:tc>
          <w:tcPr>
            <w:tcW w:w="2835" w:type="dxa"/>
          </w:tcPr>
          <w:p>
            <w:pPr>
              <w:pStyle w:val="yTableNAm"/>
              <w:tabs>
                <w:tab w:val="clear" w:pos="567"/>
                <w:tab w:val="decimal" w:pos="1181"/>
              </w:tabs>
            </w:pPr>
            <w:r>
              <w:t>1 973.00</w:t>
            </w:r>
          </w:p>
        </w:tc>
      </w:tr>
      <w:tr>
        <w:tc>
          <w:tcPr>
            <w:tcW w:w="1276" w:type="dxa"/>
          </w:tcPr>
          <w:p>
            <w:pPr>
              <w:pStyle w:val="yTableNAm"/>
              <w:jc w:val="center"/>
            </w:pPr>
            <w:r>
              <w:t>7.</w:t>
            </w:r>
          </w:p>
        </w:tc>
        <w:tc>
          <w:tcPr>
            <w:tcW w:w="2126" w:type="dxa"/>
          </w:tcPr>
          <w:p>
            <w:pPr>
              <w:pStyle w:val="yTableNAm"/>
            </w:pPr>
            <w:r>
              <w:t>s. 48(1)(a)</w:t>
            </w:r>
          </w:p>
        </w:tc>
        <w:tc>
          <w:tcPr>
            <w:tcW w:w="2835" w:type="dxa"/>
          </w:tcPr>
          <w:p>
            <w:pPr>
              <w:pStyle w:val="yTableNAm"/>
              <w:tabs>
                <w:tab w:val="clear" w:pos="567"/>
                <w:tab w:val="decimal" w:pos="1181"/>
              </w:tabs>
            </w:pPr>
            <w:r>
              <w:t>4 932.00</w:t>
            </w:r>
          </w:p>
        </w:tc>
      </w:tr>
      <w:tr>
        <w:tc>
          <w:tcPr>
            <w:tcW w:w="1276" w:type="dxa"/>
          </w:tcPr>
          <w:p>
            <w:pPr>
              <w:pStyle w:val="yTableNAm"/>
              <w:jc w:val="center"/>
            </w:pPr>
            <w:r>
              <w:t>8.</w:t>
            </w:r>
          </w:p>
        </w:tc>
        <w:tc>
          <w:tcPr>
            <w:tcW w:w="2126" w:type="dxa"/>
          </w:tcPr>
          <w:p>
            <w:pPr>
              <w:pStyle w:val="yTableNAm"/>
            </w:pPr>
            <w:r>
              <w:t>s. 51(2)(e)</w:t>
            </w:r>
          </w:p>
        </w:tc>
        <w:tc>
          <w:tcPr>
            <w:tcW w:w="2835" w:type="dxa"/>
          </w:tcPr>
          <w:p>
            <w:pPr>
              <w:pStyle w:val="yTableNAm"/>
              <w:tabs>
                <w:tab w:val="clear" w:pos="567"/>
                <w:tab w:val="decimal" w:pos="1590"/>
              </w:tabs>
            </w:pPr>
            <w:r>
              <w:t>987.00</w:t>
            </w:r>
          </w:p>
        </w:tc>
      </w:tr>
      <w:tr>
        <w:tc>
          <w:tcPr>
            <w:tcW w:w="1276" w:type="dxa"/>
          </w:tcPr>
          <w:p>
            <w:pPr>
              <w:pStyle w:val="yTableNAm"/>
              <w:jc w:val="center"/>
            </w:pPr>
            <w:r>
              <w:t>9.</w:t>
            </w:r>
          </w:p>
        </w:tc>
        <w:tc>
          <w:tcPr>
            <w:tcW w:w="2126" w:type="dxa"/>
          </w:tcPr>
          <w:p>
            <w:pPr>
              <w:pStyle w:val="yTableNAm"/>
            </w:pPr>
            <w:r>
              <w:t>s. 54(2)(d)</w:t>
            </w:r>
          </w:p>
        </w:tc>
        <w:tc>
          <w:tcPr>
            <w:tcW w:w="2835" w:type="dxa"/>
          </w:tcPr>
          <w:p>
            <w:pPr>
              <w:pStyle w:val="yTableNAm"/>
              <w:tabs>
                <w:tab w:val="clear" w:pos="567"/>
                <w:tab w:val="decimal" w:pos="1181"/>
              </w:tabs>
            </w:pPr>
            <w:r>
              <w:t>1 973.00</w:t>
            </w:r>
          </w:p>
        </w:tc>
      </w:tr>
      <w:tr>
        <w:tc>
          <w:tcPr>
            <w:tcW w:w="1276" w:type="dxa"/>
          </w:tcPr>
          <w:p>
            <w:pPr>
              <w:pStyle w:val="yTableNAm"/>
              <w:jc w:val="center"/>
            </w:pPr>
            <w:r>
              <w:t>10A.</w:t>
            </w:r>
          </w:p>
        </w:tc>
        <w:tc>
          <w:tcPr>
            <w:tcW w:w="2126" w:type="dxa"/>
          </w:tcPr>
          <w:p>
            <w:pPr>
              <w:pStyle w:val="yTableNAm"/>
            </w:pPr>
            <w:r>
              <w:t>s. 60B(2)(d)</w:t>
            </w:r>
          </w:p>
        </w:tc>
        <w:tc>
          <w:tcPr>
            <w:tcW w:w="2835" w:type="dxa"/>
          </w:tcPr>
          <w:p>
            <w:pPr>
              <w:pStyle w:val="yTableNAm"/>
              <w:tabs>
                <w:tab w:val="clear" w:pos="567"/>
                <w:tab w:val="decimal" w:pos="1181"/>
              </w:tabs>
            </w:pPr>
            <w:r>
              <w:t>4 932.00</w:t>
            </w:r>
          </w:p>
        </w:tc>
      </w:tr>
      <w:tr>
        <w:tc>
          <w:tcPr>
            <w:tcW w:w="1276" w:type="dxa"/>
          </w:tcPr>
          <w:p>
            <w:pPr>
              <w:pStyle w:val="yTableNAm"/>
              <w:jc w:val="center"/>
            </w:pPr>
            <w:r>
              <w:t>10B.</w:t>
            </w:r>
          </w:p>
        </w:tc>
        <w:tc>
          <w:tcPr>
            <w:tcW w:w="2126" w:type="dxa"/>
          </w:tcPr>
          <w:p>
            <w:pPr>
              <w:pStyle w:val="yTableNAm"/>
            </w:pPr>
            <w:r>
              <w:t>s. 60J(2)(d)</w:t>
            </w:r>
          </w:p>
        </w:tc>
        <w:tc>
          <w:tcPr>
            <w:tcW w:w="2835" w:type="dxa"/>
          </w:tcPr>
          <w:p>
            <w:pPr>
              <w:pStyle w:val="yTableNAm"/>
              <w:tabs>
                <w:tab w:val="clear" w:pos="567"/>
                <w:tab w:val="decimal" w:pos="1590"/>
              </w:tabs>
            </w:pPr>
            <w:r>
              <w:t>987.00</w:t>
            </w:r>
          </w:p>
        </w:tc>
      </w:tr>
      <w:tr>
        <w:tc>
          <w:tcPr>
            <w:tcW w:w="1276" w:type="dxa"/>
          </w:tcPr>
          <w:p>
            <w:pPr>
              <w:pStyle w:val="yTableNAm"/>
              <w:jc w:val="center"/>
            </w:pPr>
            <w:r>
              <w:t>10.</w:t>
            </w:r>
          </w:p>
        </w:tc>
        <w:tc>
          <w:tcPr>
            <w:tcW w:w="2126" w:type="dxa"/>
          </w:tcPr>
          <w:p>
            <w:pPr>
              <w:pStyle w:val="yTableNAm"/>
            </w:pPr>
            <w:r>
              <w:t>s. 64(1)(f)</w:t>
            </w:r>
          </w:p>
        </w:tc>
        <w:tc>
          <w:tcPr>
            <w:tcW w:w="2835" w:type="dxa"/>
          </w:tcPr>
          <w:p>
            <w:pPr>
              <w:pStyle w:val="yTableNAm"/>
              <w:tabs>
                <w:tab w:val="clear" w:pos="567"/>
                <w:tab w:val="decimal" w:pos="1181"/>
              </w:tabs>
            </w:pPr>
            <w:r>
              <w:t>4 932.00</w:t>
            </w:r>
          </w:p>
        </w:tc>
      </w:tr>
      <w:tr>
        <w:tc>
          <w:tcPr>
            <w:tcW w:w="1276" w:type="dxa"/>
          </w:tcPr>
          <w:p>
            <w:pPr>
              <w:pStyle w:val="yTableNAm"/>
              <w:jc w:val="center"/>
            </w:pPr>
            <w:r>
              <w:t>11.</w:t>
            </w:r>
          </w:p>
        </w:tc>
        <w:tc>
          <w:tcPr>
            <w:tcW w:w="2126" w:type="dxa"/>
          </w:tcPr>
          <w:p>
            <w:pPr>
              <w:pStyle w:val="yTableNAm"/>
            </w:pPr>
            <w:r>
              <w:t>s. 68(2)(c)</w:t>
            </w:r>
          </w:p>
        </w:tc>
        <w:tc>
          <w:tcPr>
            <w:tcW w:w="2835" w:type="dxa"/>
          </w:tcPr>
          <w:p>
            <w:pPr>
              <w:pStyle w:val="yTableNAm"/>
              <w:tabs>
                <w:tab w:val="clear" w:pos="567"/>
                <w:tab w:val="decimal" w:pos="1181"/>
              </w:tabs>
            </w:pPr>
            <w:r>
              <w:t>1 973.00</w:t>
            </w:r>
          </w:p>
        </w:tc>
      </w:tr>
      <w:tr>
        <w:tc>
          <w:tcPr>
            <w:tcW w:w="1276" w:type="dxa"/>
          </w:tcPr>
          <w:p>
            <w:pPr>
              <w:pStyle w:val="yTableNAm"/>
              <w:jc w:val="center"/>
            </w:pPr>
            <w:r>
              <w:t>12.</w:t>
            </w:r>
          </w:p>
        </w:tc>
        <w:tc>
          <w:tcPr>
            <w:tcW w:w="2126" w:type="dxa"/>
          </w:tcPr>
          <w:p>
            <w:pPr>
              <w:pStyle w:val="yTableNAm"/>
            </w:pPr>
            <w:r>
              <w:t>s. 71(2)(e)</w:t>
            </w:r>
          </w:p>
        </w:tc>
        <w:tc>
          <w:tcPr>
            <w:tcW w:w="2835" w:type="dxa"/>
          </w:tcPr>
          <w:p>
            <w:pPr>
              <w:pStyle w:val="yTableNAm"/>
              <w:tabs>
                <w:tab w:val="clear" w:pos="567"/>
                <w:tab w:val="decimal" w:pos="1590"/>
              </w:tabs>
            </w:pPr>
            <w:r>
              <w:t>987.00</w:t>
            </w:r>
          </w:p>
        </w:tc>
      </w:tr>
      <w:tr>
        <w:tc>
          <w:tcPr>
            <w:tcW w:w="1276" w:type="dxa"/>
          </w:tcPr>
          <w:p>
            <w:pPr>
              <w:pStyle w:val="yTableNAm"/>
              <w:jc w:val="center"/>
            </w:pPr>
            <w:r>
              <w:t>13.</w:t>
            </w:r>
          </w:p>
        </w:tc>
        <w:tc>
          <w:tcPr>
            <w:tcW w:w="2126" w:type="dxa"/>
          </w:tcPr>
          <w:p>
            <w:pPr>
              <w:pStyle w:val="yTableNAm"/>
            </w:pPr>
            <w:r>
              <w:t>s. 79(2)</w:t>
            </w:r>
          </w:p>
        </w:tc>
        <w:tc>
          <w:tcPr>
            <w:tcW w:w="2835" w:type="dxa"/>
          </w:tcPr>
          <w:p>
            <w:pPr>
              <w:pStyle w:val="yTableNAm"/>
              <w:tabs>
                <w:tab w:val="clear" w:pos="567"/>
                <w:tab w:val="decimal" w:pos="1590"/>
              </w:tabs>
            </w:pPr>
            <w:r>
              <w:t>98.00</w:t>
            </w:r>
          </w:p>
        </w:tc>
      </w:tr>
      <w:tr>
        <w:tc>
          <w:tcPr>
            <w:tcW w:w="1276" w:type="dxa"/>
          </w:tcPr>
          <w:p>
            <w:pPr>
              <w:pStyle w:val="yTableNAm"/>
              <w:jc w:val="center"/>
            </w:pPr>
            <w:r>
              <w:t>14.</w:t>
            </w:r>
          </w:p>
        </w:tc>
        <w:tc>
          <w:tcPr>
            <w:tcW w:w="2126" w:type="dxa"/>
          </w:tcPr>
          <w:p>
            <w:pPr>
              <w:pStyle w:val="yTableNAm"/>
            </w:pPr>
            <w:r>
              <w:t>s. 79(3)(b)</w:t>
            </w:r>
          </w:p>
        </w:tc>
        <w:tc>
          <w:tcPr>
            <w:tcW w:w="2835" w:type="dxa"/>
          </w:tcPr>
          <w:p>
            <w:pPr>
              <w:pStyle w:val="yTableNAm"/>
              <w:tabs>
                <w:tab w:val="clear" w:pos="567"/>
                <w:tab w:val="decimal" w:pos="1590"/>
              </w:tabs>
            </w:pPr>
            <w:r>
              <w:t>98.00</w:t>
            </w:r>
          </w:p>
        </w:tc>
      </w:tr>
      <w:tr>
        <w:tc>
          <w:tcPr>
            <w:tcW w:w="1276" w:type="dxa"/>
          </w:tcPr>
          <w:p>
            <w:pPr>
              <w:pStyle w:val="yTableNAm"/>
              <w:jc w:val="center"/>
            </w:pPr>
            <w:r>
              <w:t>15.</w:t>
            </w:r>
          </w:p>
        </w:tc>
        <w:tc>
          <w:tcPr>
            <w:tcW w:w="2126" w:type="dxa"/>
          </w:tcPr>
          <w:p>
            <w:pPr>
              <w:pStyle w:val="yTableNAm"/>
            </w:pPr>
            <w:r>
              <w:t>s. 86(1)</w:t>
            </w:r>
          </w:p>
        </w:tc>
        <w:tc>
          <w:tcPr>
            <w:tcW w:w="2835" w:type="dxa"/>
          </w:tcPr>
          <w:p>
            <w:pPr>
              <w:pStyle w:val="yTableNAm"/>
              <w:tabs>
                <w:tab w:val="clear" w:pos="567"/>
                <w:tab w:val="decimal" w:pos="1590"/>
              </w:tabs>
            </w:pPr>
            <w:r>
              <w:t>21.00</w:t>
            </w:r>
          </w:p>
        </w:tc>
      </w:tr>
      <w:tr>
        <w:tc>
          <w:tcPr>
            <w:tcW w:w="1276" w:type="dxa"/>
          </w:tcPr>
          <w:p>
            <w:pPr>
              <w:pStyle w:val="yTableNAm"/>
              <w:jc w:val="center"/>
            </w:pPr>
            <w:r>
              <w:t>16.</w:t>
            </w:r>
          </w:p>
        </w:tc>
        <w:tc>
          <w:tcPr>
            <w:tcW w:w="2126" w:type="dxa"/>
          </w:tcPr>
          <w:p>
            <w:pPr>
              <w:pStyle w:val="yTableNAm"/>
            </w:pPr>
            <w:r>
              <w:t>s. 87(3)</w:t>
            </w:r>
          </w:p>
        </w:tc>
        <w:tc>
          <w:tcPr>
            <w:tcW w:w="2835" w:type="dxa"/>
          </w:tcPr>
          <w:p>
            <w:pPr>
              <w:pStyle w:val="yTableNAm"/>
              <w:tabs>
                <w:tab w:val="clear" w:pos="567"/>
                <w:tab w:val="decimal" w:pos="1590"/>
              </w:tabs>
            </w:pPr>
            <w:r>
              <w:t>49.00</w:t>
            </w:r>
          </w:p>
        </w:tc>
      </w:tr>
      <w:tr>
        <w:tc>
          <w:tcPr>
            <w:tcW w:w="1276" w:type="dxa"/>
          </w:tcPr>
          <w:p>
            <w:pPr>
              <w:pStyle w:val="yTableNAm"/>
              <w:jc w:val="center"/>
            </w:pPr>
            <w:r>
              <w:t>17.</w:t>
            </w:r>
          </w:p>
        </w:tc>
        <w:tc>
          <w:tcPr>
            <w:tcW w:w="2126" w:type="dxa"/>
          </w:tcPr>
          <w:p>
            <w:pPr>
              <w:pStyle w:val="yTableNAm"/>
            </w:pPr>
            <w:r>
              <w:t>s. 111(2)(d)</w:t>
            </w:r>
          </w:p>
        </w:tc>
        <w:tc>
          <w:tcPr>
            <w:tcW w:w="2835" w:type="dxa"/>
          </w:tcPr>
          <w:p>
            <w:pPr>
              <w:pStyle w:val="yTableNAm"/>
              <w:tabs>
                <w:tab w:val="clear" w:pos="567"/>
                <w:tab w:val="decimal" w:pos="1590"/>
              </w:tabs>
            </w:pPr>
            <w:r>
              <w:t>987.00</w:t>
            </w:r>
          </w:p>
        </w:tc>
      </w:tr>
      <w:tr>
        <w:tc>
          <w:tcPr>
            <w:tcW w:w="1276" w:type="dxa"/>
          </w:tcPr>
          <w:p>
            <w:pPr>
              <w:pStyle w:val="yTableNAm"/>
              <w:jc w:val="center"/>
            </w:pPr>
            <w:r>
              <w:t>18.</w:t>
            </w:r>
          </w:p>
        </w:tc>
        <w:tc>
          <w:tcPr>
            <w:tcW w:w="2126" w:type="dxa"/>
          </w:tcPr>
          <w:p>
            <w:pPr>
              <w:pStyle w:val="yTableNAm"/>
            </w:pPr>
            <w:r>
              <w:t>s. 141</w:t>
            </w:r>
          </w:p>
        </w:tc>
        <w:tc>
          <w:tcPr>
            <w:tcW w:w="2835" w:type="dxa"/>
          </w:tcPr>
          <w:p>
            <w:pPr>
              <w:pStyle w:val="yTableNAm"/>
              <w:tabs>
                <w:tab w:val="clear" w:pos="567"/>
                <w:tab w:val="decimal" w:pos="1590"/>
              </w:tabs>
            </w:pPr>
            <w:r>
              <w:t>108.00</w:t>
            </w:r>
          </w:p>
        </w:tc>
      </w:tr>
    </w:tbl>
    <w:p>
      <w:pPr>
        <w:pStyle w:val="yFootnotesection"/>
      </w:pPr>
      <w:r>
        <w:tab/>
        <w:t>[Schedule 1 inserted in Gazette 1 Jul 2011 p. 2737</w:t>
      </w:r>
      <w:r>
        <w:noBreakHyphen/>
        <w:t>8.]</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pPr>
      <w:bookmarkStart w:id="54" w:name="_Toc273597391"/>
      <w:bookmarkStart w:id="55" w:name="_Toc293999760"/>
      <w:bookmarkStart w:id="56" w:name="_Toc294000007"/>
      <w:bookmarkStart w:id="57" w:name="_Toc297294783"/>
      <w:r>
        <w:rPr>
          <w:rStyle w:val="CharSchNo"/>
        </w:rPr>
        <w:t>Schedule 2</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snapToGrid w:val="0"/>
          <w:sz w:val="22"/>
        </w:rPr>
      </w:pPr>
      <w:r>
        <w:rPr>
          <w:b/>
          <w:snapToGrid w:val="0"/>
          <w:sz w:val="22"/>
        </w:rPr>
        <w:t>Form of Instrument of Transfer of Title</w:t>
      </w:r>
    </w:p>
    <w:p>
      <w:pPr>
        <w:pStyle w:val="MiscellaneousHeading"/>
        <w:spacing w:before="0"/>
        <w:rPr>
          <w:b/>
          <w:snapToGrid w:val="0"/>
          <w:sz w:val="22"/>
        </w:rPr>
      </w:pPr>
      <w:r>
        <w:rPr>
          <w:b/>
          <w:snapToGrid w:val="0"/>
          <w:sz w:val="22"/>
        </w:rPr>
        <w:t xml:space="preserve">under section 78 of </w:t>
      </w:r>
      <w:r>
        <w:rPr>
          <w:b/>
          <w:i/>
          <w:snapToGrid w:val="0"/>
          <w:sz w:val="22"/>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tabs>
          <w:tab w:val="decimal" w:pos="1590"/>
        </w:tabs>
      </w:pPr>
    </w:p>
    <w:p>
      <w:pPr>
        <w:tabs>
          <w:tab w:val="decimal" w:pos="1590"/>
        </w:tabs>
        <w:sectPr>
          <w:headerReference w:type="even" r:id="rId30"/>
          <w:pgSz w:w="11906" w:h="16838" w:code="9"/>
          <w:pgMar w:top="2381" w:right="2409" w:bottom="3543" w:left="2409" w:header="720" w:footer="3380" w:gutter="0"/>
          <w:cols w:space="720"/>
          <w:noEndnote/>
          <w:docGrid w:linePitch="326"/>
        </w:sectPr>
      </w:pPr>
    </w:p>
    <w:p>
      <w:pPr>
        <w:pStyle w:val="nHeading2"/>
      </w:pPr>
      <w:bookmarkStart w:id="58" w:name="_Toc233612462"/>
      <w:bookmarkStart w:id="59" w:name="_Toc233612480"/>
      <w:bookmarkStart w:id="60" w:name="_Toc233704719"/>
      <w:bookmarkStart w:id="61" w:name="_Toc253405286"/>
      <w:bookmarkStart w:id="62" w:name="_Toc253405386"/>
      <w:bookmarkStart w:id="63" w:name="_Toc261269661"/>
      <w:bookmarkStart w:id="64" w:name="_Toc266972228"/>
      <w:bookmarkStart w:id="65" w:name="_Toc270335438"/>
      <w:bookmarkStart w:id="66" w:name="_Toc270335519"/>
      <w:bookmarkStart w:id="67" w:name="_Toc271527799"/>
      <w:bookmarkStart w:id="68" w:name="_Toc271528298"/>
      <w:bookmarkStart w:id="69" w:name="_Toc273597392"/>
      <w:bookmarkStart w:id="70" w:name="_Toc293999761"/>
      <w:bookmarkStart w:id="71" w:name="_Toc294000008"/>
      <w:bookmarkStart w:id="72" w:name="_Toc297294784"/>
      <w:r>
        <w:t>Notes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  The table also contains information about any reprint.</w:t>
      </w:r>
    </w:p>
    <w:p>
      <w:pPr>
        <w:pStyle w:val="nHeading3"/>
        <w:spacing w:before="160"/>
        <w:rPr>
          <w:snapToGrid w:val="0"/>
        </w:rPr>
      </w:pPr>
      <w:bookmarkStart w:id="73" w:name="_Toc297294785"/>
      <w:r>
        <w:rPr>
          <w:snapToGrid w:val="0"/>
        </w:rPr>
        <w:t>Compilation table</w:t>
      </w:r>
      <w:bookmarkEnd w:id="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Petroleum (Submerged Lands) Regulations 1990</w:t>
            </w:r>
          </w:p>
        </w:tc>
        <w:tc>
          <w:tcPr>
            <w:tcW w:w="1276" w:type="dxa"/>
          </w:tcPr>
          <w:p>
            <w:pPr>
              <w:pStyle w:val="nTable"/>
              <w:spacing w:after="40"/>
              <w:rPr>
                <w:sz w:val="19"/>
              </w:rPr>
            </w:pPr>
            <w:r>
              <w:rPr>
                <w:sz w:val="19"/>
              </w:rPr>
              <w:t>28 Sep 1990 p. 5105</w:t>
            </w:r>
            <w:r>
              <w:rPr>
                <w:sz w:val="19"/>
              </w:rPr>
              <w:noBreakHyphen/>
              <w:t>8</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(Submerged Lands) Amendment Regulations 1993</w:t>
            </w:r>
          </w:p>
        </w:tc>
        <w:tc>
          <w:tcPr>
            <w:tcW w:w="1276" w:type="dxa"/>
          </w:tcPr>
          <w:p>
            <w:pPr>
              <w:pStyle w:val="nTable"/>
              <w:spacing w:after="40"/>
              <w:rPr>
                <w:sz w:val="19"/>
              </w:rPr>
            </w:pPr>
            <w:r>
              <w:rPr>
                <w:sz w:val="19"/>
              </w:rPr>
              <w:t>24 Dec 1993 p.6832</w:t>
            </w:r>
            <w:r>
              <w:rPr>
                <w:sz w:val="19"/>
              </w:rPr>
              <w:br/>
              <w:t>(correction 31 Dec 1993 p. 6876)</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(Submerged Lands) Amendment Regulations 1994</w:t>
            </w:r>
          </w:p>
        </w:tc>
        <w:tc>
          <w:tcPr>
            <w:tcW w:w="1276" w:type="dxa"/>
          </w:tcPr>
          <w:p>
            <w:pPr>
              <w:pStyle w:val="nTable"/>
              <w:spacing w:after="40"/>
              <w:rPr>
                <w:sz w:val="19"/>
              </w:rPr>
            </w:pPr>
            <w:r>
              <w:rPr>
                <w:sz w:val="19"/>
              </w:rPr>
              <w:t>20 May 1994 p. 2125</w:t>
            </w:r>
            <w:r>
              <w:rPr>
                <w:sz w:val="19"/>
              </w:rPr>
              <w:noBreakHyphen/>
              <w:t>6</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(Submerged Lands) Amendment Regulations (No. 2) 1994</w:t>
            </w:r>
          </w:p>
        </w:tc>
        <w:tc>
          <w:tcPr>
            <w:tcW w:w="1276" w:type="dxa"/>
          </w:tcPr>
          <w:p>
            <w:pPr>
              <w:pStyle w:val="nTable"/>
              <w:spacing w:after="40"/>
              <w:rPr>
                <w:sz w:val="19"/>
              </w:rPr>
            </w:pPr>
            <w:r>
              <w:rPr>
                <w:sz w:val="19"/>
              </w:rPr>
              <w:t xml:space="preserve">22 Jul 1994 </w:t>
            </w:r>
            <w:r>
              <w:rPr>
                <w:sz w:val="19"/>
              </w:rPr>
              <w:br/>
              <w:t>p. 3781</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(Submerged Lands) Amendment Regulations 2000</w:t>
            </w:r>
          </w:p>
        </w:tc>
        <w:tc>
          <w:tcPr>
            <w:tcW w:w="1276" w:type="dxa"/>
          </w:tcPr>
          <w:p>
            <w:pPr>
              <w:pStyle w:val="nTable"/>
              <w:spacing w:after="40"/>
              <w:rPr>
                <w:sz w:val="19"/>
              </w:rPr>
            </w:pPr>
            <w:r>
              <w:rPr>
                <w:sz w:val="19"/>
              </w:rPr>
              <w:t>8 Feb 2000 p. 456</w:t>
            </w:r>
            <w:r>
              <w:rPr>
                <w:sz w:val="19"/>
              </w:rPr>
              <w:noBreakHyphen/>
              <w:t>7</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(Submerged Lands) Amendment Regulations (No. 2) 2000</w:t>
            </w:r>
          </w:p>
        </w:tc>
        <w:tc>
          <w:tcPr>
            <w:tcW w:w="1276" w:type="dxa"/>
          </w:tcPr>
          <w:p>
            <w:pPr>
              <w:pStyle w:val="nTable"/>
              <w:spacing w:after="40"/>
              <w:rPr>
                <w:sz w:val="19"/>
              </w:rPr>
            </w:pPr>
            <w:r>
              <w:rPr>
                <w:sz w:val="19"/>
              </w:rPr>
              <w:t>27 Jun 2000 p. 3253</w:t>
            </w:r>
            <w:r>
              <w:rPr>
                <w:sz w:val="19"/>
              </w:rPr>
              <w:noBreakHyphen/>
              <w:t>4</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(Submerged Lands) Amendment Regulations (No. 3) 2000</w:t>
            </w:r>
          </w:p>
        </w:tc>
        <w:tc>
          <w:tcPr>
            <w:tcW w:w="1276" w:type="dxa"/>
          </w:tcPr>
          <w:p>
            <w:pPr>
              <w:pStyle w:val="nTable"/>
              <w:spacing w:after="40"/>
              <w:rPr>
                <w:sz w:val="19"/>
              </w:rPr>
            </w:pPr>
            <w:r>
              <w:rPr>
                <w:sz w:val="19"/>
              </w:rPr>
              <w:t>15 Dec 2000 p. 7216</w:t>
            </w:r>
            <w:r>
              <w:rPr>
                <w:sz w:val="19"/>
              </w:rPr>
              <w:noBreakHyphen/>
              <w:t>18</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Petroleum (Submerged Lands) Regulations 1990 </w:t>
            </w:r>
            <w:r>
              <w:rPr>
                <w:b/>
                <w:bCs/>
                <w:sz w:val="19"/>
              </w:rPr>
              <w:t>as at 9 March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2002</w:t>
            </w:r>
          </w:p>
        </w:tc>
        <w:tc>
          <w:tcPr>
            <w:tcW w:w="1276" w:type="dxa"/>
          </w:tcPr>
          <w:p>
            <w:pPr>
              <w:pStyle w:val="nTable"/>
              <w:spacing w:after="40"/>
              <w:rPr>
                <w:sz w:val="19"/>
              </w:rPr>
            </w:pPr>
            <w:r>
              <w:rPr>
                <w:sz w:val="19"/>
              </w:rPr>
              <w:t>28 Jun 2002 p. 3092</w:t>
            </w:r>
            <w:r>
              <w:rPr>
                <w:sz w:val="19"/>
              </w:rPr>
              <w:noBreakHyphen/>
              <w:t>4</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(Submerged Lands) Amendment Regulations 2003</w:t>
            </w:r>
          </w:p>
        </w:tc>
        <w:tc>
          <w:tcPr>
            <w:tcW w:w="1276" w:type="dxa"/>
          </w:tcPr>
          <w:p>
            <w:pPr>
              <w:pStyle w:val="nTable"/>
              <w:spacing w:after="40"/>
              <w:rPr>
                <w:sz w:val="19"/>
              </w:rPr>
            </w:pPr>
            <w:r>
              <w:rPr>
                <w:sz w:val="19"/>
              </w:rPr>
              <w:t>28 Feb 2003 p. 673</w:t>
            </w:r>
            <w:r>
              <w:rPr>
                <w:sz w:val="19"/>
              </w:rPr>
              <w:noBreakHyphen/>
              <w:t>5</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(Submerged Lands) Amendment Regulations 2009</w:t>
            </w:r>
          </w:p>
        </w:tc>
        <w:tc>
          <w:tcPr>
            <w:tcW w:w="1276" w:type="dxa"/>
          </w:tcPr>
          <w:p>
            <w:pPr>
              <w:pStyle w:val="nTable"/>
              <w:spacing w:after="40"/>
              <w:rPr>
                <w:sz w:val="19"/>
              </w:rPr>
            </w:pPr>
            <w:r>
              <w:rPr>
                <w:sz w:val="19"/>
              </w:rPr>
              <w:t>23 Jun 2009 p. 2474</w:t>
            </w:r>
            <w:r>
              <w:rPr>
                <w:sz w:val="19"/>
              </w:rPr>
              <w:noBreakHyphen/>
              <w:t>7</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Petroleum (Submerged Lands) Amendment Regulations 2010</w:t>
            </w:r>
          </w:p>
        </w:tc>
        <w:tc>
          <w:tcPr>
            <w:tcW w:w="1276" w:type="dxa"/>
          </w:tcPr>
          <w:p>
            <w:pPr>
              <w:pStyle w:val="nTable"/>
              <w:spacing w:after="40"/>
              <w:rPr>
                <w:sz w:val="19"/>
              </w:rPr>
            </w:pPr>
            <w:r>
              <w:rPr>
                <w:sz w:val="19"/>
              </w:rPr>
              <w:t>9 Feb 2010 p. 270</w:t>
            </w:r>
          </w:p>
        </w:tc>
        <w:tc>
          <w:tcPr>
            <w:tcW w:w="2693" w:type="dxa"/>
          </w:tcPr>
          <w:p>
            <w:pPr>
              <w:pStyle w:val="nTable"/>
              <w:spacing w:after="40"/>
              <w:rPr>
                <w:snapToGrid w:val="0"/>
                <w:spacing w:val="-2"/>
                <w:sz w:val="19"/>
                <w:lang w:val="en-US"/>
              </w:rPr>
            </w:pPr>
            <w:r>
              <w:rPr>
                <w:snapToGrid w:val="0"/>
                <w:spacing w:val="-2"/>
                <w:sz w:val="19"/>
                <w:lang w:val="en-US"/>
              </w:rPr>
              <w:t>r. 1 and 2: 9 Feb 2010 (see r. 2(a));</w:t>
            </w:r>
            <w:r>
              <w:rPr>
                <w:snapToGrid w:val="0"/>
                <w:spacing w:val="-2"/>
                <w:sz w:val="19"/>
                <w:lang w:val="en-US"/>
              </w:rPr>
              <w:br/>
              <w:t>Regulations other than r. 1 and 2: 10 Feb 2010 (see r. 2(b))</w:t>
            </w:r>
          </w:p>
        </w:tc>
      </w:tr>
      <w:tr>
        <w:trPr>
          <w:cantSplit/>
        </w:trPr>
        <w:tc>
          <w:tcPr>
            <w:tcW w:w="3118" w:type="dxa"/>
          </w:tcPr>
          <w:p>
            <w:pPr>
              <w:pStyle w:val="nTable"/>
              <w:spacing w:after="40"/>
              <w:ind w:right="113"/>
              <w:rPr>
                <w:i/>
                <w:sz w:val="19"/>
              </w:rPr>
            </w:pPr>
            <w:r>
              <w:rPr>
                <w:i/>
                <w:sz w:val="19"/>
              </w:rPr>
              <w:t>Petroleum (Submerged Lands) Amendment Regulations (No. 2) 2010</w:t>
            </w:r>
          </w:p>
        </w:tc>
        <w:tc>
          <w:tcPr>
            <w:tcW w:w="1276" w:type="dxa"/>
          </w:tcPr>
          <w:p>
            <w:pPr>
              <w:pStyle w:val="nTable"/>
              <w:spacing w:after="40"/>
              <w:rPr>
                <w:sz w:val="19"/>
              </w:rPr>
            </w:pPr>
            <w:r>
              <w:rPr>
                <w:sz w:val="19"/>
              </w:rPr>
              <w:t>11 May 2010 p. 1819</w:t>
            </w:r>
            <w:r>
              <w:rPr>
                <w:sz w:val="19"/>
              </w:rPr>
              <w:noBreakHyphen/>
              <w:t>21</w:t>
            </w:r>
          </w:p>
        </w:tc>
        <w:tc>
          <w:tcPr>
            <w:tcW w:w="2693" w:type="dxa"/>
          </w:tcPr>
          <w:p>
            <w:pPr>
              <w:pStyle w:val="nTable"/>
              <w:spacing w:after="40"/>
              <w:rPr>
                <w:snapToGrid w:val="0"/>
                <w:spacing w:val="-2"/>
                <w:sz w:val="19"/>
                <w:lang w:val="en-US"/>
              </w:rPr>
            </w:pPr>
            <w:r>
              <w:rPr>
                <w:snapToGrid w:val="0"/>
                <w:spacing w:val="-2"/>
                <w:sz w:val="19"/>
                <w:lang w:val="en-US"/>
              </w:rPr>
              <w:t>r. 1 and 2: 11 May 2010 (see r. 2(a));</w:t>
            </w:r>
            <w:r>
              <w:rPr>
                <w:snapToGrid w:val="0"/>
                <w:spacing w:val="-2"/>
                <w:sz w:val="19"/>
                <w:lang w:val="en-US"/>
              </w:rPr>
              <w:br/>
              <w:t>Regulations other than r. 1 and 2: 12 May 2010 (see r. 2(b))</w:t>
            </w:r>
          </w:p>
        </w:tc>
      </w:tr>
      <w:tr>
        <w:trPr>
          <w:cantSplit/>
        </w:trPr>
        <w:tc>
          <w:tcPr>
            <w:tcW w:w="3118" w:type="dxa"/>
          </w:tcPr>
          <w:p>
            <w:pPr>
              <w:pStyle w:val="nTable"/>
              <w:spacing w:after="40"/>
              <w:ind w:right="113"/>
              <w:rPr>
                <w:i/>
                <w:sz w:val="19"/>
              </w:rPr>
            </w:pPr>
            <w:r>
              <w:rPr>
                <w:i/>
                <w:sz w:val="19"/>
              </w:rPr>
              <w:t>Petroleum (Submerged Lands) Amendment Regulations (No. 3) 2010</w:t>
            </w:r>
          </w:p>
        </w:tc>
        <w:tc>
          <w:tcPr>
            <w:tcW w:w="1276" w:type="dxa"/>
          </w:tcPr>
          <w:p>
            <w:pPr>
              <w:pStyle w:val="nTable"/>
              <w:spacing w:after="40"/>
              <w:rPr>
                <w:sz w:val="19"/>
              </w:rPr>
            </w:pPr>
            <w:r>
              <w:rPr>
                <w:sz w:val="19"/>
              </w:rPr>
              <w:t>16 Jul 2010 p. 3359</w:t>
            </w:r>
            <w:r>
              <w:rPr>
                <w:sz w:val="19"/>
              </w:rPr>
              <w:noBreakHyphen/>
              <w:t>61</w:t>
            </w:r>
          </w:p>
        </w:tc>
        <w:tc>
          <w:tcPr>
            <w:tcW w:w="2693" w:type="dxa"/>
          </w:tcPr>
          <w:p>
            <w:pPr>
              <w:pStyle w:val="nTable"/>
              <w:spacing w:after="40"/>
              <w:rPr>
                <w:snapToGrid w:val="0"/>
                <w:spacing w:val="-2"/>
                <w:sz w:val="19"/>
                <w:lang w:val="en-US"/>
              </w:rPr>
            </w:pPr>
            <w:r>
              <w:rPr>
                <w:snapToGrid w:val="0"/>
                <w:spacing w:val="-2"/>
                <w:sz w:val="19"/>
                <w:lang w:val="en-US"/>
              </w:rPr>
              <w:t>r. 1 and 2: 16 Jul 2010 (see r. 2(a));</w:t>
            </w:r>
            <w:r>
              <w:rPr>
                <w:snapToGrid w:val="0"/>
                <w:spacing w:val="-2"/>
                <w:sz w:val="19"/>
                <w:lang w:val="en-US"/>
              </w:rPr>
              <w:br/>
              <w:t>Regulations other than r. 1 and 2: 17 Jul 2010 (see r. 2(b)(ii))</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 xml:space="preserve">Petroleum (Submerged Lands) Regulations 1990 </w:t>
            </w:r>
            <w:r>
              <w:rPr>
                <w:b/>
                <w:bCs/>
                <w:sz w:val="19"/>
              </w:rPr>
              <w:t>as at 24 Sep 2010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2011</w:t>
            </w:r>
          </w:p>
        </w:tc>
        <w:tc>
          <w:tcPr>
            <w:tcW w:w="1276" w:type="dxa"/>
          </w:tcPr>
          <w:p>
            <w:pPr>
              <w:pStyle w:val="nTable"/>
              <w:spacing w:after="40"/>
              <w:rPr>
                <w:sz w:val="19"/>
              </w:rPr>
            </w:pPr>
            <w:r>
              <w:rPr>
                <w:sz w:val="19"/>
              </w:rPr>
              <w:t>24 May 2011 p. 1897-8</w:t>
            </w:r>
          </w:p>
        </w:tc>
        <w:tc>
          <w:tcPr>
            <w:tcW w:w="2693" w:type="dxa"/>
          </w:tcPr>
          <w:p>
            <w:pPr>
              <w:pStyle w:val="nTable"/>
              <w:spacing w:after="40"/>
              <w:rPr>
                <w:snapToGrid w:val="0"/>
                <w:spacing w:val="-2"/>
                <w:sz w:val="19"/>
                <w:lang w:val="en-US"/>
              </w:rPr>
            </w:pPr>
            <w:r>
              <w:rPr>
                <w:snapToGrid w:val="0"/>
                <w:spacing w:val="-2"/>
                <w:sz w:val="19"/>
                <w:lang w:val="en-US"/>
              </w:rPr>
              <w:t>r. 1 and 2: 24 May 2011 (see r. 2(a));</w:t>
            </w:r>
            <w:r>
              <w:rPr>
                <w:snapToGrid w:val="0"/>
                <w:spacing w:val="-2"/>
                <w:sz w:val="19"/>
                <w:lang w:val="en-US"/>
              </w:rPr>
              <w:br/>
              <w:t xml:space="preserve">Regulations other than r. 1 and 2: 25 May 2011 (see r. 2(b) and </w:t>
            </w:r>
            <w:r>
              <w:rPr>
                <w:i/>
                <w:snapToGrid w:val="0"/>
                <w:spacing w:val="-2"/>
                <w:sz w:val="19"/>
                <w:lang w:val="en-US"/>
              </w:rPr>
              <w:t>Gazette</w:t>
            </w:r>
            <w:r>
              <w:rPr>
                <w:snapToGrid w:val="0"/>
                <w:spacing w:val="-2"/>
                <w:sz w:val="19"/>
                <w:lang w:val="en-US"/>
              </w:rPr>
              <w:t xml:space="preserve"> 24 May 2011 p. 1892)</w:t>
            </w:r>
          </w:p>
        </w:tc>
      </w:tr>
      <w:tr>
        <w:trPr>
          <w:cantSplit/>
        </w:trPr>
        <w:tc>
          <w:tcPr>
            <w:tcW w:w="3118" w:type="dxa"/>
            <w:tcBorders>
              <w:bottom w:val="single" w:sz="4" w:space="0" w:color="auto"/>
            </w:tcBorders>
          </w:tcPr>
          <w:p>
            <w:pPr>
              <w:pStyle w:val="nTable"/>
              <w:spacing w:after="40"/>
              <w:ind w:right="113"/>
              <w:rPr>
                <w:i/>
                <w:sz w:val="19"/>
              </w:rPr>
            </w:pPr>
            <w:r>
              <w:rPr>
                <w:i/>
                <w:sz w:val="19"/>
              </w:rPr>
              <w:t>Petroleum (Submerged Lands) Amendment Regulations (No. 2) 2011</w:t>
            </w:r>
          </w:p>
        </w:tc>
        <w:tc>
          <w:tcPr>
            <w:tcW w:w="1276" w:type="dxa"/>
            <w:tcBorders>
              <w:bottom w:val="single" w:sz="4" w:space="0" w:color="auto"/>
            </w:tcBorders>
          </w:tcPr>
          <w:p>
            <w:pPr>
              <w:pStyle w:val="nTable"/>
              <w:spacing w:after="40"/>
              <w:rPr>
                <w:sz w:val="19"/>
              </w:rPr>
            </w:pPr>
            <w:r>
              <w:rPr>
                <w:sz w:val="19"/>
              </w:rPr>
              <w:t>1 Jul 2011 p. 2736</w:t>
            </w:r>
            <w:r>
              <w:rPr>
                <w:sz w:val="19"/>
              </w:rPr>
              <w:noBreakHyphen/>
              <w:t>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 Jul 2011 (see r. 2(a));</w:t>
            </w:r>
            <w:r>
              <w:rPr>
                <w:snapToGrid w:val="0"/>
                <w:spacing w:val="-2"/>
                <w:sz w:val="19"/>
                <w:lang w:val="en-US"/>
              </w:rPr>
              <w:br/>
              <w:t>Regulations other than r. 1 and 2: 1 Jul 2011 (see r. 2(b))</w:t>
            </w:r>
          </w:p>
        </w:tc>
      </w:tr>
    </w:tbl>
    <w:p>
      <w:pPr>
        <w:pStyle w:val="nSubsection"/>
        <w:spacing w:before="160"/>
      </w:pPr>
      <w:r>
        <w:rPr>
          <w:vertAlign w:val="superscript"/>
        </w:rPr>
        <w:t>2</w:t>
      </w:r>
      <w:r>
        <w:tab/>
        <w:t xml:space="preserve">Division 4A (s. 74A to 74I) of the </w:t>
      </w:r>
      <w:r>
        <w:rPr>
          <w:i/>
        </w:rPr>
        <w:t>Petroleum (Submerged Lands) Act 1982</w:t>
      </w:r>
      <w:r>
        <w:t xml:space="preserve"> was deleted by the </w:t>
      </w:r>
      <w:r>
        <w:rPr>
          <w:i/>
        </w:rPr>
        <w:t>Acts Amendment and Repeal (Native Title) Act 1995</w:t>
      </w:r>
      <w:r>
        <w:t>.</w:t>
      </w:r>
    </w:p>
    <w:p>
      <w:pPr>
        <w:pStyle w:val="nSubsection"/>
        <w:keepNext/>
        <w:keepLines/>
        <w:spacing w:before="60"/>
      </w:pPr>
      <w:r>
        <w:rPr>
          <w:vertAlign w:val="superscript"/>
        </w:rPr>
        <w:t>3</w:t>
      </w:r>
      <w:r>
        <w:tab/>
        <w:t xml:space="preserve">Commencement day was 16 December 2000 (see </w:t>
      </w:r>
      <w:r>
        <w:rPr>
          <w:i/>
        </w:rPr>
        <w:t>Gazette</w:t>
      </w:r>
      <w:r>
        <w:t xml:space="preserve"> 15 December 2000 p. 7201).</w:t>
      </w:r>
    </w:p>
    <w:p>
      <w:pPr>
        <w:sectPr>
          <w:headerReference w:type="even" r:id="rId31"/>
          <w:headerReference w:type="default" r:id="rId32"/>
          <w:type w:val="continuous"/>
          <w:pgSz w:w="11906" w:h="16838" w:code="9"/>
          <w:pgMar w:top="2381" w:right="2410" w:bottom="3544" w:left="2410" w:header="720" w:footer="3380" w:gutter="0"/>
          <w:cols w:space="720"/>
          <w:noEndnote/>
          <w:docGrid w:linePitch="326"/>
        </w:sectPr>
      </w:pPr>
    </w:p>
    <w:p>
      <w:pPr>
        <w:pStyle w:val="nHeading2"/>
        <w:rPr>
          <w:sz w:val="28"/>
        </w:rPr>
      </w:pPr>
      <w:bookmarkStart w:id="74" w:name="_Toc270335521"/>
      <w:bookmarkStart w:id="75" w:name="_Toc271527801"/>
      <w:bookmarkStart w:id="76" w:name="_Toc271528300"/>
      <w:bookmarkStart w:id="77" w:name="_Toc273597394"/>
      <w:bookmarkStart w:id="78" w:name="_Toc293999763"/>
      <w:bookmarkStart w:id="79" w:name="_Toc294000010"/>
      <w:bookmarkStart w:id="80" w:name="_Toc297294786"/>
      <w:r>
        <w:rPr>
          <w:sz w:val="28"/>
        </w:rPr>
        <w:t>Defined Terms</w:t>
      </w:r>
      <w:bookmarkEnd w:id="74"/>
      <w:bookmarkEnd w:id="75"/>
      <w:bookmarkEnd w:id="76"/>
      <w:bookmarkEnd w:id="77"/>
      <w:bookmarkEnd w:id="78"/>
      <w:bookmarkEnd w:id="79"/>
      <w:bookmarkEnd w:id="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1" w:name="DefinedTerms"/>
      <w:bookmarkEnd w:id="81"/>
      <w:r>
        <w:t>AGD</w:t>
      </w:r>
      <w:r>
        <w:tab/>
        <w:t>2A</w:t>
      </w:r>
    </w:p>
    <w:p>
      <w:pPr>
        <w:pStyle w:val="DefinedTerms"/>
      </w:pPr>
      <w:r>
        <w:t>commencement day</w:t>
      </w:r>
      <w:r>
        <w:tab/>
        <w:t>10(4)</w:t>
      </w:r>
    </w:p>
    <w:p>
      <w:pPr>
        <w:pStyle w:val="DefinedTerms"/>
      </w:pPr>
      <w:r>
        <w:t>dealing</w:t>
      </w:r>
      <w:r>
        <w:tab/>
        <w:t>5(1)(a)</w:t>
      </w:r>
    </w:p>
    <w:p>
      <w:pPr>
        <w:pStyle w:val="DefinedTerms"/>
      </w:pPr>
      <w:r>
        <w:t>federal duty</w:t>
      </w:r>
      <w:r>
        <w:tab/>
        <w:t>8</w:t>
      </w:r>
    </w:p>
    <w:p>
      <w:pPr>
        <w:pStyle w:val="DefinedTerms"/>
      </w:pPr>
      <w:r>
        <w:t>GDA</w:t>
      </w:r>
      <w:r>
        <w:tab/>
        <w:t>2A</w:t>
      </w:r>
    </w:p>
    <w:p>
      <w:pPr>
        <w:pStyle w:val="DefinedTerms"/>
      </w:pPr>
      <w:r>
        <w:t>GDA reference</w:t>
      </w:r>
      <w:r>
        <w:tab/>
        <w:t>10(1)</w:t>
      </w:r>
    </w:p>
    <w:p>
      <w:pPr>
        <w:pStyle w:val="DefinedTerms"/>
      </w:pPr>
      <w:r>
        <w:t>GRS80</w:t>
      </w:r>
      <w:r>
        <w:tab/>
        <w:t>9(2)</w:t>
      </w:r>
    </w:p>
    <w:p>
      <w:pPr>
        <w:pStyle w:val="DefinedTerms"/>
      </w:pPr>
      <w:r>
        <w:t>related dealing</w:t>
      </w:r>
      <w:r>
        <w:tab/>
        <w:t>5(2)</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3293</Words>
  <Characters>16140</Characters>
  <Application>Microsoft Office Word</Application>
  <DocSecurity>0</DocSecurity>
  <Lines>597</Lines>
  <Paragraphs>404</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1990 - 02-c0-03</dc:title>
  <dc:subject/>
  <dc:creator/>
  <cp:keywords/>
  <dc:description/>
  <cp:lastModifiedBy>svcMRProcess</cp:lastModifiedBy>
  <cp:revision>4</cp:revision>
  <cp:lastPrinted>2010-09-30T00:13:00Z</cp:lastPrinted>
  <dcterms:created xsi:type="dcterms:W3CDTF">2020-02-27T13:27:00Z</dcterms:created>
  <dcterms:modified xsi:type="dcterms:W3CDTF">2020-02-27T13:27:00Z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20110701</vt:lpwstr>
  </property>
  <property fmtid="{D5CDD505-2E9C-101B-9397-08002B2CF9AE}" pid="4" name="DocumentType">
    <vt:lpwstr>Reg</vt:lpwstr>
  </property>
  <property fmtid="{D5CDD505-2E9C-101B-9397-08002B2CF9AE}" pid="5" name="AsAtDate">
    <vt:lpwstr>01 Jul 2011</vt:lpwstr>
  </property>
  <property fmtid="{D5CDD505-2E9C-101B-9397-08002B2CF9AE}" pid="6" name="Suffix">
    <vt:lpwstr>02-c0-03</vt:lpwstr>
  </property>
  <property fmtid="{D5CDD505-2E9C-101B-9397-08002B2CF9AE}" pid="7" name="OwlsUID">
    <vt:i4>4687</vt:i4>
  </property>
  <property fmtid="{D5CDD505-2E9C-101B-9397-08002B2CF9AE}" pid="8" name="ReprintedAsAt">
    <vt:filetime>2010-09-23T16:00:00Z</vt:filetime>
  </property>
  <property fmtid="{D5CDD505-2E9C-101B-9397-08002B2CF9AE}" pid="9" name="ReprintNo">
    <vt:lpwstr>2</vt:lpwstr>
  </property>
</Properties>
</file>