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Land Valuers Licensing Act 1978</w:t>
      </w:r>
    </w:p>
    <w:p>
      <w:pPr>
        <w:pStyle w:val="NameofActRegPage1"/>
        <w:spacing w:before="120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Land Valuers Licensing Regulations 1979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spacing w:after="56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  <w:spacing w:after="400"/>
        <w:ind w:left="2302" w:right="2302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_Toc297277239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Terms used in these regulations</w:t>
      </w:r>
      <w:r>
        <w:tab/>
      </w:r>
      <w:r>
        <w:fldChar w:fldCharType="begin"/>
      </w:r>
      <w:r>
        <w:instrText xml:space="preserve"> PAGEREF _Toc297277240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_Toc297277241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4A</w:t>
      </w:r>
      <w:r>
        <w:rPr>
          <w:snapToGrid w:val="0"/>
        </w:rPr>
        <w:t xml:space="preserve">. </w:t>
      </w:r>
      <w:r>
        <w:rPr>
          <w:snapToGrid w:val="0"/>
        </w:rPr>
        <w:tab/>
        <w:t>Prescribed periods</w:t>
      </w:r>
      <w:r>
        <w:tab/>
      </w:r>
      <w:r>
        <w:fldChar w:fldCharType="begin"/>
      </w:r>
      <w:r>
        <w:instrText xml:space="preserve"> PAGEREF _Toc297277242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of application for licence</w:t>
      </w:r>
      <w:r>
        <w:tab/>
      </w:r>
      <w:r>
        <w:fldChar w:fldCharType="begin"/>
      </w:r>
      <w:r>
        <w:instrText xml:space="preserve"> PAGEREF _Toc297277243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5A.</w:t>
      </w:r>
      <w:r>
        <w:tab/>
        <w:t>Duplicate licence</w:t>
      </w:r>
      <w:r>
        <w:tab/>
      </w:r>
      <w:r>
        <w:fldChar w:fldCharType="begin"/>
      </w:r>
      <w:r>
        <w:instrText xml:space="preserve"> PAGEREF _Toc297277244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Particulars to be included in register</w:t>
      </w:r>
      <w:r>
        <w:tab/>
      </w:r>
      <w:r>
        <w:fldChar w:fldCharType="begin"/>
      </w:r>
      <w:r>
        <w:instrText xml:space="preserve"> PAGEREF _Toc297277245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Change of particulars</w:t>
      </w:r>
      <w:r>
        <w:tab/>
      </w:r>
      <w:r>
        <w:fldChar w:fldCharType="begin"/>
      </w:r>
      <w:r>
        <w:instrText xml:space="preserve"> PAGEREF _Toc297277246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8</w:t>
      </w:r>
      <w:r>
        <w:rPr>
          <w:snapToGrid w:val="0"/>
        </w:rPr>
        <w:t xml:space="preserve">. </w:t>
      </w:r>
      <w:r>
        <w:rPr>
          <w:snapToGrid w:val="0"/>
        </w:rPr>
        <w:tab/>
        <w:t>Prescribed qualifications</w:t>
      </w:r>
      <w:r>
        <w:tab/>
      </w:r>
      <w:r>
        <w:fldChar w:fldCharType="begin"/>
      </w:r>
      <w:r>
        <w:instrText xml:space="preserve"> PAGEREF _Toc297277247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</w:t>
      </w:r>
      <w:r>
        <w:rPr>
          <w:snapToGrid w:val="0"/>
        </w:rPr>
        <w:t xml:space="preserve">. </w:t>
      </w:r>
      <w:r>
        <w:rPr>
          <w:snapToGrid w:val="0"/>
        </w:rPr>
        <w:tab/>
        <w:t>Recovery of fees and costs</w:t>
      </w:r>
      <w:r>
        <w:tab/>
      </w:r>
      <w:r>
        <w:fldChar w:fldCharType="begin"/>
      </w:r>
      <w:r>
        <w:instrText xml:space="preserve"> PAGEREF _Toc297277248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_Toc297277249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Forms</w:t>
      </w:r>
      <w:r>
        <w:tab/>
      </w:r>
      <w:r>
        <w:fldChar w:fldCharType="begin"/>
      </w:r>
      <w:r>
        <w:instrText xml:space="preserve"> PAGEREF _Toc297277250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Fees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3 — Forms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_Toc297277255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pPr>
        <w:pStyle w:val="TOC2"/>
        <w:keepNext w:val="0"/>
        <w:spacing w:before="0" w:after="0"/>
        <w:rPr>
          <w:sz w:val="12"/>
        </w:rPr>
      </w:pPr>
      <w:r>
        <w:fldChar w:fldCharType="end"/>
      </w:r>
    </w:p>
    <w:p>
      <w:pPr>
        <w:pStyle w:val="NoteHeading"/>
        <w:rPr>
          <w:sz w:val="16"/>
        </w:rPr>
      </w:pPr>
      <w:r>
        <w:rPr>
          <w:rStyle w:val="CharPartNo"/>
          <w:sz w:val="16"/>
        </w:rPr>
        <w:t xml:space="preserve"> </w:t>
      </w:r>
      <w:r>
        <w:rPr>
          <w:rStyle w:val="CharPartText"/>
          <w:sz w:val="16"/>
        </w:rPr>
        <w:t xml:space="preserve"> </w:t>
      </w:r>
      <w:r>
        <w:rPr>
          <w:rStyle w:val="CharDivNo"/>
          <w:sz w:val="16"/>
        </w:rPr>
        <w:t xml:space="preserve"> </w:t>
      </w:r>
      <w:r>
        <w:rPr>
          <w:rStyle w:val="CharDivText"/>
          <w:sz w:val="16"/>
        </w:rPr>
        <w:t xml:space="preserve"> </w:t>
      </w:r>
      <w:r>
        <w:rPr>
          <w:rStyle w:val="CharSchNo"/>
          <w:sz w:val="16"/>
        </w:rPr>
        <w:t xml:space="preserve"> </w:t>
      </w:r>
      <w:r>
        <w:rPr>
          <w:rStyle w:val="CharSchText"/>
          <w:sz w:val="16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434380874"/>
      <w:bookmarkStart w:id="2" w:name="_Toc475755660"/>
      <w:bookmarkStart w:id="3" w:name="_Toc13119607"/>
      <w:bookmarkStart w:id="4" w:name="_Toc297277239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34380875"/>
      <w:bookmarkStart w:id="6" w:name="_Toc475755661"/>
      <w:bookmarkStart w:id="7" w:name="_Toc13119608"/>
      <w:bookmarkStart w:id="8" w:name="_Toc297277240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</w:r>
      <w:bookmarkEnd w:id="5"/>
      <w:bookmarkEnd w:id="6"/>
      <w:bookmarkEnd w:id="7"/>
      <w:r>
        <w:rPr>
          <w:snapToGrid w:val="0"/>
        </w:rPr>
        <w:t>Terms used in these regulations</w:t>
      </w:r>
      <w:bookmarkEnd w:id="8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Land Valuers Licensing Act 1978</w:t>
      </w:r>
      <w:r>
        <w:t>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bookmarkStart w:id="9" w:name="_Toc434380877"/>
      <w:bookmarkStart w:id="10" w:name="_Toc475755663"/>
      <w:bookmarkStart w:id="11" w:name="_Toc13119610"/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spacing w:before="180"/>
        <w:rPr>
          <w:snapToGrid w:val="0"/>
        </w:rPr>
      </w:pPr>
      <w:bookmarkStart w:id="12" w:name="_Toc297277241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Fees</w:t>
      </w:r>
      <w:bookmarkEnd w:id="9"/>
      <w:bookmarkEnd w:id="10"/>
      <w:bookmarkEnd w:id="11"/>
      <w:bookmarkEnd w:id="12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spacing w:before="180"/>
        <w:rPr>
          <w:snapToGrid w:val="0"/>
        </w:rPr>
      </w:pPr>
      <w:bookmarkStart w:id="13" w:name="_Toc434380878"/>
      <w:bookmarkStart w:id="14" w:name="_Toc475755664"/>
      <w:bookmarkStart w:id="15" w:name="_Toc13119611"/>
      <w:bookmarkStart w:id="16" w:name="_Toc297277242"/>
      <w:r>
        <w:rPr>
          <w:rStyle w:val="CharSectno"/>
        </w:rPr>
        <w:t>4A</w:t>
      </w:r>
      <w:r>
        <w:rPr>
          <w:snapToGrid w:val="0"/>
        </w:rPr>
        <w:t xml:space="preserve">. </w:t>
      </w:r>
      <w:r>
        <w:rPr>
          <w:snapToGrid w:val="0"/>
        </w:rPr>
        <w:tab/>
        <w:t>Prescribed periods</w:t>
      </w:r>
      <w:bookmarkEnd w:id="13"/>
      <w:bookmarkEnd w:id="14"/>
      <w:bookmarkEnd w:id="15"/>
      <w:bookmarkEnd w:id="16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spacing w:before="180"/>
        <w:rPr>
          <w:snapToGrid w:val="0"/>
        </w:rPr>
      </w:pPr>
      <w:bookmarkStart w:id="17" w:name="_Toc434380879"/>
      <w:bookmarkStart w:id="18" w:name="_Toc475755665"/>
      <w:bookmarkStart w:id="19" w:name="_Toc13119612"/>
      <w:bookmarkStart w:id="20" w:name="_Toc297277243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of application for licence</w:t>
      </w:r>
      <w:bookmarkEnd w:id="17"/>
      <w:bookmarkEnd w:id="18"/>
      <w:bookmarkEnd w:id="19"/>
      <w:bookmarkEnd w:id="2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spacing w:before="7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spacing w:before="7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bookmarkStart w:id="21" w:name="_Toc434380880"/>
      <w:bookmarkStart w:id="22" w:name="_Toc475755666"/>
      <w:bookmarkStart w:id="23" w:name="_Toc13119613"/>
      <w:r>
        <w:tab/>
        <w:t>[Regulation 5 amended in Gazette 30 Jun 2011 p. 2650.]</w:t>
      </w:r>
    </w:p>
    <w:p>
      <w:pPr>
        <w:pStyle w:val="Heading5"/>
        <w:spacing w:before="180"/>
      </w:pPr>
      <w:bookmarkStart w:id="24" w:name="_Toc297277244"/>
      <w:r>
        <w:rPr>
          <w:rStyle w:val="CharSectno"/>
        </w:rPr>
        <w:t>5A</w:t>
      </w:r>
      <w:r>
        <w:t>.</w:t>
      </w:r>
      <w:r>
        <w:tab/>
        <w:t>Duplicate licence</w:t>
      </w:r>
      <w:bookmarkEnd w:id="24"/>
    </w:p>
    <w:p>
      <w:pPr>
        <w:pStyle w:val="Subsection"/>
        <w:spacing w:before="120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25" w:name="_Toc297277245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Particulars to be included in register</w:t>
      </w:r>
      <w:bookmarkEnd w:id="21"/>
      <w:bookmarkEnd w:id="22"/>
      <w:bookmarkEnd w:id="23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26" w:name="_Toc434380881"/>
      <w:bookmarkStart w:id="27" w:name="_Toc475755667"/>
      <w:bookmarkStart w:id="28" w:name="_Toc13119614"/>
      <w:bookmarkStart w:id="29" w:name="_Toc297277246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Change of particulars</w:t>
      </w:r>
      <w:bookmarkEnd w:id="26"/>
      <w:bookmarkEnd w:id="27"/>
      <w:bookmarkEnd w:id="28"/>
      <w:bookmarkEnd w:id="2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bookmarkStart w:id="30" w:name="_Toc434380882"/>
      <w:bookmarkStart w:id="31" w:name="_Toc475755668"/>
      <w:bookmarkStart w:id="32" w:name="_Toc13119615"/>
      <w:bookmarkStart w:id="33" w:name="_Toc193180075"/>
      <w:bookmarkStart w:id="34" w:name="_Toc434380883"/>
      <w:bookmarkStart w:id="35" w:name="_Toc475755669"/>
      <w:bookmarkStart w:id="36" w:name="_Toc13119616"/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37" w:name="_Toc297277247"/>
      <w:r>
        <w:rPr>
          <w:rStyle w:val="CharSectno"/>
        </w:rPr>
        <w:t>8</w:t>
      </w:r>
      <w:r>
        <w:rPr>
          <w:snapToGrid w:val="0"/>
        </w:rPr>
        <w:t xml:space="preserve">. </w:t>
      </w:r>
      <w:r>
        <w:rPr>
          <w:snapToGrid w:val="0"/>
        </w:rPr>
        <w:tab/>
        <w:t>Prescribed qualifications</w:t>
      </w:r>
      <w:bookmarkEnd w:id="30"/>
      <w:bookmarkEnd w:id="31"/>
      <w:bookmarkEnd w:id="32"/>
      <w:bookmarkEnd w:id="33"/>
      <w:bookmarkEnd w:id="37"/>
      <w:r>
        <w:rPr>
          <w:snapToGrid w:val="0"/>
        </w:rPr>
        <w:t xml:space="preserve"> </w:t>
      </w:r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830.] </w:t>
      </w:r>
    </w:p>
    <w:p>
      <w:pPr>
        <w:pStyle w:val="Heading5"/>
        <w:rPr>
          <w:snapToGrid w:val="0"/>
        </w:rPr>
      </w:pPr>
      <w:bookmarkStart w:id="38" w:name="_Toc297277248"/>
      <w:r>
        <w:rPr>
          <w:rStyle w:val="CharSectno"/>
        </w:rPr>
        <w:t>9</w:t>
      </w:r>
      <w:r>
        <w:rPr>
          <w:snapToGrid w:val="0"/>
        </w:rPr>
        <w:t xml:space="preserve">. </w:t>
      </w:r>
      <w:r>
        <w:rPr>
          <w:snapToGrid w:val="0"/>
        </w:rPr>
        <w:tab/>
        <w:t>Recovery of fees and costs</w:t>
      </w:r>
      <w:bookmarkEnd w:id="34"/>
      <w:bookmarkEnd w:id="35"/>
      <w:bookmarkEnd w:id="36"/>
      <w:bookmarkEnd w:id="3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</w:pPr>
      <w:r>
        <w:tab/>
        <w:t>[Regulation 9 amended in Gazette 30 Dec 2004 p. 6923; 30 Jun 2011 p. 2651.]</w:t>
      </w:r>
    </w:p>
    <w:p>
      <w:pPr>
        <w:pStyle w:val="Heading5"/>
      </w:pPr>
      <w:bookmarkStart w:id="39" w:name="_Toc297277249"/>
      <w:r>
        <w:rPr>
          <w:rStyle w:val="CharSectno"/>
        </w:rPr>
        <w:t>10</w:t>
      </w:r>
      <w:r>
        <w:t>.</w:t>
      </w:r>
      <w:r>
        <w:tab/>
        <w:t>Infringement notices</w:t>
      </w:r>
      <w:bookmarkEnd w:id="39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10 inserted in Gazette 22 Sep 2006 p. 4119-20.]</w:t>
      </w:r>
    </w:p>
    <w:p>
      <w:pPr>
        <w:pStyle w:val="Heading5"/>
      </w:pPr>
      <w:bookmarkStart w:id="40" w:name="_Toc297277250"/>
      <w:r>
        <w:rPr>
          <w:rStyle w:val="CharSectno"/>
        </w:rPr>
        <w:t>11</w:t>
      </w:r>
      <w:r>
        <w:t>.</w:t>
      </w:r>
      <w:r>
        <w:tab/>
        <w:t>Forms</w:t>
      </w:r>
      <w:bookmarkEnd w:id="40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1" w:name="_Toc297277251"/>
      <w:bookmarkStart w:id="42" w:name="_Toc146619021"/>
      <w:bookmarkStart w:id="43" w:name="_Toc146697347"/>
      <w:bookmarkStart w:id="44" w:name="_Toc170185415"/>
      <w:bookmarkStart w:id="45" w:name="_Toc170725079"/>
      <w:bookmarkStart w:id="46" w:name="_Toc189626350"/>
      <w:bookmarkStart w:id="47" w:name="_Toc189627517"/>
      <w:bookmarkStart w:id="48" w:name="_Toc195071824"/>
      <w:bookmarkStart w:id="49" w:name="_Toc197234336"/>
      <w:bookmarkStart w:id="50" w:name="_Toc197235957"/>
      <w:bookmarkStart w:id="51" w:name="_Toc202520757"/>
      <w:bookmarkStart w:id="52" w:name="_Toc233701184"/>
      <w:bookmarkStart w:id="53" w:name="_Toc233701435"/>
      <w:bookmarkStart w:id="54" w:name="_Toc26566767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41"/>
    </w:p>
    <w:p>
      <w:pPr>
        <w:pStyle w:val="yShoulderClause"/>
      </w:pPr>
      <w:r>
        <w:t>[r. 4 and 5A]</w:t>
      </w:r>
    </w:p>
    <w:p>
      <w:pPr>
        <w:pStyle w:val="yFootnoteheading"/>
        <w:spacing w:after="40"/>
      </w:pPr>
      <w:r>
        <w:tab/>
        <w:t>[Heading inserted in Gazette 22 Jun 2011 p. 2364.]</w:t>
      </w:r>
    </w:p>
    <w:p>
      <w:pPr>
        <w:pStyle w:val="yTHeadingNAm"/>
      </w:pPr>
      <w:r>
        <w:t>Table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992"/>
      </w:tblGrid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53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253" w:type="dxa"/>
          </w:tcPr>
          <w:p>
            <w:pPr>
              <w:pStyle w:val="yTableNAm"/>
            </w:pPr>
            <w:r>
              <w:t>Grant of licence (for 3 years)</w:t>
            </w:r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r>
              <w:t>723.00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253" w:type="dxa"/>
          </w:tcPr>
          <w:p>
            <w:pPr>
              <w:pStyle w:val="yTableNAm"/>
            </w:pPr>
            <w:r>
              <w:t>Renewal of licence (for 3 years)</w:t>
            </w:r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r>
              <w:t>723.00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253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r>
              <w:t>31.75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253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r>
              <w:t>10.50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253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r>
              <w:br/>
            </w:r>
          </w:p>
          <w:p>
            <w:pPr>
              <w:pStyle w:val="yTableNAm"/>
              <w:jc w:val="right"/>
            </w:pPr>
            <w:r>
              <w:t>10.50</w:t>
            </w:r>
          </w:p>
          <w:p>
            <w:pPr>
              <w:pStyle w:val="yTableNAm"/>
              <w:jc w:val="right"/>
            </w:pPr>
            <w:r>
              <w:t>2.00</w:t>
            </w:r>
          </w:p>
        </w:tc>
      </w:tr>
      <w:tr>
        <w:trPr>
          <w:trHeight w:val="46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right"/>
            </w:pPr>
            <w:r>
              <w:t>129.00</w:t>
            </w:r>
          </w:p>
        </w:tc>
      </w:tr>
    </w:tbl>
    <w:p>
      <w:pPr>
        <w:pStyle w:val="yFootnotesection"/>
      </w:pPr>
      <w:r>
        <w:tab/>
        <w:t>[Schedule 1 inserted in Gazette 22 Jun 2011 p. 2364.]</w:t>
      </w:r>
    </w:p>
    <w:p>
      <w:pPr>
        <w:pStyle w:val="yScheduleHeading"/>
      </w:pPr>
      <w:bookmarkStart w:id="55" w:name="_Toc29727725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56" w:name="_Toc146619022"/>
      <w:bookmarkStart w:id="57" w:name="_Toc146697348"/>
      <w:bookmarkStart w:id="58" w:name="_Toc170185416"/>
      <w:bookmarkStart w:id="59" w:name="_Toc170725080"/>
      <w:bookmarkStart w:id="60" w:name="_Toc189626351"/>
      <w:bookmarkStart w:id="61" w:name="_Toc189627518"/>
      <w:bookmarkStart w:id="62" w:name="_Toc195071825"/>
      <w:bookmarkStart w:id="63" w:name="_Toc197234337"/>
      <w:bookmarkStart w:id="64" w:name="_Toc197235958"/>
      <w:bookmarkStart w:id="65" w:name="_Toc202520758"/>
      <w:bookmarkStart w:id="66" w:name="_Toc233701185"/>
      <w:bookmarkStart w:id="67" w:name="_Toc233701436"/>
      <w:bookmarkStart w:id="68" w:name="_Toc265667676"/>
      <w:bookmarkStart w:id="69" w:name="_Toc29727725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Cs w:val="22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Cs w:val="22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Cs w:val="22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Cs w:val="22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Cs w:val="22"/>
              </w:rPr>
              <w:t>Department of Commerce — Consumer Protection</w:t>
            </w:r>
            <w:r>
              <w:rPr>
                <w:sz w:val="20"/>
              </w:rPr>
              <w:t xml:space="preserve"> 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0" w:name="_Toc92795118"/>
      <w:bookmarkStart w:id="71" w:name="_Toc93113703"/>
      <w:bookmarkStart w:id="72" w:name="_Toc107803139"/>
      <w:bookmarkStart w:id="73" w:name="_Toc125945269"/>
      <w:bookmarkStart w:id="74" w:name="_Toc125945805"/>
      <w:bookmarkStart w:id="75" w:name="_Toc128197841"/>
      <w:bookmarkStart w:id="76" w:name="_Toc131382899"/>
      <w:bookmarkStart w:id="77" w:name="_Toc139259778"/>
      <w:bookmarkStart w:id="78" w:name="_Toc146619023"/>
      <w:bookmarkStart w:id="79" w:name="_Toc146697349"/>
      <w:bookmarkStart w:id="80" w:name="_Toc170185417"/>
      <w:bookmarkStart w:id="81" w:name="_Toc170725081"/>
      <w:bookmarkStart w:id="82" w:name="_Toc189626352"/>
      <w:bookmarkStart w:id="83" w:name="_Toc189627519"/>
      <w:bookmarkStart w:id="84" w:name="_Toc195071826"/>
      <w:bookmarkStart w:id="85" w:name="_Toc197234338"/>
      <w:bookmarkStart w:id="86" w:name="_Toc197235959"/>
      <w:bookmarkStart w:id="87" w:name="_Toc202520759"/>
      <w:bookmarkStart w:id="88" w:name="_Toc233701186"/>
      <w:bookmarkStart w:id="89" w:name="_Toc233701437"/>
      <w:bookmarkStart w:id="90" w:name="_Toc265667677"/>
      <w:bookmarkStart w:id="91" w:name="_Toc297277254"/>
      <w:r>
        <w:t>Notes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2" w:name="_Toc297277255"/>
      <w:r>
        <w:rPr>
          <w:snapToGrid w:val="0"/>
        </w:rPr>
        <w:t>Compilation table</w:t>
      </w:r>
      <w:bookmarkEnd w:id="9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 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 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17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3" w:name="_Toc189627521"/>
      <w:bookmarkStart w:id="94" w:name="_Toc195071828"/>
      <w:bookmarkStart w:id="95" w:name="_Toc197234340"/>
      <w:bookmarkStart w:id="96" w:name="_Toc197235961"/>
      <w:bookmarkStart w:id="97" w:name="_Toc202520761"/>
      <w:bookmarkStart w:id="98" w:name="_Toc233701188"/>
      <w:bookmarkStart w:id="99" w:name="_Toc233701439"/>
      <w:bookmarkStart w:id="100" w:name="_Toc265667679"/>
      <w:bookmarkStart w:id="101" w:name="_Toc297277256"/>
      <w:r>
        <w:t>Defined Terms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02" w:name="DefinedTerms"/>
      <w:bookmarkEnd w:id="102"/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</w:pPr>
      <w:r>
        <w:t>the Act</w:t>
      </w:r>
      <w:r>
        <w:tab/>
        <w:t>2</w:t>
      </w:r>
    </w:p>
    <w:p>
      <w:pPr>
        <w:pStyle w:val="DefinedTerms"/>
      </w:pPr>
    </w:p>
    <w:p>
      <w:pPr>
        <w:sectPr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4160545"/>
    <w:docVar w:name="WAFER_20151204160545" w:val="RemoveTrackChanges"/>
    <w:docVar w:name="WAFER_20151204160545_GUID" w:val="0e1684ad-ff33-4e71-ba56-f254d37b1cc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2773</Words>
  <Characters>13674</Characters>
  <Application>Microsoft Office Word</Application>
  <DocSecurity>0</DocSecurity>
  <Lines>594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1979 - 03-e0-02</dc:title>
  <dc:subject/>
  <dc:creator/>
  <cp:keywords/>
  <dc:description/>
  <cp:lastModifiedBy>svcMRProcess</cp:lastModifiedBy>
  <cp:revision>4</cp:revision>
  <cp:lastPrinted>2008-04-04T07:30:00Z</cp:lastPrinted>
  <dcterms:created xsi:type="dcterms:W3CDTF">2015-12-04T21:36:00Z</dcterms:created>
  <dcterms:modified xsi:type="dcterms:W3CDTF">2015-12-04T21:36:00Z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3</vt:lpwstr>
  </property>
  <property fmtid="{D5CDD505-2E9C-101B-9397-08002B2CF9AE}" pid="7" name="AsAtDate">
    <vt:lpwstr>01 Jul 2011</vt:lpwstr>
  </property>
  <property fmtid="{D5CDD505-2E9C-101B-9397-08002B2CF9AE}" pid="8" name="Suffix">
    <vt:lpwstr>03-e0-02</vt:lpwstr>
  </property>
</Properties>
</file>