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Supply Commission Act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Supply Commission Act 1991</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_Toc139707740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_Toc139707741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_Toc139707742 \h </w:instrText>
      </w:r>
      <w:r>
        <w:fldChar w:fldCharType="separate"/>
      </w:r>
      <w:r>
        <w:t>2</w:t>
      </w:r>
      <w:r>
        <w:fldChar w:fldCharType="end"/>
      </w:r>
    </w:p>
    <w:p>
      <w:pPr>
        <w:pStyle w:val="TOC2"/>
        <w:tabs>
          <w:tab w:val="right" w:leader="dot" w:pos="7078"/>
        </w:tabs>
        <w:rPr>
          <w:b w:val="0"/>
          <w:sz w:val="24"/>
          <w:szCs w:val="24"/>
        </w:rPr>
      </w:pPr>
      <w:r>
        <w:rPr>
          <w:szCs w:val="30"/>
        </w:rPr>
        <w:t>Part 2 — State Supply Commission</w:t>
      </w:r>
    </w:p>
    <w:p>
      <w:pPr>
        <w:pStyle w:val="TOC4"/>
        <w:tabs>
          <w:tab w:val="right" w:leader="dot" w:pos="7078"/>
        </w:tabs>
        <w:rPr>
          <w:b w:val="0"/>
          <w:sz w:val="24"/>
          <w:szCs w:val="24"/>
        </w:rPr>
      </w:pPr>
      <w:r>
        <w:rPr>
          <w:szCs w:val="26"/>
        </w:rPr>
        <w:t>Division 1</w:t>
      </w:r>
      <w:r>
        <w:rPr>
          <w:snapToGrid w:val="0"/>
          <w:szCs w:val="26"/>
        </w:rPr>
        <w:t> — </w:t>
      </w:r>
      <w:r>
        <w:rPr>
          <w:szCs w:val="26"/>
        </w:rPr>
        <w:t>Establishment, functions and powers</w:t>
      </w:r>
    </w:p>
    <w:p>
      <w:pPr>
        <w:pStyle w:val="TOC8"/>
        <w:rPr>
          <w:sz w:val="24"/>
          <w:szCs w:val="24"/>
        </w:rPr>
      </w:pPr>
      <w:r>
        <w:rPr>
          <w:szCs w:val="24"/>
        </w:rPr>
        <w:t>4</w:t>
      </w:r>
      <w:r>
        <w:rPr>
          <w:snapToGrid w:val="0"/>
          <w:szCs w:val="24"/>
        </w:rPr>
        <w:t>.</w:t>
      </w:r>
      <w:r>
        <w:rPr>
          <w:snapToGrid w:val="0"/>
          <w:szCs w:val="24"/>
        </w:rPr>
        <w:tab/>
        <w:t>Commission established</w:t>
      </w:r>
      <w:r>
        <w:tab/>
      </w:r>
      <w:r>
        <w:fldChar w:fldCharType="begin"/>
      </w:r>
      <w:r>
        <w:instrText xml:space="preserve"> PAGEREF _Toc139707745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Functions of Commission</w:t>
      </w:r>
      <w:r>
        <w:tab/>
      </w:r>
      <w:r>
        <w:fldChar w:fldCharType="begin"/>
      </w:r>
      <w:r>
        <w:instrText xml:space="preserve"> PAGEREF _Toc139707746 \h </w:instrText>
      </w:r>
      <w:r>
        <w:fldChar w:fldCharType="separate"/>
      </w:r>
      <w:r>
        <w:t>4</w:t>
      </w:r>
      <w:r>
        <w:fldChar w:fldCharType="end"/>
      </w:r>
    </w:p>
    <w:p>
      <w:pPr>
        <w:pStyle w:val="TOC8"/>
        <w:rPr>
          <w:sz w:val="24"/>
          <w:szCs w:val="24"/>
        </w:rPr>
      </w:pPr>
      <w:r>
        <w:rPr>
          <w:szCs w:val="24"/>
        </w:rPr>
        <w:t>5A</w:t>
      </w:r>
      <w:r>
        <w:rPr>
          <w:snapToGrid w:val="0"/>
          <w:szCs w:val="24"/>
        </w:rPr>
        <w:t>.</w:t>
      </w:r>
      <w:r>
        <w:rPr>
          <w:snapToGrid w:val="0"/>
          <w:szCs w:val="24"/>
        </w:rPr>
        <w:tab/>
        <w:t>Sale and lease</w:t>
      </w:r>
      <w:r>
        <w:rPr>
          <w:snapToGrid w:val="0"/>
          <w:szCs w:val="24"/>
        </w:rPr>
        <w:noBreakHyphen/>
        <w:t>back of goods</w:t>
      </w:r>
      <w:r>
        <w:tab/>
      </w:r>
      <w:r>
        <w:fldChar w:fldCharType="begin"/>
      </w:r>
      <w:r>
        <w:instrText xml:space="preserve"> PAGEREF _Toc139707747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Powers of Commission</w:t>
      </w:r>
      <w:r>
        <w:tab/>
      </w:r>
      <w:r>
        <w:fldChar w:fldCharType="begin"/>
      </w:r>
      <w:r>
        <w:instrText xml:space="preserve"> PAGEREF _Toc139707748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Directions by Minister</w:t>
      </w:r>
      <w:r>
        <w:tab/>
      </w:r>
      <w:r>
        <w:fldChar w:fldCharType="begin"/>
      </w:r>
      <w:r>
        <w:instrText xml:space="preserve"> PAGEREF _Toc139707749 \h </w:instrText>
      </w:r>
      <w:r>
        <w:fldChar w:fldCharType="separate"/>
      </w:r>
      <w:r>
        <w:t>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Membership, constitution, proceedings, etc.</w:t>
      </w:r>
    </w:p>
    <w:p>
      <w:pPr>
        <w:pStyle w:val="TOC8"/>
        <w:rPr>
          <w:sz w:val="24"/>
          <w:szCs w:val="24"/>
        </w:rPr>
      </w:pPr>
      <w:r>
        <w:rPr>
          <w:szCs w:val="24"/>
        </w:rPr>
        <w:t>8</w:t>
      </w:r>
      <w:r>
        <w:rPr>
          <w:snapToGrid w:val="0"/>
          <w:szCs w:val="24"/>
        </w:rPr>
        <w:t>.</w:t>
      </w:r>
      <w:r>
        <w:rPr>
          <w:snapToGrid w:val="0"/>
          <w:szCs w:val="24"/>
        </w:rPr>
        <w:tab/>
        <w:t>Membership of Commission</w:t>
      </w:r>
      <w:r>
        <w:tab/>
      </w:r>
      <w:r>
        <w:fldChar w:fldCharType="begin"/>
      </w:r>
      <w:r>
        <w:instrText xml:space="preserve"> PAGEREF _Toc139707751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Remuneration of members</w:t>
      </w:r>
      <w:r>
        <w:tab/>
      </w:r>
      <w:r>
        <w:fldChar w:fldCharType="begin"/>
      </w:r>
      <w:r>
        <w:instrText xml:space="preserve"> PAGEREF _Toc139707752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Disclosure of pecuniary interests</w:t>
      </w:r>
      <w:r>
        <w:tab/>
      </w:r>
      <w:r>
        <w:fldChar w:fldCharType="begin"/>
      </w:r>
      <w:r>
        <w:instrText xml:space="preserve"> PAGEREF _Toc139707753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Proceedings not affected by irregularities</w:t>
      </w:r>
      <w:r>
        <w:tab/>
      </w:r>
      <w:r>
        <w:fldChar w:fldCharType="begin"/>
      </w:r>
      <w:r>
        <w:instrText xml:space="preserve"> PAGEREF _Toc139707754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Protection of Commission and members</w:t>
      </w:r>
      <w:r>
        <w:tab/>
      </w:r>
      <w:r>
        <w:fldChar w:fldCharType="begin"/>
      </w:r>
      <w:r>
        <w:instrText xml:space="preserve"> PAGEREF _Toc139707755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Relationship of members to Public Service</w:t>
      </w:r>
      <w:r>
        <w:tab/>
      </w:r>
      <w:r>
        <w:fldChar w:fldCharType="begin"/>
      </w:r>
      <w:r>
        <w:instrText xml:space="preserve"> PAGEREF _Toc139707756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Committees</w:t>
      </w:r>
      <w:r>
        <w:tab/>
      </w:r>
      <w:r>
        <w:fldChar w:fldCharType="begin"/>
      </w:r>
      <w:r>
        <w:instrText xml:space="preserve"> PAGEREF _Toc139707757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Members and proceedings — Schedule 1</w:t>
      </w:r>
      <w:r>
        <w:tab/>
      </w:r>
      <w:r>
        <w:fldChar w:fldCharType="begin"/>
      </w:r>
      <w:r>
        <w:instrText xml:space="preserve"> PAGEREF _Toc139707758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16</w:t>
      </w:r>
      <w:r>
        <w:rPr>
          <w:snapToGrid w:val="0"/>
          <w:szCs w:val="24"/>
        </w:rPr>
        <w:t>.</w:t>
      </w:r>
      <w:r>
        <w:rPr>
          <w:snapToGrid w:val="0"/>
          <w:szCs w:val="24"/>
        </w:rPr>
        <w:tab/>
        <w:t>Chief executive officer</w:t>
      </w:r>
      <w:r>
        <w:tab/>
      </w:r>
      <w:r>
        <w:fldChar w:fldCharType="begin"/>
      </w:r>
      <w:r>
        <w:instrText xml:space="preserve"> PAGEREF _Toc139707760 \h </w:instrText>
      </w:r>
      <w:r>
        <w:fldChar w:fldCharType="separate"/>
      </w:r>
      <w:r>
        <w:t>9</w:t>
      </w:r>
      <w:r>
        <w:fldChar w:fldCharType="end"/>
      </w:r>
    </w:p>
    <w:p>
      <w:pPr>
        <w:pStyle w:val="TOC8"/>
        <w:rPr>
          <w:sz w:val="24"/>
          <w:szCs w:val="24"/>
        </w:rPr>
      </w:pPr>
      <w:r>
        <w:rPr>
          <w:szCs w:val="24"/>
        </w:rPr>
        <w:t>16A</w:t>
      </w:r>
      <w:r>
        <w:rPr>
          <w:snapToGrid w:val="0"/>
          <w:szCs w:val="24"/>
        </w:rPr>
        <w:t>.</w:t>
      </w:r>
      <w:r>
        <w:rPr>
          <w:snapToGrid w:val="0"/>
          <w:szCs w:val="24"/>
        </w:rPr>
        <w:tab/>
        <w:t>Other staff</w:t>
      </w:r>
      <w:r>
        <w:tab/>
      </w:r>
      <w:r>
        <w:fldChar w:fldCharType="begin"/>
      </w:r>
      <w:r>
        <w:instrText xml:space="preserve"> PAGEREF _Toc139707761 \h </w:instrText>
      </w:r>
      <w:r>
        <w:fldChar w:fldCharType="separate"/>
      </w:r>
      <w:r>
        <w:t>9</w:t>
      </w:r>
      <w:r>
        <w:fldChar w:fldCharType="end"/>
      </w:r>
    </w:p>
    <w:p>
      <w:pPr>
        <w:pStyle w:val="TOC8"/>
        <w:rPr>
          <w:sz w:val="24"/>
          <w:szCs w:val="24"/>
        </w:rPr>
      </w:pPr>
      <w:r>
        <w:rPr>
          <w:szCs w:val="24"/>
        </w:rPr>
        <w:t>16B</w:t>
      </w:r>
      <w:r>
        <w:rPr>
          <w:snapToGrid w:val="0"/>
          <w:szCs w:val="24"/>
        </w:rPr>
        <w:t>.</w:t>
      </w:r>
      <w:r>
        <w:rPr>
          <w:snapToGrid w:val="0"/>
          <w:szCs w:val="24"/>
        </w:rPr>
        <w:tab/>
        <w:t>Use of other government staff etc.</w:t>
      </w:r>
      <w:r>
        <w:tab/>
      </w:r>
      <w:r>
        <w:fldChar w:fldCharType="begin"/>
      </w:r>
      <w:r>
        <w:instrText xml:space="preserve"> PAGEREF _Toc139707762 \h </w:instrText>
      </w:r>
      <w:r>
        <w:fldChar w:fldCharType="separate"/>
      </w:r>
      <w:r>
        <w:t>10</w:t>
      </w:r>
      <w:r>
        <w:fldChar w:fldCharType="end"/>
      </w:r>
    </w:p>
    <w:p>
      <w:pPr>
        <w:pStyle w:val="TOC2"/>
        <w:tabs>
          <w:tab w:val="right" w:leader="dot" w:pos="7078"/>
        </w:tabs>
        <w:rPr>
          <w:b w:val="0"/>
          <w:sz w:val="24"/>
          <w:szCs w:val="24"/>
        </w:rPr>
      </w:pPr>
      <w:r>
        <w:rPr>
          <w:szCs w:val="30"/>
        </w:rPr>
        <w:t>Part 3 — Supply of goods and services</w:t>
      </w:r>
    </w:p>
    <w:p>
      <w:pPr>
        <w:pStyle w:val="TOC8"/>
        <w:rPr>
          <w:sz w:val="24"/>
          <w:szCs w:val="24"/>
        </w:rPr>
      </w:pPr>
      <w:r>
        <w:rPr>
          <w:szCs w:val="24"/>
        </w:rPr>
        <w:t>17</w:t>
      </w:r>
      <w:r>
        <w:rPr>
          <w:snapToGrid w:val="0"/>
          <w:szCs w:val="24"/>
        </w:rPr>
        <w:t>.</w:t>
      </w:r>
      <w:r>
        <w:rPr>
          <w:snapToGrid w:val="0"/>
          <w:szCs w:val="24"/>
        </w:rPr>
        <w:tab/>
        <w:t>Public authorities to comply with supply policies</w:t>
      </w:r>
      <w:r>
        <w:tab/>
      </w:r>
      <w:r>
        <w:fldChar w:fldCharType="begin"/>
      </w:r>
      <w:r>
        <w:instrText xml:space="preserve"> PAGEREF _Toc139707764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Commission may advise and recommend</w:t>
      </w:r>
      <w:r>
        <w:tab/>
      </w:r>
      <w:r>
        <w:fldChar w:fldCharType="begin"/>
      </w:r>
      <w:r>
        <w:instrText xml:space="preserve"> PAGEREF _Toc139707765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Duty of Commission to arrange for supply of goods and services</w:t>
      </w:r>
      <w:r>
        <w:tab/>
      </w:r>
      <w:r>
        <w:fldChar w:fldCharType="begin"/>
      </w:r>
      <w:r>
        <w:instrText xml:space="preserve"> PAGEREF _Toc139707766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Total exemptions from section 19(1)</w:t>
      </w:r>
      <w:r>
        <w:tab/>
      </w:r>
      <w:r>
        <w:fldChar w:fldCharType="begin"/>
      </w:r>
      <w:r>
        <w:instrText xml:space="preserve"> PAGEREF _Toc139707767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Partial exemptions from section 19(1)</w:t>
      </w:r>
      <w:r>
        <w:tab/>
      </w:r>
      <w:r>
        <w:fldChar w:fldCharType="begin"/>
      </w:r>
      <w:r>
        <w:instrText xml:space="preserve"> PAGEREF _Toc139707768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Public authority may exercise powers of Commission, in certain circumstances</w:t>
      </w:r>
      <w:r>
        <w:tab/>
      </w:r>
      <w:r>
        <w:fldChar w:fldCharType="begin"/>
      </w:r>
      <w:r>
        <w:instrText xml:space="preserve"> PAGEREF _Toc139707769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Commission may arrange for supply of goods and services to approved persons and bodies</w:t>
      </w:r>
      <w:r>
        <w:tab/>
      </w:r>
      <w:r>
        <w:fldChar w:fldCharType="begin"/>
      </w:r>
      <w:r>
        <w:instrText xml:space="preserve"> PAGEREF _Toc139707770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Disposal of goods</w:t>
      </w:r>
      <w:r>
        <w:tab/>
      </w:r>
      <w:r>
        <w:fldChar w:fldCharType="begin"/>
      </w:r>
      <w:r>
        <w:instrText xml:space="preserve"> PAGEREF _Toc139707771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Commission to monitor supply</w:t>
      </w:r>
      <w:r>
        <w:tab/>
      </w:r>
      <w:r>
        <w:fldChar w:fldCharType="begin"/>
      </w:r>
      <w:r>
        <w:instrText xml:space="preserve"> PAGEREF _Toc139707772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Public authority to provide information at request of Commission</w:t>
      </w:r>
      <w:r>
        <w:tab/>
      </w:r>
      <w:r>
        <w:fldChar w:fldCharType="begin"/>
      </w:r>
      <w:r>
        <w:instrText xml:space="preserve"> PAGEREF _Toc139707773 \h </w:instrText>
      </w:r>
      <w:r>
        <w:fldChar w:fldCharType="separate"/>
      </w:r>
      <w:r>
        <w:t>14</w:t>
      </w:r>
      <w:r>
        <w:fldChar w:fldCharType="end"/>
      </w:r>
    </w:p>
    <w:p>
      <w:pPr>
        <w:pStyle w:val="TOC2"/>
        <w:tabs>
          <w:tab w:val="right" w:leader="dot" w:pos="7078"/>
        </w:tabs>
        <w:rPr>
          <w:b w:val="0"/>
          <w:sz w:val="24"/>
          <w:szCs w:val="24"/>
        </w:rPr>
      </w:pPr>
      <w:r>
        <w:rPr>
          <w:szCs w:val="30"/>
        </w:rPr>
        <w:t>Part 3A — Sale of government businesses</w:t>
      </w:r>
    </w:p>
    <w:p>
      <w:pPr>
        <w:pStyle w:val="TOC4"/>
        <w:tabs>
          <w:tab w:val="right" w:leader="dot" w:pos="7078"/>
        </w:tabs>
        <w:rPr>
          <w:b w:val="0"/>
          <w:sz w:val="24"/>
          <w:szCs w:val="24"/>
        </w:rPr>
      </w:pPr>
      <w:r>
        <w:rPr>
          <w:szCs w:val="26"/>
        </w:rPr>
        <w:t>Division 1</w:t>
      </w:r>
      <w:r>
        <w:rPr>
          <w:snapToGrid w:val="0"/>
          <w:szCs w:val="26"/>
        </w:rPr>
        <w:t> — </w:t>
      </w:r>
      <w:r>
        <w:rPr>
          <w:szCs w:val="26"/>
        </w:rPr>
        <w:t>Authority for sale</w:t>
      </w:r>
    </w:p>
    <w:p>
      <w:pPr>
        <w:pStyle w:val="TOC8"/>
        <w:rPr>
          <w:sz w:val="24"/>
          <w:szCs w:val="24"/>
        </w:rPr>
      </w:pPr>
      <w:r>
        <w:rPr>
          <w:szCs w:val="24"/>
        </w:rPr>
        <w:t>26A</w:t>
      </w:r>
      <w:r>
        <w:rPr>
          <w:snapToGrid w:val="0"/>
          <w:szCs w:val="24"/>
        </w:rPr>
        <w:t>.</w:t>
      </w:r>
      <w:r>
        <w:rPr>
          <w:snapToGrid w:val="0"/>
          <w:szCs w:val="24"/>
        </w:rPr>
        <w:tab/>
        <w:t>Interpretation</w:t>
      </w:r>
      <w:r>
        <w:tab/>
      </w:r>
      <w:r>
        <w:fldChar w:fldCharType="begin"/>
      </w:r>
      <w:r>
        <w:instrText xml:space="preserve"> PAGEREF _Toc139707776 \h </w:instrText>
      </w:r>
      <w:r>
        <w:fldChar w:fldCharType="separate"/>
      </w:r>
      <w:r>
        <w:t>15</w:t>
      </w:r>
      <w:r>
        <w:fldChar w:fldCharType="end"/>
      </w:r>
    </w:p>
    <w:p>
      <w:pPr>
        <w:pStyle w:val="TOC8"/>
        <w:rPr>
          <w:sz w:val="24"/>
          <w:szCs w:val="24"/>
        </w:rPr>
      </w:pPr>
      <w:r>
        <w:rPr>
          <w:szCs w:val="24"/>
        </w:rPr>
        <w:t>26B</w:t>
      </w:r>
      <w:r>
        <w:rPr>
          <w:snapToGrid w:val="0"/>
          <w:szCs w:val="24"/>
        </w:rPr>
        <w:t>.</w:t>
      </w:r>
      <w:r>
        <w:rPr>
          <w:snapToGrid w:val="0"/>
          <w:szCs w:val="24"/>
        </w:rPr>
        <w:tab/>
        <w:t>Property may be sold</w:t>
      </w:r>
      <w:r>
        <w:tab/>
      </w:r>
      <w:r>
        <w:fldChar w:fldCharType="begin"/>
      </w:r>
      <w:r>
        <w:instrText xml:space="preserve"> PAGEREF _Toc139707777 \h </w:instrText>
      </w:r>
      <w:r>
        <w:fldChar w:fldCharType="separate"/>
      </w:r>
      <w:r>
        <w:t>15</w:t>
      </w:r>
      <w:r>
        <w:fldChar w:fldCharType="end"/>
      </w:r>
    </w:p>
    <w:p>
      <w:pPr>
        <w:pStyle w:val="TOC8"/>
        <w:rPr>
          <w:sz w:val="24"/>
          <w:szCs w:val="24"/>
        </w:rPr>
      </w:pPr>
      <w:r>
        <w:rPr>
          <w:szCs w:val="24"/>
        </w:rPr>
        <w:t>26C</w:t>
      </w:r>
      <w:r>
        <w:rPr>
          <w:snapToGrid w:val="0"/>
          <w:szCs w:val="24"/>
        </w:rPr>
        <w:t>.</w:t>
      </w:r>
      <w:r>
        <w:rPr>
          <w:snapToGrid w:val="0"/>
          <w:szCs w:val="24"/>
        </w:rPr>
        <w:tab/>
        <w:t>Power of Commission to sell</w:t>
      </w:r>
      <w:r>
        <w:tab/>
      </w:r>
      <w:r>
        <w:fldChar w:fldCharType="begin"/>
      </w:r>
      <w:r>
        <w:instrText xml:space="preserve"> PAGEREF _Toc139707778 \h </w:instrText>
      </w:r>
      <w:r>
        <w:fldChar w:fldCharType="separate"/>
      </w:r>
      <w:r>
        <w:t>16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Sale by formation of company and sale of shares</w:t>
      </w:r>
    </w:p>
    <w:p>
      <w:pPr>
        <w:pStyle w:val="TOC8"/>
        <w:rPr>
          <w:sz w:val="24"/>
          <w:szCs w:val="24"/>
        </w:rPr>
      </w:pPr>
      <w:r>
        <w:rPr>
          <w:szCs w:val="24"/>
        </w:rPr>
        <w:t>26D</w:t>
      </w:r>
      <w:r>
        <w:rPr>
          <w:snapToGrid w:val="0"/>
          <w:szCs w:val="24"/>
        </w:rPr>
        <w:t>.</w:t>
      </w:r>
      <w:r>
        <w:rPr>
          <w:snapToGrid w:val="0"/>
          <w:szCs w:val="24"/>
        </w:rPr>
        <w:tab/>
        <w:t>Company to be formed or acquired</w:t>
      </w:r>
      <w:r>
        <w:tab/>
      </w:r>
      <w:r>
        <w:fldChar w:fldCharType="begin"/>
      </w:r>
      <w:r>
        <w:instrText xml:space="preserve"> PAGEREF _Toc139707780 \h </w:instrText>
      </w:r>
      <w:r>
        <w:fldChar w:fldCharType="separate"/>
      </w:r>
      <w:r>
        <w:t>16</w:t>
      </w:r>
      <w:r>
        <w:fldChar w:fldCharType="end"/>
      </w:r>
    </w:p>
    <w:p>
      <w:pPr>
        <w:pStyle w:val="TOC8"/>
        <w:rPr>
          <w:sz w:val="24"/>
          <w:szCs w:val="24"/>
        </w:rPr>
      </w:pPr>
      <w:r>
        <w:rPr>
          <w:szCs w:val="24"/>
        </w:rPr>
        <w:t>26E</w:t>
      </w:r>
      <w:r>
        <w:rPr>
          <w:snapToGrid w:val="0"/>
          <w:szCs w:val="24"/>
        </w:rPr>
        <w:t>.</w:t>
      </w:r>
      <w:r>
        <w:rPr>
          <w:snapToGrid w:val="0"/>
          <w:szCs w:val="24"/>
        </w:rPr>
        <w:tab/>
        <w:t>Status of company</w:t>
      </w:r>
      <w:r>
        <w:tab/>
      </w:r>
      <w:r>
        <w:fldChar w:fldCharType="begin"/>
      </w:r>
      <w:r>
        <w:instrText xml:space="preserve"> PAGEREF _Toc139707781 \h </w:instrText>
      </w:r>
      <w:r>
        <w:fldChar w:fldCharType="separate"/>
      </w:r>
      <w:r>
        <w:t>17</w:t>
      </w:r>
      <w:r>
        <w:fldChar w:fldCharType="end"/>
      </w:r>
    </w:p>
    <w:p>
      <w:pPr>
        <w:pStyle w:val="TOC8"/>
        <w:rPr>
          <w:sz w:val="24"/>
          <w:szCs w:val="24"/>
        </w:rPr>
      </w:pPr>
      <w:r>
        <w:rPr>
          <w:szCs w:val="24"/>
        </w:rPr>
        <w:t>26F</w:t>
      </w:r>
      <w:r>
        <w:rPr>
          <w:snapToGrid w:val="0"/>
          <w:szCs w:val="24"/>
        </w:rPr>
        <w:t>.</w:t>
      </w:r>
      <w:r>
        <w:rPr>
          <w:snapToGrid w:val="0"/>
          <w:szCs w:val="24"/>
        </w:rPr>
        <w:tab/>
        <w:t>Order for transfer of property etc. to the company</w:t>
      </w:r>
      <w:r>
        <w:tab/>
      </w:r>
      <w:r>
        <w:fldChar w:fldCharType="begin"/>
      </w:r>
      <w:r>
        <w:instrText xml:space="preserve"> PAGEREF _Toc139707782 \h </w:instrText>
      </w:r>
      <w:r>
        <w:fldChar w:fldCharType="separate"/>
      </w:r>
      <w:r>
        <w:t>17</w:t>
      </w:r>
      <w:r>
        <w:fldChar w:fldCharType="end"/>
      </w:r>
    </w:p>
    <w:p>
      <w:pPr>
        <w:pStyle w:val="TOC8"/>
        <w:rPr>
          <w:sz w:val="24"/>
          <w:szCs w:val="24"/>
        </w:rPr>
      </w:pPr>
      <w:r>
        <w:rPr>
          <w:szCs w:val="24"/>
        </w:rPr>
        <w:t>26G</w:t>
      </w:r>
      <w:r>
        <w:rPr>
          <w:snapToGrid w:val="0"/>
          <w:szCs w:val="24"/>
        </w:rPr>
        <w:t>.</w:t>
      </w:r>
      <w:r>
        <w:rPr>
          <w:snapToGrid w:val="0"/>
          <w:szCs w:val="24"/>
        </w:rPr>
        <w:tab/>
        <w:t>Effect of transfer order</w:t>
      </w:r>
      <w:r>
        <w:tab/>
      </w:r>
      <w:r>
        <w:fldChar w:fldCharType="begin"/>
      </w:r>
      <w:r>
        <w:instrText xml:space="preserve"> PAGEREF _Toc139707783 \h </w:instrText>
      </w:r>
      <w:r>
        <w:fldChar w:fldCharType="separate"/>
      </w:r>
      <w:r>
        <w:t>18</w:t>
      </w:r>
      <w:r>
        <w:fldChar w:fldCharType="end"/>
      </w:r>
    </w:p>
    <w:p>
      <w:pPr>
        <w:pStyle w:val="TOC8"/>
        <w:rPr>
          <w:sz w:val="24"/>
          <w:szCs w:val="24"/>
        </w:rPr>
      </w:pPr>
      <w:r>
        <w:rPr>
          <w:szCs w:val="24"/>
        </w:rPr>
        <w:t>26H</w:t>
      </w:r>
      <w:r>
        <w:rPr>
          <w:snapToGrid w:val="0"/>
          <w:szCs w:val="24"/>
        </w:rPr>
        <w:t>.</w:t>
      </w:r>
      <w:r>
        <w:rPr>
          <w:snapToGrid w:val="0"/>
          <w:szCs w:val="24"/>
        </w:rPr>
        <w:tab/>
        <w:t>Commission may sell shares</w:t>
      </w:r>
      <w:r>
        <w:tab/>
      </w:r>
      <w:r>
        <w:fldChar w:fldCharType="begin"/>
      </w:r>
      <w:r>
        <w:instrText xml:space="preserve"> PAGEREF _Toc139707784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26I</w:t>
      </w:r>
      <w:r>
        <w:rPr>
          <w:snapToGrid w:val="0"/>
          <w:szCs w:val="24"/>
        </w:rPr>
        <w:t>.</w:t>
      </w:r>
      <w:r>
        <w:rPr>
          <w:snapToGrid w:val="0"/>
          <w:szCs w:val="24"/>
        </w:rPr>
        <w:tab/>
        <w:t>Proceeds of sale</w:t>
      </w:r>
      <w:r>
        <w:tab/>
      </w:r>
      <w:r>
        <w:fldChar w:fldCharType="begin"/>
      </w:r>
      <w:r>
        <w:instrText xml:space="preserve"> PAGEREF _Toc139707786 \h </w:instrText>
      </w:r>
      <w:r>
        <w:fldChar w:fldCharType="separate"/>
      </w:r>
      <w:r>
        <w:t>19</w:t>
      </w:r>
      <w:r>
        <w:fldChar w:fldCharType="end"/>
      </w:r>
    </w:p>
    <w:p>
      <w:pPr>
        <w:pStyle w:val="TOC2"/>
        <w:tabs>
          <w:tab w:val="right" w:leader="dot" w:pos="7078"/>
        </w:tabs>
        <w:rPr>
          <w:b w:val="0"/>
          <w:sz w:val="24"/>
          <w:szCs w:val="24"/>
        </w:rPr>
      </w:pPr>
      <w:r>
        <w:rPr>
          <w:szCs w:val="30"/>
        </w:rPr>
        <w:t>Part 4 — Miscellaneous</w:t>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_Toc139707788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Supply policies</w:t>
      </w:r>
      <w:r>
        <w:tab/>
      </w:r>
      <w:r>
        <w:fldChar w:fldCharType="begin"/>
      </w:r>
      <w:r>
        <w:instrText xml:space="preserve"> PAGEREF _Toc139707789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Contracts made by Commission</w:t>
      </w:r>
      <w:r>
        <w:tab/>
      </w:r>
      <w:r>
        <w:fldChar w:fldCharType="begin"/>
      </w:r>
      <w:r>
        <w:instrText xml:space="preserve"> PAGEREF _Toc139707790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Funds of Commission</w:t>
      </w:r>
      <w:r>
        <w:tab/>
      </w:r>
      <w:r>
        <w:fldChar w:fldCharType="begin"/>
      </w:r>
      <w:r>
        <w:instrText xml:space="preserve"> PAGEREF _Toc139707791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Power to borrow from Treasurer</w:t>
      </w:r>
      <w:r>
        <w:tab/>
      </w:r>
      <w:r>
        <w:fldChar w:fldCharType="begin"/>
      </w:r>
      <w:r>
        <w:instrText xml:space="preserve"> PAGEREF _Toc139707792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_Toc139707793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Repeal</w:t>
      </w:r>
      <w:r>
        <w:tab/>
      </w:r>
      <w:r>
        <w:fldChar w:fldCharType="begin"/>
      </w:r>
      <w:r>
        <w:instrText xml:space="preserve"> PAGEREF _Toc139707794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Transitional and savings provisions — Schedule 2</w:t>
      </w:r>
      <w:r>
        <w:tab/>
      </w:r>
      <w:r>
        <w:fldChar w:fldCharType="begin"/>
      </w:r>
      <w:r>
        <w:instrText xml:space="preserve"> PAGEREF _Toc139707795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_Toc139707796 \h </w:instrText>
      </w:r>
      <w:r>
        <w:fldChar w:fldCharType="separate"/>
      </w:r>
      <w:r>
        <w:t>25</w:t>
      </w:r>
      <w:r>
        <w:fldChar w:fldCharType="end"/>
      </w:r>
    </w:p>
    <w:p>
      <w:pPr>
        <w:pStyle w:val="TOC2"/>
        <w:tabs>
          <w:tab w:val="right" w:leader="dot" w:pos="7078"/>
        </w:tabs>
        <w:rPr>
          <w:b w:val="0"/>
          <w:sz w:val="24"/>
          <w:szCs w:val="24"/>
        </w:rPr>
      </w:pPr>
      <w:r>
        <w:rPr>
          <w:szCs w:val="28"/>
        </w:rPr>
        <w:t>Schedule 1</w:t>
      </w:r>
    </w:p>
    <w:p>
      <w:pPr>
        <w:pStyle w:val="TOC8"/>
        <w:rPr>
          <w:sz w:val="24"/>
          <w:szCs w:val="24"/>
        </w:rPr>
      </w:pPr>
      <w:r>
        <w:rPr>
          <w:snapToGrid w:val="0"/>
          <w:szCs w:val="22"/>
        </w:rPr>
        <w:t>1.</w:t>
      </w:r>
      <w:r>
        <w:rPr>
          <w:snapToGrid w:val="0"/>
          <w:szCs w:val="22"/>
        </w:rPr>
        <w:tab/>
        <w:t>Definition</w:t>
      </w:r>
      <w:r>
        <w:tab/>
      </w:r>
      <w:r>
        <w:fldChar w:fldCharType="begin"/>
      </w:r>
      <w:r>
        <w:instrText xml:space="preserve"> PAGEREF _Toc139707798 \h </w:instrText>
      </w:r>
      <w:r>
        <w:fldChar w:fldCharType="separate"/>
      </w:r>
      <w:r>
        <w:t>26</w:t>
      </w:r>
      <w:r>
        <w:fldChar w:fldCharType="end"/>
      </w:r>
    </w:p>
    <w:p>
      <w:pPr>
        <w:pStyle w:val="TOC8"/>
        <w:rPr>
          <w:sz w:val="24"/>
          <w:szCs w:val="24"/>
        </w:rPr>
      </w:pPr>
      <w:r>
        <w:rPr>
          <w:snapToGrid w:val="0"/>
          <w:szCs w:val="22"/>
        </w:rPr>
        <w:t>2.</w:t>
      </w:r>
      <w:r>
        <w:rPr>
          <w:snapToGrid w:val="0"/>
          <w:szCs w:val="22"/>
        </w:rPr>
        <w:tab/>
        <w:t>Term of office of members</w:t>
      </w:r>
      <w:r>
        <w:tab/>
      </w:r>
      <w:r>
        <w:fldChar w:fldCharType="begin"/>
      </w:r>
      <w:r>
        <w:instrText xml:space="preserve"> PAGEREF _Toc139707799 \h </w:instrText>
      </w:r>
      <w:r>
        <w:fldChar w:fldCharType="separate"/>
      </w:r>
      <w:r>
        <w:t>26</w:t>
      </w:r>
      <w:r>
        <w:fldChar w:fldCharType="end"/>
      </w:r>
    </w:p>
    <w:p>
      <w:pPr>
        <w:pStyle w:val="TOC8"/>
        <w:rPr>
          <w:sz w:val="24"/>
          <w:szCs w:val="24"/>
        </w:rPr>
      </w:pPr>
      <w:r>
        <w:rPr>
          <w:snapToGrid w:val="0"/>
          <w:szCs w:val="22"/>
        </w:rPr>
        <w:t>3.</w:t>
      </w:r>
      <w:r>
        <w:rPr>
          <w:snapToGrid w:val="0"/>
          <w:szCs w:val="22"/>
        </w:rPr>
        <w:tab/>
        <w:t>Delegation by Commission</w:t>
      </w:r>
      <w:r>
        <w:tab/>
      </w:r>
      <w:r>
        <w:fldChar w:fldCharType="begin"/>
      </w:r>
      <w:r>
        <w:instrText xml:space="preserve"> PAGEREF _Toc139707800 \h </w:instrText>
      </w:r>
      <w:r>
        <w:fldChar w:fldCharType="separate"/>
      </w:r>
      <w:r>
        <w:t>26</w:t>
      </w:r>
      <w:r>
        <w:fldChar w:fldCharType="end"/>
      </w:r>
    </w:p>
    <w:p>
      <w:pPr>
        <w:pStyle w:val="TOC8"/>
        <w:rPr>
          <w:sz w:val="24"/>
          <w:szCs w:val="24"/>
        </w:rPr>
      </w:pPr>
      <w:r>
        <w:rPr>
          <w:snapToGrid w:val="0"/>
          <w:szCs w:val="22"/>
        </w:rPr>
        <w:t>4.</w:t>
      </w:r>
      <w:r>
        <w:rPr>
          <w:snapToGrid w:val="0"/>
          <w:szCs w:val="22"/>
        </w:rPr>
        <w:tab/>
        <w:t>Vacation of office</w:t>
      </w:r>
      <w:r>
        <w:tab/>
      </w:r>
      <w:r>
        <w:fldChar w:fldCharType="begin"/>
      </w:r>
      <w:r>
        <w:instrText xml:space="preserve"> PAGEREF _Toc139707801 \h </w:instrText>
      </w:r>
      <w:r>
        <w:fldChar w:fldCharType="separate"/>
      </w:r>
      <w:r>
        <w:t>26</w:t>
      </w:r>
      <w:r>
        <w:fldChar w:fldCharType="end"/>
      </w:r>
    </w:p>
    <w:p>
      <w:pPr>
        <w:pStyle w:val="TOC8"/>
        <w:rPr>
          <w:sz w:val="24"/>
          <w:szCs w:val="24"/>
        </w:rPr>
      </w:pPr>
      <w:r>
        <w:rPr>
          <w:snapToGrid w:val="0"/>
          <w:szCs w:val="22"/>
        </w:rPr>
        <w:t>5.</w:t>
      </w:r>
      <w:r>
        <w:rPr>
          <w:snapToGrid w:val="0"/>
          <w:szCs w:val="22"/>
        </w:rPr>
        <w:tab/>
        <w:t>Substitute members</w:t>
      </w:r>
      <w:r>
        <w:tab/>
      </w:r>
      <w:r>
        <w:fldChar w:fldCharType="begin"/>
      </w:r>
      <w:r>
        <w:instrText xml:space="preserve"> PAGEREF _Toc139707802 \h </w:instrText>
      </w:r>
      <w:r>
        <w:fldChar w:fldCharType="separate"/>
      </w:r>
      <w:r>
        <w:t>27</w:t>
      </w:r>
      <w:r>
        <w:fldChar w:fldCharType="end"/>
      </w:r>
    </w:p>
    <w:p>
      <w:pPr>
        <w:pStyle w:val="TOC8"/>
        <w:rPr>
          <w:sz w:val="24"/>
          <w:szCs w:val="24"/>
        </w:rPr>
      </w:pPr>
      <w:r>
        <w:rPr>
          <w:snapToGrid w:val="0"/>
          <w:szCs w:val="22"/>
        </w:rPr>
        <w:t>6.</w:t>
      </w:r>
      <w:r>
        <w:rPr>
          <w:snapToGrid w:val="0"/>
          <w:szCs w:val="22"/>
        </w:rPr>
        <w:tab/>
        <w:t>General procedure concerning meetings</w:t>
      </w:r>
      <w:r>
        <w:tab/>
      </w:r>
      <w:r>
        <w:fldChar w:fldCharType="begin"/>
      </w:r>
      <w:r>
        <w:instrText xml:space="preserve"> PAGEREF _Toc139707803 \h </w:instrText>
      </w:r>
      <w:r>
        <w:fldChar w:fldCharType="separate"/>
      </w:r>
      <w:r>
        <w:t>27</w:t>
      </w:r>
      <w:r>
        <w:fldChar w:fldCharType="end"/>
      </w:r>
    </w:p>
    <w:p>
      <w:pPr>
        <w:pStyle w:val="TOC8"/>
        <w:rPr>
          <w:sz w:val="24"/>
          <w:szCs w:val="24"/>
        </w:rPr>
      </w:pPr>
      <w:r>
        <w:rPr>
          <w:snapToGrid w:val="0"/>
          <w:szCs w:val="22"/>
        </w:rPr>
        <w:t>7.</w:t>
      </w:r>
      <w:r>
        <w:rPr>
          <w:snapToGrid w:val="0"/>
          <w:szCs w:val="22"/>
        </w:rPr>
        <w:tab/>
        <w:t>Presiding member</w:t>
      </w:r>
      <w:r>
        <w:tab/>
      </w:r>
      <w:r>
        <w:fldChar w:fldCharType="begin"/>
      </w:r>
      <w:r>
        <w:instrText xml:space="preserve"> PAGEREF _Toc139707804 \h </w:instrText>
      </w:r>
      <w:r>
        <w:fldChar w:fldCharType="separate"/>
      </w:r>
      <w:r>
        <w:t>28</w:t>
      </w:r>
      <w:r>
        <w:fldChar w:fldCharType="end"/>
      </w:r>
    </w:p>
    <w:p>
      <w:pPr>
        <w:pStyle w:val="TOC8"/>
        <w:rPr>
          <w:sz w:val="24"/>
          <w:szCs w:val="24"/>
        </w:rPr>
      </w:pPr>
      <w:r>
        <w:rPr>
          <w:snapToGrid w:val="0"/>
          <w:szCs w:val="22"/>
        </w:rPr>
        <w:t>8.</w:t>
      </w:r>
      <w:r>
        <w:rPr>
          <w:snapToGrid w:val="0"/>
          <w:szCs w:val="22"/>
        </w:rPr>
        <w:tab/>
        <w:t>Voting</w:t>
      </w:r>
      <w:r>
        <w:tab/>
      </w:r>
      <w:r>
        <w:fldChar w:fldCharType="begin"/>
      </w:r>
      <w:r>
        <w:instrText xml:space="preserve"> PAGEREF _Toc139707805 \h </w:instrText>
      </w:r>
      <w:r>
        <w:fldChar w:fldCharType="separate"/>
      </w:r>
      <w:r>
        <w:t>28</w:t>
      </w:r>
      <w:r>
        <w:fldChar w:fldCharType="end"/>
      </w:r>
    </w:p>
    <w:p>
      <w:pPr>
        <w:pStyle w:val="TOC8"/>
        <w:rPr>
          <w:sz w:val="24"/>
          <w:szCs w:val="24"/>
        </w:rPr>
      </w:pPr>
      <w:r>
        <w:rPr>
          <w:snapToGrid w:val="0"/>
          <w:szCs w:val="22"/>
        </w:rPr>
        <w:t>9.</w:t>
      </w:r>
      <w:r>
        <w:rPr>
          <w:snapToGrid w:val="0"/>
          <w:szCs w:val="22"/>
        </w:rPr>
        <w:tab/>
        <w:t>Minutes</w:t>
      </w:r>
      <w:r>
        <w:tab/>
      </w:r>
      <w:r>
        <w:fldChar w:fldCharType="begin"/>
      </w:r>
      <w:r>
        <w:instrText xml:space="preserve"> PAGEREF _Toc139707806 \h </w:instrText>
      </w:r>
      <w:r>
        <w:fldChar w:fldCharType="separate"/>
      </w:r>
      <w:r>
        <w:t>28</w:t>
      </w:r>
      <w:r>
        <w:fldChar w:fldCharType="end"/>
      </w:r>
    </w:p>
    <w:p>
      <w:pPr>
        <w:pStyle w:val="TOC8"/>
        <w:rPr>
          <w:sz w:val="24"/>
          <w:szCs w:val="24"/>
        </w:rPr>
      </w:pPr>
      <w:r>
        <w:rPr>
          <w:snapToGrid w:val="0"/>
          <w:szCs w:val="22"/>
        </w:rPr>
        <w:t>10.</w:t>
      </w:r>
      <w:r>
        <w:rPr>
          <w:snapToGrid w:val="0"/>
          <w:szCs w:val="22"/>
        </w:rPr>
        <w:tab/>
        <w:t>Common seal and execution of documents by Commission</w:t>
      </w:r>
      <w:r>
        <w:tab/>
      </w:r>
      <w:r>
        <w:fldChar w:fldCharType="begin"/>
      </w:r>
      <w:r>
        <w:instrText xml:space="preserve"> PAGEREF _Toc139707807 \h </w:instrText>
      </w:r>
      <w:r>
        <w:fldChar w:fldCharType="separate"/>
      </w:r>
      <w:r>
        <w:t>28</w:t>
      </w:r>
      <w:r>
        <w:fldChar w:fldCharType="end"/>
      </w:r>
    </w:p>
    <w:p>
      <w:pPr>
        <w:pStyle w:val="TOC2"/>
        <w:tabs>
          <w:tab w:val="right" w:leader="dot" w:pos="7078"/>
        </w:tabs>
        <w:rPr>
          <w:b w:val="0"/>
          <w:sz w:val="24"/>
          <w:szCs w:val="24"/>
        </w:rPr>
      </w:pPr>
      <w:r>
        <w:rPr>
          <w:szCs w:val="28"/>
        </w:rPr>
        <w:t>Schedule 2</w:t>
      </w:r>
    </w:p>
    <w:p>
      <w:pPr>
        <w:pStyle w:val="TOC8"/>
        <w:rPr>
          <w:sz w:val="24"/>
          <w:szCs w:val="24"/>
        </w:rPr>
      </w:pPr>
      <w:r>
        <w:rPr>
          <w:snapToGrid w:val="0"/>
          <w:szCs w:val="22"/>
        </w:rPr>
        <w:t>1.</w:t>
      </w:r>
      <w:r>
        <w:rPr>
          <w:snapToGrid w:val="0"/>
          <w:szCs w:val="22"/>
        </w:rPr>
        <w:tab/>
        <w:t>Definitions</w:t>
      </w:r>
      <w:r>
        <w:tab/>
      </w:r>
      <w:r>
        <w:fldChar w:fldCharType="begin"/>
      </w:r>
      <w:r>
        <w:instrText xml:space="preserve"> PAGEREF _Toc139707809 \h </w:instrText>
      </w:r>
      <w:r>
        <w:fldChar w:fldCharType="separate"/>
      </w:r>
      <w:r>
        <w:t>30</w:t>
      </w:r>
      <w:r>
        <w:fldChar w:fldCharType="end"/>
      </w:r>
    </w:p>
    <w:p>
      <w:pPr>
        <w:pStyle w:val="TOC8"/>
        <w:rPr>
          <w:sz w:val="24"/>
          <w:szCs w:val="24"/>
        </w:rPr>
      </w:pPr>
      <w:r>
        <w:rPr>
          <w:snapToGrid w:val="0"/>
          <w:szCs w:val="22"/>
        </w:rPr>
        <w:t>2.</w:t>
      </w:r>
      <w:r>
        <w:rPr>
          <w:snapToGrid w:val="0"/>
          <w:szCs w:val="22"/>
        </w:rPr>
        <w:tab/>
        <w:t>Assets, liabilities, etc.</w:t>
      </w:r>
      <w:r>
        <w:tab/>
      </w:r>
      <w:r>
        <w:fldChar w:fldCharType="begin"/>
      </w:r>
      <w:r>
        <w:instrText xml:space="preserve"> PAGEREF _Toc139707810 \h </w:instrText>
      </w:r>
      <w:r>
        <w:fldChar w:fldCharType="separate"/>
      </w:r>
      <w:r>
        <w:t>30</w:t>
      </w:r>
      <w:r>
        <w:fldChar w:fldCharType="end"/>
      </w:r>
    </w:p>
    <w:p>
      <w:pPr>
        <w:pStyle w:val="TOC8"/>
        <w:rPr>
          <w:sz w:val="24"/>
          <w:szCs w:val="24"/>
        </w:rPr>
      </w:pPr>
      <w:r>
        <w:rPr>
          <w:snapToGrid w:val="0"/>
          <w:szCs w:val="22"/>
        </w:rPr>
        <w:t>3.</w:t>
      </w:r>
      <w:r>
        <w:rPr>
          <w:snapToGrid w:val="0"/>
          <w:szCs w:val="22"/>
        </w:rPr>
        <w:tab/>
        <w:t>Agreements and instruments</w:t>
      </w:r>
      <w:r>
        <w:tab/>
      </w:r>
      <w:r>
        <w:fldChar w:fldCharType="begin"/>
      </w:r>
      <w:r>
        <w:instrText xml:space="preserve"> PAGEREF _Toc139707811 \h </w:instrText>
      </w:r>
      <w:r>
        <w:fldChar w:fldCharType="separate"/>
      </w:r>
      <w:r>
        <w:t>30</w:t>
      </w:r>
      <w:r>
        <w:fldChar w:fldCharType="end"/>
      </w:r>
    </w:p>
    <w:p>
      <w:pPr>
        <w:pStyle w:val="TOC8"/>
        <w:rPr>
          <w:sz w:val="24"/>
          <w:szCs w:val="24"/>
        </w:rPr>
      </w:pPr>
      <w:r>
        <w:rPr>
          <w:snapToGrid w:val="0"/>
          <w:szCs w:val="22"/>
        </w:rPr>
        <w:t>4.</w:t>
      </w:r>
      <w:r>
        <w:rPr>
          <w:snapToGrid w:val="0"/>
          <w:szCs w:val="22"/>
        </w:rPr>
        <w:tab/>
        <w:t>Former Board members</w:t>
      </w:r>
      <w:r>
        <w:tab/>
      </w:r>
      <w:r>
        <w:fldChar w:fldCharType="begin"/>
      </w:r>
      <w:r>
        <w:instrText xml:space="preserve"> PAGEREF _Toc139707812 \h </w:instrText>
      </w:r>
      <w:r>
        <w:fldChar w:fldCharType="separate"/>
      </w:r>
      <w:r>
        <w:t>31</w:t>
      </w:r>
      <w:r>
        <w:fldChar w:fldCharType="end"/>
      </w:r>
    </w:p>
    <w:p>
      <w:pPr>
        <w:pStyle w:val="TOC8"/>
        <w:rPr>
          <w:sz w:val="24"/>
          <w:szCs w:val="24"/>
        </w:rPr>
      </w:pPr>
      <w:r>
        <w:rPr>
          <w:snapToGrid w:val="0"/>
          <w:szCs w:val="22"/>
        </w:rPr>
        <w:t>5.</w:t>
      </w:r>
      <w:r>
        <w:rPr>
          <w:snapToGrid w:val="0"/>
          <w:szCs w:val="22"/>
        </w:rPr>
        <w:tab/>
        <w:t>References</w:t>
      </w:r>
      <w:r>
        <w:tab/>
      </w:r>
      <w:r>
        <w:fldChar w:fldCharType="begin"/>
      </w:r>
      <w:r>
        <w:instrText xml:space="preserve"> PAGEREF _Toc139707813 \h </w:instrText>
      </w:r>
      <w:r>
        <w:fldChar w:fldCharType="separate"/>
      </w:r>
      <w:r>
        <w:t>31</w:t>
      </w:r>
      <w:r>
        <w:fldChar w:fldCharType="end"/>
      </w:r>
    </w:p>
    <w:p>
      <w:pPr>
        <w:pStyle w:val="TOC8"/>
        <w:rPr>
          <w:sz w:val="24"/>
          <w:szCs w:val="24"/>
        </w:rPr>
      </w:pPr>
      <w:r>
        <w:rPr>
          <w:snapToGrid w:val="0"/>
          <w:szCs w:val="22"/>
        </w:rPr>
        <w:t>6.</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_Toc139707814 \h </w:instrText>
      </w:r>
      <w:r>
        <w:fldChar w:fldCharType="separate"/>
      </w:r>
      <w:r>
        <w:t>31</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_Toc139707816 \h </w:instrText>
      </w:r>
      <w:r>
        <w:fldChar w:fldCharType="separate"/>
      </w:r>
      <w:r>
        <w:t>32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State Supply Commission Act 1991 </w:t>
      </w:r>
    </w:p>
    <w:p>
      <w:pPr>
        <w:pStyle w:val="LongTitle"/>
        <w:rPr>
          <w:snapToGrid w:val="0"/>
        </w:rPr>
      </w:pPr>
      <w:r>
        <w:rPr>
          <w:snapToGrid w:val="0"/>
        </w:rPr>
        <w:t>An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 </w:t>
      </w:r>
    </w:p>
    <w:p>
      <w:pPr>
        <w:pStyle w:val="Footnotelongtitle"/>
      </w:pPr>
      <w:r>
        <w:tab/>
        <w:t xml:space="preserve">[Long title amended by No. 97 of 1994 s. 4.] </w:t>
      </w:r>
    </w:p>
    <w:p>
      <w:pPr>
        <w:pStyle w:val="Heading2"/>
      </w:pPr>
      <w:bookmarkStart w:id="2" w:name="_Toc139361200"/>
      <w:bookmarkStart w:id="3" w:name="_Toc139707739"/>
      <w:r>
        <w:rPr>
          <w:rStyle w:val="CharPartNo"/>
        </w:rPr>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520186719"/>
      <w:bookmarkStart w:id="5" w:name="_Toc9140295"/>
      <w:bookmarkStart w:id="6" w:name="_Toc70226487"/>
      <w:bookmarkStart w:id="7" w:name="_Toc139707740"/>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vertAlign w:val="superscript"/>
        </w:rPr>
        <w:t> 1</w:t>
      </w:r>
      <w:r>
        <w:rPr>
          <w:snapToGrid w:val="0"/>
        </w:rPr>
        <w:t>.</w:t>
      </w:r>
    </w:p>
    <w:p>
      <w:pPr>
        <w:pStyle w:val="Heading5"/>
        <w:rPr>
          <w:snapToGrid w:val="0"/>
        </w:rPr>
      </w:pPr>
      <w:bookmarkStart w:id="8" w:name="_Toc520186720"/>
      <w:bookmarkStart w:id="9" w:name="_Toc9140296"/>
      <w:bookmarkStart w:id="10" w:name="_Toc70226488"/>
      <w:bookmarkStart w:id="11" w:name="_Toc139707741"/>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2" w:name="_Toc520186721"/>
      <w:bookmarkStart w:id="13" w:name="_Toc9140297"/>
      <w:bookmarkStart w:id="14" w:name="_Toc70226489"/>
      <w:bookmarkStart w:id="15" w:name="_Toc139707742"/>
      <w:r>
        <w:rPr>
          <w:rStyle w:val="CharSectno"/>
        </w:rPr>
        <w:t>3</w:t>
      </w:r>
      <w:r>
        <w:rPr>
          <w:snapToGrid w:val="0"/>
        </w:rPr>
        <w:t>.</w:t>
      </w:r>
      <w:r>
        <w:rPr>
          <w:snapToGrid w:val="0"/>
        </w:rPr>
        <w:tab/>
        <w:t>Interpretation</w:t>
      </w:r>
      <w:bookmarkEnd w:id="12"/>
      <w:bookmarkEnd w:id="13"/>
      <w:bookmarkEnd w:id="14"/>
      <w:bookmarkEnd w:id="1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State Supply Commission established under section 4(1);</w:t>
      </w:r>
    </w:p>
    <w:p>
      <w:pPr>
        <w:pStyle w:val="Defstart"/>
      </w:pPr>
      <w:r>
        <w:rPr>
          <w:b/>
        </w:rPr>
        <w:tab/>
        <w:t>“</w:t>
      </w:r>
      <w:r>
        <w:rPr>
          <w:rStyle w:val="CharDefText"/>
        </w:rPr>
        <w:t>efficient</w:t>
      </w:r>
      <w:r>
        <w:rPr>
          <w:b/>
        </w:rPr>
        <w:t>”</w:t>
      </w:r>
      <w:r>
        <w:t>, in relation to the supply or disposal of goods or services, means efficient having regard to considerations of time, economy and quality;</w:t>
      </w:r>
    </w:p>
    <w:p>
      <w:pPr>
        <w:pStyle w:val="Defstart"/>
      </w:pPr>
      <w:r>
        <w:rPr>
          <w:b/>
        </w:rPr>
        <w:tab/>
        <w:t>“</w:t>
      </w:r>
      <w:r>
        <w:rPr>
          <w:rStyle w:val="CharDefText"/>
        </w:rPr>
        <w:t>member</w:t>
      </w:r>
      <w:r>
        <w:rPr>
          <w:b/>
        </w:rPr>
        <w:t>”</w:t>
      </w:r>
      <w:r>
        <w:t xml:space="preserve"> means a member of the Commission;</w:t>
      </w:r>
    </w:p>
    <w:p>
      <w:pPr>
        <w:pStyle w:val="Defstart"/>
        <w:keepNext/>
      </w:pPr>
      <w:r>
        <w:rPr>
          <w:b/>
        </w:rPr>
        <w:tab/>
        <w:t>“</w:t>
      </w:r>
      <w:r>
        <w:rPr>
          <w:rStyle w:val="CharDefText"/>
        </w:rPr>
        <w:t>public authority</w:t>
      </w:r>
      <w:r>
        <w:rPr>
          <w:b/>
        </w:rPr>
        <w:t>”</w:t>
      </w:r>
      <w:r>
        <w:t xml:space="preserve"> means — </w:t>
      </w:r>
    </w:p>
    <w:p>
      <w:pPr>
        <w:pStyle w:val="Defpara"/>
      </w:pPr>
      <w:r>
        <w:tab/>
        <w:t>(a)</w:t>
      </w:r>
      <w:r>
        <w:tab/>
        <w:t xml:space="preserve">a department of the Public Service of the State established or deemed to have been established under the </w:t>
      </w:r>
      <w:r>
        <w:rPr>
          <w:i/>
        </w:rPr>
        <w:t>Public Sector Management Act 1994</w:t>
      </w:r>
      <w:r>
        <w:t xml:space="preserve"> </w:t>
      </w:r>
      <w:r>
        <w:rPr>
          <w:vertAlign w:val="superscript"/>
        </w:rPr>
        <w:t>2</w:t>
      </w:r>
      <w:r>
        <w:t>; and</w:t>
      </w:r>
    </w:p>
    <w:p>
      <w:pPr>
        <w:pStyle w:val="Defpara"/>
      </w:pPr>
      <w:r>
        <w:tab/>
        <w:t>(b)</w:t>
      </w:r>
      <w:r>
        <w:tab/>
        <w:t>an agency, authority or instrumentality of the Crown in right of the State;</w:t>
      </w:r>
    </w:p>
    <w:p>
      <w:pPr>
        <w:pStyle w:val="Defstart"/>
      </w:pPr>
      <w:r>
        <w:rPr>
          <w:b/>
        </w:rPr>
        <w:tab/>
        <w:t>“</w:t>
      </w:r>
      <w:r>
        <w:rPr>
          <w:rStyle w:val="CharDefText"/>
        </w:rPr>
        <w:t>supply</w:t>
      </w:r>
      <w:r>
        <w:rPr>
          <w:b/>
        </w:rPr>
        <w:t>”</w:t>
      </w:r>
      <w:r>
        <w:t>, in relation to goods and services, includes — </w:t>
      </w:r>
    </w:p>
    <w:p>
      <w:pPr>
        <w:pStyle w:val="Defpara"/>
      </w:pPr>
      <w:r>
        <w:tab/>
        <w:t>(a)</w:t>
      </w:r>
      <w:r>
        <w:tab/>
        <w:t>the doing of anything described in section 5(ba); and</w:t>
      </w:r>
    </w:p>
    <w:p>
      <w:pPr>
        <w:pStyle w:val="Defpara"/>
      </w:pPr>
      <w:r>
        <w:tab/>
        <w:t>(b)</w:t>
      </w:r>
      <w:r>
        <w:tab/>
        <w:t>storage and distribution;</w:t>
      </w:r>
    </w:p>
    <w:p>
      <w:pPr>
        <w:pStyle w:val="Defstart"/>
      </w:pPr>
      <w:r>
        <w:rPr>
          <w:b/>
        </w:rPr>
        <w:tab/>
        <w:t>“</w:t>
      </w:r>
      <w:r>
        <w:rPr>
          <w:rStyle w:val="CharDefText"/>
        </w:rPr>
        <w:t>supply policies</w:t>
      </w:r>
      <w:r>
        <w:rPr>
          <w:b/>
        </w:rPr>
        <w:t>”</w:t>
      </w:r>
      <w:r>
        <w:t xml:space="preserve"> means supply policies issued under and in accordance with section 28.</w:t>
      </w:r>
    </w:p>
    <w:p>
      <w:pPr>
        <w:pStyle w:val="Subsection"/>
        <w:keepNext/>
        <w:rPr>
          <w:snapToGrid w:val="0"/>
        </w:rPr>
      </w:pPr>
      <w:r>
        <w:rPr>
          <w:snapToGrid w:val="0"/>
        </w:rPr>
        <w:tab/>
        <w:t>(2)</w:t>
      </w:r>
      <w:r>
        <w:rPr>
          <w:snapToGrid w:val="0"/>
        </w:rPr>
        <w:tab/>
        <w:t>Regulations may provide — </w:t>
      </w:r>
    </w:p>
    <w:p>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pPr>
        <w:pStyle w:val="Subsection"/>
        <w:rPr>
          <w:snapToGrid w:val="0"/>
        </w:rPr>
      </w:pPr>
      <w:r>
        <w:rPr>
          <w:snapToGrid w:val="0"/>
        </w:rPr>
        <w:tab/>
        <w:t>(3)</w:t>
      </w:r>
      <w:r>
        <w:rPr>
          <w:snapToGrid w:val="0"/>
        </w:rPr>
        <w:tab/>
        <w:t>Regulations made under subsection (2) do not affect the generality of the terms “goods” and “services” as used in this Act.</w:t>
      </w:r>
    </w:p>
    <w:p>
      <w:pPr>
        <w:pStyle w:val="Footnotesection"/>
      </w:pPr>
      <w:r>
        <w:tab/>
        <w:t xml:space="preserve">[Section 3 amended by No. 97 of 1994 s. 5; No. 32 of 1995 s. 4.] </w:t>
      </w:r>
    </w:p>
    <w:p>
      <w:pPr>
        <w:pStyle w:val="Heading2"/>
      </w:pPr>
      <w:bookmarkStart w:id="16" w:name="_Toc139361204"/>
      <w:bookmarkStart w:id="17" w:name="_Toc139707743"/>
      <w:r>
        <w:rPr>
          <w:rStyle w:val="CharPartNo"/>
        </w:rPr>
        <w:t>Part 2</w:t>
      </w:r>
      <w:r>
        <w:t> — </w:t>
      </w:r>
      <w:r>
        <w:rPr>
          <w:rStyle w:val="CharPartText"/>
        </w:rPr>
        <w:t>State Supply Commission</w:t>
      </w:r>
      <w:bookmarkEnd w:id="16"/>
      <w:bookmarkEnd w:id="17"/>
      <w:r>
        <w:rPr>
          <w:rStyle w:val="CharPartText"/>
        </w:rPr>
        <w:t xml:space="preserve"> </w:t>
      </w:r>
    </w:p>
    <w:p>
      <w:pPr>
        <w:pStyle w:val="Heading3"/>
        <w:rPr>
          <w:snapToGrid w:val="0"/>
        </w:rPr>
      </w:pPr>
      <w:bookmarkStart w:id="18" w:name="_Toc139361205"/>
      <w:bookmarkStart w:id="19" w:name="_Toc139707744"/>
      <w:r>
        <w:rPr>
          <w:rStyle w:val="CharDivNo"/>
        </w:rPr>
        <w:t>Division 1</w:t>
      </w:r>
      <w:r>
        <w:rPr>
          <w:snapToGrid w:val="0"/>
        </w:rPr>
        <w:t> — </w:t>
      </w:r>
      <w:r>
        <w:rPr>
          <w:rStyle w:val="CharDivText"/>
        </w:rPr>
        <w:t>Establishment, functions and powers</w:t>
      </w:r>
      <w:bookmarkEnd w:id="18"/>
      <w:bookmarkEnd w:id="19"/>
      <w:r>
        <w:rPr>
          <w:rStyle w:val="CharDivText"/>
        </w:rPr>
        <w:t xml:space="preserve"> </w:t>
      </w:r>
    </w:p>
    <w:p>
      <w:pPr>
        <w:pStyle w:val="Heading5"/>
        <w:rPr>
          <w:snapToGrid w:val="0"/>
        </w:rPr>
      </w:pPr>
      <w:bookmarkStart w:id="20" w:name="_Toc520186722"/>
      <w:bookmarkStart w:id="21" w:name="_Toc9140298"/>
      <w:bookmarkStart w:id="22" w:name="_Toc70226490"/>
      <w:bookmarkStart w:id="23" w:name="_Toc139707745"/>
      <w:r>
        <w:rPr>
          <w:rStyle w:val="CharSectno"/>
        </w:rPr>
        <w:t>4</w:t>
      </w:r>
      <w:r>
        <w:rPr>
          <w:snapToGrid w:val="0"/>
        </w:rPr>
        <w:t>.</w:t>
      </w:r>
      <w:r>
        <w:rPr>
          <w:snapToGrid w:val="0"/>
        </w:rPr>
        <w:tab/>
        <w:t>Commission established</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There shall be established a body to be known as the State Supply Commission.</w:t>
      </w:r>
    </w:p>
    <w:p>
      <w:pPr>
        <w:pStyle w:val="Subsection"/>
        <w:keepNext/>
        <w:rPr>
          <w:snapToGrid w:val="0"/>
        </w:rPr>
      </w:pPr>
      <w:r>
        <w:rPr>
          <w:snapToGrid w:val="0"/>
        </w:rPr>
        <w:tab/>
        <w:t>(2)</w:t>
      </w:r>
      <w:r>
        <w:rPr>
          <w:snapToGrid w:val="0"/>
        </w:rPr>
        <w:tab/>
        <w:t>The Commission is a body corporate with perpetual succession and common seal and, subject to this Act, is capable of — </w:t>
      </w:r>
    </w:p>
    <w:p>
      <w:pPr>
        <w:pStyle w:val="Indenta"/>
        <w:rPr>
          <w:snapToGrid w:val="0"/>
        </w:rPr>
      </w:pPr>
      <w:r>
        <w:rPr>
          <w:snapToGrid w:val="0"/>
        </w:rPr>
        <w:tab/>
        <w:t>(a)</w:t>
      </w:r>
      <w:r>
        <w:rPr>
          <w:snapToGrid w:val="0"/>
        </w:rPr>
        <w:tab/>
        <w:t>acquiring, holding and disposing of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24" w:name="_Toc520186723"/>
      <w:bookmarkStart w:id="25" w:name="_Toc9140299"/>
      <w:bookmarkStart w:id="26" w:name="_Toc70226491"/>
      <w:bookmarkStart w:id="27" w:name="_Toc139707746"/>
      <w:r>
        <w:rPr>
          <w:rStyle w:val="CharSectno"/>
        </w:rPr>
        <w:t>5</w:t>
      </w:r>
      <w:r>
        <w:rPr>
          <w:snapToGrid w:val="0"/>
        </w:rPr>
        <w:t>.</w:t>
      </w:r>
      <w:r>
        <w:rPr>
          <w:snapToGrid w:val="0"/>
        </w:rPr>
        <w:tab/>
        <w:t>Functions of Commission</w:t>
      </w:r>
      <w:bookmarkEnd w:id="24"/>
      <w:bookmarkEnd w:id="25"/>
      <w:bookmarkEnd w:id="26"/>
      <w:bookmarkEnd w:id="27"/>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pPr>
        <w:pStyle w:val="Indenta"/>
        <w:keepNext/>
        <w:rPr>
          <w:snapToGrid w:val="0"/>
        </w:rPr>
      </w:pPr>
      <w:r>
        <w:rPr>
          <w:snapToGrid w:val="0"/>
        </w:rPr>
        <w:tab/>
        <w:t>(ba)</w:t>
      </w:r>
      <w:r>
        <w:rPr>
          <w:snapToGrid w:val="0"/>
        </w:rPr>
        <w:tab/>
        <w:t>to acquire ownership of, rights to, or other proprietary or possessory interests in respect of, goods or services and to — </w:t>
      </w:r>
    </w:p>
    <w:p>
      <w:pPr>
        <w:pStyle w:val="Indenti"/>
        <w:rPr>
          <w:snapToGrid w:val="0"/>
        </w:rPr>
      </w:pPr>
      <w:r>
        <w:rPr>
          <w:snapToGrid w:val="0"/>
        </w:rPr>
        <w:tab/>
        <w:t>(i)</w:t>
      </w:r>
      <w:r>
        <w:rPr>
          <w:snapToGrid w:val="0"/>
        </w:rPr>
        <w:tab/>
        <w:t xml:space="preserve">transfer ownership of goods or rights to services; or </w:t>
      </w:r>
    </w:p>
    <w:p>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pPr>
        <w:pStyle w:val="Indenta"/>
        <w:rPr>
          <w:snapToGrid w:val="0"/>
        </w:rPr>
      </w:pPr>
      <w:r>
        <w:rPr>
          <w:snapToGrid w:val="0"/>
        </w:rPr>
        <w:tab/>
      </w:r>
      <w:r>
        <w:rPr>
          <w:snapToGrid w:val="0"/>
        </w:rPr>
        <w:tab/>
        <w:t>to public authorities;</w:t>
      </w:r>
    </w:p>
    <w:p>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pPr>
        <w:pStyle w:val="Indenta"/>
        <w:rPr>
          <w:snapToGrid w:val="0"/>
        </w:rPr>
      </w:pPr>
      <w:r>
        <w:rPr>
          <w:snapToGrid w:val="0"/>
        </w:rPr>
        <w:tab/>
        <w:t>(ca)</w:t>
      </w:r>
      <w:r>
        <w:rPr>
          <w:snapToGrid w:val="0"/>
        </w:rPr>
        <w:tab/>
        <w:t>to effect the sale of government businesses under Part 3A;</w:t>
      </w:r>
    </w:p>
    <w:p>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pPr>
        <w:pStyle w:val="Footnotesection"/>
      </w:pPr>
      <w:r>
        <w:tab/>
        <w:t xml:space="preserve">[Section 5 amended by No. 97 of 1994 s. 6; No. 32 of 1995 s. 5.] </w:t>
      </w:r>
    </w:p>
    <w:p>
      <w:pPr>
        <w:pStyle w:val="Heading5"/>
        <w:rPr>
          <w:snapToGrid w:val="0"/>
        </w:rPr>
      </w:pPr>
      <w:bookmarkStart w:id="28" w:name="_Toc520186724"/>
      <w:bookmarkStart w:id="29" w:name="_Toc9140300"/>
      <w:bookmarkStart w:id="30" w:name="_Toc70226492"/>
      <w:bookmarkStart w:id="31" w:name="_Toc139707747"/>
      <w:r>
        <w:rPr>
          <w:rStyle w:val="CharSectno"/>
        </w:rPr>
        <w:t>5A</w:t>
      </w:r>
      <w:r>
        <w:rPr>
          <w:snapToGrid w:val="0"/>
        </w:rPr>
        <w:t>.</w:t>
      </w:r>
      <w:r>
        <w:rPr>
          <w:snapToGrid w:val="0"/>
        </w:rPr>
        <w:tab/>
        <w:t>Sale and lease</w:t>
      </w:r>
      <w:r>
        <w:rPr>
          <w:snapToGrid w:val="0"/>
        </w:rPr>
        <w:noBreakHyphen/>
        <w:t>back of goods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Commission also has the function of giving effect to a requirement under subsection (3).</w:t>
      </w:r>
    </w:p>
    <w:p>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 xml:space="preserve">back of those goods. </w:t>
      </w:r>
    </w:p>
    <w:p>
      <w:pPr>
        <w:pStyle w:val="Subsection"/>
        <w:rPr>
          <w:snapToGrid w:val="0"/>
        </w:rPr>
      </w:pPr>
      <w:r>
        <w:rPr>
          <w:snapToGrid w:val="0"/>
        </w:rPr>
        <w:tab/>
        <w:t>(3)</w:t>
      </w:r>
      <w:r>
        <w:rPr>
          <w:snapToGrid w:val="0"/>
        </w:rPr>
        <w:tab/>
        <w:t xml:space="preserve">If the Minister makes a determination under subsection (2), the Minister may require the Commission to enter into a contract or contracts for the sale of the goods to which the determination applies. </w:t>
      </w:r>
    </w:p>
    <w:p>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pPr>
        <w:pStyle w:val="Footnotesection"/>
      </w:pPr>
      <w:r>
        <w:tab/>
        <w:t xml:space="preserve">[Section 5A inserted by No. 32 of 1995 s. 6.] </w:t>
      </w:r>
    </w:p>
    <w:p>
      <w:pPr>
        <w:pStyle w:val="Heading5"/>
        <w:rPr>
          <w:snapToGrid w:val="0"/>
        </w:rPr>
      </w:pPr>
      <w:bookmarkStart w:id="32" w:name="_Toc520186725"/>
      <w:bookmarkStart w:id="33" w:name="_Toc9140301"/>
      <w:bookmarkStart w:id="34" w:name="_Toc70226493"/>
      <w:bookmarkStart w:id="35" w:name="_Toc139707748"/>
      <w:r>
        <w:rPr>
          <w:rStyle w:val="CharSectno"/>
        </w:rPr>
        <w:t>6</w:t>
      </w:r>
      <w:r>
        <w:rPr>
          <w:snapToGrid w:val="0"/>
        </w:rPr>
        <w:t>.</w:t>
      </w:r>
      <w:r>
        <w:rPr>
          <w:snapToGrid w:val="0"/>
        </w:rPr>
        <w:tab/>
        <w:t>Powers of Commission</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enter into any contract or other arrangement, organize auctions, call for and award tenders;</w:t>
      </w:r>
    </w:p>
    <w:p>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pPr>
        <w:pStyle w:val="Indenta"/>
        <w:rPr>
          <w:snapToGrid w:val="0"/>
        </w:rPr>
      </w:pPr>
      <w:r>
        <w:rPr>
          <w:snapToGrid w:val="0"/>
        </w:rPr>
        <w:tab/>
        <w:t>(c)</w:t>
      </w:r>
      <w:r>
        <w:rPr>
          <w:snapToGrid w:val="0"/>
        </w:rPr>
        <w:tab/>
        <w:t>act as an agent for a public authority.</w:t>
      </w:r>
    </w:p>
    <w:p>
      <w:pPr>
        <w:pStyle w:val="Heading5"/>
        <w:rPr>
          <w:snapToGrid w:val="0"/>
        </w:rPr>
      </w:pPr>
      <w:bookmarkStart w:id="36" w:name="_Toc520186726"/>
      <w:bookmarkStart w:id="37" w:name="_Toc9140302"/>
      <w:bookmarkStart w:id="38" w:name="_Toc70226494"/>
      <w:bookmarkStart w:id="39" w:name="_Toc139707749"/>
      <w:r>
        <w:rPr>
          <w:rStyle w:val="CharSectno"/>
        </w:rPr>
        <w:t>7</w:t>
      </w:r>
      <w:r>
        <w:rPr>
          <w:snapToGrid w:val="0"/>
        </w:rPr>
        <w:t>.</w:t>
      </w:r>
      <w:r>
        <w:rPr>
          <w:snapToGrid w:val="0"/>
        </w:rPr>
        <w:tab/>
        <w:t>Directions by Minister</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pPr>
        <w:pStyle w:val="Subsection"/>
        <w:keepNext/>
        <w:rPr>
          <w:snapToGrid w:val="0"/>
        </w:rPr>
      </w:pPr>
      <w:r>
        <w:rPr>
          <w:snapToGrid w:val="0"/>
        </w:rPr>
        <w:tab/>
        <w:t>(2)</w:t>
      </w:r>
      <w:r>
        <w:rPr>
          <w:snapToGrid w:val="0"/>
        </w:rPr>
        <w:tab/>
        <w:t>The text of any direction received by the Commission under subsection (1) shall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pPr>
        <w:pStyle w:val="Indenta"/>
        <w:rPr>
          <w:snapToGrid w:val="0"/>
        </w:rPr>
      </w:pPr>
      <w:r>
        <w:rPr>
          <w:snapToGrid w:val="0"/>
        </w:rPr>
        <w:tab/>
        <w:t>(b)</w:t>
      </w:r>
      <w:r>
        <w:rPr>
          <w:snapToGrid w:val="0"/>
        </w:rPr>
        <w:tab/>
        <w:t xml:space="preserve">included in the annual report submitted by the accountable authority of the Commission under section 66 of the </w:t>
      </w:r>
      <w:r>
        <w:rPr>
          <w:i/>
          <w:snapToGrid w:val="0"/>
        </w:rPr>
        <w:t>Financial Administration and Audit Act 1985</w:t>
      </w:r>
      <w:r>
        <w:rPr>
          <w:snapToGrid w:val="0"/>
        </w:rPr>
        <w:t>.</w:t>
      </w:r>
    </w:p>
    <w:p>
      <w:pPr>
        <w:pStyle w:val="Heading3"/>
        <w:rPr>
          <w:snapToGrid w:val="0"/>
        </w:rPr>
      </w:pPr>
      <w:bookmarkStart w:id="40" w:name="_Toc139361211"/>
      <w:bookmarkStart w:id="41" w:name="_Toc139707750"/>
      <w:r>
        <w:rPr>
          <w:rStyle w:val="CharDivNo"/>
        </w:rPr>
        <w:t>Division 2</w:t>
      </w:r>
      <w:r>
        <w:rPr>
          <w:snapToGrid w:val="0"/>
        </w:rPr>
        <w:t> — </w:t>
      </w:r>
      <w:r>
        <w:rPr>
          <w:rStyle w:val="CharDivText"/>
        </w:rPr>
        <w:t>Membership, constitution, proceedings, etc.</w:t>
      </w:r>
      <w:bookmarkEnd w:id="40"/>
      <w:bookmarkEnd w:id="41"/>
      <w:r>
        <w:rPr>
          <w:rStyle w:val="CharDivText"/>
        </w:rPr>
        <w:t xml:space="preserve"> </w:t>
      </w:r>
    </w:p>
    <w:p>
      <w:pPr>
        <w:pStyle w:val="Heading5"/>
        <w:rPr>
          <w:snapToGrid w:val="0"/>
        </w:rPr>
      </w:pPr>
      <w:bookmarkStart w:id="42" w:name="_Toc520186727"/>
      <w:bookmarkStart w:id="43" w:name="_Toc9140303"/>
      <w:bookmarkStart w:id="44" w:name="_Toc70226495"/>
      <w:bookmarkStart w:id="45" w:name="_Toc139707751"/>
      <w:r>
        <w:rPr>
          <w:rStyle w:val="CharSectno"/>
        </w:rPr>
        <w:t>8</w:t>
      </w:r>
      <w:r>
        <w:rPr>
          <w:snapToGrid w:val="0"/>
        </w:rPr>
        <w:t>.</w:t>
      </w:r>
      <w:r>
        <w:rPr>
          <w:snapToGrid w:val="0"/>
        </w:rPr>
        <w:tab/>
        <w:t>Membership of Commission</w:t>
      </w:r>
      <w:bookmarkEnd w:id="42"/>
      <w:bookmarkEnd w:id="43"/>
      <w:bookmarkEnd w:id="44"/>
      <w:bookmarkEnd w:id="45"/>
      <w:r>
        <w:rPr>
          <w:snapToGrid w:val="0"/>
        </w:rPr>
        <w:t xml:space="preserve"> </w:t>
      </w:r>
    </w:p>
    <w:p>
      <w:pPr>
        <w:pStyle w:val="Subsection"/>
        <w:keepNext/>
        <w:rPr>
          <w:snapToGrid w:val="0"/>
        </w:rPr>
      </w:pPr>
      <w:r>
        <w:rPr>
          <w:snapToGrid w:val="0"/>
        </w:rPr>
        <w:tab/>
      </w:r>
      <w:r>
        <w:rPr>
          <w:snapToGrid w:val="0"/>
        </w:rPr>
        <w:tab/>
        <w:t>The Commission shall consist of — </w:t>
      </w:r>
    </w:p>
    <w:p>
      <w:pPr>
        <w:pStyle w:val="Indenta"/>
        <w:rPr>
          <w:snapToGrid w:val="0"/>
        </w:rPr>
      </w:pPr>
      <w:r>
        <w:rPr>
          <w:snapToGrid w:val="0"/>
        </w:rPr>
        <w:tab/>
        <w:t>(a)</w:t>
      </w:r>
      <w:r>
        <w:rPr>
          <w:snapToGrid w:val="0"/>
        </w:rPr>
        <w:tab/>
        <w:t>a chairman and not more than 8 other members appointed by the Minister; and</w:t>
      </w:r>
    </w:p>
    <w:p>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pPr>
        <w:pStyle w:val="Footnotesection"/>
      </w:pPr>
      <w:r>
        <w:tab/>
        <w:t xml:space="preserve">[Section 8 inserted by No. 97 of 1994 s. 7.] </w:t>
      </w:r>
    </w:p>
    <w:p>
      <w:pPr>
        <w:pStyle w:val="Heading5"/>
        <w:rPr>
          <w:snapToGrid w:val="0"/>
        </w:rPr>
      </w:pPr>
      <w:bookmarkStart w:id="46" w:name="_Toc520186728"/>
      <w:bookmarkStart w:id="47" w:name="_Toc9140304"/>
      <w:bookmarkStart w:id="48" w:name="_Toc70226496"/>
      <w:bookmarkStart w:id="49" w:name="_Toc139707752"/>
      <w:r>
        <w:rPr>
          <w:rStyle w:val="CharSectno"/>
        </w:rPr>
        <w:t>9</w:t>
      </w:r>
      <w:r>
        <w:rPr>
          <w:snapToGrid w:val="0"/>
        </w:rPr>
        <w:t>.</w:t>
      </w:r>
      <w:r>
        <w:rPr>
          <w:snapToGrid w:val="0"/>
        </w:rPr>
        <w:tab/>
        <w:t>Remuneration of members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A member is entitled to such remuneration and allowances as the Minister from time to time determines.</w:t>
      </w:r>
    </w:p>
    <w:p>
      <w:pPr>
        <w:pStyle w:val="Heading5"/>
        <w:rPr>
          <w:snapToGrid w:val="0"/>
        </w:rPr>
      </w:pPr>
      <w:bookmarkStart w:id="50" w:name="_Toc520186729"/>
      <w:bookmarkStart w:id="51" w:name="_Toc9140305"/>
      <w:bookmarkStart w:id="52" w:name="_Toc70226497"/>
      <w:bookmarkStart w:id="53" w:name="_Toc139707753"/>
      <w:r>
        <w:rPr>
          <w:rStyle w:val="CharSectno"/>
        </w:rPr>
        <w:t>10</w:t>
      </w:r>
      <w:r>
        <w:rPr>
          <w:snapToGrid w:val="0"/>
        </w:rPr>
        <w:t>.</w:t>
      </w:r>
      <w:r>
        <w:rPr>
          <w:snapToGrid w:val="0"/>
        </w:rPr>
        <w:tab/>
        <w:t>Disclosure of pecuniary interests</w:t>
      </w:r>
      <w:bookmarkEnd w:id="50"/>
      <w:bookmarkEnd w:id="51"/>
      <w:bookmarkEnd w:id="52"/>
      <w:bookmarkEnd w:id="53"/>
      <w:r>
        <w:rPr>
          <w:snapToGrid w:val="0"/>
        </w:rPr>
        <w:t xml:space="preserve"> </w:t>
      </w:r>
    </w:p>
    <w:p>
      <w:pPr>
        <w:pStyle w:val="Subsection"/>
        <w:keepNext/>
        <w:rPr>
          <w:snapToGrid w:val="0"/>
        </w:rPr>
      </w:pPr>
      <w:r>
        <w:rPr>
          <w:snapToGrid w:val="0"/>
        </w:rPr>
        <w:tab/>
        <w:t>(1)</w:t>
      </w:r>
      <w:r>
        <w:rPr>
          <w:snapToGrid w:val="0"/>
        </w:rPr>
        <w:tab/>
        <w:t>A member who has a direct or indirect pecuniary interest in a proposal before the Commission — </w:t>
      </w:r>
    </w:p>
    <w:p>
      <w:pPr>
        <w:pStyle w:val="Indenta"/>
        <w:rPr>
          <w:snapToGrid w:val="0"/>
        </w:rPr>
      </w:pPr>
      <w:r>
        <w:rPr>
          <w:snapToGrid w:val="0"/>
        </w:rPr>
        <w:tab/>
        <w:t>(a)</w:t>
      </w:r>
      <w:r>
        <w:rPr>
          <w:snapToGrid w:val="0"/>
        </w:rPr>
        <w:tab/>
        <w:t>shall, as soon as the member is aware of the proposal, disclose the nature of the interest to the Commission; and</w:t>
      </w:r>
    </w:p>
    <w:p>
      <w:pPr>
        <w:pStyle w:val="Indenta"/>
        <w:rPr>
          <w:snapToGrid w:val="0"/>
        </w:rPr>
      </w:pPr>
      <w:r>
        <w:rPr>
          <w:snapToGrid w:val="0"/>
        </w:rPr>
        <w:tab/>
        <w:t>(b)</w:t>
      </w:r>
      <w:r>
        <w:rPr>
          <w:snapToGrid w:val="0"/>
        </w:rPr>
        <w:tab/>
        <w:t>shall not take part in any deliberation or decision of the Commission with respect to the proposal.</w:t>
      </w:r>
    </w:p>
    <w:p>
      <w:pPr>
        <w:pStyle w:val="Subsection"/>
        <w:rPr>
          <w:snapToGrid w:val="0"/>
        </w:rPr>
      </w:pPr>
      <w:r>
        <w:rPr>
          <w:snapToGrid w:val="0"/>
        </w:rPr>
        <w:tab/>
        <w:t>(2)</w:t>
      </w:r>
      <w:r>
        <w:rPr>
          <w:snapToGrid w:val="0"/>
        </w:rPr>
        <w:tab/>
        <w:t>A disclosure made by a member under this section shall be recorded in the minutes of the Commission.</w:t>
      </w:r>
    </w:p>
    <w:p>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pPr>
        <w:pStyle w:val="Subsection"/>
        <w:rPr>
          <w:snapToGrid w:val="0"/>
        </w:rPr>
      </w:pPr>
      <w:r>
        <w:rPr>
          <w:snapToGrid w:val="0"/>
        </w:rPr>
        <w:tab/>
        <w:t>(4)</w:t>
      </w:r>
      <w:r>
        <w:rPr>
          <w:snapToGrid w:val="0"/>
        </w:rPr>
        <w:tab/>
        <w:t>A member who fails to comply with subsection (1) is guilty of an offence and is liable to a penalty not exceeding $5 000.</w:t>
      </w:r>
    </w:p>
    <w:p>
      <w:pPr>
        <w:pStyle w:val="Heading5"/>
        <w:rPr>
          <w:snapToGrid w:val="0"/>
        </w:rPr>
      </w:pPr>
      <w:bookmarkStart w:id="54" w:name="_Toc520186730"/>
      <w:bookmarkStart w:id="55" w:name="_Toc9140306"/>
      <w:bookmarkStart w:id="56" w:name="_Toc70226498"/>
      <w:bookmarkStart w:id="57" w:name="_Toc139707754"/>
      <w:r>
        <w:rPr>
          <w:rStyle w:val="CharSectno"/>
        </w:rPr>
        <w:t>11</w:t>
      </w:r>
      <w:r>
        <w:rPr>
          <w:snapToGrid w:val="0"/>
        </w:rPr>
        <w:t>.</w:t>
      </w:r>
      <w:r>
        <w:rPr>
          <w:snapToGrid w:val="0"/>
        </w:rPr>
        <w:tab/>
        <w:t>Proceedings not affected by irregularities</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 </w:t>
      </w:r>
    </w:p>
    <w:p>
      <w:pPr>
        <w:pStyle w:val="Indenta"/>
        <w:rPr>
          <w:snapToGrid w:val="0"/>
        </w:rPr>
      </w:pPr>
      <w:r>
        <w:rPr>
          <w:snapToGrid w:val="0"/>
        </w:rPr>
        <w:tab/>
        <w:t>(a)</w:t>
      </w:r>
      <w:r>
        <w:rPr>
          <w:snapToGrid w:val="0"/>
        </w:rPr>
        <w:tab/>
        <w:t>in the constitution of the Commission; or</w:t>
      </w:r>
    </w:p>
    <w:p>
      <w:pPr>
        <w:pStyle w:val="Indenta"/>
        <w:rPr>
          <w:snapToGrid w:val="0"/>
        </w:rPr>
      </w:pPr>
      <w:r>
        <w:rPr>
          <w:snapToGrid w:val="0"/>
        </w:rPr>
        <w:tab/>
        <w:t>(b)</w:t>
      </w:r>
      <w:r>
        <w:rPr>
          <w:snapToGrid w:val="0"/>
        </w:rPr>
        <w:tab/>
        <w:t>in the appointment of a member.</w:t>
      </w:r>
    </w:p>
    <w:p>
      <w:pPr>
        <w:pStyle w:val="Heading5"/>
        <w:rPr>
          <w:snapToGrid w:val="0"/>
        </w:rPr>
      </w:pPr>
      <w:bookmarkStart w:id="58" w:name="_Toc520186731"/>
      <w:bookmarkStart w:id="59" w:name="_Toc9140307"/>
      <w:bookmarkStart w:id="60" w:name="_Toc70226499"/>
      <w:bookmarkStart w:id="61" w:name="_Toc139707755"/>
      <w:r>
        <w:rPr>
          <w:rStyle w:val="CharSectno"/>
        </w:rPr>
        <w:t>12</w:t>
      </w:r>
      <w:r>
        <w:rPr>
          <w:snapToGrid w:val="0"/>
        </w:rPr>
        <w:t>.</w:t>
      </w:r>
      <w:r>
        <w:rPr>
          <w:snapToGrid w:val="0"/>
        </w:rPr>
        <w:tab/>
        <w:t>Protection of Commission and members</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pPr>
        <w:pStyle w:val="Heading5"/>
        <w:rPr>
          <w:snapToGrid w:val="0"/>
        </w:rPr>
      </w:pPr>
      <w:bookmarkStart w:id="62" w:name="_Toc520186732"/>
      <w:bookmarkStart w:id="63" w:name="_Toc9140308"/>
      <w:bookmarkStart w:id="64" w:name="_Toc70226500"/>
      <w:bookmarkStart w:id="65" w:name="_Toc139707756"/>
      <w:r>
        <w:rPr>
          <w:rStyle w:val="CharSectno"/>
        </w:rPr>
        <w:t>13</w:t>
      </w:r>
      <w:r>
        <w:rPr>
          <w:snapToGrid w:val="0"/>
        </w:rPr>
        <w:t>.</w:t>
      </w:r>
      <w:r>
        <w:rPr>
          <w:snapToGrid w:val="0"/>
        </w:rPr>
        <w:tab/>
        <w:t>Relationship of members to Public Service</w:t>
      </w:r>
      <w:bookmarkEnd w:id="62"/>
      <w:bookmarkEnd w:id="63"/>
      <w:bookmarkEnd w:id="64"/>
      <w:bookmarkEnd w:id="65"/>
      <w:r>
        <w:rPr>
          <w:snapToGrid w:val="0"/>
        </w:rPr>
        <w:t xml:space="preserve"> </w:t>
      </w:r>
    </w:p>
    <w:p>
      <w:pPr>
        <w:pStyle w:val="Subsection"/>
        <w:keepNext/>
        <w:rPr>
          <w:snapToGrid w:val="0"/>
        </w:rPr>
      </w:pPr>
      <w:r>
        <w:rPr>
          <w:snapToGrid w:val="0"/>
        </w:rPr>
        <w:tab/>
      </w:r>
      <w:r>
        <w:rPr>
          <w:snapToGrid w:val="0"/>
        </w:rPr>
        <w:tab/>
        <w:t>Appointment of a person as a member of the Commission does not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13 amended by No. 32 of 1994 s. 19.] </w:t>
      </w:r>
    </w:p>
    <w:p>
      <w:pPr>
        <w:pStyle w:val="Heading5"/>
        <w:rPr>
          <w:snapToGrid w:val="0"/>
        </w:rPr>
      </w:pPr>
      <w:bookmarkStart w:id="66" w:name="_Toc520186733"/>
      <w:bookmarkStart w:id="67" w:name="_Toc9140309"/>
      <w:bookmarkStart w:id="68" w:name="_Toc70226501"/>
      <w:bookmarkStart w:id="69" w:name="_Toc139707757"/>
      <w:r>
        <w:rPr>
          <w:rStyle w:val="CharSectno"/>
        </w:rPr>
        <w:t>14</w:t>
      </w:r>
      <w:r>
        <w:rPr>
          <w:snapToGrid w:val="0"/>
        </w:rPr>
        <w:t>.</w:t>
      </w:r>
      <w:r>
        <w:rPr>
          <w:snapToGrid w:val="0"/>
        </w:rPr>
        <w:tab/>
        <w:t>Committees</w:t>
      </w:r>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The Commission may from time to time — </w:t>
      </w:r>
    </w:p>
    <w:p>
      <w:pPr>
        <w:pStyle w:val="Indenta"/>
        <w:keepNext/>
        <w:rPr>
          <w:snapToGrid w:val="0"/>
        </w:rPr>
      </w:pPr>
      <w:r>
        <w:rPr>
          <w:snapToGrid w:val="0"/>
        </w:rPr>
        <w:tab/>
        <w:t>(a)</w:t>
      </w:r>
      <w:r>
        <w:rPr>
          <w:snapToGrid w:val="0"/>
        </w:rPr>
        <w:tab/>
        <w:t>establish any committee and — </w:t>
      </w:r>
    </w:p>
    <w:p>
      <w:pPr>
        <w:pStyle w:val="Indenti"/>
        <w:rPr>
          <w:snapToGrid w:val="0"/>
        </w:rPr>
      </w:pPr>
      <w:r>
        <w:rPr>
          <w:snapToGrid w:val="0"/>
        </w:rPr>
        <w:tab/>
        <w:t>(i)</w:t>
      </w:r>
      <w:r>
        <w:rPr>
          <w:snapToGrid w:val="0"/>
        </w:rPr>
        <w:tab/>
        <w:t>prescribe the functions, membership, constitution and procedures of the committee; and</w:t>
      </w:r>
    </w:p>
    <w:p>
      <w:pPr>
        <w:pStyle w:val="Indenti"/>
        <w:rPr>
          <w:snapToGrid w:val="0"/>
        </w:rPr>
      </w:pPr>
      <w:r>
        <w:rPr>
          <w:snapToGrid w:val="0"/>
        </w:rPr>
        <w:tab/>
        <w:t>(ii)</w:t>
      </w:r>
      <w:r>
        <w:rPr>
          <w:snapToGrid w:val="0"/>
        </w:rPr>
        <w:tab/>
        <w:t>appoint such members of the Commission and other persons as it thinks fit to be members of the committee;</w:t>
      </w:r>
    </w:p>
    <w:p>
      <w:pPr>
        <w:pStyle w:val="Indenta"/>
        <w:rPr>
          <w:snapToGrid w:val="0"/>
        </w:rPr>
      </w:pPr>
      <w:r>
        <w:rPr>
          <w:snapToGrid w:val="0"/>
        </w:rPr>
        <w:tab/>
        <w:t>(b)</w:t>
      </w:r>
      <w:r>
        <w:rPr>
          <w:snapToGrid w:val="0"/>
        </w:rPr>
        <w:tab/>
        <w:t>discharge, alter or reconstitute the committee; and</w:t>
      </w:r>
    </w:p>
    <w:p>
      <w:pPr>
        <w:pStyle w:val="Indenta"/>
        <w:rPr>
          <w:snapToGrid w:val="0"/>
        </w:rPr>
      </w:pPr>
      <w:r>
        <w:rPr>
          <w:snapToGrid w:val="0"/>
        </w:rPr>
        <w:tab/>
        <w:t>(c)</w:t>
      </w:r>
      <w:r>
        <w:rPr>
          <w:snapToGrid w:val="0"/>
        </w:rPr>
        <w:tab/>
        <w:t>give directions to the committee with respect to the performance of its functions.</w:t>
      </w:r>
    </w:p>
    <w:p>
      <w:pPr>
        <w:pStyle w:val="Subsection"/>
        <w:rPr>
          <w:snapToGrid w:val="0"/>
        </w:rPr>
      </w:pPr>
      <w:r>
        <w:rPr>
          <w:snapToGrid w:val="0"/>
        </w:rPr>
        <w:tab/>
        <w:t>(2)</w:t>
      </w:r>
      <w:r>
        <w:rPr>
          <w:snapToGrid w:val="0"/>
        </w:rPr>
        <w:tab/>
        <w:t>A committee shall comply with any direction of the Commission.</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70" w:name="_Toc520186734"/>
      <w:bookmarkStart w:id="71" w:name="_Toc9140310"/>
      <w:bookmarkStart w:id="72" w:name="_Toc70226502"/>
      <w:bookmarkStart w:id="73" w:name="_Toc139707758"/>
      <w:r>
        <w:rPr>
          <w:rStyle w:val="CharSectno"/>
        </w:rPr>
        <w:t>15</w:t>
      </w:r>
      <w:r>
        <w:rPr>
          <w:snapToGrid w:val="0"/>
        </w:rPr>
        <w:t>.</w:t>
      </w:r>
      <w:r>
        <w:rPr>
          <w:snapToGrid w:val="0"/>
        </w:rPr>
        <w:tab/>
        <w:t>Members and proceedings — Schedule </w:t>
      </w:r>
      <w:bookmarkEnd w:id="70"/>
      <w:r>
        <w:rPr>
          <w:snapToGrid w:val="0"/>
        </w:rPr>
        <w:t>1</w:t>
      </w:r>
      <w:bookmarkEnd w:id="71"/>
      <w:bookmarkEnd w:id="72"/>
      <w:bookmarkEnd w:id="73"/>
      <w:r>
        <w:rPr>
          <w:snapToGrid w:val="0"/>
        </w:rPr>
        <w:t xml:space="preserve"> </w:t>
      </w:r>
    </w:p>
    <w:p>
      <w:pPr>
        <w:pStyle w:val="Subsection"/>
        <w:rPr>
          <w:snapToGrid w:val="0"/>
        </w:rPr>
      </w:pPr>
      <w:r>
        <w:rPr>
          <w:snapToGrid w:val="0"/>
        </w:rPr>
        <w:tab/>
      </w:r>
      <w:r>
        <w:rPr>
          <w:snapToGrid w:val="0"/>
        </w:rPr>
        <w:tab/>
        <w:t>Schedule 1 has effect with respect to the members and proceedings of the Commission.</w:t>
      </w:r>
    </w:p>
    <w:p>
      <w:pPr>
        <w:pStyle w:val="Heading3"/>
        <w:rPr>
          <w:snapToGrid w:val="0"/>
        </w:rPr>
      </w:pPr>
      <w:bookmarkStart w:id="74" w:name="_Toc139361220"/>
      <w:bookmarkStart w:id="75" w:name="_Toc139707759"/>
      <w:r>
        <w:rPr>
          <w:rStyle w:val="CharDivNo"/>
        </w:rPr>
        <w:t>Division 3</w:t>
      </w:r>
      <w:r>
        <w:rPr>
          <w:snapToGrid w:val="0"/>
        </w:rPr>
        <w:t> — </w:t>
      </w:r>
      <w:r>
        <w:rPr>
          <w:rStyle w:val="CharDivText"/>
        </w:rPr>
        <w:t>Staff</w:t>
      </w:r>
      <w:bookmarkEnd w:id="74"/>
      <w:bookmarkEnd w:id="75"/>
      <w:r>
        <w:rPr>
          <w:rStyle w:val="CharDivText"/>
        </w:rPr>
        <w:t xml:space="preserve"> </w:t>
      </w:r>
    </w:p>
    <w:p>
      <w:pPr>
        <w:pStyle w:val="Heading5"/>
        <w:rPr>
          <w:snapToGrid w:val="0"/>
        </w:rPr>
      </w:pPr>
      <w:bookmarkStart w:id="76" w:name="_Toc520186735"/>
      <w:bookmarkStart w:id="77" w:name="_Toc9140311"/>
      <w:bookmarkStart w:id="78" w:name="_Toc70226503"/>
      <w:bookmarkStart w:id="79" w:name="_Toc139707760"/>
      <w:r>
        <w:rPr>
          <w:rStyle w:val="CharSectno"/>
        </w:rPr>
        <w:t>16</w:t>
      </w:r>
      <w:r>
        <w:rPr>
          <w:snapToGrid w:val="0"/>
        </w:rPr>
        <w:t>.</w:t>
      </w:r>
      <w:r>
        <w:rPr>
          <w:snapToGrid w:val="0"/>
        </w:rPr>
        <w:tab/>
        <w:t>Chief executive officer</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pPr>
        <w:pStyle w:val="Footnotesection"/>
      </w:pPr>
      <w:r>
        <w:tab/>
        <w:t xml:space="preserve">[Section 16 inserted by No. 97 of 1994 s. 8.] </w:t>
      </w:r>
    </w:p>
    <w:p>
      <w:pPr>
        <w:pStyle w:val="Heading5"/>
        <w:rPr>
          <w:snapToGrid w:val="0"/>
        </w:rPr>
      </w:pPr>
      <w:bookmarkStart w:id="80" w:name="_Toc520186736"/>
      <w:bookmarkStart w:id="81" w:name="_Toc9140312"/>
      <w:bookmarkStart w:id="82" w:name="_Toc70226504"/>
      <w:bookmarkStart w:id="83" w:name="_Toc139707761"/>
      <w:r>
        <w:rPr>
          <w:rStyle w:val="CharSectno"/>
        </w:rPr>
        <w:t>16A</w:t>
      </w:r>
      <w:r>
        <w:rPr>
          <w:snapToGrid w:val="0"/>
        </w:rPr>
        <w:t>.</w:t>
      </w:r>
      <w:r>
        <w:rPr>
          <w:snapToGrid w:val="0"/>
        </w:rPr>
        <w:tab/>
        <w:t>Other staff</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pPr>
        <w:pStyle w:val="Subsection"/>
        <w:rPr>
          <w:snapToGrid w:val="0"/>
        </w:rPr>
      </w:pPr>
      <w:r>
        <w:rPr>
          <w:snapToGrid w:val="0"/>
        </w:rPr>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pPr>
        <w:pStyle w:val="Footnotesection"/>
      </w:pPr>
      <w:r>
        <w:tab/>
        <w:t xml:space="preserve">[Section 16A inserted by No. 97 of 1994 s. 8.] </w:t>
      </w:r>
    </w:p>
    <w:p>
      <w:pPr>
        <w:pStyle w:val="Heading5"/>
        <w:rPr>
          <w:snapToGrid w:val="0"/>
        </w:rPr>
      </w:pPr>
      <w:bookmarkStart w:id="84" w:name="_Toc520186737"/>
      <w:bookmarkStart w:id="85" w:name="_Toc9140313"/>
      <w:bookmarkStart w:id="86" w:name="_Toc70226505"/>
      <w:bookmarkStart w:id="87" w:name="_Toc139707762"/>
      <w:r>
        <w:rPr>
          <w:rStyle w:val="CharSectno"/>
        </w:rPr>
        <w:t>16B</w:t>
      </w:r>
      <w:r>
        <w:rPr>
          <w:snapToGrid w:val="0"/>
        </w:rPr>
        <w:t>.</w:t>
      </w:r>
      <w:r>
        <w:rPr>
          <w:snapToGrid w:val="0"/>
        </w:rPr>
        <w:tab/>
        <w:t>Use of other government staff etc.</w:t>
      </w:r>
      <w:bookmarkEnd w:id="84"/>
      <w:bookmarkEnd w:id="85"/>
      <w:bookmarkEnd w:id="86"/>
      <w:bookmarkEnd w:id="87"/>
      <w:r>
        <w:rPr>
          <w:snapToGrid w:val="0"/>
        </w:rPr>
        <w:t xml:space="preserve"> </w:t>
      </w:r>
    </w:p>
    <w:p>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pPr>
        <w:pStyle w:val="Footnotesection"/>
      </w:pPr>
      <w:r>
        <w:tab/>
        <w:t xml:space="preserve">[Section 16B inserted by No. 97 of 1994 s. 8.] </w:t>
      </w:r>
    </w:p>
    <w:p>
      <w:pPr>
        <w:pStyle w:val="Heading2"/>
      </w:pPr>
      <w:bookmarkStart w:id="88" w:name="_Toc139361224"/>
      <w:bookmarkStart w:id="89" w:name="_Toc139707763"/>
      <w:r>
        <w:rPr>
          <w:rStyle w:val="CharPartNo"/>
        </w:rPr>
        <w:t>Part 3</w:t>
      </w:r>
      <w:r>
        <w:rPr>
          <w:rStyle w:val="CharDivNo"/>
        </w:rPr>
        <w:t> </w:t>
      </w:r>
      <w:r>
        <w:t>—</w:t>
      </w:r>
      <w:r>
        <w:rPr>
          <w:rStyle w:val="CharDivText"/>
        </w:rPr>
        <w:t> </w:t>
      </w:r>
      <w:r>
        <w:rPr>
          <w:rStyle w:val="CharPartText"/>
        </w:rPr>
        <w:t>Supply of goods and services</w:t>
      </w:r>
      <w:bookmarkEnd w:id="88"/>
      <w:bookmarkEnd w:id="89"/>
      <w:r>
        <w:rPr>
          <w:rStyle w:val="CharPartText"/>
        </w:rPr>
        <w:t xml:space="preserve"> </w:t>
      </w:r>
    </w:p>
    <w:p>
      <w:pPr>
        <w:pStyle w:val="Heading5"/>
        <w:rPr>
          <w:snapToGrid w:val="0"/>
        </w:rPr>
      </w:pPr>
      <w:bookmarkStart w:id="90" w:name="_Toc520186738"/>
      <w:bookmarkStart w:id="91" w:name="_Toc9140314"/>
      <w:bookmarkStart w:id="92" w:name="_Toc70226506"/>
      <w:bookmarkStart w:id="93" w:name="_Toc139707764"/>
      <w:r>
        <w:rPr>
          <w:rStyle w:val="CharSectno"/>
        </w:rPr>
        <w:t>17</w:t>
      </w:r>
      <w:r>
        <w:rPr>
          <w:snapToGrid w:val="0"/>
        </w:rPr>
        <w:t>.</w:t>
      </w:r>
      <w:r>
        <w:rPr>
          <w:snapToGrid w:val="0"/>
        </w:rPr>
        <w:tab/>
        <w:t>Public authorities to comply with supply policies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pPr>
        <w:pStyle w:val="Subsection"/>
        <w:rPr>
          <w:snapToGrid w:val="0"/>
        </w:rPr>
      </w:pPr>
      <w:r>
        <w:rPr>
          <w:snapToGrid w:val="0"/>
        </w:rPr>
        <w:tab/>
        <w:t>(2)</w:t>
      </w:r>
      <w:r>
        <w:rPr>
          <w:snapToGrid w:val="0"/>
        </w:rPr>
        <w:tab/>
        <w:t>Subsection (1) applies notwithstanding any exemption granted under section 20 or 21.</w:t>
      </w:r>
    </w:p>
    <w:p>
      <w:pPr>
        <w:pStyle w:val="Heading5"/>
        <w:rPr>
          <w:snapToGrid w:val="0"/>
        </w:rPr>
      </w:pPr>
      <w:bookmarkStart w:id="94" w:name="_Toc520186739"/>
      <w:bookmarkStart w:id="95" w:name="_Toc9140315"/>
      <w:bookmarkStart w:id="96" w:name="_Toc70226507"/>
      <w:bookmarkStart w:id="97" w:name="_Toc139707765"/>
      <w:r>
        <w:rPr>
          <w:rStyle w:val="CharSectno"/>
        </w:rPr>
        <w:t>18</w:t>
      </w:r>
      <w:r>
        <w:rPr>
          <w:snapToGrid w:val="0"/>
        </w:rPr>
        <w:t>.</w:t>
      </w:r>
      <w:r>
        <w:rPr>
          <w:snapToGrid w:val="0"/>
        </w:rPr>
        <w:tab/>
        <w:t>Commission may advise and recommend</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 </w:t>
      </w:r>
    </w:p>
    <w:p>
      <w:pPr>
        <w:pStyle w:val="Indenta"/>
        <w:rPr>
          <w:snapToGrid w:val="0"/>
        </w:rPr>
      </w:pPr>
      <w:r>
        <w:rPr>
          <w:snapToGrid w:val="0"/>
        </w:rPr>
        <w:tab/>
        <w:t>(a)</w:t>
      </w:r>
      <w:r>
        <w:rPr>
          <w:snapToGrid w:val="0"/>
        </w:rPr>
        <w:tab/>
        <w:t>policies and practices regarding the supply of goods and services or disposal of goods; or</w:t>
      </w:r>
    </w:p>
    <w:p>
      <w:pPr>
        <w:pStyle w:val="Indenta"/>
        <w:rPr>
          <w:snapToGrid w:val="0"/>
        </w:rPr>
      </w:pPr>
      <w:r>
        <w:rPr>
          <w:snapToGrid w:val="0"/>
        </w:rPr>
        <w:tab/>
        <w:t>(b)</w:t>
      </w:r>
      <w:r>
        <w:rPr>
          <w:snapToGrid w:val="0"/>
        </w:rPr>
        <w:tab/>
        <w:t>the process by which goods and services are supplied and goods are disposed of for, and by, public authorities.</w:t>
      </w:r>
    </w:p>
    <w:p>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 </w:t>
      </w:r>
    </w:p>
    <w:p>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pPr>
        <w:pStyle w:val="Indenta"/>
        <w:rPr>
          <w:snapToGrid w:val="0"/>
        </w:rPr>
      </w:pPr>
      <w:r>
        <w:rPr>
          <w:snapToGrid w:val="0"/>
        </w:rPr>
        <w:tab/>
        <w:t>(b)</w:t>
      </w:r>
      <w:r>
        <w:rPr>
          <w:snapToGrid w:val="0"/>
        </w:rPr>
        <w:tab/>
        <w:t>the process by which goods and services are supplied and goods are disposed of for, or by, the public authority.</w:t>
      </w:r>
    </w:p>
    <w:p>
      <w:pPr>
        <w:pStyle w:val="Subsection"/>
        <w:rPr>
          <w:snapToGrid w:val="0"/>
        </w:rPr>
      </w:pPr>
      <w:r>
        <w:rPr>
          <w:snapToGrid w:val="0"/>
        </w:rPr>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pPr>
        <w:pStyle w:val="Heading5"/>
        <w:rPr>
          <w:snapToGrid w:val="0"/>
        </w:rPr>
      </w:pPr>
      <w:bookmarkStart w:id="98" w:name="_Toc520186740"/>
      <w:bookmarkStart w:id="99" w:name="_Toc9140316"/>
      <w:bookmarkStart w:id="100" w:name="_Toc70226508"/>
      <w:bookmarkStart w:id="101" w:name="_Toc139707766"/>
      <w:r>
        <w:rPr>
          <w:rStyle w:val="CharSectno"/>
        </w:rPr>
        <w:t>19</w:t>
      </w:r>
      <w:r>
        <w:rPr>
          <w:snapToGrid w:val="0"/>
        </w:rPr>
        <w:t>.</w:t>
      </w:r>
      <w:r>
        <w:rPr>
          <w:snapToGrid w:val="0"/>
        </w:rPr>
        <w:tab/>
        <w:t>Duty of Commission to arrange for supply of goods and services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subsection (2), 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pPr>
        <w:pStyle w:val="Footnotesection"/>
      </w:pPr>
      <w:r>
        <w:tab/>
        <w:t xml:space="preserve">[Section 19 amended by No. 97 of 1994 s. 9; No. 32 of 1995 s. 7.] </w:t>
      </w:r>
    </w:p>
    <w:p>
      <w:pPr>
        <w:pStyle w:val="Heading5"/>
        <w:rPr>
          <w:snapToGrid w:val="0"/>
        </w:rPr>
      </w:pPr>
      <w:bookmarkStart w:id="102" w:name="_Toc520186741"/>
      <w:bookmarkStart w:id="103" w:name="_Toc9140317"/>
      <w:bookmarkStart w:id="104" w:name="_Toc70226509"/>
      <w:bookmarkStart w:id="105" w:name="_Toc139707767"/>
      <w:r>
        <w:rPr>
          <w:rStyle w:val="CharSectno"/>
        </w:rPr>
        <w:t>20</w:t>
      </w:r>
      <w:r>
        <w:rPr>
          <w:snapToGrid w:val="0"/>
        </w:rPr>
        <w:t>.</w:t>
      </w:r>
      <w:r>
        <w:rPr>
          <w:snapToGrid w:val="0"/>
        </w:rPr>
        <w:tab/>
        <w:t>Total exemptions from section 19(1)</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pPr>
        <w:pStyle w:val="Heading5"/>
        <w:rPr>
          <w:snapToGrid w:val="0"/>
        </w:rPr>
      </w:pPr>
      <w:bookmarkStart w:id="106" w:name="_Toc520186742"/>
      <w:bookmarkStart w:id="107" w:name="_Toc9140318"/>
      <w:bookmarkStart w:id="108" w:name="_Toc70226510"/>
      <w:bookmarkStart w:id="109" w:name="_Toc139707768"/>
      <w:r>
        <w:rPr>
          <w:rStyle w:val="CharSectno"/>
        </w:rPr>
        <w:t>21</w:t>
      </w:r>
      <w:r>
        <w:rPr>
          <w:snapToGrid w:val="0"/>
        </w:rPr>
        <w:t>.</w:t>
      </w:r>
      <w:r>
        <w:rPr>
          <w:snapToGrid w:val="0"/>
        </w:rPr>
        <w:tab/>
        <w:t>Partial exemptions from section 19(1)</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An exemption from section 19(1) exists in respect of goods and services necessary for the operation of a public authority to the extent, on the conditions and for the period of time that the Commission specifies in writing given to the public authority.</w:t>
      </w:r>
    </w:p>
    <w:p>
      <w:pPr>
        <w:pStyle w:val="Subsection"/>
        <w:rPr>
          <w:snapToGrid w:val="0"/>
        </w:rPr>
      </w:pPr>
      <w:r>
        <w:rPr>
          <w:snapToGrid w:val="0"/>
        </w:rPr>
        <w:tab/>
        <w:t>(2)</w:t>
      </w:r>
      <w:r>
        <w:rPr>
          <w:snapToGrid w:val="0"/>
        </w:rPr>
        <w:tab/>
        <w:t>The Commission may cancel an exemption granted under subsection (1), in writing given to the public authority concerned.</w:t>
      </w:r>
    </w:p>
    <w:p>
      <w:pPr>
        <w:pStyle w:val="Heading5"/>
        <w:rPr>
          <w:snapToGrid w:val="0"/>
        </w:rPr>
      </w:pPr>
      <w:bookmarkStart w:id="110" w:name="_Toc520186743"/>
      <w:bookmarkStart w:id="111" w:name="_Toc9140319"/>
      <w:bookmarkStart w:id="112" w:name="_Toc70226511"/>
      <w:bookmarkStart w:id="113" w:name="_Toc139707769"/>
      <w:r>
        <w:rPr>
          <w:rStyle w:val="CharSectno"/>
        </w:rPr>
        <w:t>22</w:t>
      </w:r>
      <w:r>
        <w:rPr>
          <w:snapToGrid w:val="0"/>
        </w:rPr>
        <w:t>.</w:t>
      </w:r>
      <w:r>
        <w:rPr>
          <w:snapToGrid w:val="0"/>
        </w:rPr>
        <w:tab/>
        <w:t>Public authority may exercise powers of Commission, in certain circumstances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pPr>
        <w:pStyle w:val="Heading5"/>
        <w:rPr>
          <w:snapToGrid w:val="0"/>
        </w:rPr>
      </w:pPr>
      <w:bookmarkStart w:id="114" w:name="_Toc520186744"/>
      <w:bookmarkStart w:id="115" w:name="_Toc9140320"/>
      <w:bookmarkStart w:id="116" w:name="_Toc70226512"/>
      <w:bookmarkStart w:id="117" w:name="_Toc139707770"/>
      <w:r>
        <w:rPr>
          <w:rStyle w:val="CharSectno"/>
        </w:rPr>
        <w:t>23</w:t>
      </w:r>
      <w:r>
        <w:rPr>
          <w:snapToGrid w:val="0"/>
        </w:rPr>
        <w:t>.</w:t>
      </w:r>
      <w:r>
        <w:rPr>
          <w:snapToGrid w:val="0"/>
        </w:rPr>
        <w:tab/>
        <w:t>Commission may arrange for supply of goods and services to approved persons and bodies</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pPr>
        <w:pStyle w:val="Footnotesection"/>
      </w:pPr>
      <w:r>
        <w:tab/>
        <w:t xml:space="preserve">[Section 23 amended by No. 32 of 1995 s. 8.] </w:t>
      </w:r>
    </w:p>
    <w:p>
      <w:pPr>
        <w:pStyle w:val="Heading5"/>
        <w:rPr>
          <w:snapToGrid w:val="0"/>
        </w:rPr>
      </w:pPr>
      <w:bookmarkStart w:id="118" w:name="_Toc520186745"/>
      <w:bookmarkStart w:id="119" w:name="_Toc9140321"/>
      <w:bookmarkStart w:id="120" w:name="_Toc70226513"/>
      <w:bookmarkStart w:id="121" w:name="_Toc139707771"/>
      <w:r>
        <w:rPr>
          <w:rStyle w:val="CharSectno"/>
        </w:rPr>
        <w:t>24</w:t>
      </w:r>
      <w:r>
        <w:rPr>
          <w:snapToGrid w:val="0"/>
        </w:rPr>
        <w:t>.</w:t>
      </w:r>
      <w:r>
        <w:rPr>
          <w:snapToGrid w:val="0"/>
        </w:rPr>
        <w:tab/>
        <w:t>Disposal of goods</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pPr>
        <w:pStyle w:val="Heading5"/>
        <w:rPr>
          <w:snapToGrid w:val="0"/>
        </w:rPr>
      </w:pPr>
      <w:bookmarkStart w:id="122" w:name="_Toc520186746"/>
      <w:bookmarkStart w:id="123" w:name="_Toc9140322"/>
      <w:bookmarkStart w:id="124" w:name="_Toc70226514"/>
      <w:bookmarkStart w:id="125" w:name="_Toc139707772"/>
      <w:r>
        <w:rPr>
          <w:rStyle w:val="CharSectno"/>
        </w:rPr>
        <w:t>25</w:t>
      </w:r>
      <w:r>
        <w:rPr>
          <w:snapToGrid w:val="0"/>
        </w:rPr>
        <w:t>.</w:t>
      </w:r>
      <w:r>
        <w:rPr>
          <w:snapToGrid w:val="0"/>
        </w:rPr>
        <w:tab/>
        <w:t>Commission to monitor supply</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 </w:t>
      </w:r>
    </w:p>
    <w:p>
      <w:pPr>
        <w:pStyle w:val="Indenta"/>
        <w:rPr>
          <w:snapToGrid w:val="0"/>
        </w:rPr>
      </w:pPr>
      <w:r>
        <w:rPr>
          <w:snapToGrid w:val="0"/>
        </w:rPr>
        <w:tab/>
        <w:t>(a)</w:t>
      </w:r>
      <w:r>
        <w:rPr>
          <w:snapToGrid w:val="0"/>
        </w:rPr>
        <w:tab/>
        <w:t>changes to the supply of goods and services and disposal of goods over time;</w:t>
      </w:r>
    </w:p>
    <w:p>
      <w:pPr>
        <w:pStyle w:val="Indenta"/>
        <w:rPr>
          <w:snapToGrid w:val="0"/>
        </w:rPr>
      </w:pPr>
      <w:r>
        <w:rPr>
          <w:snapToGrid w:val="0"/>
        </w:rPr>
        <w:tab/>
        <w:t>(b)</w:t>
      </w:r>
      <w:r>
        <w:rPr>
          <w:snapToGrid w:val="0"/>
        </w:rPr>
        <w:tab/>
        <w:t>the efficiency with which the process of the supply of goods and services and disposal of goods is carried out;</w:t>
      </w:r>
    </w:p>
    <w:p>
      <w:pPr>
        <w:pStyle w:val="Indenta"/>
        <w:rPr>
          <w:snapToGrid w:val="0"/>
        </w:rPr>
      </w:pPr>
      <w:r>
        <w:rPr>
          <w:snapToGrid w:val="0"/>
        </w:rPr>
        <w:tab/>
        <w:t>(c)</w:t>
      </w:r>
      <w:r>
        <w:rPr>
          <w:snapToGrid w:val="0"/>
        </w:rPr>
        <w:tab/>
        <w:t>the compliance by public authorities with supply policies; and</w:t>
      </w:r>
    </w:p>
    <w:p>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pPr>
        <w:pStyle w:val="Heading5"/>
        <w:rPr>
          <w:snapToGrid w:val="0"/>
        </w:rPr>
      </w:pPr>
      <w:bookmarkStart w:id="126" w:name="_Toc520186747"/>
      <w:bookmarkStart w:id="127" w:name="_Toc9140323"/>
      <w:bookmarkStart w:id="128" w:name="_Toc70226515"/>
      <w:bookmarkStart w:id="129" w:name="_Toc139707773"/>
      <w:r>
        <w:rPr>
          <w:rStyle w:val="CharSectno"/>
        </w:rPr>
        <w:t>26</w:t>
      </w:r>
      <w:r>
        <w:rPr>
          <w:snapToGrid w:val="0"/>
        </w:rPr>
        <w:t>.</w:t>
      </w:r>
      <w:r>
        <w:rPr>
          <w:snapToGrid w:val="0"/>
        </w:rPr>
        <w:tab/>
        <w:t>Public authority to provide information at request of Commission</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pPr>
        <w:pStyle w:val="Heading2"/>
      </w:pPr>
      <w:bookmarkStart w:id="130" w:name="_Toc139361235"/>
      <w:bookmarkStart w:id="131" w:name="_Toc139707774"/>
      <w:r>
        <w:rPr>
          <w:rStyle w:val="CharPartNo"/>
        </w:rPr>
        <w:t>Part 3A</w:t>
      </w:r>
      <w:r>
        <w:t> — </w:t>
      </w:r>
      <w:r>
        <w:rPr>
          <w:rStyle w:val="CharPartText"/>
        </w:rPr>
        <w:t>Sale of government businesses</w:t>
      </w:r>
      <w:bookmarkEnd w:id="130"/>
      <w:bookmarkEnd w:id="131"/>
      <w:r>
        <w:rPr>
          <w:rStyle w:val="CharPartText"/>
        </w:rPr>
        <w:t xml:space="preserve"> </w:t>
      </w:r>
    </w:p>
    <w:p>
      <w:pPr>
        <w:pStyle w:val="Footnoteheading"/>
        <w:ind w:left="890"/>
        <w:rPr>
          <w:snapToGrid w:val="0"/>
        </w:rPr>
      </w:pPr>
      <w:r>
        <w:rPr>
          <w:snapToGrid w:val="0"/>
        </w:rPr>
        <w:tab/>
        <w:t xml:space="preserve">[Heading inserted by No. 97 of 1994 s. 10.] </w:t>
      </w:r>
    </w:p>
    <w:p>
      <w:pPr>
        <w:pStyle w:val="Heading3"/>
        <w:rPr>
          <w:snapToGrid w:val="0"/>
        </w:rPr>
      </w:pPr>
      <w:bookmarkStart w:id="132" w:name="_Toc139361236"/>
      <w:bookmarkStart w:id="133" w:name="_Toc139707775"/>
      <w:r>
        <w:rPr>
          <w:rStyle w:val="CharDivNo"/>
        </w:rPr>
        <w:t>Division 1</w:t>
      </w:r>
      <w:r>
        <w:rPr>
          <w:snapToGrid w:val="0"/>
        </w:rPr>
        <w:t> — </w:t>
      </w:r>
      <w:r>
        <w:rPr>
          <w:rStyle w:val="CharDivText"/>
        </w:rPr>
        <w:t>Authority for sale</w:t>
      </w:r>
      <w:bookmarkEnd w:id="132"/>
      <w:bookmarkEnd w:id="133"/>
      <w:r>
        <w:rPr>
          <w:rStyle w:val="CharDivText"/>
        </w:rPr>
        <w:t xml:space="preserve"> </w:t>
      </w:r>
    </w:p>
    <w:p>
      <w:pPr>
        <w:pStyle w:val="Footnoteheading"/>
        <w:ind w:left="890"/>
        <w:rPr>
          <w:snapToGrid w:val="0"/>
        </w:rPr>
      </w:pPr>
      <w:r>
        <w:rPr>
          <w:snapToGrid w:val="0"/>
        </w:rPr>
        <w:tab/>
        <w:t xml:space="preserve">[Heading inserted by No. 97 of 1994 s. 10.] </w:t>
      </w:r>
    </w:p>
    <w:p>
      <w:pPr>
        <w:pStyle w:val="Heading5"/>
        <w:rPr>
          <w:snapToGrid w:val="0"/>
        </w:rPr>
      </w:pPr>
      <w:bookmarkStart w:id="134" w:name="_Toc520186748"/>
      <w:bookmarkStart w:id="135" w:name="_Toc9140324"/>
      <w:bookmarkStart w:id="136" w:name="_Toc70226516"/>
      <w:bookmarkStart w:id="137" w:name="_Toc139707776"/>
      <w:r>
        <w:rPr>
          <w:rStyle w:val="CharSectno"/>
        </w:rPr>
        <w:t>26A</w:t>
      </w:r>
      <w:r>
        <w:rPr>
          <w:snapToGrid w:val="0"/>
        </w:rPr>
        <w:t>.</w:t>
      </w:r>
      <w:r>
        <w:rPr>
          <w:snapToGrid w:val="0"/>
        </w:rPr>
        <w:tab/>
        <w:t>Interpretation</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company</w:t>
      </w:r>
      <w:r>
        <w:rPr>
          <w:b/>
        </w:rPr>
        <w:t>”</w:t>
      </w:r>
      <w:r>
        <w:t xml:space="preserve"> means a company formed or acquired under section 26D;</w:t>
      </w:r>
    </w:p>
    <w:p>
      <w:pPr>
        <w:pStyle w:val="Defstart"/>
      </w:pPr>
      <w:r>
        <w:rPr>
          <w:b/>
        </w:rPr>
        <w:tab/>
        <w:t>“</w:t>
      </w:r>
      <w:r>
        <w:rPr>
          <w:rStyle w:val="CharDefText"/>
        </w:rPr>
        <w:t>government business</w:t>
      </w:r>
      <w:r>
        <w:rPr>
          <w:b/>
        </w:rPr>
        <w:t>”</w:t>
      </w:r>
      <w:r>
        <w:t xml:space="preserve"> means a business or undertaking carried on by a public authority, but does not include a business or undertaking that is specifically established by a written law;</w:t>
      </w:r>
    </w:p>
    <w:p>
      <w:pPr>
        <w:pStyle w:val="Defstart"/>
      </w:pPr>
      <w:r>
        <w:rPr>
          <w:b/>
        </w:rPr>
        <w:tab/>
        <w:t>“</w:t>
      </w:r>
      <w:r>
        <w:rPr>
          <w:rStyle w:val="CharDefText"/>
        </w:rPr>
        <w:t>property</w:t>
      </w:r>
      <w:r>
        <w:rPr>
          <w:b/>
        </w:rPr>
        <w:t>”</w:t>
      </w:r>
      <w:r>
        <w:t xml:space="preserve"> means personal property of any kind, whether corporeal or incorporeal or tangible or intangible, and any interest in personal property;</w:t>
      </w:r>
    </w:p>
    <w:p>
      <w:pPr>
        <w:pStyle w:val="Defstart"/>
      </w:pPr>
      <w:r>
        <w:rPr>
          <w:b/>
        </w:rPr>
        <w:tab/>
        <w:t>“</w:t>
      </w:r>
      <w:r>
        <w:rPr>
          <w:rStyle w:val="CharDefText"/>
        </w:rPr>
        <w:t>responsible Minister</w:t>
      </w:r>
      <w:r>
        <w:rPr>
          <w:b/>
        </w:rPr>
        <w:t>”</w:t>
      </w:r>
      <w:r>
        <w:t>, in relation to a government business, means the Minister responsible for the public authority that carries on that business.</w:t>
      </w:r>
    </w:p>
    <w:p>
      <w:pPr>
        <w:pStyle w:val="Footnotesection"/>
      </w:pPr>
      <w:r>
        <w:tab/>
        <w:t xml:space="preserve">[Section 26A inserted by No. 97 of 1994 s. 10.] </w:t>
      </w:r>
    </w:p>
    <w:p>
      <w:pPr>
        <w:pStyle w:val="Heading5"/>
        <w:rPr>
          <w:snapToGrid w:val="0"/>
        </w:rPr>
      </w:pPr>
      <w:bookmarkStart w:id="138" w:name="_Toc520186749"/>
      <w:bookmarkStart w:id="139" w:name="_Toc9140325"/>
      <w:bookmarkStart w:id="140" w:name="_Toc70226517"/>
      <w:bookmarkStart w:id="141" w:name="_Toc139707777"/>
      <w:r>
        <w:rPr>
          <w:rStyle w:val="CharSectno"/>
        </w:rPr>
        <w:t>26B</w:t>
      </w:r>
      <w:r>
        <w:rPr>
          <w:snapToGrid w:val="0"/>
        </w:rPr>
        <w:t>.</w:t>
      </w:r>
      <w:r>
        <w:rPr>
          <w:snapToGrid w:val="0"/>
        </w:rPr>
        <w:tab/>
        <w:t>Property may be sold</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pPr>
        <w:pStyle w:val="Subsection"/>
        <w:rPr>
          <w:snapToGrid w:val="0"/>
        </w:rPr>
      </w:pPr>
      <w:r>
        <w:rPr>
          <w:snapToGrid w:val="0"/>
        </w:rPr>
        <w:tab/>
        <w:t>(3)</w:t>
      </w:r>
      <w:r>
        <w:rPr>
          <w:snapToGrid w:val="0"/>
        </w:rPr>
        <w:tab/>
        <w:t>A determination is to identify the property and any liability to which it applies.</w:t>
      </w:r>
    </w:p>
    <w:p>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pPr>
        <w:pStyle w:val="Footnotesection"/>
      </w:pPr>
      <w:r>
        <w:tab/>
        <w:t xml:space="preserve">[Section 26B inserted by No. 97 of 1994 s. 10.] </w:t>
      </w:r>
    </w:p>
    <w:p>
      <w:pPr>
        <w:pStyle w:val="Heading5"/>
        <w:rPr>
          <w:snapToGrid w:val="0"/>
        </w:rPr>
      </w:pPr>
      <w:bookmarkStart w:id="142" w:name="_Toc520186750"/>
      <w:bookmarkStart w:id="143" w:name="_Toc9140326"/>
      <w:bookmarkStart w:id="144" w:name="_Toc70226518"/>
      <w:bookmarkStart w:id="145" w:name="_Toc139707778"/>
      <w:r>
        <w:rPr>
          <w:rStyle w:val="CharSectno"/>
        </w:rPr>
        <w:t>26C</w:t>
      </w:r>
      <w:r>
        <w:rPr>
          <w:snapToGrid w:val="0"/>
        </w:rPr>
        <w:t>.</w:t>
      </w:r>
      <w:r>
        <w:rPr>
          <w:snapToGrid w:val="0"/>
        </w:rPr>
        <w:tab/>
        <w:t>Power of Commission to sell</w:t>
      </w:r>
      <w:bookmarkEnd w:id="142"/>
      <w:bookmarkEnd w:id="143"/>
      <w:bookmarkEnd w:id="144"/>
      <w:bookmarkEnd w:id="145"/>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determination has been made under section 26B in respect of any property or liability; and</w:t>
      </w:r>
    </w:p>
    <w:p>
      <w:pPr>
        <w:pStyle w:val="Indenta"/>
        <w:rPr>
          <w:snapToGrid w:val="0"/>
        </w:rPr>
      </w:pPr>
      <w:r>
        <w:rPr>
          <w:snapToGrid w:val="0"/>
        </w:rPr>
        <w:tab/>
        <w:t>(b)</w:t>
      </w:r>
      <w:r>
        <w:rPr>
          <w:snapToGrid w:val="0"/>
        </w:rPr>
        <w:tab/>
        <w:t>the determination does not specify that Division 2 is to apply,</w:t>
      </w:r>
    </w:p>
    <w:p>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pPr>
        <w:pStyle w:val="Footnotesection"/>
      </w:pPr>
      <w:r>
        <w:tab/>
        <w:t xml:space="preserve">[Section 26C inserted by No. 97 of 1994 s. 10.] </w:t>
      </w:r>
    </w:p>
    <w:p>
      <w:pPr>
        <w:pStyle w:val="Heading3"/>
        <w:rPr>
          <w:snapToGrid w:val="0"/>
        </w:rPr>
      </w:pPr>
      <w:bookmarkStart w:id="146" w:name="_Toc139361240"/>
      <w:bookmarkStart w:id="147" w:name="_Toc139707779"/>
      <w:r>
        <w:rPr>
          <w:rStyle w:val="CharDivNo"/>
        </w:rPr>
        <w:t>Division 2</w:t>
      </w:r>
      <w:r>
        <w:rPr>
          <w:snapToGrid w:val="0"/>
        </w:rPr>
        <w:t> — </w:t>
      </w:r>
      <w:r>
        <w:rPr>
          <w:rStyle w:val="CharDivText"/>
        </w:rPr>
        <w:t>Sale by formation of company and sale of shares</w:t>
      </w:r>
      <w:bookmarkEnd w:id="146"/>
      <w:bookmarkEnd w:id="147"/>
      <w:r>
        <w:rPr>
          <w:rStyle w:val="CharDivText"/>
        </w:rPr>
        <w:t xml:space="preserve">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148" w:name="_Toc520186751"/>
      <w:bookmarkStart w:id="149" w:name="_Toc9140327"/>
      <w:bookmarkStart w:id="150" w:name="_Toc70226519"/>
      <w:bookmarkStart w:id="151" w:name="_Toc139707780"/>
      <w:r>
        <w:rPr>
          <w:rStyle w:val="CharSectno"/>
        </w:rPr>
        <w:t>26D</w:t>
      </w:r>
      <w:r>
        <w:rPr>
          <w:snapToGrid w:val="0"/>
        </w:rPr>
        <w:t>.</w:t>
      </w:r>
      <w:r>
        <w:rPr>
          <w:snapToGrid w:val="0"/>
        </w:rPr>
        <w:tab/>
        <w:t>Company to be formed or acquired</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A company is to be limited by shares and all of the shares are to be held on behalf of the State.</w:t>
      </w:r>
    </w:p>
    <w:p>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contents of the memorandum and articles; and</w:t>
      </w:r>
    </w:p>
    <w:p>
      <w:pPr>
        <w:pStyle w:val="Indenta"/>
        <w:rPr>
          <w:snapToGrid w:val="0"/>
        </w:rPr>
      </w:pPr>
      <w:r>
        <w:rPr>
          <w:snapToGrid w:val="0"/>
        </w:rPr>
        <w:tab/>
        <w:t>(c)</w:t>
      </w:r>
      <w:r>
        <w:rPr>
          <w:snapToGrid w:val="0"/>
        </w:rPr>
        <w:tab/>
        <w:t>who are to be the shareholders and officers,</w:t>
      </w:r>
    </w:p>
    <w:p>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pPr>
        <w:pStyle w:val="Footnotesection"/>
      </w:pPr>
      <w:r>
        <w:tab/>
        <w:t xml:space="preserve">[Section 26D inserted by No. 97 of 1994 s. 10; amended by No. 10 of 2001 s. 220.] </w:t>
      </w:r>
    </w:p>
    <w:p>
      <w:pPr>
        <w:pStyle w:val="Heading5"/>
        <w:rPr>
          <w:snapToGrid w:val="0"/>
        </w:rPr>
      </w:pPr>
      <w:bookmarkStart w:id="152" w:name="_Toc520186752"/>
      <w:bookmarkStart w:id="153" w:name="_Toc9140328"/>
      <w:bookmarkStart w:id="154" w:name="_Toc70226520"/>
      <w:bookmarkStart w:id="155" w:name="_Toc139707781"/>
      <w:r>
        <w:rPr>
          <w:rStyle w:val="CharSectno"/>
        </w:rPr>
        <w:t>26E</w:t>
      </w:r>
      <w:r>
        <w:rPr>
          <w:snapToGrid w:val="0"/>
        </w:rPr>
        <w:t>.</w:t>
      </w:r>
      <w:r>
        <w:rPr>
          <w:snapToGrid w:val="0"/>
        </w:rPr>
        <w:tab/>
        <w:t>Status of company</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company is an agent of the Crown until the completion of a contract of sale made under section 26H.</w:t>
      </w:r>
    </w:p>
    <w:p>
      <w:pPr>
        <w:pStyle w:val="Subsection"/>
        <w:rPr>
          <w:snapToGrid w:val="0"/>
        </w:rPr>
      </w:pPr>
      <w:r>
        <w:rPr>
          <w:snapToGrid w:val="0"/>
        </w:rPr>
        <w:tab/>
        <w:t>(2)</w:t>
      </w:r>
      <w:r>
        <w:rPr>
          <w:snapToGrid w:val="0"/>
        </w:rPr>
        <w:tab/>
        <w:t>For the purposes of the</w:t>
      </w:r>
      <w:r>
        <w:rPr>
          <w:i/>
          <w:snapToGrid w:val="0"/>
        </w:rPr>
        <w:t xml:space="preserve"> Financial Administration and Audit Act 1985</w:t>
      </w:r>
      <w:r>
        <w:rPr>
          <w:snapToGrid w:val="0"/>
        </w:rPr>
        <w:t>, a company is a subsidiary body of the public authority which carries on the relevant business.</w:t>
      </w:r>
    </w:p>
    <w:p>
      <w:pPr>
        <w:pStyle w:val="Footnotesection"/>
      </w:pPr>
      <w:r>
        <w:tab/>
        <w:t xml:space="preserve">[Section 26E inserted by No. 97 of 1994 s. 10.] </w:t>
      </w:r>
    </w:p>
    <w:p>
      <w:pPr>
        <w:pStyle w:val="Heading5"/>
        <w:rPr>
          <w:snapToGrid w:val="0"/>
        </w:rPr>
      </w:pPr>
      <w:bookmarkStart w:id="156" w:name="_Toc520186753"/>
      <w:bookmarkStart w:id="157" w:name="_Toc9140329"/>
      <w:bookmarkStart w:id="158" w:name="_Toc70226521"/>
      <w:bookmarkStart w:id="159" w:name="_Toc139707782"/>
      <w:r>
        <w:rPr>
          <w:rStyle w:val="CharSectno"/>
        </w:rPr>
        <w:t>26F</w:t>
      </w:r>
      <w:r>
        <w:rPr>
          <w:snapToGrid w:val="0"/>
        </w:rPr>
        <w:t>.</w:t>
      </w:r>
      <w:r>
        <w:rPr>
          <w:snapToGrid w:val="0"/>
        </w:rPr>
        <w:tab/>
        <w:t>Order for transfer of property etc. to the company</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pPr>
        <w:pStyle w:val="Subsection"/>
        <w:keepNext/>
        <w:rPr>
          <w:snapToGrid w:val="0"/>
        </w:rPr>
      </w:pPr>
      <w:r>
        <w:rPr>
          <w:snapToGrid w:val="0"/>
        </w:rPr>
        <w:tab/>
        <w:t>(3)</w:t>
      </w:r>
      <w:r>
        <w:rPr>
          <w:snapToGrid w:val="0"/>
        </w:rPr>
        <w:tab/>
        <w:t>An order under subsection (1) comes into force immediately before the completion of a contract of sale made under section 26H.</w:t>
      </w:r>
    </w:p>
    <w:p>
      <w:pPr>
        <w:pStyle w:val="Footnotesection"/>
      </w:pPr>
      <w:r>
        <w:tab/>
        <w:t xml:space="preserve">[Section 26F inserted by No. 97 of 1994 s. 10.] </w:t>
      </w:r>
    </w:p>
    <w:p>
      <w:pPr>
        <w:pStyle w:val="Heading5"/>
        <w:rPr>
          <w:snapToGrid w:val="0"/>
        </w:rPr>
      </w:pPr>
      <w:bookmarkStart w:id="160" w:name="_Toc520186754"/>
      <w:bookmarkStart w:id="161" w:name="_Toc9140330"/>
      <w:bookmarkStart w:id="162" w:name="_Toc70226522"/>
      <w:bookmarkStart w:id="163" w:name="_Toc139707783"/>
      <w:r>
        <w:rPr>
          <w:rStyle w:val="CharSectno"/>
        </w:rPr>
        <w:t>26G</w:t>
      </w:r>
      <w:r>
        <w:rPr>
          <w:snapToGrid w:val="0"/>
        </w:rPr>
        <w:t>.</w:t>
      </w:r>
      <w:r>
        <w:rPr>
          <w:snapToGrid w:val="0"/>
        </w:rPr>
        <w:tab/>
        <w:t>Effect of transfer order</w:t>
      </w:r>
      <w:bookmarkEnd w:id="160"/>
      <w:bookmarkEnd w:id="161"/>
      <w:bookmarkEnd w:id="162"/>
      <w:bookmarkEnd w:id="163"/>
      <w:r>
        <w:rPr>
          <w:snapToGrid w:val="0"/>
        </w:rPr>
        <w:t xml:space="preserve"> </w:t>
      </w:r>
    </w:p>
    <w:p>
      <w:pPr>
        <w:pStyle w:val="Subsection"/>
        <w:keepNext/>
        <w:ind w:left="890" w:hanging="890"/>
        <w:rPr>
          <w:snapToGrid w:val="0"/>
        </w:rPr>
      </w:pPr>
      <w:r>
        <w:rPr>
          <w:snapToGrid w:val="0"/>
        </w:rPr>
        <w:tab/>
        <w:t>(1)</w:t>
      </w:r>
      <w:r>
        <w:rPr>
          <w:snapToGrid w:val="0"/>
        </w:rPr>
        <w:tab/>
        <w:t>On the coming into force of an order under section 26F — </w:t>
      </w:r>
    </w:p>
    <w:p>
      <w:pPr>
        <w:pStyle w:val="Indenta"/>
        <w:rPr>
          <w:snapToGrid w:val="0"/>
        </w:rPr>
      </w:pPr>
      <w:r>
        <w:rPr>
          <w:snapToGrid w:val="0"/>
        </w:rPr>
        <w:tab/>
        <w:t>(a)</w:t>
      </w:r>
      <w:r>
        <w:rPr>
          <w:snapToGrid w:val="0"/>
        </w:rPr>
        <w:tab/>
        <w:t xml:space="preserve">the property to which it applies vests in the relevant company, and any liability to which it applies becomes the liability of that company, by virtue of this subsection without the need for any transfer; and </w:t>
      </w:r>
    </w:p>
    <w:p>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pPr>
        <w:pStyle w:val="Subsection"/>
        <w:keepNext/>
        <w:ind w:left="890" w:hanging="890"/>
        <w:rPr>
          <w:snapToGrid w:val="0"/>
        </w:rPr>
      </w:pPr>
      <w:r>
        <w:rPr>
          <w:snapToGrid w:val="0"/>
        </w:rPr>
        <w:tab/>
        <w:t>(2)</w:t>
      </w:r>
      <w:r>
        <w:rPr>
          <w:snapToGrid w:val="0"/>
        </w:rPr>
        <w:tab/>
        <w:t>The operation of this section does not — </w:t>
      </w:r>
    </w:p>
    <w:p>
      <w:pPr>
        <w:pStyle w:val="Indenta"/>
        <w:rPr>
          <w:snapToGrid w:val="0"/>
        </w:rPr>
      </w:pPr>
      <w:r>
        <w:rPr>
          <w:snapToGrid w:val="0"/>
        </w:rPr>
        <w:tab/>
        <w:t>(a)</w:t>
      </w:r>
      <w:r>
        <w:rPr>
          <w:snapToGrid w:val="0"/>
        </w:rPr>
        <w:tab/>
        <w:t>constitute a breach of contract or a civil wrong;</w:t>
      </w:r>
    </w:p>
    <w:p>
      <w:pPr>
        <w:pStyle w:val="Indenta"/>
        <w:rPr>
          <w:snapToGrid w:val="0"/>
        </w:rPr>
      </w:pPr>
      <w:r>
        <w:rPr>
          <w:snapToGrid w:val="0"/>
        </w:rPr>
        <w:tab/>
        <w:t>(b)</w:t>
      </w:r>
      <w:r>
        <w:rPr>
          <w:snapToGrid w:val="0"/>
        </w:rPr>
        <w:tab/>
        <w:t>constitute a breach of any contractual provision prohibiting or restricting transfer of any asset, right or liability; or</w:t>
      </w:r>
    </w:p>
    <w:p>
      <w:pPr>
        <w:pStyle w:val="Indenta"/>
        <w:rPr>
          <w:snapToGrid w:val="0"/>
        </w:rPr>
      </w:pPr>
      <w:r>
        <w:rPr>
          <w:snapToGrid w:val="0"/>
        </w:rPr>
        <w:tab/>
        <w:t>(c)</w:t>
      </w:r>
      <w:r>
        <w:rPr>
          <w:snapToGrid w:val="0"/>
        </w:rPr>
        <w:tab/>
        <w:t>give rise to any remedy by a party to an instrument, or cause or permit the termination of any instrument.</w:t>
      </w:r>
    </w:p>
    <w:p>
      <w:pPr>
        <w:pStyle w:val="Footnotesection"/>
      </w:pPr>
      <w:r>
        <w:tab/>
        <w:t xml:space="preserve">[Section 26G inserted by No. 97 of 1994 s. 10.] </w:t>
      </w:r>
    </w:p>
    <w:p>
      <w:pPr>
        <w:pStyle w:val="Heading5"/>
        <w:rPr>
          <w:snapToGrid w:val="0"/>
        </w:rPr>
      </w:pPr>
      <w:bookmarkStart w:id="164" w:name="_Toc520186755"/>
      <w:bookmarkStart w:id="165" w:name="_Toc9140331"/>
      <w:bookmarkStart w:id="166" w:name="_Toc70226523"/>
      <w:bookmarkStart w:id="167" w:name="_Toc139707784"/>
      <w:r>
        <w:rPr>
          <w:rStyle w:val="CharSectno"/>
        </w:rPr>
        <w:t>26H</w:t>
      </w:r>
      <w:r>
        <w:rPr>
          <w:snapToGrid w:val="0"/>
        </w:rPr>
        <w:t>.</w:t>
      </w:r>
      <w:r>
        <w:rPr>
          <w:snapToGrid w:val="0"/>
        </w:rPr>
        <w:tab/>
        <w:t>Commission may sell shares</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pPr>
        <w:pStyle w:val="Subsection"/>
        <w:keepNext/>
        <w:rPr>
          <w:snapToGrid w:val="0"/>
        </w:rPr>
      </w:pPr>
      <w:r>
        <w:rPr>
          <w:snapToGrid w:val="0"/>
        </w:rPr>
        <w:tab/>
        <w:t>(2)</w:t>
      </w:r>
      <w:r>
        <w:rPr>
          <w:snapToGrid w:val="0"/>
        </w:rPr>
        <w:tab/>
        <w:t>A contract under subsection (1) — </w:t>
      </w:r>
    </w:p>
    <w:p>
      <w:pPr>
        <w:pStyle w:val="Indenta"/>
        <w:rPr>
          <w:snapToGrid w:val="0"/>
        </w:rPr>
      </w:pPr>
      <w:r>
        <w:rPr>
          <w:snapToGrid w:val="0"/>
        </w:rPr>
        <w:tab/>
        <w:t>(a)</w:t>
      </w:r>
      <w:r>
        <w:rPr>
          <w:snapToGrid w:val="0"/>
        </w:rPr>
        <w:tab/>
        <w:t>may contain such incidental and ancillary provisions as are required to give effect to this Part; and</w:t>
      </w:r>
    </w:p>
    <w:p>
      <w:pPr>
        <w:pStyle w:val="Indenta"/>
        <w:keepNext/>
        <w:rPr>
          <w:snapToGrid w:val="0"/>
        </w:rPr>
      </w:pPr>
      <w:r>
        <w:rPr>
          <w:snapToGrid w:val="0"/>
        </w:rPr>
        <w:tab/>
        <w:t>(b)</w:t>
      </w:r>
      <w:r>
        <w:rPr>
          <w:snapToGrid w:val="0"/>
        </w:rPr>
        <w:tab/>
        <w:t xml:space="preserve">is binding on the company’s shareholders. </w:t>
      </w:r>
    </w:p>
    <w:p>
      <w:pPr>
        <w:pStyle w:val="Footnotesection"/>
      </w:pPr>
      <w:r>
        <w:tab/>
        <w:t xml:space="preserve">[Section 26H inserted by No. 97 of 1994 s. 10.] </w:t>
      </w:r>
    </w:p>
    <w:p>
      <w:pPr>
        <w:pStyle w:val="Heading3"/>
        <w:rPr>
          <w:snapToGrid w:val="0"/>
        </w:rPr>
      </w:pPr>
      <w:bookmarkStart w:id="168" w:name="_Toc139361246"/>
      <w:bookmarkStart w:id="169" w:name="_Toc139707785"/>
      <w:r>
        <w:rPr>
          <w:rStyle w:val="CharDivNo"/>
        </w:rPr>
        <w:t>Division 3</w:t>
      </w:r>
      <w:r>
        <w:rPr>
          <w:snapToGrid w:val="0"/>
        </w:rPr>
        <w:t> — </w:t>
      </w:r>
      <w:r>
        <w:rPr>
          <w:rStyle w:val="CharDivText"/>
        </w:rPr>
        <w:t>General</w:t>
      </w:r>
      <w:bookmarkEnd w:id="168"/>
      <w:bookmarkEnd w:id="169"/>
      <w:r>
        <w:rPr>
          <w:rStyle w:val="CharDivText"/>
        </w:rPr>
        <w:t xml:space="preserve">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170" w:name="_Toc520186756"/>
      <w:bookmarkStart w:id="171" w:name="_Toc9140332"/>
      <w:bookmarkStart w:id="172" w:name="_Toc70226524"/>
      <w:bookmarkStart w:id="173" w:name="_Toc139707786"/>
      <w:r>
        <w:rPr>
          <w:rStyle w:val="CharSectno"/>
        </w:rPr>
        <w:t>26I</w:t>
      </w:r>
      <w:r>
        <w:rPr>
          <w:snapToGrid w:val="0"/>
        </w:rPr>
        <w:t>.</w:t>
      </w:r>
      <w:r>
        <w:rPr>
          <w:snapToGrid w:val="0"/>
        </w:rPr>
        <w:tab/>
        <w:t>Proceeds of sale</w:t>
      </w:r>
      <w:bookmarkEnd w:id="170"/>
      <w:bookmarkEnd w:id="171"/>
      <w:bookmarkEnd w:id="172"/>
      <w:bookmarkEnd w:id="173"/>
      <w:r>
        <w:rPr>
          <w:snapToGrid w:val="0"/>
        </w:rPr>
        <w:t xml:space="preserve"> </w:t>
      </w:r>
    </w:p>
    <w:p>
      <w:pPr>
        <w:pStyle w:val="Subsection"/>
        <w:keepNext/>
        <w:rPr>
          <w:snapToGrid w:val="0"/>
        </w:rPr>
      </w:pPr>
      <w:r>
        <w:rPr>
          <w:snapToGrid w:val="0"/>
        </w:rPr>
        <w:tab/>
        <w:t>(1)</w:t>
      </w:r>
      <w:r>
        <w:rPr>
          <w:snapToGrid w:val="0"/>
        </w:rPr>
        <w:tab/>
        <w:t>Subject to subsection (2), the proceeds of sale of — </w:t>
      </w:r>
    </w:p>
    <w:p>
      <w:pPr>
        <w:pStyle w:val="Indenta"/>
        <w:rPr>
          <w:snapToGrid w:val="0"/>
        </w:rPr>
      </w:pPr>
      <w:r>
        <w:rPr>
          <w:snapToGrid w:val="0"/>
        </w:rPr>
        <w:tab/>
        <w:t>(a)</w:t>
      </w:r>
      <w:r>
        <w:rPr>
          <w:snapToGrid w:val="0"/>
        </w:rPr>
        <w:tab/>
        <w:t>property sold under section 26C; or</w:t>
      </w:r>
    </w:p>
    <w:p>
      <w:pPr>
        <w:pStyle w:val="Indenta"/>
        <w:rPr>
          <w:snapToGrid w:val="0"/>
        </w:rPr>
      </w:pPr>
      <w:r>
        <w:rPr>
          <w:snapToGrid w:val="0"/>
        </w:rPr>
        <w:tab/>
        <w:t>(b)</w:t>
      </w:r>
      <w:r>
        <w:rPr>
          <w:snapToGrid w:val="0"/>
        </w:rPr>
        <w:tab/>
        <w:t>the shares in a company sold under section 26H,</w:t>
      </w:r>
    </w:p>
    <w:p>
      <w:pPr>
        <w:pStyle w:val="Subsection"/>
        <w:rPr>
          <w:snapToGrid w:val="0"/>
        </w:rPr>
      </w:pPr>
      <w:r>
        <w:rPr>
          <w:snapToGrid w:val="0"/>
        </w:rPr>
        <w:tab/>
      </w:r>
      <w:r>
        <w:rPr>
          <w:snapToGrid w:val="0"/>
        </w:rPr>
        <w:tab/>
        <w:t>are to be credited to the Consolidated Fund.</w:t>
      </w:r>
    </w:p>
    <w:p>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pPr>
        <w:pStyle w:val="Footnotesection"/>
      </w:pPr>
      <w:r>
        <w:tab/>
        <w:t xml:space="preserve">[Section 26I inserted by No. 97 of 1994 s. 10.] </w:t>
      </w:r>
    </w:p>
    <w:p>
      <w:pPr>
        <w:pStyle w:val="Ednotesection"/>
      </w:pPr>
      <w:r>
        <w:t>[</w:t>
      </w:r>
      <w:r>
        <w:rPr>
          <w:b/>
        </w:rPr>
        <w:t>26J.</w:t>
      </w:r>
      <w:r>
        <w:tab/>
        <w:t>Repealed by No. 70 of 2003 s. 49.]</w:t>
      </w:r>
    </w:p>
    <w:p>
      <w:pPr>
        <w:pStyle w:val="Heading2"/>
      </w:pPr>
      <w:bookmarkStart w:id="174" w:name="_Toc139361248"/>
      <w:bookmarkStart w:id="175" w:name="_Toc139707787"/>
      <w:r>
        <w:rPr>
          <w:rStyle w:val="CharPartNo"/>
        </w:rPr>
        <w:t>Part 4</w:t>
      </w:r>
      <w:r>
        <w:rPr>
          <w:rStyle w:val="CharDivNo"/>
        </w:rPr>
        <w:t> </w:t>
      </w:r>
      <w:r>
        <w:t>—</w:t>
      </w:r>
      <w:r>
        <w:rPr>
          <w:rStyle w:val="CharDivText"/>
        </w:rPr>
        <w:t> </w:t>
      </w:r>
      <w:r>
        <w:rPr>
          <w:rStyle w:val="CharPartText"/>
        </w:rPr>
        <w:t>Miscellaneous</w:t>
      </w:r>
      <w:bookmarkEnd w:id="174"/>
      <w:bookmarkEnd w:id="175"/>
      <w:r>
        <w:rPr>
          <w:rStyle w:val="CharPartText"/>
        </w:rPr>
        <w:t xml:space="preserve"> </w:t>
      </w:r>
    </w:p>
    <w:p>
      <w:pPr>
        <w:pStyle w:val="Heading5"/>
        <w:rPr>
          <w:snapToGrid w:val="0"/>
        </w:rPr>
      </w:pPr>
      <w:bookmarkStart w:id="176" w:name="_Toc520186758"/>
      <w:bookmarkStart w:id="177" w:name="_Toc9140334"/>
      <w:bookmarkStart w:id="178" w:name="_Toc70226525"/>
      <w:bookmarkStart w:id="179" w:name="_Toc139707788"/>
      <w:r>
        <w:rPr>
          <w:rStyle w:val="CharSectno"/>
        </w:rPr>
        <w:t>27</w:t>
      </w:r>
      <w:r>
        <w:rPr>
          <w:snapToGrid w:val="0"/>
        </w:rPr>
        <w:t>.</w:t>
      </w:r>
      <w:r>
        <w:rPr>
          <w:snapToGrid w:val="0"/>
        </w:rPr>
        <w:tab/>
        <w:t>Regulations</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pPr>
        <w:pStyle w:val="Indenta"/>
        <w:rPr>
          <w:snapToGrid w:val="0"/>
        </w:rPr>
      </w:pPr>
      <w:r>
        <w:rPr>
          <w:snapToGrid w:val="0"/>
        </w:rPr>
        <w:tab/>
        <w:t>(b)</w:t>
      </w:r>
      <w:r>
        <w:rPr>
          <w:snapToGrid w:val="0"/>
        </w:rPr>
        <w:tab/>
        <w:t>the conditions upon which contracts to supply goods and services to public authorities are to be made;</w:t>
      </w:r>
    </w:p>
    <w:p>
      <w:pPr>
        <w:pStyle w:val="Indenta"/>
        <w:rPr>
          <w:snapToGrid w:val="0"/>
        </w:rPr>
      </w:pPr>
      <w:r>
        <w:rPr>
          <w:snapToGrid w:val="0"/>
        </w:rPr>
        <w:tab/>
        <w:t>(c)</w:t>
      </w:r>
      <w:r>
        <w:rPr>
          <w:snapToGrid w:val="0"/>
        </w:rPr>
        <w:tab/>
        <w:t>the preparation by public authorities of documents regarding supply procedures;</w:t>
      </w:r>
    </w:p>
    <w:p>
      <w:pPr>
        <w:pStyle w:val="Indenta"/>
        <w:rPr>
          <w:snapToGrid w:val="0"/>
        </w:rPr>
      </w:pPr>
      <w:r>
        <w:rPr>
          <w:snapToGrid w:val="0"/>
        </w:rPr>
        <w:tab/>
        <w:t>(d)</w:t>
      </w:r>
      <w:r>
        <w:rPr>
          <w:snapToGrid w:val="0"/>
        </w:rPr>
        <w:tab/>
        <w:t>the procedures and practices to be followed when tenders are called, received, awarded and finalized;</w:t>
      </w:r>
    </w:p>
    <w:p>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pPr>
        <w:pStyle w:val="Indenta"/>
        <w:rPr>
          <w:snapToGrid w:val="0"/>
        </w:rPr>
      </w:pPr>
      <w:r>
        <w:rPr>
          <w:snapToGrid w:val="0"/>
        </w:rPr>
        <w:tab/>
        <w:t>(g)</w:t>
      </w:r>
      <w:r>
        <w:rPr>
          <w:snapToGrid w:val="0"/>
        </w:rPr>
        <w:tab/>
        <w:t>the procedure for reviewing total and partial exemptions under sections 20 and 21;</w:t>
      </w:r>
    </w:p>
    <w:p>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pPr>
        <w:pStyle w:val="Indenta"/>
        <w:rPr>
          <w:snapToGrid w:val="0"/>
        </w:rPr>
      </w:pPr>
      <w:r>
        <w:rPr>
          <w:snapToGrid w:val="0"/>
        </w:rPr>
        <w:tab/>
        <w:t>(ha)</w:t>
      </w:r>
      <w:r>
        <w:rPr>
          <w:snapToGrid w:val="0"/>
        </w:rPr>
        <w:tab/>
        <w:t>measures that may be taken to ensure that public authorities comply with the regulations, and with supply policies and directions supplementing supply policies, and actions that may be taken in the event of non</w:t>
      </w:r>
      <w:r>
        <w:rPr>
          <w:snapToGrid w:val="0"/>
        </w:rPr>
        <w:noBreakHyphen/>
        <w:t>compliance;</w:t>
      </w:r>
    </w:p>
    <w:p>
      <w:pPr>
        <w:pStyle w:val="Indenta"/>
        <w:rPr>
          <w:snapToGrid w:val="0"/>
        </w:rPr>
      </w:pPr>
      <w:r>
        <w:rPr>
          <w:snapToGrid w:val="0"/>
        </w:rPr>
        <w:tab/>
        <w:t>(i)</w:t>
      </w:r>
      <w:r>
        <w:rPr>
          <w:snapToGrid w:val="0"/>
        </w:rPr>
        <w:tab/>
        <w:t>forms to be used for the purposes of this Act; and</w:t>
      </w:r>
    </w:p>
    <w:p>
      <w:pPr>
        <w:pStyle w:val="Indenta"/>
        <w:rPr>
          <w:snapToGrid w:val="0"/>
        </w:rPr>
      </w:pPr>
      <w:r>
        <w:rPr>
          <w:snapToGrid w:val="0"/>
        </w:rPr>
        <w:tab/>
        <w:t>(j)</w:t>
      </w:r>
      <w:r>
        <w:rPr>
          <w:snapToGrid w:val="0"/>
        </w:rPr>
        <w:tab/>
        <w:t>fees for the purposes of this Act.</w:t>
      </w:r>
    </w:p>
    <w:p>
      <w:pPr>
        <w:pStyle w:val="Footnotesection"/>
      </w:pPr>
      <w:r>
        <w:tab/>
        <w:t xml:space="preserve">[Section 27 amended by No. 97 of 1994 s. 11.] </w:t>
      </w:r>
    </w:p>
    <w:p>
      <w:pPr>
        <w:pStyle w:val="Heading5"/>
        <w:rPr>
          <w:snapToGrid w:val="0"/>
        </w:rPr>
      </w:pPr>
      <w:bookmarkStart w:id="180" w:name="_Toc520186759"/>
      <w:bookmarkStart w:id="181" w:name="_Toc9140335"/>
      <w:bookmarkStart w:id="182" w:name="_Toc70226526"/>
      <w:bookmarkStart w:id="183" w:name="_Toc139707789"/>
      <w:r>
        <w:rPr>
          <w:rStyle w:val="CharSectno"/>
        </w:rPr>
        <w:t>28</w:t>
      </w:r>
      <w:r>
        <w:rPr>
          <w:snapToGrid w:val="0"/>
        </w:rPr>
        <w:t>.</w:t>
      </w:r>
      <w:r>
        <w:rPr>
          <w:snapToGrid w:val="0"/>
        </w:rPr>
        <w:tab/>
        <w:t>Supply policies</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pPr>
        <w:pStyle w:val="Subsection"/>
        <w:keepNext/>
        <w:rPr>
          <w:snapToGrid w:val="0"/>
        </w:rPr>
      </w:pPr>
      <w:r>
        <w:rPr>
          <w:snapToGrid w:val="0"/>
        </w:rPr>
        <w:tab/>
        <w:t>(2)</w:t>
      </w:r>
      <w:r>
        <w:rPr>
          <w:snapToGrid w:val="0"/>
        </w:rPr>
        <w:tab/>
        <w:t>Supply policies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pPr>
        <w:pStyle w:val="Indenta"/>
        <w:keepNext/>
        <w:rPr>
          <w:snapToGrid w:val="0"/>
        </w:rPr>
      </w:pPr>
      <w:r>
        <w:rPr>
          <w:snapToGrid w:val="0"/>
        </w:rPr>
        <w:tab/>
        <w:t>(b)</w:t>
      </w:r>
      <w:r>
        <w:rPr>
          <w:snapToGrid w:val="0"/>
        </w:rPr>
        <w:tab/>
        <w:t>so as to require a matter affected by the supply policies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pPr>
        <w:pStyle w:val="Subsection"/>
        <w:rPr>
          <w:snapToGrid w:val="0"/>
        </w:rPr>
      </w:pPr>
      <w:r>
        <w:rPr>
          <w:snapToGrid w:val="0"/>
        </w:rPr>
        <w:tab/>
        <w:t>(4)</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supply policies.</w:t>
      </w:r>
    </w:p>
    <w:p>
      <w:pPr>
        <w:pStyle w:val="Heading5"/>
        <w:rPr>
          <w:snapToGrid w:val="0"/>
        </w:rPr>
      </w:pPr>
      <w:bookmarkStart w:id="184" w:name="_Toc520186760"/>
      <w:bookmarkStart w:id="185" w:name="_Toc9140336"/>
      <w:bookmarkStart w:id="186" w:name="_Toc70226527"/>
      <w:bookmarkStart w:id="187" w:name="_Toc139707790"/>
      <w:r>
        <w:rPr>
          <w:rStyle w:val="CharSectno"/>
        </w:rPr>
        <w:t>29</w:t>
      </w:r>
      <w:r>
        <w:rPr>
          <w:snapToGrid w:val="0"/>
        </w:rPr>
        <w:t>.</w:t>
      </w:r>
      <w:r>
        <w:rPr>
          <w:snapToGrid w:val="0"/>
        </w:rPr>
        <w:tab/>
        <w:t>Contracts made by Commission</w:t>
      </w:r>
      <w:bookmarkEnd w:id="184"/>
      <w:bookmarkEnd w:id="185"/>
      <w:bookmarkEnd w:id="186"/>
      <w:bookmarkEnd w:id="187"/>
      <w:r>
        <w:rPr>
          <w:snapToGrid w:val="0"/>
        </w:rPr>
        <w:t xml:space="preserve"> </w:t>
      </w:r>
    </w:p>
    <w:p>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 </w:t>
      </w:r>
    </w:p>
    <w:p>
      <w:pPr>
        <w:pStyle w:val="Indenta"/>
        <w:rPr>
          <w:snapToGrid w:val="0"/>
        </w:rPr>
      </w:pPr>
      <w:r>
        <w:rPr>
          <w:snapToGrid w:val="0"/>
        </w:rPr>
        <w:tab/>
        <w:t>(a)</w:t>
      </w:r>
      <w:r>
        <w:rPr>
          <w:snapToGrid w:val="0"/>
        </w:rPr>
        <w:tab/>
        <w:t>the contract expressly provides that the Commission acts as agent for a public authority; and</w:t>
      </w:r>
    </w:p>
    <w:p>
      <w:pPr>
        <w:pStyle w:val="Indenta"/>
        <w:rPr>
          <w:snapToGrid w:val="0"/>
        </w:rPr>
      </w:pPr>
      <w:r>
        <w:rPr>
          <w:snapToGrid w:val="0"/>
        </w:rPr>
        <w:tab/>
        <w:t>(b)</w:t>
      </w:r>
      <w:r>
        <w:rPr>
          <w:snapToGrid w:val="0"/>
        </w:rPr>
        <w:tab/>
        <w:t>the Commission is authorised so to act by the public authority.</w:t>
      </w:r>
    </w:p>
    <w:p>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 </w:t>
      </w:r>
    </w:p>
    <w:p>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pPr>
        <w:pStyle w:val="Indenta"/>
        <w:rPr>
          <w:snapToGrid w:val="0"/>
        </w:rPr>
      </w:pPr>
      <w:r>
        <w:rPr>
          <w:snapToGrid w:val="0"/>
        </w:rPr>
        <w:tab/>
        <w:t>(b)</w:t>
      </w:r>
      <w:r>
        <w:rPr>
          <w:snapToGrid w:val="0"/>
        </w:rPr>
        <w:tab/>
        <w:t>any moneys paid to the Commission in respect of loss suffered by the public authority or other person or body due to a breach of that contract shall be paid without any deductions, other than costs, to that public authority, person or body; and</w:t>
      </w:r>
    </w:p>
    <w:p>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pPr>
        <w:pStyle w:val="Footnotesection"/>
      </w:pPr>
      <w:r>
        <w:tab/>
        <w:t xml:space="preserve">[Section 29 amended by No. 97 of 1994 s. 12.] </w:t>
      </w:r>
    </w:p>
    <w:p>
      <w:pPr>
        <w:pStyle w:val="Heading5"/>
        <w:rPr>
          <w:snapToGrid w:val="0"/>
        </w:rPr>
      </w:pPr>
      <w:bookmarkStart w:id="188" w:name="_Toc520186761"/>
      <w:bookmarkStart w:id="189" w:name="_Toc9140337"/>
      <w:bookmarkStart w:id="190" w:name="_Toc70226528"/>
      <w:bookmarkStart w:id="191" w:name="_Toc139707791"/>
      <w:r>
        <w:rPr>
          <w:rStyle w:val="CharSectno"/>
        </w:rPr>
        <w:t>30</w:t>
      </w:r>
      <w:r>
        <w:rPr>
          <w:snapToGrid w:val="0"/>
        </w:rPr>
        <w:t>.</w:t>
      </w:r>
      <w:r>
        <w:rPr>
          <w:snapToGrid w:val="0"/>
        </w:rPr>
        <w:tab/>
        <w:t>Funds of Commission</w:t>
      </w:r>
      <w:bookmarkEnd w:id="188"/>
      <w:bookmarkEnd w:id="189"/>
      <w:bookmarkEnd w:id="190"/>
      <w:bookmarkEnd w:id="191"/>
      <w:r>
        <w:rPr>
          <w:snapToGrid w:val="0"/>
        </w:rPr>
        <w:t xml:space="preserve"> </w:t>
      </w:r>
    </w:p>
    <w:p>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pPr>
        <w:pStyle w:val="Indenta"/>
        <w:rPr>
          <w:snapToGrid w:val="0"/>
        </w:rPr>
      </w:pPr>
      <w:r>
        <w:rPr>
          <w:snapToGrid w:val="0"/>
        </w:rPr>
        <w:tab/>
        <w:t>(ba)</w:t>
      </w:r>
      <w:r>
        <w:rPr>
          <w:snapToGrid w:val="0"/>
        </w:rPr>
        <w:tab/>
        <w:t>borrowings by the Commission under section 31(2);</w:t>
      </w:r>
    </w:p>
    <w:p>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pPr>
        <w:pStyle w:val="Subsection"/>
        <w:rPr>
          <w:snapToGrid w:val="0"/>
        </w:rPr>
      </w:pPr>
      <w:r>
        <w:rPr>
          <w:snapToGrid w:val="0"/>
        </w:rPr>
        <w:tab/>
        <w:t>(2)</w:t>
      </w:r>
      <w:r>
        <w:rPr>
          <w:snapToGrid w:val="0"/>
        </w:rPr>
        <w:tab/>
        <w:t xml:space="preserve">The funds referred to in subsection (1) shall be credited to an account, forming part of the Trust Fund constituted under section 9 of the </w:t>
      </w:r>
      <w:r>
        <w:rPr>
          <w:i/>
          <w:snapToGrid w:val="0"/>
        </w:rPr>
        <w:t>Financial Administration and Audit Act 1985</w:t>
      </w:r>
      <w:r>
        <w:rPr>
          <w:snapToGrid w:val="0"/>
        </w:rPr>
        <w:t>, to be called the “State Supply Commission Account”.</w:t>
      </w:r>
    </w:p>
    <w:p>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 </w:t>
      </w:r>
    </w:p>
    <w:p>
      <w:pPr>
        <w:pStyle w:val="Indenta"/>
        <w:rPr>
          <w:snapToGrid w:val="0"/>
        </w:rPr>
      </w:pPr>
      <w:r>
        <w:rPr>
          <w:snapToGrid w:val="0"/>
        </w:rPr>
        <w:tab/>
        <w:t>(a)</w:t>
      </w:r>
      <w:r>
        <w:rPr>
          <w:snapToGrid w:val="0"/>
        </w:rPr>
        <w:tab/>
        <w:t>the remuneration and allowances payable to members in accordance with section 9; and</w:t>
      </w:r>
    </w:p>
    <w:p>
      <w:pPr>
        <w:pStyle w:val="Indenta"/>
        <w:rPr>
          <w:snapToGrid w:val="0"/>
        </w:rPr>
      </w:pPr>
      <w:r>
        <w:rPr>
          <w:snapToGrid w:val="0"/>
        </w:rPr>
        <w:tab/>
        <w:t>(b)</w:t>
      </w:r>
      <w:r>
        <w:rPr>
          <w:snapToGrid w:val="0"/>
        </w:rPr>
        <w:tab/>
        <w:t>all costs and expenses incurred by the Commission for the purpose of giving effect to this Act.</w:t>
      </w:r>
    </w:p>
    <w:p>
      <w:pPr>
        <w:pStyle w:val="Footnotesection"/>
      </w:pPr>
      <w:r>
        <w:tab/>
        <w:t xml:space="preserve">[Section 30 amended by No. 97 of 1994 s. 13; No. 49 of 1996 s. 64; No. 28 of 2006 s. 436.] </w:t>
      </w:r>
    </w:p>
    <w:p>
      <w:pPr>
        <w:pStyle w:val="Heading5"/>
        <w:rPr>
          <w:snapToGrid w:val="0"/>
        </w:rPr>
      </w:pPr>
      <w:bookmarkStart w:id="192" w:name="_Toc520186762"/>
      <w:bookmarkStart w:id="193" w:name="_Toc9140338"/>
      <w:bookmarkStart w:id="194" w:name="_Toc70226529"/>
      <w:bookmarkStart w:id="195" w:name="_Toc139707792"/>
      <w:r>
        <w:rPr>
          <w:rStyle w:val="CharSectno"/>
        </w:rPr>
        <w:t>31</w:t>
      </w:r>
      <w:r>
        <w:rPr>
          <w:snapToGrid w:val="0"/>
        </w:rPr>
        <w:t>.</w:t>
      </w:r>
      <w:r>
        <w:rPr>
          <w:snapToGrid w:val="0"/>
        </w:rPr>
        <w:tab/>
        <w:t>Power to borrow from Treasurer</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pPr>
        <w:pStyle w:val="Subsection"/>
        <w:rPr>
          <w:snapToGrid w:val="0"/>
        </w:rPr>
      </w:pPr>
      <w:r>
        <w:rPr>
          <w:snapToGrid w:val="0"/>
        </w:rPr>
        <w:tab/>
        <w:t>(2)</w:t>
      </w:r>
      <w:r>
        <w:rPr>
          <w:snapToGrid w:val="0"/>
        </w:rPr>
        <w:tab/>
        <w:t>For the purposes of performing its functions the Commission may also borrow moneys from persons other than the Treasurer.</w:t>
      </w:r>
    </w:p>
    <w:p>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pPr>
        <w:pStyle w:val="Subsection"/>
        <w:keepNext/>
        <w:rPr>
          <w:snapToGrid w:val="0"/>
        </w:rPr>
      </w:pPr>
      <w:r>
        <w:rPr>
          <w:snapToGrid w:val="0"/>
        </w:rPr>
        <w:tab/>
        <w:t>(6)</w:t>
      </w:r>
      <w:r>
        <w:rPr>
          <w:snapToGrid w:val="0"/>
        </w:rPr>
        <w:tab/>
        <w:t>The due payment of moneys payable by the Treasurer under a guarantee given under subsection (5)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Footnotesection"/>
      </w:pPr>
      <w:r>
        <w:tab/>
        <w:t xml:space="preserve">[Section 31 amended by No. 97 of 1994 s. 14.] </w:t>
      </w:r>
    </w:p>
    <w:p>
      <w:pPr>
        <w:pStyle w:val="Heading5"/>
        <w:rPr>
          <w:snapToGrid w:val="0"/>
        </w:rPr>
      </w:pPr>
      <w:bookmarkStart w:id="196" w:name="_Toc520186763"/>
      <w:bookmarkStart w:id="197" w:name="_Toc9140339"/>
      <w:bookmarkStart w:id="198" w:name="_Toc70226530"/>
      <w:bookmarkStart w:id="199" w:name="_Toc139707793"/>
      <w:r>
        <w:rPr>
          <w:rStyle w:val="CharSectno"/>
        </w:rPr>
        <w:t>32</w:t>
      </w:r>
      <w:r>
        <w:rPr>
          <w:snapToGrid w:val="0"/>
        </w:rPr>
        <w:t>.</w:t>
      </w:r>
      <w:r>
        <w:rPr>
          <w:snapToGrid w:val="0"/>
        </w:rPr>
        <w:tab/>
        <w:t xml:space="preserve">Application of </w:t>
      </w:r>
      <w:r>
        <w:rPr>
          <w:i/>
          <w:snapToGrid w:val="0"/>
        </w:rPr>
        <w:t>Financial Administration and Audit Act 1985</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w:t>
      </w:r>
    </w:p>
    <w:p>
      <w:pPr>
        <w:pStyle w:val="Heading5"/>
        <w:rPr>
          <w:snapToGrid w:val="0"/>
        </w:rPr>
      </w:pPr>
      <w:bookmarkStart w:id="200" w:name="_Toc520186764"/>
      <w:bookmarkStart w:id="201" w:name="_Toc9140340"/>
      <w:bookmarkStart w:id="202" w:name="_Toc70226531"/>
      <w:bookmarkStart w:id="203" w:name="_Toc139707794"/>
      <w:r>
        <w:rPr>
          <w:rStyle w:val="CharSectno"/>
        </w:rPr>
        <w:t>33</w:t>
      </w:r>
      <w:r>
        <w:rPr>
          <w:snapToGrid w:val="0"/>
        </w:rPr>
        <w:t>.</w:t>
      </w:r>
      <w:r>
        <w:rPr>
          <w:snapToGrid w:val="0"/>
        </w:rPr>
        <w:tab/>
        <w:t>Repeal</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pPr>
        <w:pStyle w:val="Heading5"/>
        <w:rPr>
          <w:snapToGrid w:val="0"/>
        </w:rPr>
      </w:pPr>
      <w:bookmarkStart w:id="204" w:name="_Toc520186765"/>
      <w:bookmarkStart w:id="205" w:name="_Toc9140341"/>
      <w:bookmarkStart w:id="206" w:name="_Toc70226532"/>
      <w:bookmarkStart w:id="207" w:name="_Toc139707795"/>
      <w:r>
        <w:rPr>
          <w:rStyle w:val="CharSectno"/>
        </w:rPr>
        <w:t>34</w:t>
      </w:r>
      <w:r>
        <w:rPr>
          <w:snapToGrid w:val="0"/>
        </w:rPr>
        <w:t>.</w:t>
      </w:r>
      <w:r>
        <w:rPr>
          <w:snapToGrid w:val="0"/>
        </w:rPr>
        <w:tab/>
        <w:t>Transitional and savings provisions — Schedule </w:t>
      </w:r>
      <w:bookmarkEnd w:id="204"/>
      <w:r>
        <w:rPr>
          <w:snapToGrid w:val="0"/>
        </w:rPr>
        <w:t>2</w:t>
      </w:r>
      <w:bookmarkEnd w:id="205"/>
      <w:bookmarkEnd w:id="206"/>
      <w:bookmarkEnd w:id="207"/>
      <w:r>
        <w:rPr>
          <w:snapToGrid w:val="0"/>
        </w:rPr>
        <w:t xml:space="preserve"> </w:t>
      </w:r>
    </w:p>
    <w:p>
      <w:pPr>
        <w:pStyle w:val="Subsection"/>
        <w:rPr>
          <w:snapToGrid w:val="0"/>
        </w:rPr>
      </w:pPr>
      <w:r>
        <w:rPr>
          <w:snapToGrid w:val="0"/>
        </w:rPr>
        <w:tab/>
      </w:r>
      <w:r>
        <w:rPr>
          <w:snapToGrid w:val="0"/>
        </w:rPr>
        <w:tab/>
        <w:t>Schedule 2 has effect in relation to the repeal effected by section 33.</w:t>
      </w:r>
    </w:p>
    <w:p>
      <w:pPr>
        <w:pStyle w:val="Ednotesection"/>
      </w:pPr>
      <w:bookmarkStart w:id="208" w:name="_Toc520186767"/>
      <w:bookmarkStart w:id="209" w:name="_Toc9140343"/>
      <w:r>
        <w:t>[</w:t>
      </w:r>
      <w:r>
        <w:rPr>
          <w:rStyle w:val="CharSectno"/>
          <w:b/>
        </w:rPr>
        <w:t>35</w:t>
      </w:r>
      <w:r>
        <w:t>.</w:t>
      </w:r>
      <w:r>
        <w:tab/>
        <w:t>Omitted under the Reprints Act 1984 s. 7(4)(e).]</w:t>
      </w:r>
    </w:p>
    <w:p>
      <w:pPr>
        <w:pStyle w:val="Heading5"/>
        <w:rPr>
          <w:snapToGrid w:val="0"/>
        </w:rPr>
      </w:pPr>
      <w:bookmarkStart w:id="210" w:name="_Toc70226533"/>
      <w:bookmarkStart w:id="211" w:name="_Toc139707796"/>
      <w:r>
        <w:rPr>
          <w:rStyle w:val="CharSectno"/>
        </w:rPr>
        <w:t>36</w:t>
      </w:r>
      <w:r>
        <w:rPr>
          <w:snapToGrid w:val="0"/>
        </w:rPr>
        <w:t>.</w:t>
      </w:r>
      <w:r>
        <w:rPr>
          <w:snapToGrid w:val="0"/>
        </w:rPr>
        <w:tab/>
        <w:t>Review of Act</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the review made under subsection (1) and, as soon as is practicable after the preparation of the report, shall cause it to be laid before each House of Parliament.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12" w:name="_Toc70226534"/>
      <w:bookmarkStart w:id="213" w:name="_Toc139361258"/>
      <w:bookmarkStart w:id="214" w:name="_Toc139707797"/>
      <w:r>
        <w:rPr>
          <w:rStyle w:val="CharSchNo"/>
        </w:rPr>
        <w:t>Schedule 1</w:t>
      </w:r>
      <w:bookmarkEnd w:id="212"/>
      <w:bookmarkEnd w:id="213"/>
      <w:bookmarkEnd w:id="214"/>
      <w:r>
        <w:rPr>
          <w:rStyle w:val="CharSchNo"/>
        </w:rPr>
        <w:t xml:space="preserve"> </w:t>
      </w:r>
    </w:p>
    <w:p>
      <w:pPr>
        <w:pStyle w:val="yShoulderClause"/>
        <w:rPr>
          <w:snapToGrid w:val="0"/>
        </w:rPr>
      </w:pPr>
      <w:r>
        <w:rPr>
          <w:snapToGrid w:val="0"/>
        </w:rPr>
        <w:t>[Section 15]</w:t>
      </w:r>
    </w:p>
    <w:p>
      <w:pPr>
        <w:pStyle w:val="MiscellaneousHeading"/>
        <w:rPr>
          <w:b/>
          <w:snapToGrid w:val="0"/>
          <w:sz w:val="28"/>
        </w:rPr>
      </w:pPr>
      <w:r>
        <w:rPr>
          <w:b/>
          <w:snapToGrid w:val="0"/>
          <w:sz w:val="28"/>
        </w:rPr>
        <w:t>Members and proceedings of the Commission</w:t>
      </w:r>
    </w:p>
    <w:p>
      <w:pPr>
        <w:pStyle w:val="yHeading5"/>
        <w:ind w:left="890" w:hanging="890"/>
        <w:outlineLvl w:val="9"/>
        <w:rPr>
          <w:snapToGrid w:val="0"/>
        </w:rPr>
      </w:pPr>
      <w:bookmarkStart w:id="215" w:name="_Toc9140344"/>
      <w:bookmarkStart w:id="216" w:name="_Toc70226535"/>
      <w:bookmarkStart w:id="217" w:name="_Toc139707798"/>
      <w:r>
        <w:rPr>
          <w:snapToGrid w:val="0"/>
        </w:rPr>
        <w:t>1.</w:t>
      </w:r>
      <w:r>
        <w:rPr>
          <w:snapToGrid w:val="0"/>
        </w:rPr>
        <w:tab/>
        <w:t>Definition</w:t>
      </w:r>
      <w:bookmarkEnd w:id="215"/>
      <w:bookmarkEnd w:id="216"/>
      <w:bookmarkEnd w:id="217"/>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appointed member</w:t>
      </w:r>
      <w:r>
        <w:rPr>
          <w:b/>
        </w:rPr>
        <w:t>”</w:t>
      </w:r>
      <w:r>
        <w:t xml:space="preserve"> means a member other than the chief executive officer;</w:t>
      </w:r>
    </w:p>
    <w:p>
      <w:pPr>
        <w:pStyle w:val="yDefstart"/>
      </w:pPr>
      <w:r>
        <w:tab/>
      </w:r>
      <w:r>
        <w:rPr>
          <w:b/>
        </w:rPr>
        <w:t>“</w:t>
      </w:r>
      <w:r>
        <w:rPr>
          <w:rStyle w:val="CharDefText"/>
        </w:rPr>
        <w:t>chairman</w:t>
      </w:r>
      <w:r>
        <w:rPr>
          <w:b/>
        </w:rPr>
        <w:t>”</w:t>
      </w:r>
      <w:r>
        <w:t xml:space="preserve"> means the chairman of the Commission.</w:t>
      </w:r>
    </w:p>
    <w:p>
      <w:pPr>
        <w:pStyle w:val="yHeading5"/>
        <w:ind w:left="890" w:hanging="890"/>
        <w:outlineLvl w:val="9"/>
        <w:rPr>
          <w:snapToGrid w:val="0"/>
        </w:rPr>
      </w:pPr>
      <w:bookmarkStart w:id="218" w:name="_Toc9140345"/>
      <w:bookmarkStart w:id="219" w:name="_Toc70226536"/>
      <w:bookmarkStart w:id="220" w:name="_Toc139707799"/>
      <w:r>
        <w:rPr>
          <w:snapToGrid w:val="0"/>
        </w:rPr>
        <w:t>2.</w:t>
      </w:r>
      <w:r>
        <w:rPr>
          <w:snapToGrid w:val="0"/>
        </w:rPr>
        <w:tab/>
        <w:t>Term of office of members</w:t>
      </w:r>
      <w:bookmarkEnd w:id="218"/>
      <w:bookmarkEnd w:id="219"/>
      <w:bookmarkEnd w:id="220"/>
    </w:p>
    <w:p>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pPr>
        <w:pStyle w:val="ySubsection"/>
        <w:rPr>
          <w:snapToGrid w:val="0"/>
        </w:rPr>
      </w:pPr>
      <w:r>
        <w:rPr>
          <w:snapToGrid w:val="0"/>
        </w:rPr>
        <w:tab/>
        <w:t>(2)</w:t>
      </w:r>
      <w:r>
        <w:rPr>
          <w:snapToGrid w:val="0"/>
        </w:rPr>
        <w:tab/>
        <w:t>An appointed member may be reappointed from time to time on the expiration of a term of office.</w:t>
      </w:r>
    </w:p>
    <w:p>
      <w:pPr>
        <w:pStyle w:val="yHeading5"/>
        <w:ind w:left="890" w:hanging="890"/>
        <w:outlineLvl w:val="9"/>
        <w:rPr>
          <w:snapToGrid w:val="0"/>
        </w:rPr>
      </w:pPr>
      <w:bookmarkStart w:id="221" w:name="_Toc9140346"/>
      <w:bookmarkStart w:id="222" w:name="_Toc70226537"/>
      <w:bookmarkStart w:id="223" w:name="_Toc139707800"/>
      <w:r>
        <w:rPr>
          <w:snapToGrid w:val="0"/>
        </w:rPr>
        <w:t>3.</w:t>
      </w:r>
      <w:r>
        <w:rPr>
          <w:snapToGrid w:val="0"/>
        </w:rPr>
        <w:tab/>
        <w:t>Delegation by Commission</w:t>
      </w:r>
      <w:bookmarkEnd w:id="221"/>
      <w:bookmarkEnd w:id="222"/>
      <w:bookmarkEnd w:id="223"/>
    </w:p>
    <w:p>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 </w:t>
      </w:r>
    </w:p>
    <w:p>
      <w:pPr>
        <w:pStyle w:val="yIndenta"/>
        <w:rPr>
          <w:snapToGrid w:val="0"/>
        </w:rPr>
      </w:pPr>
      <w:r>
        <w:rPr>
          <w:snapToGrid w:val="0"/>
        </w:rPr>
        <w:tab/>
        <w:t>(a)</w:t>
      </w:r>
      <w:r>
        <w:rPr>
          <w:snapToGrid w:val="0"/>
        </w:rPr>
        <w:tab/>
        <w:t>any committee established by it under section 14 or a member of such a committee;</w:t>
      </w:r>
    </w:p>
    <w:p>
      <w:pPr>
        <w:pStyle w:val="yIndenta"/>
        <w:rPr>
          <w:snapToGrid w:val="0"/>
        </w:rPr>
      </w:pPr>
      <w:r>
        <w:rPr>
          <w:snapToGrid w:val="0"/>
        </w:rPr>
        <w:tab/>
        <w:t>(b)</w:t>
      </w:r>
      <w:r>
        <w:rPr>
          <w:snapToGrid w:val="0"/>
        </w:rPr>
        <w:tab/>
        <w:t>any member; or</w:t>
      </w:r>
    </w:p>
    <w:p>
      <w:pPr>
        <w:pStyle w:val="yIndenta"/>
        <w:rPr>
          <w:snapToGrid w:val="0"/>
        </w:rPr>
      </w:pPr>
      <w:r>
        <w:rPr>
          <w:snapToGrid w:val="0"/>
        </w:rPr>
        <w:tab/>
        <w:t>(c)</w:t>
      </w:r>
      <w:r>
        <w:rPr>
          <w:snapToGrid w:val="0"/>
        </w:rPr>
        <w:tab/>
        <w:t>any officer or employee of the Commission or person whose services are used under section 16B(1)(a),</w:t>
      </w:r>
    </w:p>
    <w:p>
      <w:pPr>
        <w:pStyle w:val="ySubsection"/>
        <w:rPr>
          <w:snapToGrid w:val="0"/>
        </w:rPr>
      </w:pPr>
      <w:r>
        <w:rPr>
          <w:snapToGrid w:val="0"/>
        </w:rPr>
        <w:tab/>
      </w:r>
      <w:r>
        <w:rPr>
          <w:snapToGrid w:val="0"/>
        </w:rPr>
        <w:tab/>
        <w:t>and may vary or revoke any such delegation.</w:t>
      </w:r>
    </w:p>
    <w:p>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pPr>
        <w:pStyle w:val="yHeading5"/>
        <w:ind w:left="890" w:hanging="890"/>
        <w:outlineLvl w:val="9"/>
        <w:rPr>
          <w:snapToGrid w:val="0"/>
        </w:rPr>
      </w:pPr>
      <w:bookmarkStart w:id="224" w:name="_Toc9140347"/>
      <w:bookmarkStart w:id="225" w:name="_Toc70226538"/>
      <w:bookmarkStart w:id="226" w:name="_Toc139707801"/>
      <w:r>
        <w:rPr>
          <w:snapToGrid w:val="0"/>
        </w:rPr>
        <w:t>4.</w:t>
      </w:r>
      <w:r>
        <w:rPr>
          <w:snapToGrid w:val="0"/>
        </w:rPr>
        <w:tab/>
        <w:t>Vacation of office</w:t>
      </w:r>
      <w:bookmarkEnd w:id="224"/>
      <w:bookmarkEnd w:id="225"/>
      <w:bookmarkEnd w:id="226"/>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keepNext/>
        <w:rPr>
          <w:snapToGrid w:val="0"/>
        </w:rPr>
      </w:pPr>
      <w:r>
        <w:rPr>
          <w:snapToGrid w:val="0"/>
        </w:rPr>
        <w:tab/>
        <w:t>(2)</w:t>
      </w:r>
      <w:r>
        <w:rPr>
          <w:snapToGrid w:val="0"/>
        </w:rPr>
        <w:tab/>
        <w:t>An appointed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pPr>
        <w:pStyle w:val="yIndenta"/>
        <w:rPr>
          <w:snapToGrid w:val="0"/>
        </w:rPr>
      </w:pPr>
      <w:r>
        <w:rPr>
          <w:snapToGrid w:val="0"/>
        </w:rPr>
        <w:tab/>
        <w:t>(d)</w:t>
      </w:r>
      <w:r>
        <w:rPr>
          <w:snapToGrid w:val="0"/>
        </w:rPr>
        <w:tab/>
        <w:t>for breach of a condition of appointment; or</w:t>
      </w:r>
    </w:p>
    <w:p>
      <w:pPr>
        <w:pStyle w:val="yIndenta"/>
        <w:rPr>
          <w:snapToGrid w:val="0"/>
        </w:rPr>
      </w:pPr>
      <w:r>
        <w:rPr>
          <w:snapToGrid w:val="0"/>
        </w:rPr>
        <w:tab/>
        <w:t>(e)</w:t>
      </w:r>
      <w:r>
        <w:rPr>
          <w:snapToGrid w:val="0"/>
        </w:rPr>
        <w:tab/>
        <w:t>for any other act or omission that in the opinion of the Minister may cause prejudice or injury to the Commission.</w:t>
      </w:r>
    </w:p>
    <w:p>
      <w:pPr>
        <w:pStyle w:val="yHeading5"/>
        <w:ind w:left="890" w:hanging="890"/>
        <w:outlineLvl w:val="9"/>
        <w:rPr>
          <w:snapToGrid w:val="0"/>
        </w:rPr>
      </w:pPr>
      <w:bookmarkStart w:id="227" w:name="_Toc9140348"/>
      <w:bookmarkStart w:id="228" w:name="_Toc70226539"/>
      <w:bookmarkStart w:id="229" w:name="_Toc139707802"/>
      <w:r>
        <w:rPr>
          <w:snapToGrid w:val="0"/>
        </w:rPr>
        <w:t>5.</w:t>
      </w:r>
      <w:r>
        <w:rPr>
          <w:snapToGrid w:val="0"/>
        </w:rPr>
        <w:tab/>
        <w:t>Substitute members</w:t>
      </w:r>
      <w:bookmarkEnd w:id="227"/>
      <w:bookmarkEnd w:id="228"/>
      <w:bookmarkEnd w:id="229"/>
    </w:p>
    <w:p>
      <w:pPr>
        <w:pStyle w:val="ySubsection"/>
        <w:rPr>
          <w:snapToGrid w:val="0"/>
        </w:rPr>
      </w:pPr>
      <w:r>
        <w:rPr>
          <w:snapToGrid w:val="0"/>
        </w:rPr>
        <w:tab/>
        <w:t>(1)</w:t>
      </w:r>
      <w:r>
        <w:rPr>
          <w:snapToGrid w:val="0"/>
        </w:rPr>
        <w:tab/>
        <w:t>The Minister shall appoint at least one but not more than 3 substitute members.</w:t>
      </w:r>
    </w:p>
    <w:p>
      <w:pPr>
        <w:pStyle w:val="ySubsection"/>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pPr>
        <w:pStyle w:val="ySubsection"/>
        <w:rPr>
          <w:snapToGrid w:val="0"/>
        </w:rPr>
      </w:pPr>
      <w:r>
        <w:rPr>
          <w:snapToGrid w:val="0"/>
        </w:rPr>
        <w:tab/>
        <w:t>(3)</w:t>
      </w:r>
      <w:r>
        <w:rPr>
          <w:snapToGrid w:val="0"/>
        </w:rPr>
        <w:tab/>
        <w:t>An appointment made under subclause (1) may be revoked by the Minister at any time.</w:t>
      </w:r>
    </w:p>
    <w:p>
      <w:pPr>
        <w:pStyle w:val="ySubsection"/>
        <w:rPr>
          <w:snapToGrid w:val="0"/>
        </w:rPr>
      </w:pPr>
      <w:r>
        <w:rPr>
          <w:snapToGrid w:val="0"/>
        </w:rPr>
        <w:tab/>
        <w:t>(4)</w:t>
      </w:r>
      <w:r>
        <w:rPr>
          <w:snapToGrid w:val="0"/>
        </w:rPr>
        <w:tab/>
        <w:t>While acting under subclause (2) the appointee has all the functions and entitlements of the member in whose place the appointee is acting.</w:t>
      </w:r>
    </w:p>
    <w:p>
      <w:pPr>
        <w:pStyle w:val="ySubsection"/>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pPr>
        <w:pStyle w:val="yHeading5"/>
        <w:ind w:left="890" w:hanging="890"/>
        <w:outlineLvl w:val="9"/>
        <w:rPr>
          <w:snapToGrid w:val="0"/>
        </w:rPr>
      </w:pPr>
      <w:bookmarkStart w:id="230" w:name="_Toc9140349"/>
      <w:bookmarkStart w:id="231" w:name="_Toc70226540"/>
      <w:bookmarkStart w:id="232" w:name="_Toc139707803"/>
      <w:r>
        <w:rPr>
          <w:snapToGrid w:val="0"/>
        </w:rPr>
        <w:t>6.</w:t>
      </w:r>
      <w:r>
        <w:rPr>
          <w:snapToGrid w:val="0"/>
        </w:rPr>
        <w:tab/>
        <w:t>General procedure concerning meetings</w:t>
      </w:r>
      <w:bookmarkEnd w:id="230"/>
      <w:bookmarkEnd w:id="231"/>
      <w:bookmarkEnd w:id="232"/>
    </w:p>
    <w:p>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pPr>
        <w:pStyle w:val="ySubsection"/>
        <w:rPr>
          <w:snapToGrid w:val="0"/>
        </w:rPr>
      </w:pPr>
      <w:r>
        <w:rPr>
          <w:snapToGrid w:val="0"/>
        </w:rPr>
        <w:tab/>
        <w:t>(2)</w:t>
      </w:r>
      <w:r>
        <w:rPr>
          <w:snapToGrid w:val="0"/>
        </w:rPr>
        <w:tab/>
        <w:t xml:space="preserve">The first meeting of the Commission shall be convened by the chairman. </w:t>
      </w:r>
    </w:p>
    <w:p>
      <w:pPr>
        <w:pStyle w:val="yHeading5"/>
        <w:ind w:left="890" w:hanging="890"/>
        <w:outlineLvl w:val="9"/>
        <w:rPr>
          <w:snapToGrid w:val="0"/>
        </w:rPr>
      </w:pPr>
      <w:bookmarkStart w:id="233" w:name="_Toc9140350"/>
      <w:bookmarkStart w:id="234" w:name="_Toc70226541"/>
      <w:bookmarkStart w:id="235" w:name="_Toc139707804"/>
      <w:r>
        <w:rPr>
          <w:snapToGrid w:val="0"/>
        </w:rPr>
        <w:t>7.</w:t>
      </w:r>
      <w:r>
        <w:rPr>
          <w:snapToGrid w:val="0"/>
        </w:rPr>
        <w:tab/>
        <w:t>Presiding member</w:t>
      </w:r>
      <w:bookmarkEnd w:id="233"/>
      <w:bookmarkEnd w:id="234"/>
      <w:bookmarkEnd w:id="235"/>
    </w:p>
    <w:p>
      <w:pPr>
        <w:pStyle w:val="ySubsection"/>
        <w:keepNext/>
        <w:rPr>
          <w:snapToGrid w:val="0"/>
        </w:rPr>
      </w:pPr>
      <w:r>
        <w:rPr>
          <w:snapToGrid w:val="0"/>
        </w:rPr>
        <w:tab/>
      </w:r>
      <w:r>
        <w:rPr>
          <w:snapToGrid w:val="0"/>
        </w:rPr>
        <w:tab/>
        <w:t>At a meeting of the Commission — </w:t>
      </w:r>
    </w:p>
    <w:p>
      <w:pPr>
        <w:pStyle w:val="yIndenta"/>
        <w:rPr>
          <w:snapToGrid w:val="0"/>
        </w:rPr>
      </w:pPr>
      <w:r>
        <w:rPr>
          <w:snapToGrid w:val="0"/>
        </w:rPr>
        <w:tab/>
        <w:t>(a)</w:t>
      </w:r>
      <w:r>
        <w:rPr>
          <w:snapToGrid w:val="0"/>
        </w:rPr>
        <w:tab/>
        <w:t>the chairman shall preside; or</w:t>
      </w:r>
    </w:p>
    <w:p>
      <w:pPr>
        <w:pStyle w:val="yIndenta"/>
        <w:rPr>
          <w:snapToGrid w:val="0"/>
        </w:rPr>
      </w:pPr>
      <w:r>
        <w:rPr>
          <w:snapToGrid w:val="0"/>
        </w:rPr>
        <w:tab/>
        <w:t>(b)</w:t>
      </w:r>
      <w:r>
        <w:rPr>
          <w:snapToGrid w:val="0"/>
        </w:rPr>
        <w:tab/>
        <w:t>in the absence of the chairman, a person elected by the members present at the meeting from among their number shall preside.</w:t>
      </w:r>
    </w:p>
    <w:p>
      <w:pPr>
        <w:pStyle w:val="yHeading5"/>
        <w:ind w:left="890" w:hanging="890"/>
        <w:outlineLvl w:val="9"/>
        <w:rPr>
          <w:snapToGrid w:val="0"/>
        </w:rPr>
      </w:pPr>
      <w:bookmarkStart w:id="236" w:name="_Toc9140351"/>
      <w:bookmarkStart w:id="237" w:name="_Toc70226542"/>
      <w:bookmarkStart w:id="238" w:name="_Toc139707805"/>
      <w:r>
        <w:rPr>
          <w:snapToGrid w:val="0"/>
        </w:rPr>
        <w:t>8.</w:t>
      </w:r>
      <w:r>
        <w:rPr>
          <w:snapToGrid w:val="0"/>
        </w:rPr>
        <w:tab/>
        <w:t>Voting</w:t>
      </w:r>
      <w:bookmarkEnd w:id="236"/>
      <w:bookmarkEnd w:id="237"/>
      <w:bookmarkEnd w:id="238"/>
    </w:p>
    <w:p>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pPr>
        <w:pStyle w:val="yHeading5"/>
        <w:ind w:left="890" w:hanging="890"/>
        <w:outlineLvl w:val="9"/>
        <w:rPr>
          <w:snapToGrid w:val="0"/>
        </w:rPr>
      </w:pPr>
      <w:bookmarkStart w:id="239" w:name="_Toc9140352"/>
      <w:bookmarkStart w:id="240" w:name="_Toc70226543"/>
      <w:bookmarkStart w:id="241" w:name="_Toc139707806"/>
      <w:r>
        <w:rPr>
          <w:snapToGrid w:val="0"/>
        </w:rPr>
        <w:t>9.</w:t>
      </w:r>
      <w:r>
        <w:rPr>
          <w:snapToGrid w:val="0"/>
        </w:rPr>
        <w:tab/>
        <w:t>Minutes</w:t>
      </w:r>
      <w:bookmarkEnd w:id="239"/>
      <w:bookmarkEnd w:id="240"/>
      <w:bookmarkEnd w:id="241"/>
    </w:p>
    <w:p>
      <w:pPr>
        <w:pStyle w:val="ySubsection"/>
        <w:rPr>
          <w:snapToGrid w:val="0"/>
        </w:rPr>
      </w:pPr>
      <w:r>
        <w:rPr>
          <w:snapToGrid w:val="0"/>
        </w:rPr>
        <w:tab/>
      </w:r>
      <w:r>
        <w:rPr>
          <w:snapToGrid w:val="0"/>
        </w:rPr>
        <w:tab/>
        <w:t>The Commission shall cause accurate minutes of each of its meetings to be recorded and preserved.</w:t>
      </w:r>
    </w:p>
    <w:p>
      <w:pPr>
        <w:pStyle w:val="yHeading5"/>
        <w:ind w:left="890" w:hanging="890"/>
        <w:outlineLvl w:val="9"/>
        <w:rPr>
          <w:snapToGrid w:val="0"/>
        </w:rPr>
      </w:pPr>
      <w:bookmarkStart w:id="242" w:name="_Toc9140353"/>
      <w:bookmarkStart w:id="243" w:name="_Toc70226544"/>
      <w:bookmarkStart w:id="244" w:name="_Toc139707807"/>
      <w:r>
        <w:rPr>
          <w:snapToGrid w:val="0"/>
        </w:rPr>
        <w:t>10.</w:t>
      </w:r>
      <w:r>
        <w:rPr>
          <w:snapToGrid w:val="0"/>
        </w:rPr>
        <w:tab/>
        <w:t>Common seal and execution of documents by Commission</w:t>
      </w:r>
      <w:bookmarkEnd w:id="242"/>
      <w:bookmarkEnd w:id="243"/>
      <w:bookmarkEnd w:id="244"/>
    </w:p>
    <w:p>
      <w:pPr>
        <w:pStyle w:val="ySubsection"/>
        <w:keepNext/>
        <w:rPr>
          <w:snapToGrid w:val="0"/>
        </w:rPr>
      </w:pPr>
      <w:r>
        <w:rPr>
          <w:snapToGrid w:val="0"/>
        </w:rPr>
        <w:tab/>
        <w:t>(1)</w:t>
      </w:r>
      <w:r>
        <w:rPr>
          <w:snapToGrid w:val="0"/>
        </w:rPr>
        <w:tab/>
        <w:t>A document is duly executed by the Commission if — </w:t>
      </w:r>
    </w:p>
    <w:p>
      <w:pPr>
        <w:pStyle w:val="yIndenta"/>
        <w:rPr>
          <w:snapToGrid w:val="0"/>
        </w:rPr>
      </w:pPr>
      <w:r>
        <w:rPr>
          <w:snapToGrid w:val="0"/>
        </w:rPr>
        <w:tab/>
        <w:t>(a)</w:t>
      </w:r>
      <w:r>
        <w:rPr>
          <w:snapToGrid w:val="0"/>
        </w:rPr>
        <w:tab/>
        <w:t>the common seal of the Commission is affixed in accordance with subclauses (2) and (3); or</w:t>
      </w:r>
    </w:p>
    <w:p>
      <w:pPr>
        <w:pStyle w:val="yIndenta"/>
        <w:rPr>
          <w:snapToGrid w:val="0"/>
        </w:rPr>
      </w:pPr>
      <w:r>
        <w:rPr>
          <w:snapToGrid w:val="0"/>
        </w:rPr>
        <w:tab/>
        <w:t>(b)</w:t>
      </w:r>
      <w:r>
        <w:rPr>
          <w:snapToGrid w:val="0"/>
        </w:rPr>
        <w:tab/>
        <w:t>it is signed on behalf of the Commission by the member or members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chairman and another member and each of them shall sign the document to attest that the common seal was so affixed.</w:t>
      </w:r>
    </w:p>
    <w:p>
      <w:pPr>
        <w:pStyle w:val="ySubsection"/>
        <w:keepNext/>
        <w:rPr>
          <w:snapToGrid w:val="0"/>
        </w:rPr>
      </w:pPr>
      <w:r>
        <w:rPr>
          <w:snapToGrid w:val="0"/>
        </w:rPr>
        <w:tab/>
        <w:t>(4)</w:t>
      </w:r>
      <w:r>
        <w:rPr>
          <w:snapToGrid w:val="0"/>
        </w:rPr>
        <w:tab/>
        <w:t>The common seal of the Commission shall — </w:t>
      </w:r>
    </w:p>
    <w:p>
      <w:pPr>
        <w:pStyle w:val="yIndenta"/>
        <w:rPr>
          <w:snapToGrid w:val="0"/>
        </w:rPr>
      </w:pPr>
      <w:r>
        <w:rPr>
          <w:snapToGrid w:val="0"/>
        </w:rPr>
        <w:tab/>
        <w:t>(a)</w:t>
      </w:r>
      <w:r>
        <w:rPr>
          <w:snapToGrid w:val="0"/>
        </w:rPr>
        <w:tab/>
        <w:t>be in a form determined by the Commission;</w:t>
      </w:r>
    </w:p>
    <w:p>
      <w:pPr>
        <w:pStyle w:val="yIndenta"/>
        <w:rPr>
          <w:snapToGrid w:val="0"/>
        </w:rPr>
      </w:pPr>
      <w:r>
        <w:rPr>
          <w:snapToGrid w:val="0"/>
        </w:rPr>
        <w:tab/>
        <w:t>(b)</w:t>
      </w:r>
      <w:r>
        <w:rPr>
          <w:snapToGrid w:val="0"/>
        </w:rPr>
        <w:tab/>
        <w:t>be kept in such custody as the Commission directs; and</w:t>
      </w:r>
    </w:p>
    <w:p>
      <w:pPr>
        <w:pStyle w:val="yIndenta"/>
        <w:rPr>
          <w:snapToGrid w:val="0"/>
        </w:rPr>
      </w:pPr>
      <w:r>
        <w:rPr>
          <w:snapToGrid w:val="0"/>
        </w:rPr>
        <w:tab/>
        <w:t>(c)</w:t>
      </w:r>
      <w:r>
        <w:rPr>
          <w:snapToGrid w:val="0"/>
        </w:rPr>
        <w:tab/>
        <w:t>not be used except as authorised by the Commission.</w:t>
      </w:r>
    </w:p>
    <w:p>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 xml:space="preserve">[Schedule 1 amended by No. 32 of 1994 s. 19; No. 97 of 1994 s. 15; No. 10 of 2001 s. 221.] </w:t>
      </w:r>
    </w:p>
    <w:p>
      <w:pPr>
        <w:pStyle w:val="yScheduleHeading"/>
      </w:pPr>
      <w:bookmarkStart w:id="245" w:name="_Toc70226545"/>
      <w:bookmarkStart w:id="246" w:name="_Toc139361269"/>
      <w:bookmarkStart w:id="247" w:name="_Toc139707808"/>
      <w:r>
        <w:rPr>
          <w:rStyle w:val="CharSchNo"/>
        </w:rPr>
        <w:t>Schedule 2</w:t>
      </w:r>
      <w:bookmarkEnd w:id="245"/>
      <w:bookmarkEnd w:id="246"/>
      <w:bookmarkEnd w:id="247"/>
      <w:r>
        <w:rPr>
          <w:rStyle w:val="CharSchNo"/>
        </w:rPr>
        <w:t xml:space="preserve"> </w:t>
      </w:r>
    </w:p>
    <w:p>
      <w:pPr>
        <w:pStyle w:val="yShoulderClause"/>
        <w:rPr>
          <w:snapToGrid w:val="0"/>
        </w:rPr>
      </w:pPr>
      <w:r>
        <w:rPr>
          <w:snapToGrid w:val="0"/>
        </w:rPr>
        <w:t>[Section 34]</w:t>
      </w:r>
    </w:p>
    <w:p>
      <w:pPr>
        <w:pStyle w:val="MiscellaneousHeading"/>
        <w:rPr>
          <w:b/>
          <w:snapToGrid w:val="0"/>
          <w:sz w:val="28"/>
        </w:rPr>
      </w:pPr>
      <w:r>
        <w:rPr>
          <w:b/>
          <w:snapToGrid w:val="0"/>
          <w:sz w:val="28"/>
        </w:rPr>
        <w:t>Transitional and savings</w:t>
      </w:r>
    </w:p>
    <w:p>
      <w:pPr>
        <w:pStyle w:val="yHeading5"/>
        <w:ind w:left="890" w:hanging="890"/>
        <w:outlineLvl w:val="9"/>
        <w:rPr>
          <w:snapToGrid w:val="0"/>
        </w:rPr>
      </w:pPr>
      <w:bookmarkStart w:id="248" w:name="_Toc9140354"/>
      <w:bookmarkStart w:id="249" w:name="_Toc70226546"/>
      <w:bookmarkStart w:id="250" w:name="_Toc139707809"/>
      <w:r>
        <w:rPr>
          <w:snapToGrid w:val="0"/>
        </w:rPr>
        <w:t>1.</w:t>
      </w:r>
      <w:r>
        <w:rPr>
          <w:snapToGrid w:val="0"/>
        </w:rPr>
        <w:tab/>
        <w:t>Definitions</w:t>
      </w:r>
      <w:bookmarkEnd w:id="248"/>
      <w:bookmarkEnd w:id="249"/>
      <w:bookmarkEnd w:id="250"/>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Commencement</w:t>
      </w:r>
      <w:r>
        <w:rPr>
          <w:b/>
        </w:rPr>
        <w:t>”</w:t>
      </w:r>
      <w:r>
        <w:t xml:space="preserve"> means the commencement of this Act;</w:t>
      </w:r>
    </w:p>
    <w:p>
      <w:pPr>
        <w:pStyle w:val="yDefstart"/>
      </w:pPr>
      <w:r>
        <w:tab/>
      </w:r>
      <w:r>
        <w:rPr>
          <w:b/>
        </w:rPr>
        <w:t>“</w:t>
      </w:r>
      <w:r>
        <w:rPr>
          <w:rStyle w:val="CharDefText"/>
        </w:rPr>
        <w:t>the Board</w:t>
      </w:r>
      <w:r>
        <w:rPr>
          <w:b/>
        </w:rPr>
        <w:t>”</w:t>
      </w:r>
      <w:r>
        <w:t xml:space="preserve"> means the State Tender Board of Western Australia established under the </w:t>
      </w:r>
      <w:r>
        <w:rPr>
          <w:i/>
        </w:rPr>
        <w:t>State Tender Board Act 1965</w:t>
      </w:r>
      <w:r>
        <w:t>.</w:t>
      </w:r>
    </w:p>
    <w:p>
      <w:pPr>
        <w:pStyle w:val="yHeading5"/>
        <w:ind w:left="890" w:hanging="890"/>
        <w:outlineLvl w:val="9"/>
        <w:rPr>
          <w:snapToGrid w:val="0"/>
        </w:rPr>
      </w:pPr>
      <w:bookmarkStart w:id="251" w:name="_Toc9140355"/>
      <w:bookmarkStart w:id="252" w:name="_Toc70226547"/>
      <w:bookmarkStart w:id="253" w:name="_Toc139707810"/>
      <w:r>
        <w:rPr>
          <w:snapToGrid w:val="0"/>
        </w:rPr>
        <w:t>2.</w:t>
      </w:r>
      <w:r>
        <w:rPr>
          <w:snapToGrid w:val="0"/>
        </w:rPr>
        <w:tab/>
        <w:t>Assets, liabilities, etc.</w:t>
      </w:r>
      <w:bookmarkEnd w:id="251"/>
      <w:bookmarkEnd w:id="252"/>
      <w:bookmarkEnd w:id="253"/>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pPr>
        <w:pStyle w:val="yHeading5"/>
        <w:ind w:left="890" w:hanging="890"/>
        <w:outlineLvl w:val="9"/>
        <w:rPr>
          <w:snapToGrid w:val="0"/>
        </w:rPr>
      </w:pPr>
      <w:bookmarkStart w:id="254" w:name="_Toc9140356"/>
      <w:bookmarkStart w:id="255" w:name="_Toc70226548"/>
      <w:bookmarkStart w:id="256" w:name="_Toc139707811"/>
      <w:r>
        <w:rPr>
          <w:snapToGrid w:val="0"/>
        </w:rPr>
        <w:t>3.</w:t>
      </w:r>
      <w:r>
        <w:rPr>
          <w:snapToGrid w:val="0"/>
        </w:rPr>
        <w:tab/>
        <w:t>Agreements and instruments</w:t>
      </w:r>
      <w:bookmarkEnd w:id="254"/>
      <w:bookmarkEnd w:id="255"/>
      <w:bookmarkEnd w:id="256"/>
    </w:p>
    <w:p>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 </w:t>
      </w:r>
    </w:p>
    <w:p>
      <w:pPr>
        <w:pStyle w:val="yIndenta"/>
        <w:rPr>
          <w:snapToGrid w:val="0"/>
        </w:rPr>
      </w:pPr>
      <w:r>
        <w:rPr>
          <w:snapToGrid w:val="0"/>
        </w:rPr>
        <w:tab/>
        <w:t>(a)</w:t>
      </w:r>
      <w:r>
        <w:rPr>
          <w:snapToGrid w:val="0"/>
        </w:rPr>
        <w:tab/>
        <w:t>the Commission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pPr>
        <w:pStyle w:val="yHeading5"/>
        <w:ind w:left="890" w:hanging="890"/>
        <w:outlineLvl w:val="9"/>
        <w:rPr>
          <w:snapToGrid w:val="0"/>
        </w:rPr>
      </w:pPr>
      <w:bookmarkStart w:id="257" w:name="_Toc9140357"/>
      <w:bookmarkStart w:id="258" w:name="_Toc70226549"/>
      <w:bookmarkStart w:id="259" w:name="_Toc139707812"/>
      <w:r>
        <w:rPr>
          <w:snapToGrid w:val="0"/>
        </w:rPr>
        <w:t>4.</w:t>
      </w:r>
      <w:r>
        <w:rPr>
          <w:snapToGrid w:val="0"/>
        </w:rPr>
        <w:tab/>
        <w:t>Former Board members</w:t>
      </w:r>
      <w:bookmarkEnd w:id="257"/>
      <w:bookmarkEnd w:id="258"/>
      <w:bookmarkEnd w:id="259"/>
    </w:p>
    <w:p>
      <w:pPr>
        <w:pStyle w:val="ySubsection"/>
        <w:rPr>
          <w:snapToGrid w:val="0"/>
        </w:rPr>
      </w:pPr>
      <w:r>
        <w:rPr>
          <w:snapToGrid w:val="0"/>
        </w:rPr>
        <w:tab/>
      </w:r>
      <w:r>
        <w:rPr>
          <w:snapToGrid w:val="0"/>
        </w:rPr>
        <w:tab/>
        <w:t>A person who was a member of the Board immediately before the commencement ceases to be a member on the commencement.</w:t>
      </w:r>
    </w:p>
    <w:p>
      <w:pPr>
        <w:pStyle w:val="yHeading5"/>
        <w:ind w:left="890" w:hanging="890"/>
        <w:outlineLvl w:val="9"/>
        <w:rPr>
          <w:snapToGrid w:val="0"/>
        </w:rPr>
      </w:pPr>
      <w:bookmarkStart w:id="260" w:name="_Toc9140358"/>
      <w:bookmarkStart w:id="261" w:name="_Toc70226550"/>
      <w:bookmarkStart w:id="262" w:name="_Toc139707813"/>
      <w:r>
        <w:rPr>
          <w:snapToGrid w:val="0"/>
        </w:rPr>
        <w:t>5.</w:t>
      </w:r>
      <w:r>
        <w:rPr>
          <w:snapToGrid w:val="0"/>
        </w:rPr>
        <w:tab/>
        <w:t>References</w:t>
      </w:r>
      <w:bookmarkEnd w:id="260"/>
      <w:bookmarkEnd w:id="261"/>
      <w:bookmarkEnd w:id="262"/>
    </w:p>
    <w:p>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pPr>
        <w:pStyle w:val="yHeading5"/>
        <w:ind w:left="890" w:hanging="890"/>
        <w:outlineLvl w:val="9"/>
        <w:rPr>
          <w:snapToGrid w:val="0"/>
        </w:rPr>
      </w:pPr>
      <w:bookmarkStart w:id="263" w:name="_Toc9140359"/>
      <w:bookmarkStart w:id="264" w:name="_Toc70226551"/>
      <w:bookmarkStart w:id="265" w:name="_Toc139707814"/>
      <w:r>
        <w:rPr>
          <w:snapToGrid w:val="0"/>
        </w:rPr>
        <w:t>6.</w:t>
      </w:r>
      <w:r>
        <w:rPr>
          <w:snapToGrid w:val="0"/>
        </w:rPr>
        <w:tab/>
      </w:r>
      <w:r>
        <w:rPr>
          <w:i/>
          <w:snapToGrid w:val="0"/>
        </w:rPr>
        <w:t>Interpretation Act 1984</w:t>
      </w:r>
      <w:r>
        <w:rPr>
          <w:snapToGrid w:val="0"/>
        </w:rPr>
        <w:t xml:space="preserve"> not affected</w:t>
      </w:r>
      <w:bookmarkEnd w:id="263"/>
      <w:bookmarkEnd w:id="264"/>
      <w:bookmarkEnd w:id="265"/>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pPr>
        <w:pStyle w:val="yEdnoteschedule"/>
      </w:pPr>
      <w:r>
        <w:t>[Schedule 3 omitted under the Reprints Act 1984 s. 7(4)(e).]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66" w:name="_Toc139361276"/>
      <w:bookmarkStart w:id="267" w:name="_Toc139707815"/>
      <w:r>
        <w:t>Notes</w:t>
      </w:r>
      <w:bookmarkEnd w:id="266"/>
      <w:bookmarkEnd w:id="267"/>
    </w:p>
    <w:p>
      <w:pPr>
        <w:pStyle w:val="nSubsection"/>
        <w:rPr>
          <w:snapToGrid w:val="0"/>
        </w:rPr>
      </w:pPr>
      <w:r>
        <w:rPr>
          <w:snapToGrid w:val="0"/>
          <w:vertAlign w:val="superscript"/>
        </w:rPr>
        <w:t>1</w:t>
      </w:r>
      <w:r>
        <w:rPr>
          <w:snapToGrid w:val="0"/>
        </w:rPr>
        <w:tab/>
        <w:t xml:space="preserve">This is a compilation of the </w:t>
      </w:r>
      <w:r>
        <w:rPr>
          <w:i/>
          <w:snapToGrid w:val="0"/>
        </w:rPr>
        <w:t>State Supply Commission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8" w:name="_Toc70226552"/>
      <w:bookmarkStart w:id="269" w:name="_Toc139707816"/>
      <w:r>
        <w:rPr>
          <w:snapToGrid w:val="0"/>
        </w:rPr>
        <w:t>Compilation table</w:t>
      </w:r>
      <w:bookmarkEnd w:id="268"/>
      <w:bookmarkEnd w:id="26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State Supply Commission Act 1991</w:t>
            </w:r>
          </w:p>
        </w:tc>
        <w:tc>
          <w:tcPr>
            <w:tcW w:w="1134" w:type="dxa"/>
          </w:tcPr>
          <w:p>
            <w:pPr>
              <w:pStyle w:val="nTable"/>
              <w:spacing w:before="120"/>
              <w:rPr>
                <w:sz w:val="19"/>
              </w:rPr>
            </w:pPr>
            <w:r>
              <w:rPr>
                <w:sz w:val="19"/>
              </w:rPr>
              <w:t>5 of 1991</w:t>
            </w:r>
          </w:p>
        </w:tc>
        <w:tc>
          <w:tcPr>
            <w:tcW w:w="1134" w:type="dxa"/>
          </w:tcPr>
          <w:p>
            <w:pPr>
              <w:pStyle w:val="nTable"/>
              <w:spacing w:before="120"/>
              <w:rPr>
                <w:sz w:val="19"/>
              </w:rPr>
            </w:pPr>
            <w:r>
              <w:rPr>
                <w:sz w:val="19"/>
              </w:rPr>
              <w:t>6 Jun 1991</w:t>
            </w:r>
          </w:p>
        </w:tc>
        <w:tc>
          <w:tcPr>
            <w:tcW w:w="2552" w:type="dxa"/>
          </w:tcPr>
          <w:p>
            <w:pPr>
              <w:pStyle w:val="nTable"/>
              <w:spacing w:before="120"/>
              <w:rPr>
                <w:sz w:val="19"/>
              </w:rPr>
            </w:pPr>
            <w:r>
              <w:rPr>
                <w:sz w:val="19"/>
              </w:rPr>
              <w:t xml:space="preserve">20 Sep 1991 (see s. 2 and </w:t>
            </w:r>
            <w:r>
              <w:rPr>
                <w:i/>
                <w:sz w:val="19"/>
              </w:rPr>
              <w:t>Gazette</w:t>
            </w:r>
            <w:r>
              <w:rPr>
                <w:sz w:val="19"/>
              </w:rPr>
              <w:t xml:space="preserve"> 20 Sep 1991 p. 4855)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vertAlign w:val="superscript"/>
              </w:rPr>
            </w:pPr>
            <w:r>
              <w:rPr>
                <w:i/>
                <w:sz w:val="19"/>
              </w:rPr>
              <w:t>State Supply Commission Amendment Act (No. 2) 1994</w:t>
            </w:r>
            <w:r>
              <w:rPr>
                <w:sz w:val="19"/>
              </w:rPr>
              <w:t xml:space="preserve"> </w:t>
            </w:r>
            <w:r>
              <w:rPr>
                <w:sz w:val="19"/>
                <w:vertAlign w:val="superscript"/>
              </w:rPr>
              <w:t>3</w:t>
            </w:r>
          </w:p>
        </w:tc>
        <w:tc>
          <w:tcPr>
            <w:tcW w:w="1134" w:type="dxa"/>
          </w:tcPr>
          <w:p>
            <w:pPr>
              <w:pStyle w:val="nTable"/>
              <w:spacing w:before="120"/>
              <w:rPr>
                <w:sz w:val="19"/>
              </w:rPr>
            </w:pPr>
            <w:r>
              <w:rPr>
                <w:sz w:val="19"/>
              </w:rPr>
              <w:t>97 of 1994</w:t>
            </w:r>
          </w:p>
        </w:tc>
        <w:tc>
          <w:tcPr>
            <w:tcW w:w="1134" w:type="dxa"/>
          </w:tcPr>
          <w:p>
            <w:pPr>
              <w:pStyle w:val="nTable"/>
              <w:spacing w:before="120"/>
              <w:rPr>
                <w:sz w:val="19"/>
              </w:rPr>
            </w:pPr>
            <w:r>
              <w:rPr>
                <w:sz w:val="19"/>
              </w:rPr>
              <w:t>30 Dec 1994</w:t>
            </w:r>
          </w:p>
        </w:tc>
        <w:tc>
          <w:tcPr>
            <w:tcW w:w="2552" w:type="dxa"/>
          </w:tcPr>
          <w:p>
            <w:pPr>
              <w:pStyle w:val="nTable"/>
              <w:spacing w:before="120"/>
              <w:rPr>
                <w:sz w:val="19"/>
              </w:rPr>
            </w:pPr>
            <w:r>
              <w:rPr>
                <w:sz w:val="19"/>
              </w:rPr>
              <w:t xml:space="preserve">s. 5(b) and (c), 7, 8, 15 and 16: 18 Mar 1995 (see s. 2(2) and </w:t>
            </w:r>
            <w:r>
              <w:rPr>
                <w:i/>
                <w:sz w:val="19"/>
              </w:rPr>
              <w:t>Gazette</w:t>
            </w:r>
            <w:r>
              <w:rPr>
                <w:sz w:val="19"/>
              </w:rPr>
              <w:t xml:space="preserve"> 17 Mar 1995 p. 1011); </w:t>
            </w:r>
            <w:r>
              <w:rPr>
                <w:sz w:val="19"/>
              </w:rPr>
              <w:br/>
              <w:t>balance: 30 Dec 1994 (see s. 2(1))</w:t>
            </w:r>
          </w:p>
        </w:tc>
      </w:tr>
      <w:tr>
        <w:trPr>
          <w:cantSplit/>
        </w:trPr>
        <w:tc>
          <w:tcPr>
            <w:tcW w:w="2268" w:type="dxa"/>
          </w:tcPr>
          <w:p>
            <w:pPr>
              <w:pStyle w:val="nTable"/>
              <w:spacing w:before="120"/>
              <w:ind w:right="113"/>
              <w:rPr>
                <w:sz w:val="19"/>
              </w:rPr>
            </w:pPr>
            <w:r>
              <w:rPr>
                <w:i/>
                <w:sz w:val="19"/>
              </w:rPr>
              <w:t>State Supply Commission Amendment Act 1995</w:t>
            </w:r>
          </w:p>
        </w:tc>
        <w:tc>
          <w:tcPr>
            <w:tcW w:w="1134" w:type="dxa"/>
          </w:tcPr>
          <w:p>
            <w:pPr>
              <w:pStyle w:val="nTable"/>
              <w:spacing w:before="120"/>
              <w:rPr>
                <w:sz w:val="19"/>
              </w:rPr>
            </w:pPr>
            <w:r>
              <w:rPr>
                <w:sz w:val="19"/>
              </w:rPr>
              <w:t>32 of 1995</w:t>
            </w:r>
          </w:p>
        </w:tc>
        <w:tc>
          <w:tcPr>
            <w:tcW w:w="1134" w:type="dxa"/>
          </w:tcPr>
          <w:p>
            <w:pPr>
              <w:pStyle w:val="nTable"/>
              <w:spacing w:before="120"/>
              <w:rPr>
                <w:sz w:val="19"/>
              </w:rPr>
            </w:pPr>
            <w:r>
              <w:rPr>
                <w:sz w:val="19"/>
              </w:rPr>
              <w:t>29 Sep 1995</w:t>
            </w:r>
          </w:p>
        </w:tc>
        <w:tc>
          <w:tcPr>
            <w:tcW w:w="2552" w:type="dxa"/>
          </w:tcPr>
          <w:p>
            <w:pPr>
              <w:pStyle w:val="nTable"/>
              <w:spacing w:before="120"/>
              <w:rPr>
                <w:sz w:val="19"/>
              </w:rPr>
            </w:pPr>
            <w:r>
              <w:rPr>
                <w:sz w:val="19"/>
              </w:rPr>
              <w:t>29 Sep 1995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i/>
                <w:sz w:val="19"/>
              </w:rPr>
            </w:pPr>
            <w:r>
              <w:rPr>
                <w:i/>
                <w:sz w:val="19"/>
              </w:rPr>
              <w:t>Corporations (Consequential Amendments) Act 2001</w:t>
            </w:r>
            <w:r>
              <w:rPr>
                <w:sz w:val="19"/>
              </w:rPr>
              <w:t xml:space="preserve"> s. 220 and 221</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120"/>
              <w:rPr>
                <w:sz w:val="19"/>
              </w:rPr>
            </w:pPr>
            <w:r>
              <w:rPr>
                <w:b/>
                <w:sz w:val="19"/>
              </w:rPr>
              <w:t xml:space="preserve">Reprint of the </w:t>
            </w:r>
            <w:r>
              <w:rPr>
                <w:b/>
                <w:i/>
                <w:sz w:val="19"/>
              </w:rPr>
              <w:t>State Supply Commission Act 1991</w:t>
            </w:r>
            <w:r>
              <w:rPr>
                <w:b/>
                <w:sz w:val="19"/>
              </w:rPr>
              <w:t xml:space="preserve"> as at 7 Jun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Acts Amendment and Repeal (Competition Policy) Act 2003</w:t>
            </w:r>
            <w:r>
              <w:rPr>
                <w:sz w:val="19"/>
              </w:rPr>
              <w:t xml:space="preserve"> Pt. 13</w:t>
            </w:r>
          </w:p>
        </w:tc>
        <w:tc>
          <w:tcPr>
            <w:tcW w:w="1134" w:type="dxa"/>
          </w:tcPr>
          <w:p>
            <w:pPr>
              <w:pStyle w:val="nTable"/>
              <w:spacing w:before="120"/>
              <w:rPr>
                <w:sz w:val="19"/>
              </w:rPr>
            </w:pPr>
            <w:r>
              <w:rPr>
                <w:sz w:val="19"/>
              </w:rPr>
              <w:t>70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Borders>
              <w:bottom w:val="single" w:sz="4" w:space="0" w:color="auto"/>
            </w:tcBorders>
          </w:tcPr>
          <w:p>
            <w:pPr>
              <w:pStyle w:val="nTable"/>
              <w:spacing w:before="120"/>
              <w:ind w:right="113"/>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10</w:t>
            </w:r>
          </w:p>
        </w:tc>
        <w:tc>
          <w:tcPr>
            <w:tcW w:w="1134" w:type="dxa"/>
            <w:tcBorders>
              <w:bottom w:val="single" w:sz="4" w:space="0" w:color="auto"/>
            </w:tcBorders>
          </w:tcPr>
          <w:p>
            <w:pPr>
              <w:pStyle w:val="nTable"/>
              <w:spacing w:before="120"/>
              <w:rPr>
                <w:sz w:val="19"/>
              </w:rPr>
            </w:pPr>
            <w:r>
              <w:rPr>
                <w:snapToGrid w:val="0"/>
                <w:sz w:val="19"/>
                <w:lang w:val="en-US"/>
              </w:rPr>
              <w:t>28 of 2006</w:t>
            </w:r>
          </w:p>
        </w:tc>
        <w:tc>
          <w:tcPr>
            <w:tcW w:w="1134" w:type="dxa"/>
            <w:tcBorders>
              <w:bottom w:val="single" w:sz="4" w:space="0" w:color="auto"/>
            </w:tcBorders>
          </w:tcPr>
          <w:p>
            <w:pPr>
              <w:pStyle w:val="nTable"/>
              <w:spacing w:before="120"/>
              <w:rPr>
                <w:sz w:val="19"/>
              </w:rPr>
            </w:pPr>
            <w:r>
              <w:rPr>
                <w:sz w:val="19"/>
              </w:rPr>
              <w:t>26 Jun 2006</w:t>
            </w:r>
          </w:p>
        </w:tc>
        <w:tc>
          <w:tcPr>
            <w:tcW w:w="2552" w:type="dxa"/>
            <w:tcBorders>
              <w:bottom w:val="single" w:sz="4" w:space="0" w:color="auto"/>
            </w:tcBorders>
          </w:tcPr>
          <w:p>
            <w:pPr>
              <w:pStyle w:val="nTable"/>
              <w:spacing w:before="120"/>
              <w:rPr>
                <w:sz w:val="19"/>
              </w:rPr>
            </w:pPr>
            <w:r>
              <w:rPr>
                <w:sz w:val="19"/>
              </w:rPr>
              <w:t xml:space="preserve">1 Jul 2006 (see s. 2 and </w:t>
            </w:r>
            <w:r>
              <w:rPr>
                <w:i/>
                <w:iCs/>
                <w:sz w:val="19"/>
              </w:rPr>
              <w:t>Gazette</w:t>
            </w:r>
            <w:r>
              <w:rPr>
                <w:sz w:val="19"/>
              </w:rPr>
              <w:t xml:space="preserve"> 27 Jun 2006 p. 2347)</w:t>
            </w:r>
          </w:p>
        </w:tc>
      </w:tr>
    </w:tbl>
    <w:p>
      <w:pPr>
        <w:pStyle w:val="nSubsection"/>
        <w:keepNext/>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rPr>
          <w:snapToGrid w:val="0"/>
        </w:rPr>
      </w:pPr>
      <w:r>
        <w:rPr>
          <w:snapToGrid w:val="0"/>
          <w:vertAlign w:val="superscript"/>
        </w:rPr>
        <w:t>3</w:t>
      </w:r>
      <w:r>
        <w:rPr>
          <w:snapToGrid w:val="0"/>
        </w:rPr>
        <w:tab/>
        <w:t xml:space="preserve">The </w:t>
      </w:r>
      <w:r>
        <w:rPr>
          <w:i/>
          <w:snapToGrid w:val="0"/>
        </w:rPr>
        <w:t>State Supply Commission Amendment Act (No. 2) 1994</w:t>
      </w:r>
      <w:r>
        <w:rPr>
          <w:snapToGrid w:val="0"/>
        </w:rPr>
        <w:t xml:space="preserve"> s. 7(2) and (3) were transitional provisions that are of no further effect.</w:t>
      </w:r>
    </w:p>
    <w:p>
      <w:pPr>
        <w:rPr>
          <w:snapToGrid w:val="0"/>
        </w:rPr>
      </w:pPr>
    </w:p>
    <w:p>
      <w:pPr>
        <w:rPr>
          <w:snapToGrid w:val="0"/>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State Supply Commission Act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E297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54E8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921E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80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F2B3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1CB8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2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5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AAC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5AC6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F27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64493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7987</Words>
  <Characters>38581</Characters>
  <Application>Microsoft Office Word</Application>
  <DocSecurity>0</DocSecurity>
  <Lines>1071</Lines>
  <Paragraphs>646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1991 - 01-c0-02</dc:title>
  <dc:subject/>
  <dc:creator/>
  <cp:keywords/>
  <dc:description/>
  <cp:lastModifiedBy>svcMRProcess</cp:lastModifiedBy>
  <cp:revision>4</cp:revision>
  <cp:lastPrinted>2002-06-06T08:33:00Z</cp:lastPrinted>
  <dcterms:created xsi:type="dcterms:W3CDTF">2018-09-08T05:42:00Z</dcterms:created>
  <dcterms:modified xsi:type="dcterms:W3CDTF">2018-09-08T05:42:00Z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777</vt:i4>
  </property>
  <property fmtid="{D5CDD505-2E9C-101B-9397-08002B2CF9AE}" pid="6" name="AsAtDate">
    <vt:lpwstr>01 Jul 2006</vt:lpwstr>
  </property>
  <property fmtid="{D5CDD505-2E9C-101B-9397-08002B2CF9AE}" pid="7" name="Suffix">
    <vt:lpwstr>01-c0-02</vt:lpwstr>
  </property>
</Properties>
</file>