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20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Prohibited Behaviour Orders Act 2010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Prohibited Behaviour Orders Regulations 2011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Prohibited Behaviour Orders Regulations 2011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_Toc535507146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_Toc535507147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Terms used</w:t>
      </w:r>
      <w:r>
        <w:tab/>
      </w:r>
      <w:r>
        <w:fldChar w:fldCharType="begin"/>
      </w:r>
      <w:r>
        <w:instrText xml:space="preserve"> PAGEREF _Toc535507148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</w:t>
      </w:r>
      <w:r>
        <w:rPr>
          <w:snapToGrid w:val="0"/>
        </w:rPr>
        <w:t>.</w:t>
      </w:r>
      <w:r>
        <w:rPr>
          <w:snapToGrid w:val="0"/>
        </w:rPr>
        <w:tab/>
        <w:t>Offences to be taken to involve anti</w:t>
      </w:r>
      <w:r>
        <w:rPr>
          <w:snapToGrid w:val="0"/>
        </w:rPr>
        <w:noBreakHyphen/>
        <w:t>social behaviour (Act s. 3(2))</w:t>
      </w:r>
      <w:r>
        <w:tab/>
      </w:r>
      <w:r>
        <w:fldChar w:fldCharType="begin"/>
      </w:r>
      <w:r>
        <w:instrText xml:space="preserve"> PAGEREF _Toc535507149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Firearms and firearm licences given up (Act s. 30(1))</w:t>
      </w:r>
      <w:r>
        <w:tab/>
      </w:r>
      <w:r>
        <w:fldChar w:fldCharType="begin"/>
      </w:r>
      <w:r>
        <w:instrText xml:space="preserve"> PAGEREF _Toc535507150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Dealing with firearms or firearm licences given up or seized (Act s. 30(2) and 31)</w:t>
      </w:r>
      <w:r>
        <w:tab/>
      </w:r>
      <w:r>
        <w:fldChar w:fldCharType="begin"/>
      </w:r>
      <w:r>
        <w:instrText xml:space="preserve"> PAGEREF _Toc535507151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Claims for firearms and firearm licences</w:t>
      </w:r>
      <w:r>
        <w:tab/>
      </w:r>
      <w:r>
        <w:fldChar w:fldCharType="begin"/>
      </w:r>
      <w:r>
        <w:instrText xml:space="preserve"> PAGEREF _Toc535507152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Registrar to provide publication information to CEO</w:t>
      </w:r>
      <w:r>
        <w:tab/>
      </w:r>
      <w:r>
        <w:fldChar w:fldCharType="begin"/>
      </w:r>
      <w:r>
        <w:instrText xml:space="preserve"> PAGEREF _Toc535507153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Schedule 1 — Offences to be taken to involve anti</w:t>
      </w:r>
      <w:r>
        <w:noBreakHyphen/>
        <w:t>social behaviour</w:t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_Toc535507156 \h </w:instrText>
      </w:r>
      <w:r>
        <w:fldChar w:fldCharType="separate"/>
      </w:r>
      <w:r>
        <w:t>12</w:t>
      </w:r>
      <w:r>
        <w:fldChar w:fldCharType="end"/>
      </w:r>
    </w:p>
    <w:p>
      <w:pPr>
        <w:pStyle w:val="TOC2"/>
        <w:tabs>
          <w:tab w:val="righ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Defined terms</w:t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</w:pPr>
      <w:r>
        <w:t>Prohibited Behaviour Orders Act 2010</w:t>
      </w:r>
    </w:p>
    <w:p>
      <w:pPr>
        <w:pStyle w:val="NameofActReg"/>
      </w:pPr>
      <w:r>
        <w:t>Prohibited Behaviour Orders Regulations 2011</w:t>
      </w:r>
    </w:p>
    <w:p>
      <w:pPr>
        <w:pStyle w:val="Heading5"/>
      </w:pPr>
      <w:bookmarkStart w:id="3" w:name="_Toc53550714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  <w:rPr>
          <w:i/>
        </w:rPr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Prohibited Behaviour Orders Regulations 2011</w:t>
      </w:r>
      <w:r>
        <w:t>.</w:t>
      </w:r>
    </w:p>
    <w:p>
      <w:pPr>
        <w:pStyle w:val="Heading5"/>
        <w:rPr>
          <w:spacing w:val="-2"/>
        </w:rPr>
      </w:pPr>
      <w:bookmarkStart w:id="5" w:name="_Toc53550714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  <w:t xml:space="preserve">regulations 1 and 2 — on the day on which these regulations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regulations — on the day on which the </w:t>
      </w:r>
      <w:r>
        <w:rPr>
          <w:i/>
          <w:iCs/>
        </w:rPr>
        <w:t>Prohibited Behaviour Orders Act 2010</w:t>
      </w:r>
      <w:r>
        <w:t>, other than sections 1 and 2, comes into operation.</w:t>
      </w:r>
    </w:p>
    <w:p>
      <w:pPr>
        <w:pStyle w:val="Heading5"/>
      </w:pPr>
      <w:bookmarkStart w:id="6" w:name="_Toc535507148"/>
      <w:r>
        <w:rPr>
          <w:rStyle w:val="CharSectno"/>
        </w:rPr>
        <w:t>3</w:t>
      </w:r>
      <w:r>
        <w:t>.</w:t>
      </w:r>
      <w:r>
        <w:tab/>
        <w:t>Terms used</w:t>
      </w:r>
      <w:bookmarkEnd w:id="6"/>
    </w:p>
    <w:p>
      <w:pPr>
        <w:pStyle w:val="Subsection"/>
      </w:pPr>
      <w:r>
        <w:tab/>
      </w:r>
      <w:r>
        <w:tab/>
        <w:t>In these regulations, unless the contrary intention appears —</w:t>
      </w:r>
    </w:p>
    <w:p>
      <w:pPr>
        <w:pStyle w:val="Defstart"/>
        <w:rPr>
          <w:i/>
          <w:iCs/>
        </w:rPr>
      </w:pPr>
      <w:r>
        <w:tab/>
      </w:r>
      <w:r>
        <w:rPr>
          <w:rStyle w:val="CharDefText"/>
        </w:rPr>
        <w:t>Act</w:t>
      </w:r>
      <w:r>
        <w:t xml:space="preserve"> means the </w:t>
      </w:r>
      <w:r>
        <w:rPr>
          <w:i/>
          <w:iCs/>
        </w:rPr>
        <w:t>Prohibited Behaviour Orders Act 2010</w:t>
      </w:r>
      <w:r>
        <w:t>;</w:t>
      </w:r>
    </w:p>
    <w:p>
      <w:pPr>
        <w:pStyle w:val="Defstart"/>
      </w:pPr>
      <w:r>
        <w:tab/>
      </w:r>
      <w:r>
        <w:rPr>
          <w:rStyle w:val="CharDefText"/>
        </w:rPr>
        <w:t>co</w:t>
      </w:r>
      <w:r>
        <w:rPr>
          <w:rStyle w:val="CharDefText"/>
        </w:rPr>
        <w:noBreakHyphen/>
        <w:t>licensee</w:t>
      </w:r>
      <w:r>
        <w:t>, of a firearm in respect of which the constrained person holds a firearm licence, means another person who holds a firearm licence for that firearm;</w:t>
      </w:r>
    </w:p>
    <w:p>
      <w:pPr>
        <w:pStyle w:val="Defstart"/>
      </w:pPr>
      <w:r>
        <w:tab/>
      </w:r>
      <w:r>
        <w:rPr>
          <w:rStyle w:val="CharDefText"/>
        </w:rPr>
        <w:t>Commissioner</w:t>
      </w:r>
      <w:r>
        <w:t xml:space="preserve"> means the Commissioner of Police;</w:t>
      </w:r>
    </w:p>
    <w:p>
      <w:pPr>
        <w:pStyle w:val="Defstart"/>
      </w:pPr>
      <w:r>
        <w:tab/>
      </w:r>
      <w:r>
        <w:rPr>
          <w:rStyle w:val="CharDefText"/>
        </w:rPr>
        <w:t>section</w:t>
      </w:r>
      <w:r>
        <w:t xml:space="preserve"> means a section of the Act.</w:t>
      </w:r>
    </w:p>
    <w:p>
      <w:pPr>
        <w:pStyle w:val="Heading5"/>
        <w:rPr>
          <w:snapToGrid w:val="0"/>
        </w:rPr>
      </w:pPr>
      <w:bookmarkStart w:id="7" w:name="_Toc535507149"/>
      <w:r>
        <w:rPr>
          <w:rStyle w:val="CharSectno"/>
        </w:rPr>
        <w:t>4</w:t>
      </w:r>
      <w:r>
        <w:rPr>
          <w:snapToGrid w:val="0"/>
        </w:rPr>
        <w:t>.</w:t>
      </w:r>
      <w:r>
        <w:rPr>
          <w:snapToGrid w:val="0"/>
        </w:rPr>
        <w:tab/>
        <w:t>Offences to be taken to involve anti</w:t>
      </w:r>
      <w:r>
        <w:rPr>
          <w:snapToGrid w:val="0"/>
        </w:rPr>
        <w:noBreakHyphen/>
        <w:t>social behaviour (Act s. 3(2))</w:t>
      </w:r>
      <w:bookmarkEnd w:id="7"/>
    </w:p>
    <w:p>
      <w:pPr>
        <w:pStyle w:val="Subsection"/>
      </w:pPr>
      <w:r>
        <w:tab/>
      </w:r>
      <w:r>
        <w:tab/>
      </w:r>
      <w:r>
        <w:rPr>
          <w:spacing w:val="-2"/>
        </w:rPr>
        <w:t>Each</w:t>
      </w:r>
      <w:r>
        <w:t xml:space="preserve"> offence —</w:t>
      </w:r>
    </w:p>
    <w:p>
      <w:pPr>
        <w:pStyle w:val="Indenta"/>
      </w:pPr>
      <w:r>
        <w:tab/>
        <w:t>(a)</w:t>
      </w:r>
      <w:r>
        <w:tab/>
        <w:t>under a provision listed in Schedule 1 column 1; and</w:t>
      </w:r>
    </w:p>
    <w:p>
      <w:pPr>
        <w:pStyle w:val="Indenta"/>
      </w:pPr>
      <w:r>
        <w:tab/>
        <w:t>(b)</w:t>
      </w:r>
      <w:r>
        <w:tab/>
        <w:t>committed in the circumstances, if any, specified in Schedule 1 column 2,</w:t>
      </w:r>
    </w:p>
    <w:p>
      <w:pPr>
        <w:pStyle w:val="Subsection"/>
      </w:pPr>
      <w:r>
        <w:tab/>
      </w:r>
      <w:r>
        <w:tab/>
        <w:t>is a prescribed offence for the purposes of section 3(2).</w:t>
      </w:r>
    </w:p>
    <w:p>
      <w:pPr>
        <w:pStyle w:val="Heading5"/>
      </w:pPr>
      <w:bookmarkStart w:id="8" w:name="_Toc535507150"/>
      <w:r>
        <w:rPr>
          <w:rStyle w:val="CharSectno"/>
        </w:rPr>
        <w:t>5</w:t>
      </w:r>
      <w:r>
        <w:t>.</w:t>
      </w:r>
      <w:r>
        <w:tab/>
        <w:t>Firearms and firearm licences given up (Act s. 30(1))</w:t>
      </w:r>
      <w:bookmarkEnd w:id="8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prescribed period</w:t>
      </w:r>
      <w:r>
        <w:t xml:space="preserve"> means — </w:t>
      </w:r>
    </w:p>
    <w:p>
      <w:pPr>
        <w:pStyle w:val="Defpara"/>
      </w:pPr>
      <w:r>
        <w:tab/>
        <w:t>(a)</w:t>
      </w:r>
      <w:r>
        <w:tab/>
        <w:t>24 hours; or</w:t>
      </w:r>
    </w:p>
    <w:p>
      <w:pPr>
        <w:pStyle w:val="Defpara"/>
      </w:pPr>
      <w:r>
        <w:tab/>
        <w:t>(b)</w:t>
      </w:r>
      <w:r>
        <w:tab/>
        <w:t>a shorter period, if any, ordered by the court under section 30(4).</w:t>
      </w:r>
    </w:p>
    <w:p>
      <w:pPr>
        <w:pStyle w:val="Subsection"/>
        <w:rPr>
          <w:snapToGrid w:val="0"/>
        </w:rPr>
      </w:pPr>
      <w:r>
        <w:rPr>
          <w:snapToGrid w:val="0"/>
        </w:rPr>
        <w:tab/>
        <w:t>(2)</w:t>
      </w:r>
      <w:r>
        <w:rPr>
          <w:snapToGrid w:val="0"/>
        </w:rPr>
        <w:tab/>
        <w:t>This regulation applies for the purposes of section 30(1).</w:t>
      </w:r>
    </w:p>
    <w:p>
      <w:pPr>
        <w:pStyle w:val="Subsection"/>
      </w:pPr>
      <w:r>
        <w:tab/>
        <w:t>(3)</w:t>
      </w:r>
      <w:r>
        <w:tab/>
        <w:t>Within the prescribed period after he or she is given a PBO described in section 29, or an order varying a PBO so that it becomes a PBO described in section 29, the constrained person must —</w:t>
      </w:r>
    </w:p>
    <w:p>
      <w:pPr>
        <w:pStyle w:val="Indenta"/>
      </w:pPr>
      <w:r>
        <w:tab/>
        <w:t>(a)</w:t>
      </w:r>
      <w:r>
        <w:tab/>
        <w:t>if the constrained person holds a firearm licence, give it to a police officer at a police station; and</w:t>
      </w:r>
    </w:p>
    <w:p>
      <w:pPr>
        <w:pStyle w:val="Indenta"/>
      </w:pPr>
      <w:r>
        <w:tab/>
        <w:t>(b)</w:t>
      </w:r>
      <w:r>
        <w:tab/>
        <w:t>if the constrained person is in physical possession of a firearm, give it to —</w:t>
      </w:r>
    </w:p>
    <w:p>
      <w:pPr>
        <w:pStyle w:val="Indenti"/>
      </w:pPr>
      <w:r>
        <w:tab/>
        <w:t>(i)</w:t>
      </w:r>
      <w:r>
        <w:tab/>
        <w:t>a police officer at a police station; or</w:t>
      </w:r>
    </w:p>
    <w:p>
      <w:pPr>
        <w:pStyle w:val="Indenti"/>
      </w:pPr>
      <w:r>
        <w:tab/>
        <w:t>(ii)</w:t>
      </w:r>
      <w:r>
        <w:tab/>
        <w:t>a co</w:t>
      </w:r>
      <w:r>
        <w:noBreakHyphen/>
        <w:t>licensee of the firearm, if there is one.</w:t>
      </w:r>
    </w:p>
    <w:p>
      <w:pPr>
        <w:pStyle w:val="Heading5"/>
      </w:pPr>
      <w:bookmarkStart w:id="9" w:name="_Toc535507151"/>
      <w:r>
        <w:rPr>
          <w:rStyle w:val="CharSectno"/>
        </w:rPr>
        <w:t>6</w:t>
      </w:r>
      <w:r>
        <w:t>.</w:t>
      </w:r>
      <w:r>
        <w:tab/>
        <w:t>Dealing with firearms or firearm licences given up or seized (Act s. 30(2) and 31)</w:t>
      </w:r>
      <w:bookmarkEnd w:id="9"/>
    </w:p>
    <w:p>
      <w:pPr>
        <w:pStyle w:val="Subsection"/>
        <w:rPr>
          <w:snapToGrid w:val="0"/>
        </w:rPr>
      </w:pPr>
      <w:r>
        <w:rPr>
          <w:snapToGrid w:val="0"/>
        </w:rPr>
        <w:tab/>
        <w:t>(1)</w:t>
      </w:r>
      <w:r>
        <w:rPr>
          <w:snapToGrid w:val="0"/>
        </w:rPr>
        <w:tab/>
        <w:t>This regulation applies for the purposes of sections 30(2) and 31.</w:t>
      </w:r>
    </w:p>
    <w:p>
      <w:pPr>
        <w:pStyle w:val="Subsection"/>
      </w:pPr>
      <w:r>
        <w:tab/>
        <w:t>(2)</w:t>
      </w:r>
      <w:r>
        <w:tab/>
        <w:t>The firearm or firearm licence must be held in safe custody by the Commissioner until —</w:t>
      </w:r>
    </w:p>
    <w:p>
      <w:pPr>
        <w:pStyle w:val="Indenta"/>
      </w:pPr>
      <w:r>
        <w:tab/>
        <w:t>(a)</w:t>
      </w:r>
      <w:r>
        <w:tab/>
        <w:t>in the case of the firearm —</w:t>
      </w:r>
    </w:p>
    <w:p>
      <w:pPr>
        <w:pStyle w:val="Indenti"/>
      </w:pPr>
      <w:r>
        <w:tab/>
        <w:t>(i)</w:t>
      </w:r>
      <w:r>
        <w:tab/>
        <w:t>it is claimed under regulation 7(1) or (2); or</w:t>
      </w:r>
    </w:p>
    <w:p>
      <w:pPr>
        <w:pStyle w:val="Indenti"/>
      </w:pPr>
      <w:r>
        <w:tab/>
        <w:t>(ii)</w:t>
      </w:r>
      <w:r>
        <w:tab/>
        <w:t>it can be lawfully disposed of by the Commissioner;</w:t>
      </w:r>
    </w:p>
    <w:p>
      <w:pPr>
        <w:pStyle w:val="Indenta"/>
      </w:pPr>
      <w:r>
        <w:tab/>
      </w:r>
      <w:r>
        <w:tab/>
        <w:t>or</w:t>
      </w:r>
    </w:p>
    <w:p>
      <w:pPr>
        <w:pStyle w:val="Indenta"/>
      </w:pPr>
      <w:r>
        <w:tab/>
        <w:t>(b)</w:t>
      </w:r>
      <w:r>
        <w:tab/>
        <w:t>in the case of a firearm licence —</w:t>
      </w:r>
    </w:p>
    <w:p>
      <w:pPr>
        <w:pStyle w:val="Indenti"/>
      </w:pPr>
      <w:r>
        <w:tab/>
        <w:t>(i)</w:t>
      </w:r>
      <w:r>
        <w:tab/>
        <w:t>it is claimed under regulation 7(2); or</w:t>
      </w:r>
    </w:p>
    <w:p>
      <w:pPr>
        <w:pStyle w:val="Indenti"/>
      </w:pPr>
      <w:r>
        <w:tab/>
        <w:t>(ii)</w:t>
      </w:r>
      <w:r>
        <w:tab/>
        <w:t xml:space="preserve">it ceases to be in force under the </w:t>
      </w:r>
      <w:r>
        <w:rPr>
          <w:i/>
        </w:rPr>
        <w:t>Firearms Act 1973</w:t>
      </w:r>
      <w:r>
        <w:t>.</w:t>
      </w:r>
    </w:p>
    <w:p>
      <w:pPr>
        <w:pStyle w:val="Subsection"/>
      </w:pPr>
      <w:r>
        <w:tab/>
        <w:t>(3)</w:t>
      </w:r>
      <w:r>
        <w:tab/>
        <w:t xml:space="preserve">The </w:t>
      </w:r>
      <w:r>
        <w:rPr>
          <w:i/>
          <w:iCs/>
        </w:rPr>
        <w:t>Firearms Regulations 1974</w:t>
      </w:r>
      <w:r>
        <w:t xml:space="preserve"> regulation 11(2) and (3) apply when the Commissioner is holding a firearm under subregulation (1).</w:t>
      </w:r>
    </w:p>
    <w:p>
      <w:pPr>
        <w:pStyle w:val="Heading5"/>
      </w:pPr>
      <w:bookmarkStart w:id="10" w:name="_Toc535507152"/>
      <w:r>
        <w:rPr>
          <w:rStyle w:val="CharSectno"/>
        </w:rPr>
        <w:t>7</w:t>
      </w:r>
      <w:r>
        <w:t>.</w:t>
      </w:r>
      <w:r>
        <w:tab/>
        <w:t>Claims for firearms and firearm licences</w:t>
      </w:r>
      <w:bookmarkEnd w:id="10"/>
    </w:p>
    <w:p>
      <w:pPr>
        <w:pStyle w:val="Subsection"/>
      </w:pPr>
      <w:r>
        <w:tab/>
        <w:t>(1)</w:t>
      </w:r>
      <w:r>
        <w:tab/>
        <w:t>A co</w:t>
      </w:r>
      <w:r>
        <w:noBreakHyphen/>
        <w:t>licensee may claim a firearm held by the Commissioner under regulation 6.</w:t>
      </w:r>
    </w:p>
    <w:p>
      <w:pPr>
        <w:pStyle w:val="Subsection"/>
      </w:pPr>
      <w:r>
        <w:tab/>
        <w:t>(2)</w:t>
      </w:r>
      <w:r>
        <w:tab/>
        <w:t>A constrained person may, after the PBO ceases to be in force, claim a firearm or firearm licence held by the Commissioner under regulation 6.</w:t>
      </w:r>
    </w:p>
    <w:p>
      <w:pPr>
        <w:pStyle w:val="Subsection"/>
      </w:pPr>
      <w:r>
        <w:tab/>
        <w:t>(3)</w:t>
      </w:r>
      <w:r>
        <w:tab/>
        <w:t>A claim made under subregulation (1) or (2) is to be made in a form approved by the Commissioner.</w:t>
      </w:r>
    </w:p>
    <w:p>
      <w:pPr>
        <w:pStyle w:val="Subsection"/>
      </w:pPr>
      <w:r>
        <w:tab/>
        <w:t>(4)</w:t>
      </w:r>
      <w:r>
        <w:tab/>
        <w:t>Subject to subregulation (5), the Commissioner must give the firearm or firearm licence to the claimant.</w:t>
      </w:r>
    </w:p>
    <w:p>
      <w:pPr>
        <w:pStyle w:val="Subsection"/>
      </w:pPr>
      <w:r>
        <w:tab/>
        <w:t>(5)</w:t>
      </w:r>
      <w:r>
        <w:tab/>
        <w:t xml:space="preserve">This regulation does not prevent the Commissioner from exercising a power under the </w:t>
      </w:r>
      <w:r>
        <w:rPr>
          <w:i/>
          <w:iCs/>
        </w:rPr>
        <w:t>Firearms Act 1973</w:t>
      </w:r>
      <w:r>
        <w:t xml:space="preserve"> section 20.</w:t>
      </w:r>
    </w:p>
    <w:p>
      <w:pPr>
        <w:pStyle w:val="Heading5"/>
      </w:pPr>
      <w:bookmarkStart w:id="11" w:name="_Toc535507153"/>
      <w:r>
        <w:rPr>
          <w:rStyle w:val="CharSectno"/>
        </w:rPr>
        <w:t>8</w:t>
      </w:r>
      <w:r>
        <w:t>.</w:t>
      </w:r>
      <w:r>
        <w:tab/>
        <w:t>Registrar to provide publication information to CEO</w:t>
      </w:r>
      <w:bookmarkEnd w:id="11"/>
    </w:p>
    <w:p>
      <w:pPr>
        <w:pStyle w:val="Subsection"/>
      </w:pPr>
      <w:r>
        <w:tab/>
        <w:t>(1)</w:t>
      </w:r>
      <w:r>
        <w:tab/>
        <w:t xml:space="preserve">In this regulation — </w:t>
      </w:r>
    </w:p>
    <w:p>
      <w:pPr>
        <w:pStyle w:val="Defstart"/>
      </w:pPr>
      <w:r>
        <w:tab/>
      </w:r>
      <w:r>
        <w:rPr>
          <w:rStyle w:val="CharDefText"/>
        </w:rPr>
        <w:t>CEO</w:t>
      </w:r>
      <w:r>
        <w:t xml:space="preserve"> has the meaning given in section 34(1).</w:t>
      </w:r>
    </w:p>
    <w:p>
      <w:pPr>
        <w:pStyle w:val="Subsection"/>
      </w:pPr>
      <w:r>
        <w:tab/>
        <w:t>(2)</w:t>
      </w:r>
      <w:r>
        <w:tab/>
        <w:t xml:space="preserve">After a court makes a PBO under section 6(2) or 24(2)(b), a registrar must cause to be given to the CEO written notice of the following information relating to the PBO — </w:t>
      </w:r>
    </w:p>
    <w:p>
      <w:pPr>
        <w:pStyle w:val="Indenta"/>
      </w:pPr>
      <w:r>
        <w:tab/>
        <w:t>(a)</w:t>
      </w:r>
      <w:r>
        <w:tab/>
        <w:t>the name of the constrained person;</w:t>
      </w:r>
    </w:p>
    <w:p>
      <w:pPr>
        <w:pStyle w:val="Indenta"/>
      </w:pPr>
      <w:r>
        <w:tab/>
        <w:t>(b)</w:t>
      </w:r>
      <w:r>
        <w:tab/>
        <w:t>the town or suburb where the constrained person lives;</w:t>
      </w:r>
    </w:p>
    <w:p>
      <w:pPr>
        <w:pStyle w:val="Indenta"/>
      </w:pPr>
      <w:r>
        <w:tab/>
        <w:t>(c)</w:t>
      </w:r>
      <w:r>
        <w:tab/>
        <w:t>the constraints imposed by the PBO on the activities and behaviour of the constrained person.</w:t>
      </w:r>
    </w:p>
    <w:p>
      <w:pPr>
        <w:pStyle w:val="Subsection"/>
      </w:pPr>
      <w:r>
        <w:tab/>
        <w:t>(3)</w:t>
      </w:r>
      <w:r>
        <w:tab/>
        <w:t>After a court makes an order under section 24(2)(a) varying a PBO, a registrar must cause to be given to the CEO written notice of any changes to information referred to in subregulation (2) relating to the PBO.</w:t>
      </w:r>
    </w:p>
    <w:p>
      <w:pPr>
        <w:pStyle w:val="Subsection"/>
      </w:pPr>
      <w:r>
        <w:tab/>
        <w:t>(4)</w:t>
      </w:r>
      <w:r>
        <w:tab/>
        <w:t>After a court makes an order under section 24 cancelling a PBO, a registrar must cause to be given to the CEO written notice of that fact.</w:t>
      </w:r>
    </w:p>
    <w:p>
      <w:pPr>
        <w:pStyle w:val="Footnotesection"/>
      </w:pPr>
      <w:r>
        <w:tab/>
        <w:t>[Regulation 8 inserted: Gazette 1 Jul 2011 p. 2725</w:t>
      </w:r>
      <w:r>
        <w:noBreakHyphen/>
        <w:t>6.]</w:t>
      </w:r>
    </w:p>
    <w:p>
      <w:pPr>
        <w:pStyle w:val="ByCommand"/>
        <w:sectPr>
          <w:headerReference w:type="even" r:id="rId21"/>
          <w:headerReference w:type="default" r:id="rId22"/>
          <w:headerReference w:type="first" r:id="rId23"/>
          <w:endnotePr>
            <w:numFmt w:val="decimal"/>
          </w:endnotePr>
          <w:pgSz w:w="11907" w:h="16840" w:code="9"/>
          <w:pgMar w:top="2381" w:right="2410" w:bottom="3544" w:left="2410" w:header="720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yScheduleHeading"/>
        <w:outlineLvl w:val="0"/>
      </w:pPr>
      <w:bookmarkStart w:id="12" w:name="_Toc535507154"/>
      <w:r>
        <w:rPr>
          <w:rStyle w:val="CharSchNo"/>
        </w:rPr>
        <w:t>Schedule 1</w:t>
      </w:r>
      <w:r>
        <w:rPr>
          <w:rStyle w:val="CharSDivNo"/>
        </w:rPr>
        <w:t> </w:t>
      </w:r>
      <w:r>
        <w:t>—</w:t>
      </w:r>
      <w:r>
        <w:rPr>
          <w:rStyle w:val="CharSDivText"/>
        </w:rPr>
        <w:t> </w:t>
      </w:r>
      <w:r>
        <w:rPr>
          <w:rStyle w:val="CharSchText"/>
        </w:rPr>
        <w:t>Offences to be taken to involve anti</w:t>
      </w:r>
      <w:r>
        <w:rPr>
          <w:rStyle w:val="CharSchText"/>
        </w:rPr>
        <w:noBreakHyphen/>
        <w:t>social behaviour</w:t>
      </w:r>
      <w:bookmarkEnd w:id="12"/>
    </w:p>
    <w:p>
      <w:pPr>
        <w:pStyle w:val="yShoulderClause"/>
      </w:pPr>
      <w:r>
        <w:t>[r. 4]</w:t>
      </w:r>
    </w:p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Bush Fires Act 1954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of lighting or attempting to light fire likely to injure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The Criminal Code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or near place of public entertainment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68C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public in company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Being armed in a way that may cause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Forcibly entering land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Trespass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Fighting in public causing fear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Threatening violence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Disorderly behaviour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fear or alarm to people in conveyances and others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incite racial animosity or racist harassment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intended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80B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Conduct likely to racially harass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Creating false belief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172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public officers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Obscene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acts in public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Indecent act with intent to offend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204A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Showing offensive material to children under 16 years of 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Common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Assaults occasioning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318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Serious assaults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 with intent to influence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Threats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338E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Stalking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motor vehicle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426(3)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378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Stealing a thing having a value that does not exceed $1 000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426(4)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Robbery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393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Assault with intent to rob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401</w:t>
            </w:r>
          </w:p>
        </w:tc>
        <w:tc>
          <w:tcPr>
            <w:tcW w:w="5528" w:type="dxa"/>
          </w:tcPr>
          <w:p>
            <w:pPr>
              <w:pStyle w:val="yTableNAm"/>
              <w:rPr>
                <w:rStyle w:val="DraftersNotes"/>
              </w:rPr>
            </w:pPr>
            <w:r>
              <w:t xml:space="preserve">Burglary on conviction for which a summary conviction penalty is imposed under </w:t>
            </w:r>
            <w:r>
              <w:rPr>
                <w:i/>
              </w:rPr>
              <w:t>The Criminal </w:t>
            </w:r>
            <w:r>
              <w:rPr>
                <w:i/>
                <w:iCs/>
              </w:rPr>
              <w:t>Code</w:t>
            </w:r>
            <w:r>
              <w:t xml:space="preserve"> section 401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Criminal damage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Breaching a duty under s. 444A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445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property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Criminal Investigation Act 2006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153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Failure to comply with an officer’s order under the </w:t>
            </w:r>
            <w:r>
              <w:rPr>
                <w:i/>
              </w:rPr>
              <w:t>Criminal Investigation Act 2006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Liquor Control Act 1988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115(6)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115(7)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premises within 24 hours of being refused entry to, or required to leave, the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place or premises without the consent of the occupier or person having control of the place or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Bringing liquor into, or possessing or consuming liquor in, a sports ground or stadium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119(4)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Consuming liquor in a public place except under an exemption, licence or permit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121(3)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 xml:space="preserve">Purchasing or obtaining liquor on licensed premises on behalf of a juvenile 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123(1)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purchasing, obtaining or consuming liquor on, or bringing liquor onto, licensed or regulated premises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123(2)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Juvenile possessing liquor in a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Sending a juvenile to licensed or regulated premises for the purpose of obtaining liquor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126(4)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</w:t>
            </w:r>
            <w:r>
              <w:noBreakHyphen/>
              <w:t>entering licensed or regulated premises within 24 hours of being required to leave, or removed from, the premises under section 126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126(5)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Remaining in an area adjacent to licensed premises after having been required to leave, or being removed from, the premises</w:t>
            </w:r>
          </w:p>
        </w:tc>
      </w:tr>
    </w:tbl>
    <w:p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Misuse of Drugs Act 1981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and prohibited plants in relation to premises and utensils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</w:pPr>
            <w:r>
              <w:t>Offences concerned with prohibited drugs generally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Offences concerned with prohibited plants generally</w:t>
            </w:r>
          </w:p>
        </w:tc>
      </w:tr>
    </w:tbl>
    <w:p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keepNext/>
              <w:keepLines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Prostitution Act 2000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5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prostitute in or in view or within hearing of public place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  <w:keepNext/>
              <w:keepLines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  <w:keepNext/>
              <w:keepLines/>
            </w:pPr>
            <w:r>
              <w:t>Seeking client in or in view or within hearing of public place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Act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64B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Contravention of a prohibition order</w:t>
            </w:r>
          </w:p>
        </w:tc>
      </w:tr>
    </w:tbl>
    <w:p>
      <w:pPr>
        <w:pStyle w:val="ySubsection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Public Transport Authority Regulations 2003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Interfering with Authority property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13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nuisance or annoyance to persons in or an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15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Damaging a conveyance or facility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r. 40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Obstructing an authorised person</w:t>
            </w:r>
          </w:p>
        </w:tc>
      </w:tr>
    </w:tbl>
    <w:p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Road Traffic Act 1974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death, injury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59A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 causing bodily harm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60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Reckless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61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Dangerous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Careless driving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62A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Causing excessive noise, smoke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63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under the influence of alcohol etc.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0.08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64AA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Driving with blood alcohol content of or above 0.05</w:t>
            </w:r>
          </w:p>
        </w:tc>
      </w:tr>
    </w:tbl>
    <w:p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bottom w:w="113" w:type="dxa"/>
        </w:tblCellMar>
        <w:tblLook w:val="0000" w:firstRow="0" w:lastRow="0" w:firstColumn="0" w:lastColumn="0" w:noHBand="0" w:noVBand="0"/>
      </w:tblPr>
      <w:tblGrid>
        <w:gridCol w:w="1276"/>
        <w:gridCol w:w="5528"/>
      </w:tblGrid>
      <w:tr>
        <w:trPr>
          <w:cantSplit/>
          <w:tblHeader/>
        </w:trPr>
        <w:tc>
          <w:tcPr>
            <w:tcW w:w="6804" w:type="dxa"/>
            <w:gridSpan w:val="2"/>
          </w:tcPr>
          <w:p>
            <w:pPr>
              <w:pStyle w:val="yTableNAm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/>
                <w:iCs/>
              </w:rPr>
              <w:t>Weapons Act 1999</w:t>
            </w:r>
          </w:p>
        </w:tc>
      </w:tr>
      <w:tr>
        <w:trPr>
          <w:cantSplit/>
          <w:tblHeader/>
        </w:trPr>
        <w:tc>
          <w:tcPr>
            <w:tcW w:w="1276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Provision</w:t>
            </w:r>
          </w:p>
        </w:tc>
        <w:tc>
          <w:tcPr>
            <w:tcW w:w="5528" w:type="dxa"/>
          </w:tcPr>
          <w:p>
            <w:pPr>
              <w:pStyle w:val="yTableNAm"/>
              <w:rPr>
                <w:b/>
                <w:bCs/>
              </w:rPr>
            </w:pPr>
            <w:r>
              <w:rPr>
                <w:b/>
                <w:bCs/>
              </w:rPr>
              <w:t>Description of offence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6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Prohibited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7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Controlled weapons</w:t>
            </w:r>
          </w:p>
        </w:tc>
      </w:tr>
      <w:tr>
        <w:trPr>
          <w:cantSplit/>
        </w:trPr>
        <w:tc>
          <w:tcPr>
            <w:tcW w:w="1276" w:type="dxa"/>
          </w:tcPr>
          <w:p>
            <w:pPr>
              <w:pStyle w:val="yTableNAm"/>
            </w:pPr>
            <w:r>
              <w:t>s. 8</w:t>
            </w:r>
          </w:p>
        </w:tc>
        <w:tc>
          <w:tcPr>
            <w:tcW w:w="5528" w:type="dxa"/>
          </w:tcPr>
          <w:p>
            <w:pPr>
              <w:pStyle w:val="yTableNAm"/>
            </w:pPr>
            <w:r>
              <w:t>Other articles carried or possessed as weapons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>
      <w:pPr>
        <w:pStyle w:val="nHeading2"/>
      </w:pPr>
      <w:bookmarkStart w:id="14" w:name="_Toc535507155"/>
      <w:r>
        <w:t>Notes</w:t>
      </w:r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 is a compilation of the </w:t>
      </w:r>
      <w:r>
        <w:rPr>
          <w:i/>
        </w:rPr>
        <w:t xml:space="preserve">Prohibited Behaviour Orders Regulations 2011 </w:t>
      </w:r>
      <w:r>
        <w:rPr>
          <w:snapToGrid w:val="0"/>
        </w:rPr>
        <w:t xml:space="preserve">and includes the amendments made by the other written laws referred to in the following table.  </w:t>
      </w:r>
    </w:p>
    <w:p>
      <w:pPr>
        <w:pStyle w:val="nHeading3"/>
      </w:pPr>
      <w:bookmarkStart w:id="15" w:name="_Toc535507156"/>
      <w:r>
        <w:t>Compilation table</w:t>
      </w:r>
      <w:bookmarkEnd w:id="15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Regulations 2011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23 Feb 2011 p. 635-48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23 Feb 2011 (see r. 2(a));</w:t>
            </w:r>
          </w:p>
          <w:p>
            <w:pPr>
              <w:pStyle w:val="nTable"/>
              <w:spacing w:before="0" w:after="40"/>
            </w:pPr>
            <w:r>
              <w:t xml:space="preserve">Regulations other than r. 1 and 2: 23 Feb 2011 (see r. 2(b) and </w:t>
            </w:r>
            <w:r>
              <w:rPr>
                <w:i/>
              </w:rPr>
              <w:t>Gazette</w:t>
            </w:r>
            <w:r>
              <w:t xml:space="preserve"> 23 Feb 2011 p. 633)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rPr>
                <w:i/>
              </w:rPr>
              <w:t>Prohibited Behaviour Orders Amendment Regulations 2011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 Jul 2011 p. 2725</w:t>
            </w:r>
            <w:r>
              <w:noBreakHyphen/>
              <w:t>6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snapToGrid w:val="0"/>
                <w:spacing w:val="-2"/>
              </w:rPr>
              <w:t>r. 1 and 2: 1 Jul 2011 (see r. 2(a));</w:t>
            </w:r>
            <w:r>
              <w:rPr>
                <w:snapToGrid w:val="0"/>
                <w:spacing w:val="-2"/>
              </w:rPr>
              <w:br/>
              <w:t>Regulations other than r. 1 and 2: 2 Jul 2011 (see r. 2(b))</w:t>
            </w:r>
          </w:p>
        </w:tc>
      </w:tr>
    </w:tbl>
    <w:p/>
    <w:p>
      <w:pPr>
        <w:sectPr>
          <w:headerReference w:type="even" r:id="rId27"/>
          <w:headerReference w:type="default" r:id="rId28"/>
          <w:headerReference w:type="first" r:id="rId29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bookmarkStart w:id="17" w:name="_Toc535507157"/>
      <w:r>
        <w:rPr>
          <w:sz w:val="28"/>
        </w:rPr>
        <w:t>Defined terms</w:t>
      </w:r>
      <w:bookmarkEnd w:id="17"/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Act</w:t>
      </w:r>
      <w:r>
        <w:tab/>
        <w:t>3</w:t>
      </w:r>
    </w:p>
    <w:p>
      <w:pPr>
        <w:pStyle w:val="DefinedTerms"/>
      </w:pPr>
      <w:r>
        <w:t>CEO</w:t>
      </w:r>
      <w:r>
        <w:tab/>
        <w:t>8(1)</w:t>
      </w:r>
    </w:p>
    <w:p>
      <w:pPr>
        <w:pStyle w:val="DefinedTerms"/>
      </w:pPr>
      <w:r>
        <w:t>co</w:t>
      </w:r>
      <w:r>
        <w:noBreakHyphen/>
        <w:t>licensee</w:t>
      </w:r>
      <w:r>
        <w:tab/>
        <w:t>3</w:t>
      </w:r>
    </w:p>
    <w:p>
      <w:pPr>
        <w:pStyle w:val="DefinedTerms"/>
      </w:pPr>
      <w:r>
        <w:t>Commissioner</w:t>
      </w:r>
      <w:r>
        <w:tab/>
        <w:t>3</w:t>
      </w:r>
    </w:p>
    <w:p>
      <w:pPr>
        <w:pStyle w:val="DefinedTerms"/>
      </w:pPr>
      <w:r>
        <w:t>prescribed period</w:t>
      </w:r>
      <w:r>
        <w:tab/>
        <w:t>5(1)</w:t>
      </w:r>
    </w:p>
    <w:p>
      <w:pPr>
        <w:pStyle w:val="DefinedTerms"/>
      </w:pPr>
      <w:r>
        <w:t>section</w:t>
      </w:r>
      <w:r>
        <w:tab/>
        <w:t>3</w:t>
      </w:r>
    </w:p>
    <w:p/>
    <w:p>
      <w:pPr>
        <w:sectPr>
          <w:headerReference w:type="even" r:id="rId30"/>
          <w:headerReference w:type="default" r:id="rId31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32"/>
      <w:headerReference w:type="default" r:id="rId33"/>
      <w:footerReference w:type="even" r:id="rId34"/>
      <w:footerReference w:type="default" r:id="rId35"/>
      <w:headerReference w:type="first" r:id="rId36"/>
      <w:footerReference w:type="first" r:id="rId37"/>
      <w:type w:val="continuous"/>
      <w:pgSz w:w="11907" w:h="16840" w:code="9"/>
      <w:pgMar w:top="2376" w:right="2404" w:bottom="3544" w:left="2404" w:header="720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02 Jul 2011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>styleref CharSchText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CharSchno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CharSDivNo \* charformat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3" w:name="Schedule"/>
    <w:bookmarkEnd w:id="13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6" w:name="Compilation"/>
    <w:bookmarkEnd w:id="16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18" w:name="DefinedTerms"/>
    <w:bookmarkEnd w:id="18"/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9" w:name="Coversheet"/>
    <w:bookmarkEnd w:id="1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Prohibited Behaviour Orders Regulations 2011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4569E6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0921E7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BBA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9AE93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DF484B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7E7C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C02B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C0A73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62AD3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A8CD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81201DB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evenAndOddHeaders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70131121511"/>
    <w:docVar w:name="WAFER_20150715154158" w:val="ResetPageSize,UpdateArrangement,UpdateNTable"/>
    <w:docVar w:name="WAFER_20150715154158_GUID" w:val="a88be20b-ef49-4047-bf4a-e819d303b0c3"/>
    <w:docVar w:name="WAFER_20151109114314" w:val="UpdateStyles,UsedStyles"/>
    <w:docVar w:name="WAFER_20151109114314_GUID" w:val="3b01b30f-36b9-4254-8677-81e78a33a58f"/>
    <w:docVar w:name="WAFER_20170131121511" w:val="RemoveTocBookmarks,RemoveUnusedBookmarks,RemoveLanguageTags,UsedStyles,ResetPageSize"/>
    <w:docVar w:name="WAFER_20170131121511_GUID" w:val="73e5333a-d795-412f-878d-bddafbbe4d5b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numPr>
        <w:numId w:val="12"/>
      </w:numPr>
    </w:pPr>
  </w:style>
  <w:style w:type="paragraph" w:styleId="ListBullet2">
    <w:name w:val="List Bullet 2"/>
    <w:basedOn w:val="Normal"/>
    <w:autoRedefine/>
    <w:pPr>
      <w:numPr>
        <w:numId w:val="13"/>
      </w:numPr>
    </w:pPr>
  </w:style>
  <w:style w:type="paragraph" w:styleId="ListBullet3">
    <w:name w:val="List Bullet 3"/>
    <w:basedOn w:val="Normal"/>
    <w:autoRedefine/>
    <w:pPr>
      <w:numPr>
        <w:numId w:val="14"/>
      </w:numPr>
    </w:pPr>
  </w:style>
  <w:style w:type="paragraph" w:styleId="ListBullet4">
    <w:name w:val="List Bullet 4"/>
    <w:basedOn w:val="Normal"/>
    <w:autoRedefine/>
    <w:pPr>
      <w:numPr>
        <w:numId w:val="15"/>
      </w:numPr>
    </w:pPr>
  </w:style>
  <w:style w:type="paragraph" w:styleId="ListBullet5">
    <w:name w:val="List Bullet 5"/>
    <w:basedOn w:val="Normal"/>
    <w:autoRedefine/>
    <w:pPr>
      <w:numPr>
        <w:numId w:val="16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7"/>
      </w:numPr>
    </w:pPr>
  </w:style>
  <w:style w:type="paragraph" w:styleId="ListNumber2">
    <w:name w:val="List Number 2"/>
    <w:basedOn w:val="Normal"/>
    <w:pPr>
      <w:numPr>
        <w:numId w:val="18"/>
      </w:numPr>
    </w:pPr>
  </w:style>
  <w:style w:type="paragraph" w:styleId="ListNumber3">
    <w:name w:val="List Number 3"/>
    <w:basedOn w:val="Normal"/>
    <w:pPr>
      <w:numPr>
        <w:numId w:val="19"/>
      </w:numPr>
    </w:pPr>
  </w:style>
  <w:style w:type="paragraph" w:styleId="ListNumber4">
    <w:name w:val="List Number 4"/>
    <w:basedOn w:val="Normal"/>
    <w:pPr>
      <w:numPr>
        <w:numId w:val="20"/>
      </w:numPr>
    </w:pPr>
  </w:style>
  <w:style w:type="paragraph" w:styleId="ListNumber5">
    <w:name w:val="List Number 5"/>
    <w:basedOn w:val="Normal"/>
    <w:pPr>
      <w:numPr>
        <w:numId w:val="21"/>
      </w:numPr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9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9.xm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header" Target="header18.xml"/><Relationship Id="rId37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1870</Words>
  <Characters>9185</Characters>
  <Application>Microsoft Office Word</Application>
  <DocSecurity>0</DocSecurity>
  <Lines>399</Lines>
  <Paragraphs>345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(Regs)</vt:lpstr>
    </vt:vector>
  </TitlesOfParts>
  <Manager/>
  <Company/>
  <LinksUpToDate>false</LinksUpToDate>
  <CharactersWithSpaces>10710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Prohibited Behaviour Orders Regulations 2011 - 00-b0-06</dc:title>
  <dc:subject/>
  <dc:creator/>
  <cp:keywords/>
  <dc:description/>
  <cp:lastModifiedBy>svcMRProcess</cp:lastModifiedBy>
  <cp:revision>4</cp:revision>
  <cp:lastPrinted>2011-02-23T03:20:00Z</cp:lastPrinted>
  <dcterms:created xsi:type="dcterms:W3CDTF">2019-01-17T08:50:00Z</dcterms:created>
  <dcterms:modified xsi:type="dcterms:W3CDTF">2019-01-17T08:50:00Z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23 Feb 2011 p 635-48</vt:lpwstr>
  </property>
  <property fmtid="{D5CDD505-2E9C-101B-9397-08002B2CF9AE}" pid="3" name="CommencementDate">
    <vt:lpwstr>20110702</vt:lpwstr>
  </property>
  <property fmtid="{D5CDD505-2E9C-101B-9397-08002B2CF9AE}" pid="4" name="DocumentType">
    <vt:lpwstr>Reg</vt:lpwstr>
  </property>
  <property fmtid="{D5CDD505-2E9C-101B-9397-08002B2CF9AE}" pid="5" name="AsAtDate">
    <vt:lpwstr>02 Jul 2011</vt:lpwstr>
  </property>
  <property fmtid="{D5CDD505-2E9C-101B-9397-08002B2CF9AE}" pid="6" name="Suffix">
    <vt:lpwstr>00-b0-06</vt:lpwstr>
  </property>
</Properties>
</file>