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Waste Avoidance and Resource Recovery Act 2007</w:t>
      </w:r>
    </w:p>
    <w:p>
      <w:pPr>
        <w:pStyle w:val="NameofActRegPage1"/>
        <w:spacing w:before="1800" w:after="4200"/>
      </w:pPr>
      <w:r>
        <w:fldChar w:fldCharType="begin"/>
      </w:r>
      <w:r>
        <w:instrText xml:space="preserve"> STYLEREF "Name Of Act/Reg"</w:instrText>
      </w:r>
      <w:r>
        <w:fldChar w:fldCharType="separate"/>
      </w:r>
      <w:r>
        <w:rPr>
          <w:noProof/>
        </w:rPr>
        <w:t>Waste Avoidance and Resource Recovery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Waste Avoidance and Resource Recovery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_Toc437611081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_Toc437611082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in these regulations</w:t>
      </w:r>
      <w:r>
        <w:tab/>
      </w:r>
      <w:r>
        <w:fldChar w:fldCharType="begin"/>
      </w:r>
      <w:r>
        <w:instrText xml:space="preserve"> PAGEREF _Toc437611083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Extended meaning of “local government waste”</w:t>
      </w:r>
      <w:r>
        <w:tab/>
      </w:r>
      <w:r>
        <w:fldChar w:fldCharType="begin"/>
      </w:r>
      <w:r>
        <w:instrText xml:space="preserve"> PAGEREF _Toc437611084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Waste collection permits</w:t>
      </w:r>
    </w:p>
    <w:p>
      <w:pPr>
        <w:pStyle w:val="TOC8"/>
        <w:rPr>
          <w:rFonts w:asciiTheme="minorHAnsi" w:eastAsiaTheme="minorEastAsia" w:hAnsiTheme="minorHAnsi" w:cstheme="minorBidi"/>
          <w:szCs w:val="22"/>
          <w:lang w:eastAsia="en-AU"/>
        </w:rPr>
      </w:pPr>
      <w:r>
        <w:t>5.</w:t>
      </w:r>
      <w:r>
        <w:tab/>
        <w:t>Advertisement for applications</w:t>
      </w:r>
      <w:r>
        <w:tab/>
      </w:r>
      <w:r>
        <w:fldChar w:fldCharType="begin"/>
      </w:r>
      <w:r>
        <w:instrText xml:space="preserve"> PAGEREF _Toc437611086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Application for waste collection permit</w:t>
      </w:r>
      <w:r>
        <w:tab/>
      </w:r>
      <w:r>
        <w:fldChar w:fldCharType="begin"/>
      </w:r>
      <w:r>
        <w:instrText xml:space="preserve"> PAGEREF _Toc437611087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Waste collection permit conditions</w:t>
      </w:r>
      <w:r>
        <w:tab/>
      </w:r>
      <w:r>
        <w:fldChar w:fldCharType="begin"/>
      </w:r>
      <w:r>
        <w:instrText xml:space="preserve"> PAGEREF _Toc437611088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Amendment of waste collection permit</w:t>
      </w:r>
      <w:r>
        <w:tab/>
      </w:r>
      <w:r>
        <w:fldChar w:fldCharType="begin"/>
      </w:r>
      <w:r>
        <w:instrText xml:space="preserve"> PAGEREF _Toc437611089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Renewal of waste collection permit</w:t>
      </w:r>
      <w:r>
        <w:tab/>
      </w:r>
      <w:r>
        <w:fldChar w:fldCharType="begin"/>
      </w:r>
      <w:r>
        <w:instrText xml:space="preserve"> PAGEREF _Toc437611090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Surrender of waste collection permit</w:t>
      </w:r>
      <w:r>
        <w:tab/>
      </w:r>
      <w:r>
        <w:fldChar w:fldCharType="begin"/>
      </w:r>
      <w:r>
        <w:instrText xml:space="preserve"> PAGEREF _Toc437611091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Manner of amendment</w:t>
      </w:r>
      <w:r>
        <w:tab/>
      </w:r>
      <w:r>
        <w:fldChar w:fldCharType="begin"/>
      </w:r>
      <w:r>
        <w:instrText xml:space="preserve"> PAGEREF _Toc437611092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Local government to be notified of decisions in relation to waste collection permit</w:t>
      </w:r>
      <w:r>
        <w:tab/>
      </w:r>
      <w:r>
        <w:fldChar w:fldCharType="begin"/>
      </w:r>
      <w:r>
        <w:instrText xml:space="preserve"> PAGEREF _Toc437611093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Particulars of permits to be recorded</w:t>
      </w:r>
      <w:r>
        <w:tab/>
      </w:r>
      <w:r>
        <w:fldChar w:fldCharType="begin"/>
      </w:r>
      <w:r>
        <w:instrText xml:space="preserve"> PAGEREF _Toc437611094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Landfill levy</w:t>
      </w:r>
    </w:p>
    <w:p>
      <w:pPr>
        <w:pStyle w:val="TOC8"/>
        <w:rPr>
          <w:rFonts w:asciiTheme="minorHAnsi" w:eastAsiaTheme="minorEastAsia" w:hAnsiTheme="minorHAnsi" w:cstheme="minorBidi"/>
          <w:szCs w:val="22"/>
          <w:lang w:eastAsia="en-AU"/>
        </w:rPr>
      </w:pPr>
      <w:r>
        <w:t>14.</w:t>
      </w:r>
      <w:r>
        <w:tab/>
        <w:t>Terms used in this Part</w:t>
      </w:r>
      <w:r>
        <w:tab/>
      </w:r>
      <w:r>
        <w:fldChar w:fldCharType="begin"/>
      </w:r>
      <w:r>
        <w:instrText xml:space="preserve"> PAGEREF _Toc437611096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Financial assurance — payment of levy</w:t>
      </w:r>
      <w:r>
        <w:tab/>
      </w:r>
      <w:r>
        <w:fldChar w:fldCharType="begin"/>
      </w:r>
      <w:r>
        <w:instrText xml:space="preserve"> PAGEREF _Toc437611097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Maintenance and review of financial assurance</w:t>
      </w:r>
      <w:r>
        <w:tab/>
      </w:r>
      <w:r>
        <w:fldChar w:fldCharType="begin"/>
      </w:r>
      <w:r>
        <w:instrText xml:space="preserve"> PAGEREF _Toc437611098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Records</w:t>
      </w:r>
      <w:r>
        <w:tab/>
      </w:r>
      <w:r>
        <w:fldChar w:fldCharType="begin"/>
      </w:r>
      <w:r>
        <w:instrText xml:space="preserve"> PAGEREF _Toc437611099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Return and payment of levy</w:t>
      </w:r>
      <w:r>
        <w:tab/>
      </w:r>
      <w:r>
        <w:fldChar w:fldCharType="begin"/>
      </w:r>
      <w:r>
        <w:instrText xml:space="preserve"> PAGEREF _Toc437611100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20.</w:t>
      </w:r>
      <w:r>
        <w:tab/>
        <w:t>Waste plans</w:t>
      </w:r>
      <w:r>
        <w:tab/>
      </w:r>
      <w:r>
        <w:fldChar w:fldCharType="begin"/>
      </w:r>
      <w:r>
        <w:instrText xml:space="preserve"> PAGEREF _Toc437611102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tab/>
        <w:t>Public inspection of adopted codes and subsidiary legislation</w:t>
      </w:r>
      <w:r>
        <w:tab/>
      </w:r>
      <w:r>
        <w:fldChar w:fldCharType="begin"/>
      </w:r>
      <w:r>
        <w:instrText xml:space="preserve"> PAGEREF _Toc437611103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Amendments and transitional provision</w:t>
      </w:r>
    </w:p>
    <w:p>
      <w:pPr>
        <w:pStyle w:val="TOC8"/>
        <w:rPr>
          <w:rFonts w:asciiTheme="minorHAnsi" w:eastAsiaTheme="minorEastAsia" w:hAnsiTheme="minorHAnsi" w:cstheme="minorBidi"/>
          <w:szCs w:val="22"/>
          <w:lang w:eastAsia="en-AU"/>
        </w:rPr>
      </w:pPr>
      <w:r>
        <w:t>22.</w:t>
      </w:r>
      <w:r>
        <w:tab/>
      </w:r>
      <w:r>
        <w:rPr>
          <w:i/>
          <w:iCs/>
        </w:rPr>
        <w:t>Environmental Protection Regulations 1987</w:t>
      </w:r>
      <w:r>
        <w:t xml:space="preserve"> amended</w:t>
      </w:r>
      <w:r>
        <w:tab/>
      </w:r>
      <w:r>
        <w:fldChar w:fldCharType="begin"/>
      </w:r>
      <w:r>
        <w:instrText xml:space="preserve"> PAGEREF _Toc437611105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tab/>
      </w:r>
      <w:r>
        <w:rPr>
          <w:i/>
          <w:iCs/>
        </w:rPr>
        <w:t>Environmental Protection (Controlled Waste) Regulations 2004</w:t>
      </w:r>
      <w:r>
        <w:t xml:space="preserve"> amended</w:t>
      </w:r>
      <w:r>
        <w:tab/>
      </w:r>
      <w:r>
        <w:fldChar w:fldCharType="begin"/>
      </w:r>
      <w:r>
        <w:instrText xml:space="preserve"> PAGEREF _Toc437611106 \h </w:instrText>
      </w:r>
      <w:r>
        <w:fldChar w:fldCharType="separate"/>
      </w:r>
      <w:r>
        <w:t>16</w:t>
      </w:r>
      <w:r>
        <w:fldChar w:fldCharType="end"/>
      </w:r>
    </w:p>
    <w:p>
      <w:pPr>
        <w:pStyle w:val="TOC8"/>
        <w:rPr>
          <w:rFonts w:asciiTheme="minorHAnsi" w:eastAsiaTheme="minorEastAsia" w:hAnsiTheme="minorHAnsi" w:cstheme="minorBidi"/>
          <w:szCs w:val="22"/>
          <w:lang w:eastAsia="en-AU"/>
        </w:rPr>
      </w:pPr>
      <w:r>
        <w:t>24.</w:t>
      </w:r>
      <w:r>
        <w:tab/>
        <w:t>Transitional provision — Waste Management and Recycling Fund</w:t>
      </w:r>
      <w:r>
        <w:tab/>
      </w:r>
      <w:r>
        <w:fldChar w:fldCharType="begin"/>
      </w:r>
      <w:r>
        <w:instrText xml:space="preserve"> PAGEREF _Toc437611107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_Toc437611109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1" w:name="_Toc191810610"/>
      <w:bookmarkStart w:id="2" w:name="_Toc193516308"/>
      <w:bookmarkStart w:id="3" w:name="_Toc193536992"/>
      <w:bookmarkStart w:id="4" w:name="_Toc193603395"/>
      <w:bookmarkStart w:id="5" w:name="_Toc193779856"/>
      <w:bookmarkStart w:id="6" w:name="_Toc194208963"/>
      <w:bookmarkStart w:id="7" w:name="_Toc194229446"/>
      <w:bookmarkStart w:id="8" w:name="_Toc194230715"/>
      <w:bookmarkStart w:id="9" w:name="_Toc194312210"/>
      <w:bookmarkStart w:id="10" w:name="_Toc194315350"/>
      <w:bookmarkStart w:id="11" w:name="_Toc194378173"/>
      <w:bookmarkStart w:id="12" w:name="_Toc194378989"/>
      <w:bookmarkStart w:id="13" w:name="_Toc194392172"/>
      <w:bookmarkStart w:id="14" w:name="_Toc194392869"/>
      <w:bookmarkStart w:id="15" w:name="_Toc194395768"/>
      <w:bookmarkStart w:id="16" w:name="_Toc194717644"/>
      <w:bookmarkStart w:id="17" w:name="_Toc194734577"/>
      <w:bookmarkStart w:id="18" w:name="_Toc194735317"/>
      <w:bookmarkStart w:id="19" w:name="_Toc194735535"/>
      <w:bookmarkStart w:id="20" w:name="_Toc194735916"/>
      <w:bookmarkStart w:id="21" w:name="_Toc194736261"/>
      <w:bookmarkStart w:id="22" w:name="_Toc194816635"/>
      <w:bookmarkStart w:id="23" w:name="_Toc194821966"/>
      <w:bookmarkStart w:id="24" w:name="_Toc197921861"/>
      <w:bookmarkStart w:id="25" w:name="_Toc198369299"/>
      <w:bookmarkStart w:id="26" w:name="_Toc198531162"/>
      <w:bookmarkStart w:id="27" w:name="_Toc198538044"/>
      <w:bookmarkStart w:id="28" w:name="_Toc199122872"/>
      <w:bookmarkStart w:id="29" w:name="_Toc199123398"/>
      <w:bookmarkStart w:id="30" w:name="_Toc200360395"/>
      <w:bookmarkStart w:id="31" w:name="_Toc201563228"/>
      <w:bookmarkStart w:id="32" w:name="_Toc201564057"/>
      <w:bookmarkStart w:id="33" w:name="_Toc201564757"/>
      <w:bookmarkStart w:id="34" w:name="_Toc201568737"/>
      <w:bookmarkStart w:id="35" w:name="_Toc202242198"/>
      <w:bookmarkStart w:id="36" w:name="_Toc202253298"/>
      <w:bookmarkStart w:id="37" w:name="_Toc297559484"/>
      <w:bookmarkStart w:id="38" w:name="_Toc297559548"/>
      <w:bookmarkStart w:id="39" w:name="_Toc299621570"/>
      <w:bookmarkStart w:id="40" w:name="_Toc299626063"/>
      <w:bookmarkStart w:id="41" w:name="_Toc437611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200360396"/>
      <w:bookmarkStart w:id="43" w:name="_Toc437611081"/>
      <w:r>
        <w:rPr>
          <w:rStyle w:val="CharSectno"/>
        </w:rPr>
        <w:t>1</w:t>
      </w:r>
      <w:r>
        <w:t>.</w:t>
      </w:r>
      <w:r>
        <w:tab/>
        <w:t>Citation</w:t>
      </w:r>
      <w:bookmarkEnd w:id="42"/>
      <w:bookmarkEnd w:id="43"/>
    </w:p>
    <w:p>
      <w:pPr>
        <w:pStyle w:val="Subsection"/>
        <w:rPr>
          <w:i/>
        </w:rPr>
      </w:pPr>
      <w:r>
        <w:tab/>
      </w:r>
      <w:r>
        <w:tab/>
      </w:r>
      <w:bookmarkStart w:id="44" w:name="Start_Cursor"/>
      <w:bookmarkEnd w:id="44"/>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45" w:name="_Toc200360397"/>
      <w:bookmarkStart w:id="46" w:name="_Toc437611082"/>
      <w:r>
        <w:rPr>
          <w:rStyle w:val="CharSectno"/>
        </w:rPr>
        <w:t>2</w:t>
      </w:r>
      <w:r>
        <w:rPr>
          <w:spacing w:val="-2"/>
        </w:rPr>
        <w:t>.</w:t>
      </w:r>
      <w:r>
        <w:rPr>
          <w:spacing w:val="-2"/>
        </w:rPr>
        <w:tab/>
        <w:t>Commencement</w:t>
      </w:r>
      <w:bookmarkEnd w:id="45"/>
      <w:bookmarkEnd w:id="4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47" w:name="_Toc202242079"/>
      <w:bookmarkStart w:id="48" w:name="_Toc113695922"/>
      <w:bookmarkStart w:id="49" w:name="_Toc201563231"/>
      <w:bookmarkStart w:id="50" w:name="_Toc201564060"/>
      <w:bookmarkStart w:id="51" w:name="_Toc437611083"/>
      <w:r>
        <w:rPr>
          <w:rStyle w:val="CharSectno"/>
        </w:rPr>
        <w:t>3</w:t>
      </w:r>
      <w:r>
        <w:t>.</w:t>
      </w:r>
      <w:r>
        <w:tab/>
        <w:t>Term used in these regulations</w:t>
      </w:r>
      <w:bookmarkEnd w:id="47"/>
      <w:bookmarkEnd w:id="51"/>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52" w:name="_Toc202242080"/>
      <w:bookmarkStart w:id="53" w:name="_Toc437611084"/>
      <w:r>
        <w:rPr>
          <w:rStyle w:val="CharSectno"/>
        </w:rPr>
        <w:t>4</w:t>
      </w:r>
      <w:r>
        <w:t>.</w:t>
      </w:r>
      <w:r>
        <w:tab/>
        <w:t>Extended meaning of “local government waste”</w:t>
      </w:r>
      <w:bookmarkEnd w:id="52"/>
      <w:bookmarkEnd w:id="53"/>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54" w:name="_Toc202242081"/>
      <w:bookmarkStart w:id="55" w:name="_Toc202242203"/>
      <w:bookmarkStart w:id="56" w:name="_Toc202253303"/>
      <w:bookmarkStart w:id="57" w:name="_Toc297559489"/>
      <w:bookmarkStart w:id="58" w:name="_Toc297559553"/>
      <w:bookmarkStart w:id="59" w:name="_Toc299621575"/>
      <w:bookmarkStart w:id="60" w:name="_Toc299626068"/>
      <w:bookmarkStart w:id="61" w:name="_Toc437611085"/>
      <w:r>
        <w:rPr>
          <w:rStyle w:val="CharPartNo"/>
        </w:rPr>
        <w:t>Part 2</w:t>
      </w:r>
      <w:r>
        <w:rPr>
          <w:rStyle w:val="CharDivNo"/>
        </w:rPr>
        <w:t> </w:t>
      </w:r>
      <w:r>
        <w:t>—</w:t>
      </w:r>
      <w:r>
        <w:rPr>
          <w:rStyle w:val="CharDivText"/>
        </w:rPr>
        <w:t> </w:t>
      </w:r>
      <w:r>
        <w:rPr>
          <w:rStyle w:val="CharPartText"/>
        </w:rPr>
        <w:t>Waste collection permits</w:t>
      </w:r>
      <w:bookmarkEnd w:id="54"/>
      <w:bookmarkEnd w:id="55"/>
      <w:bookmarkEnd w:id="56"/>
      <w:bookmarkEnd w:id="57"/>
      <w:bookmarkEnd w:id="58"/>
      <w:bookmarkEnd w:id="59"/>
      <w:bookmarkEnd w:id="60"/>
      <w:bookmarkEnd w:id="61"/>
    </w:p>
    <w:p>
      <w:pPr>
        <w:pStyle w:val="Heading5"/>
      </w:pPr>
      <w:bookmarkStart w:id="62" w:name="_Toc202242082"/>
      <w:bookmarkStart w:id="63" w:name="_Toc437611086"/>
      <w:r>
        <w:rPr>
          <w:rStyle w:val="CharSectno"/>
        </w:rPr>
        <w:t>5</w:t>
      </w:r>
      <w:r>
        <w:t>.</w:t>
      </w:r>
      <w:r>
        <w:tab/>
        <w:t>Advertisement for applications</w:t>
      </w:r>
      <w:bookmarkEnd w:id="62"/>
      <w:bookmarkEnd w:id="63"/>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64" w:name="_Toc202242083"/>
      <w:bookmarkStart w:id="65" w:name="_Toc437611087"/>
      <w:r>
        <w:rPr>
          <w:rStyle w:val="CharSectno"/>
        </w:rPr>
        <w:t>6</w:t>
      </w:r>
      <w:r>
        <w:t>.</w:t>
      </w:r>
      <w:r>
        <w:tab/>
        <w:t>Application for waste collection permit</w:t>
      </w:r>
      <w:bookmarkEnd w:id="64"/>
      <w:bookmarkEnd w:id="65"/>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in Gazette 1 Jul 2011 p. 2718</w:t>
      </w:r>
      <w:r>
        <w:noBreakHyphen/>
        <w:t>19.]</w:t>
      </w:r>
    </w:p>
    <w:p>
      <w:pPr>
        <w:pStyle w:val="Heading5"/>
      </w:pPr>
      <w:bookmarkStart w:id="66" w:name="_Toc202242084"/>
      <w:bookmarkStart w:id="67" w:name="_Toc437611088"/>
      <w:r>
        <w:rPr>
          <w:rStyle w:val="CharSectno"/>
        </w:rPr>
        <w:t>7</w:t>
      </w:r>
      <w:r>
        <w:t>.</w:t>
      </w:r>
      <w:r>
        <w:tab/>
        <w:t>Waste collection permit conditions</w:t>
      </w:r>
      <w:bookmarkEnd w:id="66"/>
      <w:bookmarkEnd w:id="67"/>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a fine of $10 000.</w:t>
      </w:r>
    </w:p>
    <w:p>
      <w:pPr>
        <w:pStyle w:val="Footnotesection"/>
      </w:pPr>
      <w:r>
        <w:tab/>
        <w:t>[Regulation 7 amended in Gazette 1 Jul 2011 p. 2719</w:t>
      </w:r>
      <w:r>
        <w:noBreakHyphen/>
        <w:t>20.]</w:t>
      </w:r>
    </w:p>
    <w:p>
      <w:pPr>
        <w:pStyle w:val="Heading5"/>
      </w:pPr>
      <w:bookmarkStart w:id="68" w:name="_Toc202242085"/>
      <w:bookmarkStart w:id="69" w:name="_Toc437611089"/>
      <w:r>
        <w:rPr>
          <w:rStyle w:val="CharSectno"/>
        </w:rPr>
        <w:t>8</w:t>
      </w:r>
      <w:r>
        <w:t>.</w:t>
      </w:r>
      <w:r>
        <w:tab/>
        <w:t>Amendment of waste collection permit</w:t>
      </w:r>
      <w:bookmarkEnd w:id="68"/>
      <w:bookmarkEnd w:id="69"/>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70" w:name="_Toc202242086"/>
      <w:bookmarkStart w:id="71" w:name="_Toc437611090"/>
      <w:r>
        <w:rPr>
          <w:rStyle w:val="CharSectno"/>
        </w:rPr>
        <w:t>9</w:t>
      </w:r>
      <w:r>
        <w:t>.</w:t>
      </w:r>
      <w:r>
        <w:tab/>
        <w:t>Renewal of waste collection permit</w:t>
      </w:r>
      <w:bookmarkEnd w:id="70"/>
      <w:bookmarkEnd w:id="71"/>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72" w:name="_Toc202242088"/>
      <w:bookmarkStart w:id="73" w:name="_Toc437611091"/>
      <w:r>
        <w:rPr>
          <w:rStyle w:val="CharSectno"/>
        </w:rPr>
        <w:t>10</w:t>
      </w:r>
      <w:r>
        <w:t>.</w:t>
      </w:r>
      <w:r>
        <w:tab/>
        <w:t>Surrender of waste collection permit</w:t>
      </w:r>
      <w:bookmarkEnd w:id="73"/>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in Gazette 1 Jul 2011 p. 2720.]</w:t>
      </w:r>
    </w:p>
    <w:p>
      <w:pPr>
        <w:pStyle w:val="Heading5"/>
      </w:pPr>
      <w:bookmarkStart w:id="74" w:name="_Toc437611092"/>
      <w:r>
        <w:rPr>
          <w:rStyle w:val="CharSectno"/>
        </w:rPr>
        <w:t>11</w:t>
      </w:r>
      <w:r>
        <w:t>.</w:t>
      </w:r>
      <w:r>
        <w:tab/>
        <w:t>Manner of amendment</w:t>
      </w:r>
      <w:bookmarkEnd w:id="72"/>
      <w:bookmarkEnd w:id="74"/>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rPr>
          <w:vertAlign w:val="superscript"/>
        </w:rPr>
      </w:pPr>
      <w:r>
        <w:tab/>
        <w:t>(4)</w:t>
      </w:r>
      <w:r>
        <w:tab/>
        <w:t xml:space="preserve">The representations must be made in writing. </w:t>
      </w:r>
      <w:r>
        <w:rPr>
          <w:vertAlign w:val="superscript"/>
        </w:rPr>
        <w:t>2</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in Gazette 1 Jul 2011 p. 2720.]</w:t>
      </w:r>
    </w:p>
    <w:p>
      <w:pPr>
        <w:pStyle w:val="Heading5"/>
      </w:pPr>
      <w:bookmarkStart w:id="75" w:name="_Toc202242089"/>
      <w:bookmarkStart w:id="76" w:name="_Toc437611093"/>
      <w:r>
        <w:rPr>
          <w:rStyle w:val="CharSectno"/>
        </w:rPr>
        <w:t>12</w:t>
      </w:r>
      <w:r>
        <w:t>.</w:t>
      </w:r>
      <w:r>
        <w:tab/>
        <w:t>Local government to be notified of decisions in relation to waste collection permit</w:t>
      </w:r>
      <w:bookmarkEnd w:id="75"/>
      <w:bookmarkEnd w:id="76"/>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in Gazette 1 Jul 2011 p. 2721.]</w:t>
      </w:r>
    </w:p>
    <w:p>
      <w:pPr>
        <w:pStyle w:val="Heading5"/>
      </w:pPr>
      <w:bookmarkStart w:id="77" w:name="_Toc202242090"/>
      <w:bookmarkStart w:id="78" w:name="_Toc437611094"/>
      <w:r>
        <w:rPr>
          <w:rStyle w:val="CharSectno"/>
        </w:rPr>
        <w:t>13</w:t>
      </w:r>
      <w:r>
        <w:t>.</w:t>
      </w:r>
      <w:r>
        <w:tab/>
        <w:t>Particulars of permits to be recorded</w:t>
      </w:r>
      <w:bookmarkEnd w:id="77"/>
      <w:bookmarkEnd w:id="78"/>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pPr>
      <w:r>
        <w:tab/>
        <w:t>(b)</w:t>
      </w:r>
      <w:r>
        <w:tab/>
        <w:t>on the department’s website on the internet.</w:t>
      </w:r>
    </w:p>
    <w:p>
      <w:pPr>
        <w:pStyle w:val="Heading2"/>
      </w:pPr>
      <w:bookmarkStart w:id="79" w:name="_Toc202242091"/>
      <w:bookmarkStart w:id="80" w:name="_Toc202242213"/>
      <w:bookmarkStart w:id="81" w:name="_Toc202253313"/>
      <w:bookmarkStart w:id="82" w:name="_Toc297559499"/>
      <w:bookmarkStart w:id="83" w:name="_Toc297559563"/>
      <w:bookmarkStart w:id="84" w:name="_Toc299621585"/>
      <w:bookmarkStart w:id="85" w:name="_Toc299626078"/>
      <w:bookmarkStart w:id="86" w:name="_Toc437611095"/>
      <w:r>
        <w:rPr>
          <w:rStyle w:val="CharPartNo"/>
        </w:rPr>
        <w:t>Part 3</w:t>
      </w:r>
      <w:r>
        <w:rPr>
          <w:rStyle w:val="CharDivNo"/>
        </w:rPr>
        <w:t> </w:t>
      </w:r>
      <w:r>
        <w:t>—</w:t>
      </w:r>
      <w:r>
        <w:rPr>
          <w:rStyle w:val="CharDivText"/>
        </w:rPr>
        <w:t> </w:t>
      </w:r>
      <w:r>
        <w:rPr>
          <w:rStyle w:val="CharPartText"/>
        </w:rPr>
        <w:t>Landfill levy</w:t>
      </w:r>
      <w:bookmarkEnd w:id="79"/>
      <w:bookmarkEnd w:id="80"/>
      <w:bookmarkEnd w:id="81"/>
      <w:bookmarkEnd w:id="82"/>
      <w:bookmarkEnd w:id="83"/>
      <w:bookmarkEnd w:id="84"/>
      <w:bookmarkEnd w:id="85"/>
      <w:bookmarkEnd w:id="86"/>
    </w:p>
    <w:p>
      <w:pPr>
        <w:pStyle w:val="Heading5"/>
      </w:pPr>
      <w:bookmarkStart w:id="87" w:name="_Toc202242092"/>
      <w:bookmarkStart w:id="88" w:name="_Toc437611096"/>
      <w:r>
        <w:rPr>
          <w:rStyle w:val="CharSectno"/>
        </w:rPr>
        <w:t>14</w:t>
      </w:r>
      <w:r>
        <w:t>.</w:t>
      </w:r>
      <w:r>
        <w:tab/>
        <w:t>Terms used in this Part</w:t>
      </w:r>
      <w:bookmarkEnd w:id="87"/>
      <w:bookmarkEnd w:id="88"/>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89" w:name="_Toc202242093"/>
      <w:bookmarkStart w:id="90" w:name="_Toc437611097"/>
      <w:r>
        <w:rPr>
          <w:rStyle w:val="CharSectno"/>
        </w:rPr>
        <w:t>15</w:t>
      </w:r>
      <w:r>
        <w:t>.</w:t>
      </w:r>
      <w:r>
        <w:tab/>
        <w:t>Financial assurance — payment of levy</w:t>
      </w:r>
      <w:bookmarkEnd w:id="89"/>
      <w:bookmarkEnd w:id="90"/>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Heading5"/>
      </w:pPr>
      <w:bookmarkStart w:id="91" w:name="_Toc202242094"/>
      <w:bookmarkStart w:id="92" w:name="_Toc437611098"/>
      <w:r>
        <w:rPr>
          <w:rStyle w:val="CharSectno"/>
        </w:rPr>
        <w:t>16</w:t>
      </w:r>
      <w:r>
        <w:t>.</w:t>
      </w:r>
      <w:r>
        <w:tab/>
        <w:t>Maintenance and review of financial assurance</w:t>
      </w:r>
      <w:bookmarkEnd w:id="91"/>
      <w:bookmarkEnd w:id="92"/>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a fine of $10 000.</w:t>
      </w:r>
    </w:p>
    <w:p>
      <w:pPr>
        <w:pStyle w:val="Heading5"/>
      </w:pPr>
      <w:bookmarkStart w:id="93" w:name="_Toc202242095"/>
      <w:bookmarkStart w:id="94" w:name="_Toc437611099"/>
      <w:r>
        <w:rPr>
          <w:rStyle w:val="CharSectno"/>
        </w:rPr>
        <w:t>17</w:t>
      </w:r>
      <w:r>
        <w:t>.</w:t>
      </w:r>
      <w:r>
        <w:tab/>
        <w:t>Records</w:t>
      </w:r>
      <w:bookmarkEnd w:id="93"/>
      <w:bookmarkEnd w:id="94"/>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pPr>
        <w:pStyle w:val="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 xml:space="preserve">A licensee must make the records available to an authorised person within 24 hours of being requested by the authorised person to do so. </w:t>
      </w:r>
      <w:r>
        <w:rPr>
          <w:vertAlign w:val="superscript"/>
        </w:rPr>
        <w:t>2</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in a material particular,</w:t>
      </w:r>
    </w:p>
    <w:p>
      <w:pPr>
        <w:pStyle w:val="Subsection"/>
      </w:pPr>
      <w:r>
        <w:tab/>
      </w:r>
      <w:r>
        <w:tab/>
        <w:t>commits an offence.</w:t>
      </w:r>
    </w:p>
    <w:p>
      <w:pPr>
        <w:pStyle w:val="Penstart"/>
      </w:pPr>
      <w:r>
        <w:tab/>
        <w:t>Penalty: a fine of $10 000.</w:t>
      </w:r>
    </w:p>
    <w:p>
      <w:pPr>
        <w:pStyle w:val="Footnotesection"/>
      </w:pPr>
      <w:r>
        <w:tab/>
        <w:t>[Regulation 17 amended in Gazette 1 Jul 2011 p. 2721.]</w:t>
      </w:r>
    </w:p>
    <w:p>
      <w:pPr>
        <w:pStyle w:val="Heading5"/>
      </w:pPr>
      <w:bookmarkStart w:id="95" w:name="_Toc202242096"/>
      <w:bookmarkStart w:id="96" w:name="_Toc437611100"/>
      <w:r>
        <w:rPr>
          <w:rStyle w:val="CharSectno"/>
        </w:rPr>
        <w:t>18</w:t>
      </w:r>
      <w:r>
        <w:t>.</w:t>
      </w:r>
      <w:r>
        <w:tab/>
        <w:t>Return and payment of levy</w:t>
      </w:r>
      <w:bookmarkEnd w:id="95"/>
      <w:bookmarkEnd w:id="96"/>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a fine of $2 000.</w:t>
      </w:r>
    </w:p>
    <w:p>
      <w:pPr>
        <w:pStyle w:val="Subsection"/>
      </w:pPr>
      <w:r>
        <w:tab/>
        <w:t>(3)</w:t>
      </w:r>
      <w:r>
        <w:tab/>
        <w:t>The return must be accompanied by a remittance for the amount of the levy payable on the waste to which that return relates.</w:t>
      </w:r>
    </w:p>
    <w:p>
      <w:pPr>
        <w:pStyle w:val="Ednotesection"/>
      </w:pPr>
      <w:r>
        <w:t>[</w:t>
      </w:r>
      <w:r>
        <w:rPr>
          <w:b/>
        </w:rPr>
        <w:t>19.</w:t>
      </w:r>
      <w:r>
        <w:tab/>
      </w:r>
      <w:r>
        <w:tab/>
        <w:t>Deleted in Gazette 1 Jul 2011 p. 2721.]</w:t>
      </w:r>
    </w:p>
    <w:p>
      <w:pPr>
        <w:pStyle w:val="Heading2"/>
      </w:pPr>
      <w:bookmarkStart w:id="97" w:name="_Toc202242098"/>
      <w:bookmarkStart w:id="98" w:name="_Toc202242220"/>
      <w:bookmarkStart w:id="99" w:name="_Toc202253320"/>
      <w:bookmarkStart w:id="100" w:name="_Toc297559505"/>
      <w:bookmarkStart w:id="101" w:name="_Toc297559569"/>
      <w:bookmarkStart w:id="102" w:name="_Toc299621591"/>
      <w:bookmarkStart w:id="103" w:name="_Toc299626084"/>
      <w:bookmarkStart w:id="104" w:name="_Toc437611101"/>
      <w:r>
        <w:rPr>
          <w:rStyle w:val="CharPartNo"/>
        </w:rPr>
        <w:t>Part 4</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bookmarkEnd w:id="104"/>
    </w:p>
    <w:p>
      <w:pPr>
        <w:pStyle w:val="Heading5"/>
      </w:pPr>
      <w:bookmarkStart w:id="105" w:name="_Toc202242099"/>
      <w:bookmarkStart w:id="106" w:name="_Toc437611102"/>
      <w:r>
        <w:rPr>
          <w:rStyle w:val="CharSectno"/>
        </w:rPr>
        <w:t>20</w:t>
      </w:r>
      <w:r>
        <w:t>.</w:t>
      </w:r>
      <w:r>
        <w:tab/>
        <w:t>Waste plans</w:t>
      </w:r>
      <w:bookmarkEnd w:id="105"/>
      <w:bookmarkEnd w:id="106"/>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107" w:name="_Toc202242100"/>
      <w:bookmarkStart w:id="108" w:name="_Toc437611103"/>
      <w:r>
        <w:rPr>
          <w:rStyle w:val="CharSectno"/>
        </w:rPr>
        <w:t>21</w:t>
      </w:r>
      <w:r>
        <w:t>.</w:t>
      </w:r>
      <w:r>
        <w:tab/>
        <w:t>Public inspection of adopted codes and subsidiary legislation</w:t>
      </w:r>
      <w:bookmarkEnd w:id="107"/>
      <w:bookmarkEnd w:id="108"/>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109" w:name="_Toc202242101"/>
      <w:bookmarkStart w:id="110" w:name="_Toc202242223"/>
      <w:bookmarkStart w:id="111" w:name="_Toc202253323"/>
      <w:bookmarkStart w:id="112" w:name="_Toc297559508"/>
      <w:bookmarkStart w:id="113" w:name="_Toc297559572"/>
      <w:bookmarkStart w:id="114" w:name="_Toc299621594"/>
      <w:bookmarkStart w:id="115" w:name="_Toc299626087"/>
      <w:bookmarkStart w:id="116" w:name="_Toc437611104"/>
      <w:r>
        <w:rPr>
          <w:rStyle w:val="CharPartNo"/>
        </w:rPr>
        <w:t>Part 5</w:t>
      </w:r>
      <w:r>
        <w:t> — </w:t>
      </w:r>
      <w:r>
        <w:rPr>
          <w:rStyle w:val="CharPartText"/>
        </w:rPr>
        <w:t>Amendments and transitional provision</w:t>
      </w:r>
      <w:bookmarkEnd w:id="109"/>
      <w:bookmarkEnd w:id="110"/>
      <w:bookmarkEnd w:id="111"/>
      <w:bookmarkEnd w:id="112"/>
      <w:bookmarkEnd w:id="113"/>
      <w:bookmarkEnd w:id="114"/>
      <w:bookmarkEnd w:id="115"/>
      <w:bookmarkEnd w:id="116"/>
    </w:p>
    <w:p>
      <w:pPr>
        <w:pStyle w:val="Heading5"/>
      </w:pPr>
      <w:bookmarkStart w:id="117" w:name="_Toc202242102"/>
      <w:bookmarkStart w:id="118" w:name="_Toc437611105"/>
      <w:r>
        <w:rPr>
          <w:rStyle w:val="CharSectno"/>
        </w:rPr>
        <w:t>22</w:t>
      </w:r>
      <w:r>
        <w:t>.</w:t>
      </w:r>
      <w:r>
        <w:tab/>
      </w:r>
      <w:r>
        <w:rPr>
          <w:i/>
          <w:iCs/>
        </w:rPr>
        <w:t>Environmental Protection Regulations 1987</w:t>
      </w:r>
      <w:r>
        <w:t xml:space="preserve"> amended</w:t>
      </w:r>
      <w:bookmarkEnd w:id="117"/>
      <w:bookmarkEnd w:id="118"/>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119" w:name="_Toc202242103"/>
      <w:r>
        <w:t>33.</w:t>
      </w:r>
      <w:r>
        <w:tab/>
        <w:t>Payment of levy as condition of licence (section 62(2))</w:t>
      </w:r>
      <w:bookmarkEnd w:id="119"/>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120" w:name="_Toc202242104"/>
      <w:bookmarkStart w:id="121" w:name="_Toc437611106"/>
      <w:r>
        <w:rPr>
          <w:rStyle w:val="CharSectno"/>
        </w:rPr>
        <w:t>23</w:t>
      </w:r>
      <w:r>
        <w:t>.</w:t>
      </w:r>
      <w:r>
        <w:tab/>
      </w:r>
      <w:r>
        <w:rPr>
          <w:i/>
          <w:iCs/>
        </w:rPr>
        <w:t>Environmental Protection (Controlled Waste) Regulations 2004</w:t>
      </w:r>
      <w:r>
        <w:t xml:space="preserve"> amended</w:t>
      </w:r>
      <w:bookmarkEnd w:id="120"/>
      <w:bookmarkEnd w:id="121"/>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122" w:name="_Toc202242105"/>
      <w:bookmarkStart w:id="123" w:name="_Toc437611107"/>
      <w:r>
        <w:rPr>
          <w:rStyle w:val="CharSectno"/>
        </w:rPr>
        <w:t>24</w:t>
      </w:r>
      <w:r>
        <w:t>.</w:t>
      </w:r>
      <w:r>
        <w:tab/>
        <w:t>Transitional provision — Waste Management and Recycling Fund</w:t>
      </w:r>
      <w:bookmarkEnd w:id="122"/>
      <w:bookmarkEnd w:id="123"/>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4" w:name="_Toc201564760"/>
      <w:bookmarkStart w:id="125" w:name="_Toc201568740"/>
      <w:bookmarkStart w:id="126" w:name="_Toc202242227"/>
      <w:bookmarkStart w:id="127" w:name="_Toc202253327"/>
      <w:bookmarkStart w:id="128" w:name="_Toc297559512"/>
      <w:bookmarkStart w:id="129" w:name="_Toc297559576"/>
      <w:bookmarkStart w:id="130" w:name="_Toc299621598"/>
      <w:bookmarkStart w:id="131" w:name="_Toc299626091"/>
      <w:bookmarkStart w:id="132" w:name="_Toc437611108"/>
      <w:r>
        <w:t>Notes</w:t>
      </w:r>
      <w:bookmarkEnd w:id="48"/>
      <w:bookmarkEnd w:id="49"/>
      <w:bookmarkEnd w:id="50"/>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133" w:name="_Toc437611109"/>
      <w:r>
        <w:t>Compilation table</w:t>
      </w:r>
      <w:bookmarkEnd w:id="1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Waste Avoidance and Resource Recovery Regulations 2008</w:t>
            </w:r>
          </w:p>
        </w:tc>
        <w:tc>
          <w:tcPr>
            <w:tcW w:w="1276" w:type="dxa"/>
            <w:tcBorders>
              <w:top w:val="single" w:sz="8" w:space="0" w:color="auto"/>
              <w:bottom w:val="nil"/>
            </w:tcBorders>
          </w:tcPr>
          <w:p>
            <w:pPr>
              <w:pStyle w:val="nTable"/>
              <w:spacing w:after="40"/>
              <w:rPr>
                <w:sz w:val="19"/>
              </w:rPr>
            </w:pPr>
            <w:r>
              <w:rPr>
                <w:sz w:val="19"/>
              </w:rPr>
              <w:t>20 Jun 2008 p. 2665-84</w:t>
            </w:r>
          </w:p>
        </w:tc>
        <w:tc>
          <w:tcPr>
            <w:tcW w:w="2693" w:type="dxa"/>
            <w:tcBorders>
              <w:top w:val="single" w:sz="8" w:space="0" w:color="auto"/>
              <w:bottom w:val="nil"/>
            </w:tcBorders>
          </w:tcPr>
          <w:p>
            <w:pPr>
              <w:pStyle w:val="nTable"/>
              <w:spacing w:after="40"/>
              <w:rPr>
                <w:sz w:val="19"/>
              </w:rPr>
            </w:pPr>
            <w:r>
              <w:rPr>
                <w:sz w:val="19"/>
              </w:rPr>
              <w:t>r. 1 and 2: 20 Jun 2008 (see r. 2(a))</w:t>
            </w:r>
            <w:r>
              <w:rPr>
                <w:sz w:val="19"/>
              </w:rPr>
              <w:br/>
              <w:t>Regulations other than r. 1 and 2: 1 Jul 2008 (see r. 2(b))</w:t>
            </w:r>
          </w:p>
        </w:tc>
      </w:tr>
      <w:tr>
        <w:tc>
          <w:tcPr>
            <w:tcW w:w="3118" w:type="dxa"/>
            <w:tcBorders>
              <w:top w:val="nil"/>
              <w:bottom w:val="single" w:sz="8" w:space="0" w:color="auto"/>
            </w:tcBorders>
            <w:shd w:val="clear" w:color="auto" w:fill="auto"/>
          </w:tcPr>
          <w:p>
            <w:pPr>
              <w:pStyle w:val="nTable"/>
              <w:spacing w:after="40"/>
              <w:rPr>
                <w:i/>
                <w:sz w:val="19"/>
                <w:vertAlign w:val="superscript"/>
              </w:rPr>
            </w:pPr>
            <w:r>
              <w:rPr>
                <w:i/>
                <w:sz w:val="19"/>
              </w:rPr>
              <w:t>Waste Avoidance and Resource Recovery Amendment Regulations 2011 </w:t>
            </w:r>
            <w:r>
              <w:rPr>
                <w:sz w:val="19"/>
                <w:vertAlign w:val="superscript"/>
              </w:rPr>
              <w:t>2</w:t>
            </w:r>
          </w:p>
        </w:tc>
        <w:tc>
          <w:tcPr>
            <w:tcW w:w="1276" w:type="dxa"/>
            <w:tcBorders>
              <w:top w:val="nil"/>
              <w:bottom w:val="single" w:sz="8" w:space="0" w:color="auto"/>
            </w:tcBorders>
            <w:shd w:val="clear" w:color="auto" w:fill="auto"/>
          </w:tcPr>
          <w:p>
            <w:pPr>
              <w:pStyle w:val="nTable"/>
              <w:spacing w:after="40"/>
              <w:rPr>
                <w:sz w:val="19"/>
              </w:rPr>
            </w:pPr>
            <w:r>
              <w:rPr>
                <w:sz w:val="19"/>
              </w:rPr>
              <w:t>1 Jul 2011 p. 2718</w:t>
            </w:r>
            <w:r>
              <w:rPr>
                <w:sz w:val="19"/>
              </w:rPr>
              <w:noBreakHyphen/>
              <w:t>21</w:t>
            </w:r>
          </w:p>
        </w:tc>
        <w:tc>
          <w:tcPr>
            <w:tcW w:w="2693" w:type="dxa"/>
            <w:tcBorders>
              <w:top w:val="nil"/>
              <w:bottom w:val="single" w:sz="8" w:space="0" w:color="auto"/>
            </w:tcBorders>
            <w:shd w:val="clear" w:color="auto" w:fill="auto"/>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pPr>
      <w:r>
        <w:rPr>
          <w:vertAlign w:val="superscript"/>
        </w:rPr>
        <w:t>2</w:t>
      </w:r>
      <w:r>
        <w:tab/>
        <w:t xml:space="preserve">The amendment in the </w:t>
      </w:r>
      <w:r>
        <w:rPr>
          <w:i/>
        </w:rPr>
        <w:t>Waste Avoidance and Resource Recovery Amendment Regulations 2011</w:t>
      </w:r>
      <w:r>
        <w:t xml:space="preserve"> r. 9(2) is not included because it was unclear where the amendment was intended to be made.</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sz w:val="20"/>
        </w:rPr>
      </w:pPr>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45"/>
    <w:docVar w:name="WAFER_20151209172145" w:val="RemoveTrackChanges"/>
    <w:docVar w:name="WAFER_20151209172145_GUID" w:val="b8c89f31-21ec-4d1b-b9ce-fc852ecd46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3992</Words>
  <Characters>19324</Characters>
  <Application>Microsoft Office Word</Application>
  <DocSecurity>0</DocSecurity>
  <Lines>552</Lines>
  <Paragraphs>347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2008 - 00-c0-03</dc:title>
  <dc:subject/>
  <dc:creator/>
  <cp:keywords/>
  <dc:description/>
  <cp:lastModifiedBy>svcMRProcess</cp:lastModifiedBy>
  <cp:revision>4</cp:revision>
  <cp:lastPrinted>2008-06-04T08:24:00Z</cp:lastPrinted>
  <dcterms:created xsi:type="dcterms:W3CDTF">2015-12-11T07:29:00Z</dcterms:created>
  <dcterms:modified xsi:type="dcterms:W3CDTF">2015-12-11T07:29:00Z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20110702</vt:lpwstr>
  </property>
  <property fmtid="{D5CDD505-2E9C-101B-9397-08002B2CF9AE}" pid="4" name="AsAtDate">
    <vt:lpwstr>02 Jul 2011</vt:lpwstr>
  </property>
  <property fmtid="{D5CDD505-2E9C-101B-9397-08002B2CF9AE}" pid="5" name="Suffix">
    <vt:lpwstr>00-c0-03</vt:lpwstr>
  </property>
  <property fmtid="{D5CDD505-2E9C-101B-9397-08002B2CF9AE}" pid="6" name="OwlsUID">
    <vt:i4>40434</vt:i4>
  </property>
  <property fmtid="{D5CDD505-2E9C-101B-9397-08002B2CF9AE}" pid="7" name="DocumentType">
    <vt:lpwstr>Reg</vt:lpwstr>
  </property>
</Properties>
</file>