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Caravan Parks and Camping Grounds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_Toc122949347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_Toc122949348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_Toc122949349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_Toc122949350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_Toc122949351 \h </w:instrText>
      </w:r>
      <w:r>
        <w:fldChar w:fldCharType="separate"/>
      </w:r>
      <w:r>
        <w:t>3</w:t>
      </w:r>
      <w:r>
        <w:fldChar w:fldCharType="end"/>
      </w:r>
    </w:p>
    <w:p>
      <w:pPr>
        <w:pStyle w:val="TOC2"/>
        <w:tabs>
          <w:tab w:val="right" w:leader="dot" w:pos="7086"/>
        </w:tabs>
        <w:rPr>
          <w:b w:val="0"/>
          <w:sz w:val="24"/>
          <w:szCs w:val="24"/>
        </w:rPr>
      </w:pPr>
      <w:r>
        <w:rPr>
          <w:szCs w:val="30"/>
        </w:rPr>
        <w:t>Part 2 — Regulation of caravan parks and camping grounds</w:t>
      </w:r>
    </w:p>
    <w:p>
      <w:pPr>
        <w:pStyle w:val="TOC4"/>
        <w:tabs>
          <w:tab w:val="right" w:leader="dot" w:pos="7086"/>
        </w:tabs>
        <w:rPr>
          <w:b w:val="0"/>
          <w:sz w:val="24"/>
          <w:szCs w:val="24"/>
        </w:rPr>
      </w:pPr>
      <w:r>
        <w:rPr>
          <w:szCs w:val="26"/>
        </w:rPr>
        <w:t>Division 1</w:t>
      </w:r>
      <w:r>
        <w:rPr>
          <w:snapToGrid w:val="0"/>
          <w:szCs w:val="26"/>
        </w:rPr>
        <w:t> — </w:t>
      </w:r>
      <w:r>
        <w:rPr>
          <w:szCs w:val="26"/>
        </w:rPr>
        <w:t>Licences</w:t>
      </w:r>
    </w:p>
    <w:p>
      <w:pPr>
        <w:pStyle w:val="TOC8"/>
        <w:rPr>
          <w:sz w:val="24"/>
          <w:szCs w:val="24"/>
        </w:rPr>
      </w:pPr>
      <w:r>
        <w:rPr>
          <w:szCs w:val="24"/>
        </w:rPr>
        <w:t>6</w:t>
      </w:r>
      <w:r>
        <w:rPr>
          <w:snapToGrid w:val="0"/>
          <w:szCs w:val="24"/>
        </w:rPr>
        <w:t>.</w:t>
      </w:r>
      <w:r>
        <w:rPr>
          <w:snapToGrid w:val="0"/>
          <w:szCs w:val="24"/>
        </w:rPr>
        <w:tab/>
        <w:t>Caravan park or camping ground not to be operated without a licence</w:t>
      </w:r>
      <w:r>
        <w:tab/>
      </w:r>
      <w:r>
        <w:fldChar w:fldCharType="begin"/>
      </w:r>
      <w:r>
        <w:instrText xml:space="preserve"> PAGEREF _Toc122949354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Application for the grant or renewal of a licence</w:t>
      </w:r>
      <w:r>
        <w:tab/>
      </w:r>
      <w:r>
        <w:fldChar w:fldCharType="begin"/>
      </w:r>
      <w:r>
        <w:instrText xml:space="preserve"> PAGEREF _Toc122949355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Duration of licence</w:t>
      </w:r>
      <w:r>
        <w:tab/>
      </w:r>
      <w:r>
        <w:fldChar w:fldCharType="begin"/>
      </w:r>
      <w:r>
        <w:instrText xml:space="preserve"> PAGEREF _Toc122949356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Renewal after expiry</w:t>
      </w:r>
      <w:r>
        <w:tab/>
      </w:r>
      <w:r>
        <w:fldChar w:fldCharType="begin"/>
      </w:r>
      <w:r>
        <w:instrText xml:space="preserve"> PAGEREF _Toc122949357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Prohibition notice</w:t>
      </w:r>
      <w:r>
        <w:tab/>
      </w:r>
      <w:r>
        <w:fldChar w:fldCharType="begin"/>
      </w:r>
      <w:r>
        <w:instrText xml:space="preserve"> PAGEREF _Toc122949358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Effect of prohibition notice</w:t>
      </w:r>
      <w:r>
        <w:tab/>
      </w:r>
      <w:r>
        <w:fldChar w:fldCharType="begin"/>
      </w:r>
      <w:r>
        <w:instrText xml:space="preserve"> PAGEREF _Toc122949359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Cancellation of a licence</w:t>
      </w:r>
      <w:r>
        <w:tab/>
      </w:r>
      <w:r>
        <w:fldChar w:fldCharType="begin"/>
      </w:r>
      <w:r>
        <w:instrText xml:space="preserve"> PAGEREF _Toc122949360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licence holders</w:t>
      </w:r>
    </w:p>
    <w:p>
      <w:pPr>
        <w:pStyle w:val="TOC8"/>
        <w:rPr>
          <w:sz w:val="24"/>
          <w:szCs w:val="24"/>
        </w:rPr>
      </w:pPr>
      <w:r>
        <w:rPr>
          <w:szCs w:val="24"/>
        </w:rPr>
        <w:t>13</w:t>
      </w:r>
      <w:r>
        <w:rPr>
          <w:snapToGrid w:val="0"/>
          <w:szCs w:val="24"/>
        </w:rPr>
        <w:t>.</w:t>
      </w:r>
      <w:r>
        <w:rPr>
          <w:snapToGrid w:val="0"/>
          <w:szCs w:val="24"/>
        </w:rPr>
        <w:tab/>
        <w:t>Duties of the licence holder</w:t>
      </w:r>
      <w:r>
        <w:tab/>
      </w:r>
      <w:r>
        <w:fldChar w:fldCharType="begin"/>
      </w:r>
      <w:r>
        <w:instrText xml:space="preserve"> PAGEREF _Toc122949362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Register</w:t>
      </w:r>
    </w:p>
    <w:p>
      <w:pPr>
        <w:pStyle w:val="TOC8"/>
        <w:rPr>
          <w:sz w:val="24"/>
          <w:szCs w:val="24"/>
        </w:rPr>
      </w:pPr>
      <w:r>
        <w:rPr>
          <w:szCs w:val="24"/>
        </w:rPr>
        <w:t>14</w:t>
      </w:r>
      <w:r>
        <w:rPr>
          <w:snapToGrid w:val="0"/>
          <w:szCs w:val="24"/>
        </w:rPr>
        <w:t>.</w:t>
      </w:r>
      <w:r>
        <w:rPr>
          <w:snapToGrid w:val="0"/>
          <w:szCs w:val="24"/>
        </w:rPr>
        <w:tab/>
        <w:t>Register</w:t>
      </w:r>
      <w:r>
        <w:tab/>
      </w:r>
      <w:r>
        <w:fldChar w:fldCharType="begin"/>
      </w:r>
      <w:r>
        <w:instrText xml:space="preserve"> PAGEREF _Toc122949364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Local government operated facilities</w:t>
      </w:r>
    </w:p>
    <w:p>
      <w:pPr>
        <w:pStyle w:val="TOC8"/>
        <w:rPr>
          <w:sz w:val="24"/>
          <w:szCs w:val="24"/>
        </w:rPr>
      </w:pPr>
      <w:r>
        <w:rPr>
          <w:szCs w:val="24"/>
        </w:rPr>
        <w:t>15</w:t>
      </w:r>
      <w:r>
        <w:rPr>
          <w:snapToGrid w:val="0"/>
          <w:szCs w:val="24"/>
        </w:rPr>
        <w:t>.</w:t>
      </w:r>
      <w:r>
        <w:rPr>
          <w:snapToGrid w:val="0"/>
          <w:szCs w:val="24"/>
        </w:rPr>
        <w:tab/>
        <w:t>Local government may operate a facility in its district without a licence</w:t>
      </w:r>
      <w:r>
        <w:tab/>
      </w:r>
      <w:r>
        <w:fldChar w:fldCharType="begin"/>
      </w:r>
      <w:r>
        <w:instrText xml:space="preserve"> PAGEREF _Toc122949366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Minister may give directions to local government</w:t>
      </w:r>
      <w:r>
        <w:tab/>
      </w:r>
      <w:r>
        <w:fldChar w:fldCharType="begin"/>
      </w:r>
      <w:r>
        <w:instrText xml:space="preserve"> PAGEREF _Toc122949367 \h </w:instrText>
      </w:r>
      <w:r>
        <w:fldChar w:fldCharType="separate"/>
      </w:r>
      <w:r>
        <w:t>11</w:t>
      </w:r>
      <w:r>
        <w:fldChar w:fldCharType="end"/>
      </w:r>
    </w:p>
    <w:p>
      <w:pPr>
        <w:pStyle w:val="TOC2"/>
        <w:tabs>
          <w:tab w:val="right" w:leader="dot" w:pos="7086"/>
        </w:tabs>
        <w:rPr>
          <w:b w:val="0"/>
          <w:sz w:val="24"/>
          <w:szCs w:val="24"/>
        </w:rPr>
      </w:pPr>
      <w:r>
        <w:rPr>
          <w:szCs w:val="30"/>
        </w:rPr>
        <w:t>Part 3 — Powers of entry and inspection</w:t>
      </w:r>
    </w:p>
    <w:p>
      <w:pPr>
        <w:pStyle w:val="TOC8"/>
        <w:rPr>
          <w:sz w:val="24"/>
          <w:szCs w:val="24"/>
        </w:rPr>
      </w:pPr>
      <w:r>
        <w:rPr>
          <w:szCs w:val="24"/>
        </w:rPr>
        <w:t>17</w:t>
      </w:r>
      <w:r>
        <w:rPr>
          <w:snapToGrid w:val="0"/>
          <w:szCs w:val="24"/>
        </w:rPr>
        <w:t>.</w:t>
      </w:r>
      <w:r>
        <w:rPr>
          <w:snapToGrid w:val="0"/>
          <w:szCs w:val="24"/>
        </w:rPr>
        <w:tab/>
        <w:t>Appointment of authorised person</w:t>
      </w:r>
      <w:r>
        <w:tab/>
      </w:r>
      <w:r>
        <w:fldChar w:fldCharType="begin"/>
      </w:r>
      <w:r>
        <w:instrText xml:space="preserve"> PAGEREF _Toc122949369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Powers of entry</w:t>
      </w:r>
      <w:r>
        <w:tab/>
      </w:r>
      <w:r>
        <w:fldChar w:fldCharType="begin"/>
      </w:r>
      <w:r>
        <w:instrText xml:space="preserve"> PAGEREF _Toc122949370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Obstruction</w:t>
      </w:r>
      <w:r>
        <w:tab/>
      </w:r>
      <w:r>
        <w:fldChar w:fldCharType="begin"/>
      </w:r>
      <w:r>
        <w:instrText xml:space="preserve"> PAGEREF _Toc122949371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Entry of an occupied caravan or camp</w:t>
      </w:r>
      <w:r>
        <w:tab/>
      </w:r>
      <w:r>
        <w:fldChar w:fldCharType="begin"/>
      </w:r>
      <w:r>
        <w:instrText xml:space="preserve"> PAGEREF _Toc122949372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Inspections and works specifications notices</w:t>
      </w:r>
      <w:r>
        <w:tab/>
      </w:r>
      <w:r>
        <w:fldChar w:fldCharType="begin"/>
      </w:r>
      <w:r>
        <w:instrText xml:space="preserve"> PAGEREF _Toc122949373 \h </w:instrText>
      </w:r>
      <w:r>
        <w:fldChar w:fldCharType="separate"/>
      </w:r>
      <w:r>
        <w:t>16</w:t>
      </w:r>
      <w:r>
        <w:fldChar w:fldCharType="end"/>
      </w:r>
    </w:p>
    <w:p>
      <w:pPr>
        <w:pStyle w:val="TOC2"/>
        <w:tabs>
          <w:tab w:val="right" w:leader="dot" w:pos="7086"/>
        </w:tabs>
        <w:rPr>
          <w:b w:val="0"/>
          <w:sz w:val="24"/>
          <w:szCs w:val="24"/>
        </w:rPr>
      </w:pPr>
      <w:r>
        <w:rPr>
          <w:szCs w:val="30"/>
        </w:rPr>
        <w:t>Part 4 — Enforcement</w:t>
      </w:r>
    </w:p>
    <w:p>
      <w:pPr>
        <w:pStyle w:val="TOC8"/>
        <w:rPr>
          <w:sz w:val="24"/>
          <w:szCs w:val="24"/>
        </w:rPr>
      </w:pPr>
      <w:r>
        <w:rPr>
          <w:szCs w:val="24"/>
        </w:rPr>
        <w:t>22</w:t>
      </w:r>
      <w:r>
        <w:rPr>
          <w:snapToGrid w:val="0"/>
          <w:szCs w:val="24"/>
        </w:rPr>
        <w:t>.</w:t>
      </w:r>
      <w:r>
        <w:rPr>
          <w:snapToGrid w:val="0"/>
          <w:szCs w:val="24"/>
        </w:rPr>
        <w:tab/>
        <w:t>Legal proceedings to be taken by authorised person</w:t>
      </w:r>
      <w:r>
        <w:tab/>
      </w:r>
      <w:r>
        <w:fldChar w:fldCharType="begin"/>
      </w:r>
      <w:r>
        <w:instrText xml:space="preserve"> PAGEREF _Toc122949375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Infringement notices</w:t>
      </w:r>
      <w:r>
        <w:tab/>
      </w:r>
      <w:r>
        <w:fldChar w:fldCharType="begin"/>
      </w:r>
      <w:r>
        <w:instrText xml:space="preserve"> PAGEREF _Toc122949376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Continuing offences</w:t>
      </w:r>
      <w:r>
        <w:tab/>
      </w:r>
      <w:r>
        <w:fldChar w:fldCharType="begin"/>
      </w:r>
      <w:r>
        <w:instrText xml:space="preserve"> PAGEREF _Toc122949377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25</w:t>
      </w:r>
      <w:r>
        <w:rPr>
          <w:snapToGrid w:val="0"/>
          <w:szCs w:val="24"/>
        </w:rPr>
        <w:t>.</w:t>
      </w:r>
      <w:r>
        <w:rPr>
          <w:snapToGrid w:val="0"/>
          <w:szCs w:val="24"/>
        </w:rPr>
        <w:tab/>
        <w:t>Caravan Parks and Camping Grounds Advisory Committee</w:t>
      </w:r>
      <w:r>
        <w:tab/>
      </w:r>
      <w:r>
        <w:fldChar w:fldCharType="begin"/>
      </w:r>
      <w:r>
        <w:instrText xml:space="preserve"> PAGEREF _Toc122949379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Protection from liability</w:t>
      </w:r>
      <w:r>
        <w:tab/>
      </w:r>
      <w:r>
        <w:fldChar w:fldCharType="begin"/>
      </w:r>
      <w:r>
        <w:instrText xml:space="preserve"> PAGEREF _Toc122949380 \h </w:instrText>
      </w:r>
      <w:r>
        <w:fldChar w:fldCharType="separate"/>
      </w:r>
      <w:r>
        <w:t>22</w:t>
      </w:r>
      <w:r>
        <w:fldChar w:fldCharType="end"/>
      </w:r>
    </w:p>
    <w:p>
      <w:pPr>
        <w:pStyle w:val="TOC8"/>
        <w:rPr>
          <w:sz w:val="24"/>
          <w:szCs w:val="24"/>
        </w:rPr>
      </w:pPr>
      <w:r>
        <w:rPr>
          <w:szCs w:val="24"/>
        </w:rPr>
        <w:t>27.</w:t>
      </w:r>
      <w:r>
        <w:rPr>
          <w:szCs w:val="24"/>
        </w:rPr>
        <w:tab/>
        <w:t>Review</w:t>
      </w:r>
      <w:r>
        <w:tab/>
      </w:r>
      <w:r>
        <w:fldChar w:fldCharType="begin"/>
      </w:r>
      <w:r>
        <w:instrText xml:space="preserve"> PAGEREF _Toc122949381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Regulations</w:t>
      </w:r>
      <w:r>
        <w:tab/>
      </w:r>
      <w:r>
        <w:fldChar w:fldCharType="begin"/>
      </w:r>
      <w:r>
        <w:instrText xml:space="preserve"> PAGEREF _Toc122949382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Local laws</w:t>
      </w:r>
      <w:r>
        <w:tab/>
      </w:r>
      <w:r>
        <w:fldChar w:fldCharType="begin"/>
      </w:r>
      <w:r>
        <w:instrText xml:space="preserve"> PAGEREF _Toc122949383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Revocation of local laws</w:t>
      </w:r>
      <w:r>
        <w:tab/>
      </w:r>
      <w:r>
        <w:fldChar w:fldCharType="begin"/>
      </w:r>
      <w:r>
        <w:instrText xml:space="preserve"> PAGEREF _Toc122949384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Minister may vary, modify or grant exemptions from subsidiary legislation</w:t>
      </w:r>
      <w:r>
        <w:tab/>
      </w:r>
      <w:r>
        <w:fldChar w:fldCharType="begin"/>
      </w:r>
      <w:r>
        <w:instrText xml:space="preserve"> PAGEREF _Toc122949385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Review of the Act</w:t>
      </w:r>
      <w:r>
        <w:tab/>
      </w:r>
      <w:r>
        <w:fldChar w:fldCharType="begin"/>
      </w:r>
      <w:r>
        <w:instrText xml:space="preserve"> PAGEREF _Toc122949386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Consequential amendments</w:t>
      </w:r>
      <w:r>
        <w:tab/>
      </w:r>
      <w:r>
        <w:fldChar w:fldCharType="begin"/>
      </w:r>
      <w:r>
        <w:instrText xml:space="preserve"> PAGEREF _Toc122949387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Transitional provision relating to existing caravan parks and camping grounds</w:t>
      </w:r>
      <w:r>
        <w:tab/>
      </w:r>
      <w:r>
        <w:fldChar w:fldCharType="begin"/>
      </w:r>
      <w:r>
        <w:instrText xml:space="preserve"> PAGEREF _Toc122949388 \h </w:instrText>
      </w:r>
      <w:r>
        <w:fldChar w:fldCharType="separate"/>
      </w:r>
      <w:r>
        <w:t>27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Provisions applicable to the Caravan Parks and Camping Grounds Advisory Committee</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_Toc122949391 \h </w:instrText>
      </w:r>
      <w:r>
        <w:fldChar w:fldCharType="separate"/>
      </w:r>
      <w:r>
        <w:t>29</w:t>
      </w:r>
      <w:r>
        <w:fldChar w:fldCharType="end"/>
      </w:r>
    </w:p>
    <w:p>
      <w:pPr>
        <w:pStyle w:val="TOC8"/>
        <w:rPr>
          <w:sz w:val="24"/>
          <w:szCs w:val="24"/>
        </w:rPr>
      </w:pPr>
      <w:r>
        <w:rPr>
          <w:snapToGrid w:val="0"/>
          <w:szCs w:val="22"/>
        </w:rPr>
        <w:t>2.</w:t>
      </w:r>
      <w:r>
        <w:rPr>
          <w:snapToGrid w:val="0"/>
          <w:szCs w:val="22"/>
        </w:rPr>
        <w:tab/>
        <w:t>Tenure of office</w:t>
      </w:r>
      <w:r>
        <w:tab/>
      </w:r>
      <w:r>
        <w:fldChar w:fldCharType="begin"/>
      </w:r>
      <w:r>
        <w:instrText xml:space="preserve"> PAGEREF _Toc122949392 \h </w:instrText>
      </w:r>
      <w:r>
        <w:fldChar w:fldCharType="separate"/>
      </w:r>
      <w:r>
        <w:t>29</w:t>
      </w:r>
      <w:r>
        <w:fldChar w:fldCharType="end"/>
      </w:r>
    </w:p>
    <w:p>
      <w:pPr>
        <w:pStyle w:val="TOC8"/>
        <w:rPr>
          <w:sz w:val="24"/>
          <w:szCs w:val="24"/>
        </w:rPr>
      </w:pPr>
      <w:r>
        <w:rPr>
          <w:snapToGrid w:val="0"/>
          <w:szCs w:val="22"/>
        </w:rPr>
        <w:t>3.</w:t>
      </w:r>
      <w:r>
        <w:rPr>
          <w:snapToGrid w:val="0"/>
          <w:szCs w:val="22"/>
        </w:rPr>
        <w:tab/>
        <w:t>Deputy members</w:t>
      </w:r>
      <w:r>
        <w:tab/>
      </w:r>
      <w:r>
        <w:fldChar w:fldCharType="begin"/>
      </w:r>
      <w:r>
        <w:instrText xml:space="preserve"> PAGEREF _Toc122949393 \h </w:instrText>
      </w:r>
      <w:r>
        <w:fldChar w:fldCharType="separate"/>
      </w:r>
      <w:r>
        <w:t>29</w:t>
      </w:r>
      <w:r>
        <w:fldChar w:fldCharType="end"/>
      </w:r>
    </w:p>
    <w:p>
      <w:pPr>
        <w:pStyle w:val="TOC8"/>
        <w:rPr>
          <w:sz w:val="24"/>
          <w:szCs w:val="24"/>
        </w:rPr>
      </w:pPr>
      <w:r>
        <w:rPr>
          <w:snapToGrid w:val="0"/>
          <w:szCs w:val="22"/>
        </w:rPr>
        <w:t>4.</w:t>
      </w:r>
      <w:r>
        <w:rPr>
          <w:snapToGrid w:val="0"/>
          <w:szCs w:val="22"/>
        </w:rPr>
        <w:tab/>
        <w:t>Removal from office</w:t>
      </w:r>
      <w:r>
        <w:tab/>
      </w:r>
      <w:r>
        <w:fldChar w:fldCharType="begin"/>
      </w:r>
      <w:r>
        <w:instrText xml:space="preserve"> PAGEREF _Toc122949394 \h </w:instrText>
      </w:r>
      <w:r>
        <w:fldChar w:fldCharType="separate"/>
      </w:r>
      <w:r>
        <w:t>30</w:t>
      </w:r>
      <w:r>
        <w:fldChar w:fldCharType="end"/>
      </w:r>
    </w:p>
    <w:p>
      <w:pPr>
        <w:pStyle w:val="TOC8"/>
        <w:rPr>
          <w:sz w:val="24"/>
          <w:szCs w:val="24"/>
        </w:rPr>
      </w:pPr>
      <w:r>
        <w:rPr>
          <w:snapToGrid w:val="0"/>
          <w:szCs w:val="22"/>
        </w:rPr>
        <w:t>5.</w:t>
      </w:r>
      <w:r>
        <w:rPr>
          <w:snapToGrid w:val="0"/>
          <w:szCs w:val="22"/>
        </w:rPr>
        <w:tab/>
        <w:t>Chairperson</w:t>
      </w:r>
      <w:r>
        <w:tab/>
      </w:r>
      <w:r>
        <w:fldChar w:fldCharType="begin"/>
      </w:r>
      <w:r>
        <w:instrText xml:space="preserve"> PAGEREF _Toc122949395 \h </w:instrText>
      </w:r>
      <w:r>
        <w:fldChar w:fldCharType="separate"/>
      </w:r>
      <w:r>
        <w:t>30</w:t>
      </w:r>
      <w:r>
        <w:fldChar w:fldCharType="end"/>
      </w:r>
    </w:p>
    <w:p>
      <w:pPr>
        <w:pStyle w:val="TOC8"/>
        <w:rPr>
          <w:sz w:val="24"/>
          <w:szCs w:val="24"/>
        </w:rPr>
      </w:pPr>
      <w:r>
        <w:rPr>
          <w:snapToGrid w:val="0"/>
          <w:szCs w:val="22"/>
        </w:rPr>
        <w:t>6.</w:t>
      </w:r>
      <w:r>
        <w:rPr>
          <w:snapToGrid w:val="0"/>
          <w:szCs w:val="22"/>
        </w:rPr>
        <w:tab/>
        <w:t>Meetings</w:t>
      </w:r>
      <w:r>
        <w:tab/>
      </w:r>
      <w:r>
        <w:fldChar w:fldCharType="begin"/>
      </w:r>
      <w:r>
        <w:instrText xml:space="preserve"> PAGEREF _Toc122949396 \h </w:instrText>
      </w:r>
      <w:r>
        <w:fldChar w:fldCharType="separate"/>
      </w:r>
      <w:r>
        <w:t>30</w:t>
      </w:r>
      <w:r>
        <w:fldChar w:fldCharType="end"/>
      </w:r>
    </w:p>
    <w:p>
      <w:pPr>
        <w:pStyle w:val="TOC8"/>
        <w:rPr>
          <w:sz w:val="24"/>
          <w:szCs w:val="24"/>
        </w:rPr>
      </w:pPr>
      <w:r>
        <w:rPr>
          <w:snapToGrid w:val="0"/>
          <w:szCs w:val="22"/>
        </w:rPr>
        <w:t>7.</w:t>
      </w:r>
      <w:r>
        <w:rPr>
          <w:snapToGrid w:val="0"/>
          <w:szCs w:val="22"/>
        </w:rPr>
        <w:tab/>
        <w:t>Remuneration</w:t>
      </w:r>
      <w:r>
        <w:tab/>
      </w:r>
      <w:r>
        <w:fldChar w:fldCharType="begin"/>
      </w:r>
      <w:r>
        <w:instrText xml:space="preserve"> PAGEREF _Toc122949397 \h </w:instrText>
      </w:r>
      <w:r>
        <w:fldChar w:fldCharType="separate"/>
      </w:r>
      <w:r>
        <w:t>31</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_Toc122949400 \h </w:instrText>
      </w:r>
      <w:r>
        <w:fldChar w:fldCharType="separate"/>
      </w:r>
      <w:r>
        <w:t>34</w:t>
      </w:r>
      <w:r>
        <w:fldChar w:fldCharType="end"/>
      </w:r>
    </w:p>
    <w:p>
      <w:pPr>
        <w:pStyle w:val="TOC8"/>
        <w:rPr>
          <w:sz w:val="24"/>
        </w:rPr>
      </w:pPr>
      <w:r>
        <w:tab/>
        <w:t>Provisions that have not come into operation</w:t>
      </w:r>
      <w:r>
        <w:tab/>
      </w:r>
      <w:r>
        <w:fldChar w:fldCharType="begin"/>
      </w:r>
      <w:r>
        <w:instrText xml:space="preserve"> PAGEREF _Toc122949401 \h </w:instrText>
      </w:r>
      <w:r>
        <w:fldChar w:fldCharType="separate"/>
      </w:r>
      <w:r>
        <w:t>35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Caravan Parks and Camping Grounds Act 1995 </w:t>
      </w:r>
    </w:p>
    <w:p>
      <w:pPr>
        <w:pStyle w:val="LongTitle"/>
        <w:spacing w:before="400"/>
        <w:rPr>
          <w:snapToGrid w:val="0"/>
        </w:rPr>
      </w:pPr>
      <w:r>
        <w:rPr>
          <w:snapToGrid w:val="0"/>
        </w:rPr>
        <w:t xml:space="preserve">An Act to provide for the regulation of caravanning and camping, to control and license caravan parks and camping grounds, to provide for standards in respect of caravans, to amend certain Acts and for related purposes. </w:t>
      </w:r>
    </w:p>
    <w:p>
      <w:pPr>
        <w:pStyle w:val="Heading2"/>
      </w:pPr>
      <w:bookmarkStart w:id="1" w:name="_Toc89052526"/>
      <w:bookmarkStart w:id="2" w:name="_Toc89052582"/>
      <w:bookmarkStart w:id="3" w:name="_Toc90957116"/>
      <w:bookmarkStart w:id="4" w:name="_Toc92443983"/>
      <w:bookmarkStart w:id="5" w:name="_Toc97097869"/>
      <w:bookmarkStart w:id="6" w:name="_Toc100385249"/>
      <w:bookmarkStart w:id="7" w:name="_Toc100477167"/>
      <w:bookmarkStart w:id="8" w:name="_Toc103050862"/>
      <w:bookmarkStart w:id="9" w:name="_Toc122507782"/>
      <w:bookmarkStart w:id="10" w:name="_Toc122507838"/>
      <w:bookmarkStart w:id="11" w:name="_Toc122507894"/>
      <w:bookmarkStart w:id="12" w:name="_Toc122507950"/>
      <w:bookmarkStart w:id="13" w:name="_Toc122508006"/>
      <w:bookmarkStart w:id="14" w:name="_Toc122508062"/>
      <w:bookmarkStart w:id="15" w:name="_Toc122508118"/>
      <w:bookmarkStart w:id="16" w:name="_Toc1229493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3616099"/>
      <w:bookmarkStart w:id="18" w:name="_Toc47348009"/>
      <w:bookmarkStart w:id="19" w:name="_Toc122508007"/>
      <w:bookmarkStart w:id="20" w:name="_Toc122508063"/>
      <w:bookmarkStart w:id="21" w:name="_Toc122949347"/>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22" w:name="_Toc43616100"/>
      <w:bookmarkStart w:id="23" w:name="_Toc47348010"/>
      <w:bookmarkStart w:id="24" w:name="_Toc122508008"/>
      <w:bookmarkStart w:id="25" w:name="_Toc122508064"/>
      <w:bookmarkStart w:id="26" w:name="_Toc122949348"/>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7" w:name="_Toc43616101"/>
      <w:bookmarkStart w:id="28" w:name="_Toc47348011"/>
      <w:bookmarkStart w:id="29" w:name="_Toc122508009"/>
      <w:bookmarkStart w:id="30" w:name="_Toc122508065"/>
      <w:bookmarkStart w:id="31" w:name="_Toc122949349"/>
      <w:r>
        <w:rPr>
          <w:rStyle w:val="CharSectno"/>
        </w:rPr>
        <w:t>3</w:t>
      </w:r>
      <w:r>
        <w:rPr>
          <w:snapToGrid w:val="0"/>
        </w:rPr>
        <w:t>.</w:t>
      </w:r>
      <w:r>
        <w:rPr>
          <w:snapToGrid w:val="0"/>
        </w:rPr>
        <w:tab/>
        <w:t>Application</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32" w:name="_Toc43616102"/>
      <w:bookmarkStart w:id="33" w:name="_Toc47348012"/>
      <w:bookmarkStart w:id="34" w:name="_Toc122508010"/>
      <w:bookmarkStart w:id="35" w:name="_Toc122508066"/>
      <w:bookmarkStart w:id="36" w:name="_Toc122949350"/>
      <w:r>
        <w:rPr>
          <w:rStyle w:val="CharSectno"/>
        </w:rPr>
        <w:t>4</w:t>
      </w:r>
      <w:r>
        <w:rPr>
          <w:snapToGrid w:val="0"/>
        </w:rPr>
        <w:t>.</w:t>
      </w:r>
      <w:r>
        <w:rPr>
          <w:snapToGrid w:val="0"/>
        </w:rPr>
        <w:tab/>
        <w:t>Objects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w:t>
      </w:r>
    </w:p>
    <w:p>
      <w:pPr>
        <w:pStyle w:val="Indenta"/>
        <w:rPr>
          <w:snapToGrid w:val="0"/>
        </w:rPr>
      </w:pPr>
      <w:r>
        <w:rPr>
          <w:snapToGrid w:val="0"/>
        </w:rPr>
        <w:tab/>
        <w:t>(b)</w:t>
      </w:r>
      <w:r>
        <w:rPr>
          <w:snapToGrid w:val="0"/>
        </w:rPr>
        <w:tab/>
        <w:t>to regulate caravanning and camping;</w:t>
      </w:r>
    </w:p>
    <w:p>
      <w:pPr>
        <w:pStyle w:val="Indenta"/>
        <w:rPr>
          <w:snapToGrid w:val="0"/>
        </w:rPr>
      </w:pPr>
      <w:r>
        <w:rPr>
          <w:snapToGrid w:val="0"/>
        </w:rPr>
        <w:tab/>
        <w:t>(c)</w:t>
      </w:r>
      <w:r>
        <w:rPr>
          <w:snapToGrid w:val="0"/>
        </w:rPr>
        <w:tab/>
        <w:t>to improve and promote caravanning and camping;</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37" w:name="_Toc43616103"/>
      <w:bookmarkStart w:id="38" w:name="_Toc47348013"/>
      <w:bookmarkStart w:id="39" w:name="_Toc122508011"/>
      <w:bookmarkStart w:id="40" w:name="_Toc122508067"/>
      <w:bookmarkStart w:id="41" w:name="_Toc122949351"/>
      <w:r>
        <w:rPr>
          <w:rStyle w:val="CharSectno"/>
        </w:rPr>
        <w:t>5</w:t>
      </w:r>
      <w:r>
        <w:rPr>
          <w:snapToGrid w:val="0"/>
        </w:rPr>
        <w:t>.</w:t>
      </w:r>
      <w:r>
        <w:rPr>
          <w:snapToGrid w:val="0"/>
        </w:rPr>
        <w:tab/>
        <w:t>Interpretation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annexe</w:t>
      </w:r>
      <w:r>
        <w:rPr>
          <w:b/>
        </w:rPr>
        <w:t>”</w:t>
      </w:r>
      <w:r>
        <w:t xml:space="preserve"> means an attachment to a caravan, of a prescribed type or description, used as an extension of the habitable area of that caravan;</w:t>
      </w:r>
    </w:p>
    <w:p>
      <w:pPr>
        <w:pStyle w:val="Defstart"/>
      </w:pPr>
      <w:r>
        <w:rPr>
          <w:b/>
        </w:rPr>
        <w:tab/>
        <w:t>“</w:t>
      </w:r>
      <w:r>
        <w:rPr>
          <w:rStyle w:val="CharDefText"/>
        </w:rPr>
        <w:t>authorised person</w:t>
      </w:r>
      <w:r>
        <w:rPr>
          <w:b/>
        </w:rPr>
        <w:t>”</w:t>
      </w:r>
      <w:r>
        <w:t xml:space="preserve"> means an authorised person appointed under section 17;</w:t>
      </w:r>
    </w:p>
    <w:p>
      <w:pPr>
        <w:pStyle w:val="Defstart"/>
      </w:pPr>
      <w:r>
        <w:rPr>
          <w:b/>
        </w:rPr>
        <w:tab/>
        <w:t>“</w:t>
      </w:r>
      <w:r>
        <w:rPr>
          <w:rStyle w:val="CharDefText"/>
        </w:rPr>
        <w:t>camp</w:t>
      </w:r>
      <w:r>
        <w:rPr>
          <w:b/>
        </w:rPr>
        <w:t>”</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t>“</w:t>
      </w:r>
      <w:r>
        <w:rPr>
          <w:rStyle w:val="CharDefText"/>
        </w:rPr>
        <w:t>camping ground</w:t>
      </w:r>
      <w:r>
        <w:rPr>
          <w:b/>
        </w:rPr>
        <w:t>”</w:t>
      </w:r>
      <w:r>
        <w:t xml:space="preserve"> means an area of land on which camps, but not caravans, are situated for habitation but does not include any land prescribed for the purposes of this definition;</w:t>
      </w:r>
    </w:p>
    <w:p>
      <w:pPr>
        <w:pStyle w:val="Defstart"/>
      </w:pPr>
      <w:r>
        <w:rPr>
          <w:b/>
        </w:rPr>
        <w:tab/>
        <w:t>“</w:t>
      </w:r>
      <w:r>
        <w:rPr>
          <w:rStyle w:val="CharDefText"/>
        </w:rPr>
        <w:t>caravan</w:t>
      </w:r>
      <w:r>
        <w:rPr>
          <w:b/>
        </w:rPr>
        <w:t>”</w:t>
      </w:r>
      <w:r>
        <w:t xml:space="preserve"> means a vehicle that is fitted or designed for habitation, and unless the contrary intention appears, includes an annexe;</w:t>
      </w:r>
    </w:p>
    <w:p>
      <w:pPr>
        <w:pStyle w:val="Defstart"/>
      </w:pPr>
      <w:r>
        <w:rPr>
          <w:b/>
        </w:rPr>
        <w:tab/>
        <w:t>“</w:t>
      </w:r>
      <w:r>
        <w:rPr>
          <w:rStyle w:val="CharDefText"/>
        </w:rPr>
        <w:t>caravan park</w:t>
      </w:r>
      <w:r>
        <w:rPr>
          <w:b/>
        </w:rPr>
        <w:t>”</w:t>
      </w:r>
      <w:r>
        <w:t xml:space="preserve"> means an area of land on which caravans, or caravans and camps, are situated for habitation;</w:t>
      </w:r>
    </w:p>
    <w:p>
      <w:pPr>
        <w:pStyle w:val="Defstart"/>
      </w:pPr>
      <w:r>
        <w:rPr>
          <w:b/>
        </w:rPr>
        <w:tab/>
        <w:t>“</w:t>
      </w:r>
      <w:r>
        <w:rPr>
          <w:rStyle w:val="CharDefText"/>
        </w:rPr>
        <w:t>Committee</w:t>
      </w:r>
      <w:r>
        <w:rPr>
          <w:b/>
        </w:rPr>
        <w:t>”</w:t>
      </w:r>
      <w:r>
        <w:t xml:space="preserve"> means the Caravan Parks and Camping Grounds Advisory Committee established under section 25;</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the </w:t>
      </w:r>
      <w:r>
        <w:rPr>
          <w:i/>
        </w:rPr>
        <w:t>Local Government Act 1995</w:t>
      </w:r>
      <w:r>
        <w:t>;</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t>“</w:t>
      </w:r>
      <w:r>
        <w:rPr>
          <w:rStyle w:val="CharDefText"/>
        </w:rPr>
        <w:t>facility</w:t>
      </w:r>
      <w:r>
        <w:rPr>
          <w:b/>
        </w:rPr>
        <w:t>”</w:t>
      </w:r>
      <w:r>
        <w:t xml:space="preserve"> means a caravan park or camping ground;</w:t>
      </w:r>
    </w:p>
    <w:p>
      <w:pPr>
        <w:pStyle w:val="Defstart"/>
      </w:pPr>
      <w:r>
        <w:rPr>
          <w:b/>
        </w:rPr>
        <w:tab/>
        <w:t>“</w:t>
      </w:r>
      <w:r>
        <w:rPr>
          <w:rStyle w:val="CharDefText"/>
        </w:rPr>
        <w:t>licence</w:t>
      </w:r>
      <w:r>
        <w:rPr>
          <w:b/>
        </w:rPr>
        <w:t>”</w:t>
      </w:r>
      <w:r>
        <w:t xml:space="preserve"> means a licence granted under section 7;</w:t>
      </w:r>
    </w:p>
    <w:p>
      <w:pPr>
        <w:pStyle w:val="Defstart"/>
      </w:pPr>
      <w:r>
        <w:rPr>
          <w:b/>
        </w:rPr>
        <w:tab/>
        <w:t>“</w:t>
      </w:r>
      <w:r>
        <w:rPr>
          <w:rStyle w:val="CharDefText"/>
        </w:rPr>
        <w:t>occupier</w:t>
      </w:r>
      <w:r>
        <w:rPr>
          <w:b/>
        </w:rPr>
        <w:t>”</w:t>
      </w:r>
      <w:r>
        <w:t xml:space="preserve"> means a person who occupies a site in a caravan park or camping ground;</w:t>
      </w:r>
    </w:p>
    <w:p>
      <w:pPr>
        <w:pStyle w:val="Defstart"/>
      </w:pPr>
      <w:r>
        <w:rPr>
          <w:b/>
        </w:rPr>
        <w:tab/>
        <w:t>“</w:t>
      </w:r>
      <w:r>
        <w:rPr>
          <w:rStyle w:val="CharDefText"/>
        </w:rPr>
        <w:t>operate</w:t>
      </w:r>
      <w:r>
        <w:rPr>
          <w:b/>
        </w:rPr>
        <w:t>”</w:t>
      </w:r>
      <w:r>
        <w:t xml:space="preserve"> means to carry on the business of a caravan park or camping ground and includes causing, employing or engaging another person to carry on that business;</w:t>
      </w:r>
    </w:p>
    <w:p>
      <w:pPr>
        <w:pStyle w:val="Defstart"/>
      </w:pPr>
      <w:r>
        <w:rPr>
          <w:b/>
        </w:rPr>
        <w:tab/>
        <w:t>“</w:t>
      </w:r>
      <w:r>
        <w:rPr>
          <w:rStyle w:val="CharDefText"/>
        </w:rPr>
        <w:t>park home</w:t>
      </w:r>
      <w:r>
        <w:rPr>
          <w:b/>
        </w:rPr>
        <w:t>”</w:t>
      </w:r>
      <w:r>
        <w:t xml:space="preserve"> means a vehicle of a prescribed class or description that is fitted or designed for habitation;</w:t>
      </w:r>
    </w:p>
    <w:p>
      <w:pPr>
        <w:pStyle w:val="Defstart"/>
      </w:pPr>
      <w:r>
        <w:rPr>
          <w:b/>
        </w:rPr>
        <w:tab/>
        <w:t>“</w:t>
      </w:r>
      <w:r>
        <w:rPr>
          <w:rStyle w:val="CharDefText"/>
        </w:rPr>
        <w:t>prescribed</w:t>
      </w:r>
      <w:r>
        <w:rPr>
          <w:b/>
        </w:rPr>
        <w:t>”</w:t>
      </w:r>
      <w:r>
        <w:t xml:space="preserve"> means prescribed by regulation;</w:t>
      </w:r>
    </w:p>
    <w:p>
      <w:pPr>
        <w:pStyle w:val="Defstart"/>
      </w:pPr>
      <w:r>
        <w:rPr>
          <w:b/>
        </w:rPr>
        <w:tab/>
        <w:t>“</w:t>
      </w:r>
      <w:r>
        <w:rPr>
          <w:rStyle w:val="CharDefText"/>
        </w:rPr>
        <w:t>site</w:t>
      </w:r>
      <w:r>
        <w:rPr>
          <w:b/>
        </w:rPr>
        <w:t>”</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t>“</w:t>
      </w:r>
      <w:r>
        <w:rPr>
          <w:rStyle w:val="CharDefText"/>
        </w:rPr>
        <w:t>vehicle</w:t>
      </w:r>
      <w:r>
        <w:rPr>
          <w:b/>
        </w:rPr>
        <w:t>”</w:t>
      </w:r>
      <w:r>
        <w:t xml:space="preserve"> means a conveyance (other than a train, vessel or aircraft) capable of being propelled or drawn on wheels;</w:t>
      </w:r>
    </w:p>
    <w:p>
      <w:pPr>
        <w:pStyle w:val="Defstart"/>
      </w:pPr>
      <w:r>
        <w:rPr>
          <w:b/>
        </w:rPr>
        <w:tab/>
        <w:t>“</w:t>
      </w:r>
      <w:r>
        <w:rPr>
          <w:rStyle w:val="CharDefText"/>
        </w:rPr>
        <w:t>works specification notice</w:t>
      </w:r>
      <w:r>
        <w:rPr>
          <w:b/>
        </w:rPr>
        <w:t>”</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b/>
          <w:snapToGrid w:val="0"/>
        </w:rPr>
        <w:t>“</w:t>
      </w:r>
      <w:r>
        <w:rPr>
          <w:rStyle w:val="CharDefText"/>
        </w:rPr>
        <w:t>local government</w:t>
      </w:r>
      <w:r>
        <w:rPr>
          <w:b/>
          <w:snapToGrid w:val="0"/>
        </w:rPr>
        <w:t>”</w:t>
      </w:r>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42" w:name="_Toc89052532"/>
      <w:bookmarkStart w:id="43" w:name="_Toc89052588"/>
      <w:bookmarkStart w:id="44" w:name="_Toc90957122"/>
      <w:bookmarkStart w:id="45" w:name="_Toc92443989"/>
      <w:bookmarkStart w:id="46" w:name="_Toc97097875"/>
      <w:bookmarkStart w:id="47" w:name="_Toc100385255"/>
      <w:bookmarkStart w:id="48" w:name="_Toc100477173"/>
      <w:bookmarkStart w:id="49" w:name="_Toc103050868"/>
      <w:bookmarkStart w:id="50" w:name="_Toc122507788"/>
      <w:bookmarkStart w:id="51" w:name="_Toc122507844"/>
      <w:bookmarkStart w:id="52" w:name="_Toc122507900"/>
      <w:bookmarkStart w:id="53" w:name="_Toc122507956"/>
      <w:bookmarkStart w:id="54" w:name="_Toc122508012"/>
      <w:bookmarkStart w:id="55" w:name="_Toc122508068"/>
      <w:bookmarkStart w:id="56" w:name="_Toc122508124"/>
      <w:bookmarkStart w:id="57" w:name="_Toc122949352"/>
      <w:r>
        <w:rPr>
          <w:rStyle w:val="CharPartNo"/>
        </w:rPr>
        <w:t>Part 2</w:t>
      </w:r>
      <w:r>
        <w:t> — </w:t>
      </w:r>
      <w:r>
        <w:rPr>
          <w:rStyle w:val="CharPartText"/>
        </w:rPr>
        <w:t>Regulation of caravan parks and camping grounds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3"/>
        <w:rPr>
          <w:snapToGrid w:val="0"/>
        </w:rPr>
      </w:pPr>
      <w:bookmarkStart w:id="58" w:name="_Toc89052533"/>
      <w:bookmarkStart w:id="59" w:name="_Toc89052589"/>
      <w:bookmarkStart w:id="60" w:name="_Toc90957123"/>
      <w:bookmarkStart w:id="61" w:name="_Toc92443990"/>
      <w:bookmarkStart w:id="62" w:name="_Toc97097876"/>
      <w:bookmarkStart w:id="63" w:name="_Toc100385256"/>
      <w:bookmarkStart w:id="64" w:name="_Toc100477174"/>
      <w:bookmarkStart w:id="65" w:name="_Toc103050869"/>
      <w:bookmarkStart w:id="66" w:name="_Toc122507789"/>
      <w:bookmarkStart w:id="67" w:name="_Toc122507845"/>
      <w:bookmarkStart w:id="68" w:name="_Toc122507901"/>
      <w:bookmarkStart w:id="69" w:name="_Toc122507957"/>
      <w:bookmarkStart w:id="70" w:name="_Toc122508013"/>
      <w:bookmarkStart w:id="71" w:name="_Toc122508069"/>
      <w:bookmarkStart w:id="72" w:name="_Toc122508125"/>
      <w:bookmarkStart w:id="73" w:name="_Toc122949353"/>
      <w:r>
        <w:rPr>
          <w:rStyle w:val="CharDivNo"/>
        </w:rPr>
        <w:t>Division 1</w:t>
      </w:r>
      <w:r>
        <w:rPr>
          <w:snapToGrid w:val="0"/>
        </w:rPr>
        <w:t> — </w:t>
      </w:r>
      <w:r>
        <w:rPr>
          <w:rStyle w:val="CharDivText"/>
        </w:rPr>
        <w:t>Licences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43616104"/>
      <w:bookmarkStart w:id="75" w:name="_Toc47348014"/>
      <w:bookmarkStart w:id="76" w:name="_Toc122508014"/>
      <w:bookmarkStart w:id="77" w:name="_Toc122508070"/>
      <w:bookmarkStart w:id="78" w:name="_Toc122949354"/>
      <w:r>
        <w:rPr>
          <w:rStyle w:val="CharSectno"/>
        </w:rPr>
        <w:t>6</w:t>
      </w:r>
      <w:r>
        <w:rPr>
          <w:snapToGrid w:val="0"/>
        </w:rPr>
        <w:t>.</w:t>
      </w:r>
      <w:r>
        <w:rPr>
          <w:snapToGrid w:val="0"/>
        </w:rPr>
        <w:tab/>
        <w:t>Caravan park or camping ground not to be operated without a licence</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appointed day</w:t>
      </w:r>
      <w:r>
        <w:rPr>
          <w:b/>
        </w:rPr>
        <w:t>”</w:t>
      </w:r>
      <w:r>
        <w:t xml:space="preserve"> means such day as is fixed by the Minister by notice published in the </w:t>
      </w:r>
      <w:r>
        <w:rPr>
          <w:i/>
        </w:rPr>
        <w:t xml:space="preserve">Government Gazette </w:t>
      </w:r>
      <w:r>
        <w:t>to be the appointed day for the purpose of that subsection.</w:t>
      </w:r>
    </w:p>
    <w:p>
      <w:pPr>
        <w:pStyle w:val="Heading5"/>
        <w:rPr>
          <w:snapToGrid w:val="0"/>
        </w:rPr>
      </w:pPr>
      <w:bookmarkStart w:id="79" w:name="_Toc43616105"/>
      <w:bookmarkStart w:id="80" w:name="_Toc47348015"/>
      <w:bookmarkStart w:id="81" w:name="_Toc122508015"/>
      <w:bookmarkStart w:id="82" w:name="_Toc122508071"/>
      <w:bookmarkStart w:id="83" w:name="_Toc122949355"/>
      <w:r>
        <w:rPr>
          <w:rStyle w:val="CharSectno"/>
        </w:rPr>
        <w:t>7</w:t>
      </w:r>
      <w:r>
        <w:rPr>
          <w:snapToGrid w:val="0"/>
        </w:rPr>
        <w:t>.</w:t>
      </w:r>
      <w:r>
        <w:rPr>
          <w:snapToGrid w:val="0"/>
        </w:rPr>
        <w:tab/>
        <w:t>Application for the grant or renewal of a licence</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by No. 55 of 2004 s. 93.]</w:t>
      </w:r>
    </w:p>
    <w:p>
      <w:pPr>
        <w:pStyle w:val="Heading5"/>
        <w:rPr>
          <w:snapToGrid w:val="0"/>
        </w:rPr>
      </w:pPr>
      <w:bookmarkStart w:id="84" w:name="_Toc43616106"/>
      <w:bookmarkStart w:id="85" w:name="_Toc47348016"/>
      <w:bookmarkStart w:id="86" w:name="_Toc122508016"/>
      <w:bookmarkStart w:id="87" w:name="_Toc122508072"/>
      <w:bookmarkStart w:id="88" w:name="_Toc122949356"/>
      <w:r>
        <w:rPr>
          <w:rStyle w:val="CharSectno"/>
        </w:rPr>
        <w:t>8</w:t>
      </w:r>
      <w:r>
        <w:rPr>
          <w:snapToGrid w:val="0"/>
        </w:rPr>
        <w:t>.</w:t>
      </w:r>
      <w:r>
        <w:rPr>
          <w:snapToGrid w:val="0"/>
        </w:rPr>
        <w:tab/>
        <w:t>Duration of licence</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rPr>
          <w:snapToGrid w:val="0"/>
        </w:rPr>
      </w:pPr>
      <w:bookmarkStart w:id="89" w:name="_Toc43616107"/>
      <w:bookmarkStart w:id="90" w:name="_Toc47348017"/>
      <w:bookmarkStart w:id="91" w:name="_Toc122508017"/>
      <w:bookmarkStart w:id="92" w:name="_Toc122508073"/>
      <w:bookmarkStart w:id="93" w:name="_Toc122949357"/>
      <w:r>
        <w:rPr>
          <w:rStyle w:val="CharSectno"/>
        </w:rPr>
        <w:t>9</w:t>
      </w:r>
      <w:r>
        <w:rPr>
          <w:snapToGrid w:val="0"/>
        </w:rPr>
        <w:t>.</w:t>
      </w:r>
      <w:r>
        <w:rPr>
          <w:snapToGrid w:val="0"/>
        </w:rPr>
        <w:tab/>
        <w:t>Renewal after expiry</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94" w:name="_Toc43616108"/>
      <w:bookmarkStart w:id="95" w:name="_Toc47348018"/>
      <w:bookmarkStart w:id="96" w:name="_Toc122508018"/>
      <w:bookmarkStart w:id="97" w:name="_Toc122508074"/>
      <w:bookmarkStart w:id="98" w:name="_Toc122949358"/>
      <w:r>
        <w:rPr>
          <w:rStyle w:val="CharSectno"/>
        </w:rPr>
        <w:t>10</w:t>
      </w:r>
      <w:r>
        <w:rPr>
          <w:snapToGrid w:val="0"/>
        </w:rPr>
        <w:t>.</w:t>
      </w:r>
      <w:r>
        <w:rPr>
          <w:snapToGrid w:val="0"/>
        </w:rPr>
        <w:tab/>
        <w:t>Prohibition notice</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by No. 55 of 2004 s. 94.]</w:t>
      </w:r>
    </w:p>
    <w:p>
      <w:pPr>
        <w:pStyle w:val="Heading5"/>
        <w:rPr>
          <w:snapToGrid w:val="0"/>
        </w:rPr>
      </w:pPr>
      <w:bookmarkStart w:id="99" w:name="_Toc43616109"/>
      <w:bookmarkStart w:id="100" w:name="_Toc47348019"/>
      <w:bookmarkStart w:id="101" w:name="_Toc122508019"/>
      <w:bookmarkStart w:id="102" w:name="_Toc122508075"/>
      <w:bookmarkStart w:id="103" w:name="_Toc122949359"/>
      <w:r>
        <w:rPr>
          <w:rStyle w:val="CharSectno"/>
        </w:rPr>
        <w:t>11</w:t>
      </w:r>
      <w:r>
        <w:rPr>
          <w:snapToGrid w:val="0"/>
        </w:rPr>
        <w:t>.</w:t>
      </w:r>
      <w:r>
        <w:rPr>
          <w:snapToGrid w:val="0"/>
        </w:rPr>
        <w:tab/>
        <w:t>Effect of prohibition notice</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Ednotesubsection"/>
      </w:pPr>
      <w:bookmarkStart w:id="104" w:name="_Toc43616110"/>
      <w:bookmarkStart w:id="105" w:name="_Toc47348020"/>
      <w:r>
        <w:tab/>
        <w:t>[(3)</w:t>
      </w:r>
      <w:r>
        <w:tab/>
        <w:t>repealed]</w:t>
      </w:r>
    </w:p>
    <w:p>
      <w:pPr>
        <w:pStyle w:val="Footnotesection"/>
      </w:pPr>
      <w:r>
        <w:tab/>
        <w:t>[Section 11 amended by No. 55 of 2004 s. 95.]</w:t>
      </w:r>
    </w:p>
    <w:p>
      <w:pPr>
        <w:pStyle w:val="Heading5"/>
        <w:rPr>
          <w:snapToGrid w:val="0"/>
        </w:rPr>
      </w:pPr>
      <w:bookmarkStart w:id="106" w:name="_Toc122508020"/>
      <w:bookmarkStart w:id="107" w:name="_Toc122508076"/>
      <w:bookmarkStart w:id="108" w:name="_Toc122949360"/>
      <w:r>
        <w:rPr>
          <w:rStyle w:val="CharSectno"/>
        </w:rPr>
        <w:t>12</w:t>
      </w:r>
      <w:r>
        <w:rPr>
          <w:snapToGrid w:val="0"/>
        </w:rPr>
        <w:t>.</w:t>
      </w:r>
      <w:r>
        <w:rPr>
          <w:snapToGrid w:val="0"/>
        </w:rPr>
        <w:tab/>
        <w:t>Cancellation of a licence</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bookmarkStart w:id="109" w:name="_Toc89052541"/>
      <w:bookmarkStart w:id="110" w:name="_Toc89052597"/>
      <w:r>
        <w:tab/>
        <w:t>[Section 12 amended by No. 55 of 2004 s. 96.]</w:t>
      </w:r>
    </w:p>
    <w:p>
      <w:pPr>
        <w:pStyle w:val="Heading3"/>
        <w:rPr>
          <w:snapToGrid w:val="0"/>
        </w:rPr>
      </w:pPr>
      <w:bookmarkStart w:id="111" w:name="_Toc90957131"/>
      <w:bookmarkStart w:id="112" w:name="_Toc92443998"/>
      <w:bookmarkStart w:id="113" w:name="_Toc97097884"/>
      <w:bookmarkStart w:id="114" w:name="_Toc100385264"/>
      <w:bookmarkStart w:id="115" w:name="_Toc100477182"/>
      <w:bookmarkStart w:id="116" w:name="_Toc103050877"/>
      <w:bookmarkStart w:id="117" w:name="_Toc122507797"/>
      <w:bookmarkStart w:id="118" w:name="_Toc122507853"/>
      <w:bookmarkStart w:id="119" w:name="_Toc122507909"/>
      <w:bookmarkStart w:id="120" w:name="_Toc122507965"/>
      <w:bookmarkStart w:id="121" w:name="_Toc122508021"/>
      <w:bookmarkStart w:id="122" w:name="_Toc122508077"/>
      <w:bookmarkStart w:id="123" w:name="_Toc122508133"/>
      <w:bookmarkStart w:id="124" w:name="_Toc122949361"/>
      <w:r>
        <w:rPr>
          <w:rStyle w:val="CharDivNo"/>
        </w:rPr>
        <w:t>Division 2</w:t>
      </w:r>
      <w:r>
        <w:rPr>
          <w:snapToGrid w:val="0"/>
        </w:rPr>
        <w:t> — </w:t>
      </w:r>
      <w:r>
        <w:rPr>
          <w:rStyle w:val="CharDivText"/>
        </w:rPr>
        <w:t>Duties of licence holders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3616111"/>
      <w:bookmarkStart w:id="126" w:name="_Toc47348021"/>
      <w:bookmarkStart w:id="127" w:name="_Toc122508022"/>
      <w:bookmarkStart w:id="128" w:name="_Toc122508078"/>
      <w:bookmarkStart w:id="129" w:name="_Toc122949362"/>
      <w:r>
        <w:rPr>
          <w:rStyle w:val="CharSectno"/>
        </w:rPr>
        <w:t>13</w:t>
      </w:r>
      <w:r>
        <w:rPr>
          <w:snapToGrid w:val="0"/>
        </w:rPr>
        <w:t>.</w:t>
      </w:r>
      <w:r>
        <w:rPr>
          <w:snapToGrid w:val="0"/>
        </w:rPr>
        <w:tab/>
        <w:t>Duties of the licence holder</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w:t>
      </w:r>
    </w:p>
    <w:p>
      <w:pPr>
        <w:pStyle w:val="Indenti"/>
        <w:rPr>
          <w:snapToGrid w:val="0"/>
        </w:rPr>
      </w:pPr>
      <w:r>
        <w:rPr>
          <w:snapToGrid w:val="0"/>
        </w:rPr>
        <w:tab/>
        <w:t>(ii)</w:t>
      </w:r>
      <w:r>
        <w:rPr>
          <w:snapToGrid w:val="0"/>
        </w:rPr>
        <w:tab/>
        <w:t xml:space="preserve">is responsible for the supervision of the facility; </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where the facility is a caravan park, is available at the office of the caravan park during normal office hours;</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licenced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w:t>
      </w:r>
    </w:p>
    <w:p>
      <w:pPr>
        <w:pStyle w:val="Indenta"/>
        <w:rPr>
          <w:snapToGrid w:val="0"/>
        </w:rPr>
      </w:pPr>
      <w:r>
        <w:rPr>
          <w:snapToGrid w:val="0"/>
        </w:rPr>
        <w:tab/>
        <w:t>(b)</w:t>
      </w:r>
      <w:r>
        <w:rPr>
          <w:snapToGrid w:val="0"/>
        </w:rPr>
        <w:tab/>
        <w:t>any special conditions imposed on the licence;</w:t>
      </w:r>
    </w:p>
    <w:p>
      <w:pPr>
        <w:pStyle w:val="Indenta"/>
        <w:rPr>
          <w:snapToGrid w:val="0"/>
        </w:rPr>
      </w:pPr>
      <w:r>
        <w:rPr>
          <w:snapToGrid w:val="0"/>
        </w:rPr>
        <w:tab/>
        <w:t>(c)</w:t>
      </w:r>
      <w:r>
        <w:rPr>
          <w:snapToGrid w:val="0"/>
        </w:rPr>
        <w:tab/>
        <w:t>a plan of the facility;</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special conditions</w:t>
      </w:r>
      <w:r>
        <w:rPr>
          <w:b/>
        </w:rPr>
        <w:t>”</w:t>
      </w:r>
      <w:r>
        <w:t xml:space="preserve"> means conditions imposed on the relevant licence by the local government and specified on the licence as conditions to which this section applies.</w:t>
      </w:r>
    </w:p>
    <w:p>
      <w:pPr>
        <w:pStyle w:val="Heading3"/>
        <w:rPr>
          <w:snapToGrid w:val="0"/>
        </w:rPr>
      </w:pPr>
      <w:bookmarkStart w:id="130" w:name="_Toc89052543"/>
      <w:bookmarkStart w:id="131" w:name="_Toc89052599"/>
      <w:bookmarkStart w:id="132" w:name="_Toc90957133"/>
      <w:bookmarkStart w:id="133" w:name="_Toc92444000"/>
      <w:bookmarkStart w:id="134" w:name="_Toc97097886"/>
      <w:bookmarkStart w:id="135" w:name="_Toc100385266"/>
      <w:bookmarkStart w:id="136" w:name="_Toc100477184"/>
      <w:bookmarkStart w:id="137" w:name="_Toc103050879"/>
      <w:bookmarkStart w:id="138" w:name="_Toc122507799"/>
      <w:bookmarkStart w:id="139" w:name="_Toc122507855"/>
      <w:bookmarkStart w:id="140" w:name="_Toc122507911"/>
      <w:bookmarkStart w:id="141" w:name="_Toc122507967"/>
      <w:bookmarkStart w:id="142" w:name="_Toc122508023"/>
      <w:bookmarkStart w:id="143" w:name="_Toc122508079"/>
      <w:bookmarkStart w:id="144" w:name="_Toc122508135"/>
      <w:bookmarkStart w:id="145" w:name="_Toc122949363"/>
      <w:r>
        <w:rPr>
          <w:rStyle w:val="CharDivNo"/>
        </w:rPr>
        <w:t>Division 3</w:t>
      </w:r>
      <w:r>
        <w:rPr>
          <w:snapToGrid w:val="0"/>
        </w:rPr>
        <w:t> — </w:t>
      </w:r>
      <w:r>
        <w:rPr>
          <w:rStyle w:val="CharDivText"/>
        </w:rPr>
        <w:t>Register</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43616112"/>
      <w:bookmarkStart w:id="147" w:name="_Toc47348022"/>
      <w:bookmarkStart w:id="148" w:name="_Toc122508024"/>
      <w:bookmarkStart w:id="149" w:name="_Toc122508080"/>
      <w:bookmarkStart w:id="150" w:name="_Toc122949364"/>
      <w:r>
        <w:rPr>
          <w:rStyle w:val="CharSectno"/>
        </w:rPr>
        <w:t>14</w:t>
      </w:r>
      <w:r>
        <w:rPr>
          <w:snapToGrid w:val="0"/>
        </w:rPr>
        <w:t>.</w:t>
      </w:r>
      <w:r>
        <w:rPr>
          <w:snapToGrid w:val="0"/>
        </w:rPr>
        <w:tab/>
        <w:t>Register</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is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151" w:name="_Toc89052545"/>
      <w:bookmarkStart w:id="152" w:name="_Toc89052601"/>
      <w:bookmarkStart w:id="153" w:name="_Toc90957135"/>
      <w:bookmarkStart w:id="154" w:name="_Toc92444002"/>
      <w:bookmarkStart w:id="155" w:name="_Toc97097888"/>
      <w:bookmarkStart w:id="156" w:name="_Toc100385268"/>
      <w:bookmarkStart w:id="157" w:name="_Toc100477186"/>
      <w:bookmarkStart w:id="158" w:name="_Toc103050881"/>
      <w:bookmarkStart w:id="159" w:name="_Toc122507801"/>
      <w:bookmarkStart w:id="160" w:name="_Toc122507857"/>
      <w:bookmarkStart w:id="161" w:name="_Toc122507913"/>
      <w:bookmarkStart w:id="162" w:name="_Toc122507969"/>
      <w:bookmarkStart w:id="163" w:name="_Toc122508025"/>
      <w:bookmarkStart w:id="164" w:name="_Toc122508081"/>
      <w:bookmarkStart w:id="165" w:name="_Toc122508137"/>
      <w:bookmarkStart w:id="166" w:name="_Toc122949365"/>
      <w:r>
        <w:rPr>
          <w:rStyle w:val="CharDivNo"/>
        </w:rPr>
        <w:t>Division 4</w:t>
      </w:r>
      <w:r>
        <w:rPr>
          <w:snapToGrid w:val="0"/>
        </w:rPr>
        <w:t> — </w:t>
      </w:r>
      <w:r>
        <w:rPr>
          <w:rStyle w:val="CharDivText"/>
        </w:rPr>
        <w:t>Local government operated facilities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43616113"/>
      <w:bookmarkStart w:id="168" w:name="_Toc47348023"/>
      <w:bookmarkStart w:id="169" w:name="_Toc122508026"/>
      <w:bookmarkStart w:id="170" w:name="_Toc122508082"/>
      <w:bookmarkStart w:id="171" w:name="_Toc122949366"/>
      <w:r>
        <w:rPr>
          <w:rStyle w:val="CharSectno"/>
        </w:rPr>
        <w:t>15</w:t>
      </w:r>
      <w:r>
        <w:rPr>
          <w:snapToGrid w:val="0"/>
        </w:rPr>
        <w:t>.</w:t>
      </w:r>
      <w:r>
        <w:rPr>
          <w:snapToGrid w:val="0"/>
        </w:rPr>
        <w:tab/>
        <w:t>Local government may operate a facility in its district without a licence</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172" w:name="_Toc43616114"/>
      <w:bookmarkStart w:id="173" w:name="_Toc47348024"/>
      <w:bookmarkStart w:id="174" w:name="_Toc122508027"/>
      <w:bookmarkStart w:id="175" w:name="_Toc122508083"/>
      <w:bookmarkStart w:id="176" w:name="_Toc122949367"/>
      <w:r>
        <w:rPr>
          <w:rStyle w:val="CharSectno"/>
        </w:rPr>
        <w:t>16</w:t>
      </w:r>
      <w:r>
        <w:rPr>
          <w:snapToGrid w:val="0"/>
        </w:rPr>
        <w:t>.</w:t>
      </w:r>
      <w:r>
        <w:rPr>
          <w:snapToGrid w:val="0"/>
        </w:rPr>
        <w:tab/>
        <w:t>Minister may give directions to local government</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specified</w:t>
      </w:r>
      <w:r>
        <w:rPr>
          <w:b/>
        </w:rPr>
        <w:t>”</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177" w:name="_Toc89052548"/>
      <w:bookmarkStart w:id="178" w:name="_Toc89052604"/>
      <w:bookmarkStart w:id="179" w:name="_Toc90957138"/>
      <w:bookmarkStart w:id="180" w:name="_Toc92444005"/>
      <w:bookmarkStart w:id="181" w:name="_Toc97097891"/>
      <w:bookmarkStart w:id="182" w:name="_Toc100385271"/>
      <w:bookmarkStart w:id="183" w:name="_Toc100477189"/>
      <w:bookmarkStart w:id="184" w:name="_Toc103050884"/>
      <w:bookmarkStart w:id="185" w:name="_Toc122507804"/>
      <w:bookmarkStart w:id="186" w:name="_Toc122507860"/>
      <w:bookmarkStart w:id="187" w:name="_Toc122507916"/>
      <w:bookmarkStart w:id="188" w:name="_Toc122507972"/>
      <w:bookmarkStart w:id="189" w:name="_Toc122508028"/>
      <w:bookmarkStart w:id="190" w:name="_Toc122508084"/>
      <w:bookmarkStart w:id="191" w:name="_Toc122508140"/>
      <w:bookmarkStart w:id="192" w:name="_Toc122949368"/>
      <w:r>
        <w:rPr>
          <w:rStyle w:val="CharPartNo"/>
        </w:rPr>
        <w:t>Part 3</w:t>
      </w:r>
      <w:r>
        <w:rPr>
          <w:rStyle w:val="CharDivNo"/>
        </w:rPr>
        <w:t> </w:t>
      </w:r>
      <w:r>
        <w:t>—</w:t>
      </w:r>
      <w:r>
        <w:rPr>
          <w:rStyle w:val="CharDivText"/>
        </w:rPr>
        <w:t> </w:t>
      </w:r>
      <w:r>
        <w:rPr>
          <w:rStyle w:val="CharPartText"/>
        </w:rPr>
        <w:t>Powers of entry and inspection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43616115"/>
      <w:bookmarkStart w:id="194" w:name="_Toc47348025"/>
      <w:bookmarkStart w:id="195" w:name="_Toc122508029"/>
      <w:bookmarkStart w:id="196" w:name="_Toc122508085"/>
      <w:bookmarkStart w:id="197" w:name="_Toc122949369"/>
      <w:r>
        <w:rPr>
          <w:rStyle w:val="CharSectno"/>
        </w:rPr>
        <w:t>17</w:t>
      </w:r>
      <w:r>
        <w:rPr>
          <w:snapToGrid w:val="0"/>
        </w:rPr>
        <w:t>.</w:t>
      </w:r>
      <w:r>
        <w:rPr>
          <w:snapToGrid w:val="0"/>
        </w:rPr>
        <w:tab/>
        <w:t>Appointment of authorised person</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rPr>
          <w:snapToGrid w:val="0"/>
        </w:rPr>
      </w:pPr>
      <w:bookmarkStart w:id="198" w:name="_Toc43616116"/>
      <w:bookmarkStart w:id="199" w:name="_Toc47348026"/>
      <w:bookmarkStart w:id="200" w:name="_Toc122508030"/>
      <w:bookmarkStart w:id="201" w:name="_Toc122508086"/>
      <w:bookmarkStart w:id="202" w:name="_Toc122949370"/>
      <w:r>
        <w:rPr>
          <w:rStyle w:val="CharSectno"/>
        </w:rPr>
        <w:t>18</w:t>
      </w:r>
      <w:r>
        <w:rPr>
          <w:snapToGrid w:val="0"/>
        </w:rPr>
        <w:t>.</w:t>
      </w:r>
      <w:r>
        <w:rPr>
          <w:snapToGrid w:val="0"/>
        </w:rPr>
        <w:tab/>
        <w:t>Powers of entry</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w:t>
      </w:r>
    </w:p>
    <w:p>
      <w:pPr>
        <w:pStyle w:val="Indenta"/>
        <w:rPr>
          <w:snapToGrid w:val="0"/>
        </w:rPr>
      </w:pPr>
      <w:r>
        <w:rPr>
          <w:snapToGrid w:val="0"/>
        </w:rPr>
        <w:tab/>
        <w:t>(b)</w:t>
      </w:r>
      <w:r>
        <w:rPr>
          <w:snapToGrid w:val="0"/>
        </w:rPr>
        <w:tab/>
        <w:t>enter and inspect any caravan or camp which is not in a facility;</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w:t>
      </w:r>
    </w:p>
    <w:p>
      <w:pPr>
        <w:pStyle w:val="Indenta"/>
        <w:rPr>
          <w:snapToGrid w:val="0"/>
        </w:rPr>
      </w:pPr>
      <w:r>
        <w:rPr>
          <w:snapToGrid w:val="0"/>
        </w:rPr>
        <w:tab/>
        <w:t>(d)</w:t>
      </w:r>
      <w:r>
        <w:rPr>
          <w:snapToGrid w:val="0"/>
        </w:rPr>
        <w:tab/>
        <w:t>stop, enter, inspect or detain any vehicle in a caravan park or camping ground;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t>“</w:t>
      </w:r>
      <w:r>
        <w:rPr>
          <w:rStyle w:val="CharDefText"/>
        </w:rPr>
        <w:t>reasonable notice</w:t>
      </w:r>
      <w:r>
        <w:rPr>
          <w:b/>
        </w:rPr>
        <w:t>”</w:t>
      </w:r>
      <w:r>
        <w:t xml:space="preserve"> means notice given at least 24 hours before the time at which entry is sought.</w:t>
      </w:r>
    </w:p>
    <w:p>
      <w:pPr>
        <w:pStyle w:val="Heading5"/>
        <w:rPr>
          <w:snapToGrid w:val="0"/>
        </w:rPr>
      </w:pPr>
      <w:bookmarkStart w:id="203" w:name="_Toc43616117"/>
      <w:bookmarkStart w:id="204" w:name="_Toc47348027"/>
      <w:bookmarkStart w:id="205" w:name="_Toc122508031"/>
      <w:bookmarkStart w:id="206" w:name="_Toc122508087"/>
      <w:bookmarkStart w:id="207" w:name="_Toc122949371"/>
      <w:r>
        <w:rPr>
          <w:rStyle w:val="CharSectno"/>
        </w:rPr>
        <w:t>19</w:t>
      </w:r>
      <w:r>
        <w:rPr>
          <w:snapToGrid w:val="0"/>
        </w:rPr>
        <w:t>.</w:t>
      </w:r>
      <w:r>
        <w:rPr>
          <w:snapToGrid w:val="0"/>
        </w:rPr>
        <w:tab/>
        <w:t>Obstruction</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208" w:name="_Toc43616118"/>
      <w:bookmarkStart w:id="209" w:name="_Toc47348028"/>
      <w:bookmarkStart w:id="210" w:name="_Toc122508032"/>
      <w:bookmarkStart w:id="211" w:name="_Toc122508088"/>
      <w:bookmarkStart w:id="212" w:name="_Toc122949372"/>
      <w:r>
        <w:rPr>
          <w:rStyle w:val="CharSectno"/>
        </w:rPr>
        <w:t>20</w:t>
      </w:r>
      <w:r>
        <w:rPr>
          <w:snapToGrid w:val="0"/>
        </w:rPr>
        <w:t>.</w:t>
      </w:r>
      <w:r>
        <w:rPr>
          <w:snapToGrid w:val="0"/>
        </w:rPr>
        <w:tab/>
        <w:t>Entry of an occupied caravan or camp</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rPr>
          <w:snapToGrid w:val="0"/>
        </w:rPr>
      </w:pPr>
      <w:bookmarkStart w:id="213" w:name="_Toc43616119"/>
      <w:bookmarkStart w:id="214" w:name="_Toc47348029"/>
      <w:bookmarkStart w:id="215" w:name="_Toc122508033"/>
      <w:bookmarkStart w:id="216" w:name="_Toc122508089"/>
      <w:bookmarkStart w:id="217" w:name="_Toc122949373"/>
      <w:r>
        <w:rPr>
          <w:rStyle w:val="CharSectno"/>
        </w:rPr>
        <w:t>21</w:t>
      </w:r>
      <w:r>
        <w:rPr>
          <w:snapToGrid w:val="0"/>
        </w:rPr>
        <w:t>.</w:t>
      </w:r>
      <w:r>
        <w:rPr>
          <w:snapToGrid w:val="0"/>
        </w:rPr>
        <w:tab/>
        <w:t>Inspections and works specifications notices</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rPr>
          <w:snapToGrid w:val="0"/>
        </w:rPr>
      </w:pPr>
      <w:r>
        <w:rPr>
          <w:snapToGrid w:val="0"/>
        </w:rPr>
        <w:tab/>
        <w:t>(2)</w:t>
      </w:r>
      <w:r>
        <w:rPr>
          <w:snapToGrid w:val="0"/>
        </w:rPr>
        <w:tab/>
        <w:t>Notwithstanding subsection (1), a local government may inspect a facility in its district at any time.</w:t>
      </w:r>
    </w:p>
    <w:p>
      <w:pPr>
        <w:pStyle w:val="Subsection"/>
        <w:rPr>
          <w:snapToGrid w:val="0"/>
        </w:rPr>
      </w:pPr>
      <w:r>
        <w:rPr>
          <w:snapToGrid w:val="0"/>
        </w:rPr>
        <w:tab/>
        <w:t>(3)</w:t>
      </w:r>
      <w:r>
        <w:rPr>
          <w:snapToGrid w:val="0"/>
        </w:rPr>
        <w:tab/>
        <w:t>After inspecting a facility, a local government may give the person licenced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by No. 55 of 2004 s. 97.]</w:t>
      </w:r>
    </w:p>
    <w:p>
      <w:pPr>
        <w:pStyle w:val="Heading2"/>
      </w:pPr>
      <w:bookmarkStart w:id="218" w:name="_Toc89052554"/>
      <w:bookmarkStart w:id="219" w:name="_Toc89052610"/>
      <w:bookmarkStart w:id="220" w:name="_Toc90957144"/>
      <w:bookmarkStart w:id="221" w:name="_Toc92444011"/>
      <w:bookmarkStart w:id="222" w:name="_Toc97097897"/>
      <w:bookmarkStart w:id="223" w:name="_Toc100385277"/>
      <w:bookmarkStart w:id="224" w:name="_Toc100477195"/>
      <w:bookmarkStart w:id="225" w:name="_Toc103050890"/>
      <w:bookmarkStart w:id="226" w:name="_Toc122507810"/>
      <w:bookmarkStart w:id="227" w:name="_Toc122507866"/>
      <w:bookmarkStart w:id="228" w:name="_Toc122507922"/>
      <w:bookmarkStart w:id="229" w:name="_Toc122507978"/>
      <w:bookmarkStart w:id="230" w:name="_Toc122508034"/>
      <w:bookmarkStart w:id="231" w:name="_Toc122508090"/>
      <w:bookmarkStart w:id="232" w:name="_Toc122508146"/>
      <w:bookmarkStart w:id="233" w:name="_Toc122949374"/>
      <w:r>
        <w:rPr>
          <w:rStyle w:val="CharPartNo"/>
        </w:rPr>
        <w:t>Part 4</w:t>
      </w:r>
      <w:r>
        <w:rPr>
          <w:rStyle w:val="CharDivNo"/>
        </w:rPr>
        <w:t> </w:t>
      </w:r>
      <w:r>
        <w:t>—</w:t>
      </w:r>
      <w:r>
        <w:rPr>
          <w:rStyle w:val="CharDivText"/>
        </w:rPr>
        <w:t> </w:t>
      </w:r>
      <w:r>
        <w:rPr>
          <w:rStyle w:val="CharPartText"/>
        </w:rPr>
        <w:t>Enforcement</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Heading5"/>
        <w:rPr>
          <w:snapToGrid w:val="0"/>
        </w:rPr>
      </w:pPr>
      <w:bookmarkStart w:id="234" w:name="_Toc43616120"/>
      <w:bookmarkStart w:id="235" w:name="_Toc47348030"/>
      <w:bookmarkStart w:id="236" w:name="_Toc122508035"/>
      <w:bookmarkStart w:id="237" w:name="_Toc122508091"/>
      <w:bookmarkStart w:id="238" w:name="_Toc122949375"/>
      <w:r>
        <w:rPr>
          <w:rStyle w:val="CharSectno"/>
        </w:rPr>
        <w:t>22</w:t>
      </w:r>
      <w:r>
        <w:rPr>
          <w:snapToGrid w:val="0"/>
        </w:rPr>
        <w:t>.</w:t>
      </w:r>
      <w:r>
        <w:rPr>
          <w:snapToGrid w:val="0"/>
        </w:rPr>
        <w:tab/>
        <w:t>Legal proceedings to be taken by authorised person</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239" w:name="_Toc43616121"/>
      <w:bookmarkStart w:id="240" w:name="_Toc47348031"/>
      <w:bookmarkStart w:id="241" w:name="_Toc122508036"/>
      <w:bookmarkStart w:id="242" w:name="_Toc122508092"/>
      <w:bookmarkStart w:id="243" w:name="_Toc122949376"/>
      <w:r>
        <w:rPr>
          <w:rStyle w:val="CharSectno"/>
        </w:rPr>
        <w:t>23</w:t>
      </w:r>
      <w:r>
        <w:rPr>
          <w:snapToGrid w:val="0"/>
        </w:rPr>
        <w:t>.</w:t>
      </w:r>
      <w:r>
        <w:rPr>
          <w:snapToGrid w:val="0"/>
        </w:rPr>
        <w:tab/>
        <w:t>Infringement notices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b/>
          <w:snapToGrid w:val="0"/>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bookmarkStart w:id="244" w:name="_Toc43616122"/>
      <w:bookmarkStart w:id="245" w:name="_Toc47348032"/>
      <w:r>
        <w:tab/>
        <w:t xml:space="preserve">[Section 23 amended by No. 84 of 2004 s. 80.] </w:t>
      </w:r>
    </w:p>
    <w:p>
      <w:pPr>
        <w:pStyle w:val="Heading5"/>
        <w:rPr>
          <w:snapToGrid w:val="0"/>
        </w:rPr>
      </w:pPr>
      <w:bookmarkStart w:id="246" w:name="_Toc122508037"/>
      <w:bookmarkStart w:id="247" w:name="_Toc122508093"/>
      <w:bookmarkStart w:id="248" w:name="_Toc122949377"/>
      <w:r>
        <w:rPr>
          <w:rStyle w:val="CharSectno"/>
        </w:rPr>
        <w:t>24</w:t>
      </w:r>
      <w:r>
        <w:rPr>
          <w:snapToGrid w:val="0"/>
        </w:rPr>
        <w:t>.</w:t>
      </w:r>
      <w:r>
        <w:rPr>
          <w:snapToGrid w:val="0"/>
        </w:rPr>
        <w:tab/>
        <w:t>Continuing offences</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249" w:name="_Toc89052558"/>
      <w:bookmarkStart w:id="250" w:name="_Toc89052614"/>
      <w:bookmarkStart w:id="251" w:name="_Toc90957148"/>
      <w:bookmarkStart w:id="252" w:name="_Toc92444015"/>
      <w:bookmarkStart w:id="253" w:name="_Toc97097901"/>
      <w:bookmarkStart w:id="254" w:name="_Toc100385281"/>
      <w:bookmarkStart w:id="255" w:name="_Toc100477199"/>
      <w:bookmarkStart w:id="256" w:name="_Toc103050894"/>
      <w:bookmarkStart w:id="257" w:name="_Toc122507814"/>
      <w:bookmarkStart w:id="258" w:name="_Toc122507870"/>
      <w:bookmarkStart w:id="259" w:name="_Toc122507926"/>
      <w:bookmarkStart w:id="260" w:name="_Toc122507982"/>
      <w:bookmarkStart w:id="261" w:name="_Toc122508038"/>
      <w:bookmarkStart w:id="262" w:name="_Toc122508094"/>
      <w:bookmarkStart w:id="263" w:name="_Toc122508150"/>
      <w:bookmarkStart w:id="264" w:name="_Toc122949378"/>
      <w:r>
        <w:rPr>
          <w:rStyle w:val="CharPartNo"/>
        </w:rPr>
        <w:t>Part 5</w:t>
      </w:r>
      <w:r>
        <w:rPr>
          <w:rStyle w:val="CharDivNo"/>
        </w:rPr>
        <w:t> </w:t>
      </w:r>
      <w:r>
        <w:t>—</w:t>
      </w:r>
      <w:r>
        <w:rPr>
          <w:rStyle w:val="CharDivText"/>
        </w:rPr>
        <w:t> </w:t>
      </w:r>
      <w:r>
        <w:rPr>
          <w:rStyle w:val="CharPartText"/>
        </w:rPr>
        <w:t>Miscellaneous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43616123"/>
      <w:bookmarkStart w:id="266" w:name="_Toc47348033"/>
      <w:bookmarkStart w:id="267" w:name="_Toc122508039"/>
      <w:bookmarkStart w:id="268" w:name="_Toc122508095"/>
      <w:bookmarkStart w:id="269" w:name="_Toc122949379"/>
      <w:r>
        <w:rPr>
          <w:rStyle w:val="CharSectno"/>
        </w:rPr>
        <w:t>25</w:t>
      </w:r>
      <w:r>
        <w:rPr>
          <w:snapToGrid w:val="0"/>
        </w:rPr>
        <w:t>.</w:t>
      </w:r>
      <w:r>
        <w:rPr>
          <w:snapToGrid w:val="0"/>
        </w:rPr>
        <w:tab/>
        <w:t>Caravan Parks and Camping Grounds Advisory Committee</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w:t>
      </w:r>
    </w:p>
    <w:p>
      <w:pPr>
        <w:pStyle w:val="Indenti"/>
        <w:rPr>
          <w:snapToGrid w:val="0"/>
        </w:rPr>
      </w:pPr>
      <w:r>
        <w:rPr>
          <w:snapToGrid w:val="0"/>
        </w:rPr>
        <w:tab/>
        <w:t>(ii)</w:t>
      </w:r>
      <w:r>
        <w:rPr>
          <w:snapToGrid w:val="0"/>
        </w:rPr>
        <w:tab/>
        <w:t>the caravan industry;</w:t>
      </w:r>
    </w:p>
    <w:p>
      <w:pPr>
        <w:pStyle w:val="Indenti"/>
        <w:rPr>
          <w:snapToGrid w:val="0"/>
        </w:rPr>
      </w:pPr>
      <w:r>
        <w:rPr>
          <w:snapToGrid w:val="0"/>
        </w:rPr>
        <w:tab/>
        <w:t>(iii)</w:t>
      </w:r>
      <w:r>
        <w:rPr>
          <w:snapToGrid w:val="0"/>
        </w:rPr>
        <w:tab/>
        <w:t>consumers;</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Department;</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w:t>
      </w:r>
    </w:p>
    <w:p>
      <w:pPr>
        <w:pStyle w:val="Indenti"/>
        <w:rPr>
          <w:snapToGrid w:val="0"/>
        </w:rPr>
      </w:pPr>
      <w:r>
        <w:rPr>
          <w:snapToGrid w:val="0"/>
        </w:rPr>
        <w:tab/>
        <w:t>(iv)</w:t>
      </w:r>
      <w:r>
        <w:rPr>
          <w:snapToGrid w:val="0"/>
        </w:rPr>
        <w:tab/>
        <w:t>local governments;</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 No. 49 of 2004 s. 13.]</w:t>
      </w:r>
    </w:p>
    <w:p>
      <w:pPr>
        <w:pStyle w:val="Heading5"/>
        <w:rPr>
          <w:snapToGrid w:val="0"/>
        </w:rPr>
      </w:pPr>
      <w:bookmarkStart w:id="270" w:name="_Toc43616124"/>
      <w:bookmarkStart w:id="271" w:name="_Toc47348034"/>
      <w:bookmarkStart w:id="272" w:name="_Toc122508040"/>
      <w:bookmarkStart w:id="273" w:name="_Toc122508096"/>
      <w:bookmarkStart w:id="274" w:name="_Toc122949380"/>
      <w:r>
        <w:rPr>
          <w:rStyle w:val="CharSectno"/>
        </w:rPr>
        <w:t>26</w:t>
      </w:r>
      <w:r>
        <w:rPr>
          <w:snapToGrid w:val="0"/>
        </w:rPr>
        <w:t>.</w:t>
      </w:r>
      <w:r>
        <w:rPr>
          <w:snapToGrid w:val="0"/>
        </w:rPr>
        <w:tab/>
        <w:t>Protection from liability</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275" w:name="_Toc122508041"/>
      <w:bookmarkStart w:id="276" w:name="_Toc122508097"/>
      <w:bookmarkStart w:id="277" w:name="_Toc122949381"/>
      <w:bookmarkStart w:id="278" w:name="_Toc43616126"/>
      <w:bookmarkStart w:id="279" w:name="_Toc47348036"/>
      <w:r>
        <w:rPr>
          <w:rStyle w:val="CharSectno"/>
        </w:rPr>
        <w:t>27</w:t>
      </w:r>
      <w:r>
        <w:t>.</w:t>
      </w:r>
      <w:r>
        <w:tab/>
        <w:t>Review</w:t>
      </w:r>
      <w:bookmarkEnd w:id="275"/>
      <w:bookmarkEnd w:id="276"/>
      <w:bookmarkEnd w:id="277"/>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by No. 55 of 2004 s. 98.]</w:t>
      </w:r>
    </w:p>
    <w:p>
      <w:pPr>
        <w:pStyle w:val="Heading5"/>
        <w:rPr>
          <w:snapToGrid w:val="0"/>
        </w:rPr>
      </w:pPr>
      <w:bookmarkStart w:id="280" w:name="_Toc122508042"/>
      <w:bookmarkStart w:id="281" w:name="_Toc122508098"/>
      <w:bookmarkStart w:id="282" w:name="_Toc122949382"/>
      <w:r>
        <w:rPr>
          <w:rStyle w:val="CharSectno"/>
        </w:rPr>
        <w:t>28</w:t>
      </w:r>
      <w:r>
        <w:rPr>
          <w:snapToGrid w:val="0"/>
        </w:rPr>
        <w:t>.</w:t>
      </w:r>
      <w:r>
        <w:rPr>
          <w:snapToGrid w:val="0"/>
        </w:rPr>
        <w:tab/>
        <w:t>Regulations</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w:t>
      </w:r>
    </w:p>
    <w:p>
      <w:pPr>
        <w:pStyle w:val="Indenta"/>
        <w:rPr>
          <w:snapToGrid w:val="0"/>
        </w:rPr>
      </w:pPr>
      <w:r>
        <w:rPr>
          <w:snapToGrid w:val="0"/>
        </w:rPr>
        <w:tab/>
        <w:t>(b)</w:t>
      </w:r>
      <w:r>
        <w:rPr>
          <w:snapToGrid w:val="0"/>
        </w:rPr>
        <w:tab/>
        <w:t>provide for standards of design, construction, installation and maintenance of caravans and annexes;</w:t>
      </w:r>
    </w:p>
    <w:p>
      <w:pPr>
        <w:pStyle w:val="Indenta"/>
        <w:rPr>
          <w:snapToGrid w:val="0"/>
        </w:rPr>
      </w:pPr>
      <w:r>
        <w:rPr>
          <w:snapToGrid w:val="0"/>
        </w:rPr>
        <w:tab/>
        <w:t>(c)</w:t>
      </w:r>
      <w:r>
        <w:rPr>
          <w:snapToGrid w:val="0"/>
        </w:rPr>
        <w:tab/>
        <w:t>provide health and safety standards and standards for services and amenities for facilities;</w:t>
      </w:r>
    </w:p>
    <w:p>
      <w:pPr>
        <w:pStyle w:val="Indenta"/>
        <w:rPr>
          <w:snapToGrid w:val="0"/>
        </w:rPr>
      </w:pPr>
      <w:r>
        <w:rPr>
          <w:snapToGrid w:val="0"/>
        </w:rPr>
        <w:tab/>
        <w:t>(d)</w:t>
      </w:r>
      <w:r>
        <w:rPr>
          <w:snapToGrid w:val="0"/>
        </w:rPr>
        <w:tab/>
        <w:t>regulate pedestrian and vehicular traffic;</w:t>
      </w:r>
    </w:p>
    <w:p>
      <w:pPr>
        <w:pStyle w:val="Indenta"/>
        <w:rPr>
          <w:snapToGrid w:val="0"/>
        </w:rPr>
      </w:pPr>
      <w:r>
        <w:rPr>
          <w:snapToGrid w:val="0"/>
        </w:rPr>
        <w:tab/>
        <w:t>(e)</w:t>
      </w:r>
      <w:r>
        <w:rPr>
          <w:snapToGrid w:val="0"/>
        </w:rPr>
        <w:tab/>
        <w:t>provide that signs may be displayed, erected or marked for the purpose of any regulation;</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w:t>
      </w:r>
    </w:p>
    <w:p>
      <w:pPr>
        <w:pStyle w:val="Indenta"/>
        <w:rPr>
          <w:snapToGrid w:val="0"/>
        </w:rPr>
      </w:pPr>
      <w:r>
        <w:rPr>
          <w:snapToGrid w:val="0"/>
        </w:rPr>
        <w:tab/>
        <w:t>(g)</w:t>
      </w:r>
      <w:r>
        <w:rPr>
          <w:snapToGrid w:val="0"/>
        </w:rPr>
        <w:tab/>
        <w:t>provide for different types of caravan parks and camping grounds;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w:t>
      </w:r>
    </w:p>
    <w:p>
      <w:pPr>
        <w:pStyle w:val="Indenta"/>
        <w:rPr>
          <w:snapToGrid w:val="0"/>
        </w:rPr>
      </w:pPr>
      <w:r>
        <w:rPr>
          <w:snapToGrid w:val="0"/>
        </w:rPr>
        <w:tab/>
        <w:t>(k)</w:t>
      </w:r>
      <w:r>
        <w:rPr>
          <w:snapToGrid w:val="0"/>
        </w:rPr>
        <w:tab/>
        <w:t>provide for different types of licences in relation to different types of caravan parks and camping grounds;</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bookmarkStart w:id="283" w:name="_Toc43616127"/>
      <w:bookmarkStart w:id="284" w:name="_Toc47348037"/>
      <w:r>
        <w:tab/>
        <w:t>[Section 28 amended by No. 55 of 2004 s. 99.]</w:t>
      </w:r>
    </w:p>
    <w:p>
      <w:pPr>
        <w:pStyle w:val="Heading5"/>
        <w:rPr>
          <w:snapToGrid w:val="0"/>
        </w:rPr>
      </w:pPr>
      <w:bookmarkStart w:id="285" w:name="_Toc122508043"/>
      <w:bookmarkStart w:id="286" w:name="_Toc122508099"/>
      <w:bookmarkStart w:id="287" w:name="_Toc122949383"/>
      <w:r>
        <w:rPr>
          <w:rStyle w:val="CharSectno"/>
        </w:rPr>
        <w:t>29</w:t>
      </w:r>
      <w:r>
        <w:rPr>
          <w:snapToGrid w:val="0"/>
        </w:rPr>
        <w:t>.</w:t>
      </w:r>
      <w:r>
        <w:rPr>
          <w:snapToGrid w:val="0"/>
        </w:rPr>
        <w:tab/>
        <w:t>Local laws</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288" w:name="_Toc43616128"/>
      <w:bookmarkStart w:id="289" w:name="_Toc47348038"/>
      <w:bookmarkStart w:id="290" w:name="_Toc122508044"/>
      <w:bookmarkStart w:id="291" w:name="_Toc122508100"/>
      <w:bookmarkStart w:id="292" w:name="_Toc122949384"/>
      <w:r>
        <w:rPr>
          <w:rStyle w:val="CharSectno"/>
        </w:rPr>
        <w:t>30</w:t>
      </w:r>
      <w:r>
        <w:rPr>
          <w:snapToGrid w:val="0"/>
        </w:rPr>
        <w:t>.</w:t>
      </w:r>
      <w:r>
        <w:rPr>
          <w:snapToGrid w:val="0"/>
        </w:rPr>
        <w:tab/>
        <w:t>Revocation of local laws</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 the</w:t>
      </w:r>
      <w:r>
        <w:rPr>
          <w:i/>
          <w:snapToGrid w:val="0"/>
        </w:rPr>
        <w:t xml:space="preserve"> Town Planning and Development Act 1928</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Heading5"/>
        <w:spacing w:before="260"/>
        <w:rPr>
          <w:snapToGrid w:val="0"/>
        </w:rPr>
      </w:pPr>
      <w:bookmarkStart w:id="293" w:name="_Toc43616129"/>
      <w:bookmarkStart w:id="294" w:name="_Toc47348039"/>
      <w:bookmarkStart w:id="295" w:name="_Toc122508045"/>
      <w:bookmarkStart w:id="296" w:name="_Toc122508101"/>
      <w:bookmarkStart w:id="297" w:name="_Toc122949385"/>
      <w:r>
        <w:rPr>
          <w:rStyle w:val="CharSectno"/>
        </w:rPr>
        <w:t>31</w:t>
      </w:r>
      <w:r>
        <w:rPr>
          <w:snapToGrid w:val="0"/>
        </w:rPr>
        <w:t>.</w:t>
      </w:r>
      <w:r>
        <w:rPr>
          <w:snapToGrid w:val="0"/>
        </w:rPr>
        <w:tab/>
        <w:t>Minister may vary, modify or grant exemptions from subsidiary legislation</w:t>
      </w:r>
      <w:bookmarkEnd w:id="293"/>
      <w:bookmarkEnd w:id="294"/>
      <w:bookmarkEnd w:id="295"/>
      <w:bookmarkEnd w:id="296"/>
      <w:bookmarkEnd w:id="297"/>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298" w:name="_Toc43616130"/>
      <w:bookmarkStart w:id="299" w:name="_Toc47348040"/>
      <w:bookmarkStart w:id="300" w:name="_Toc122508046"/>
      <w:bookmarkStart w:id="301" w:name="_Toc122508102"/>
      <w:bookmarkStart w:id="302" w:name="_Toc122949386"/>
      <w:r>
        <w:rPr>
          <w:rStyle w:val="CharSectno"/>
        </w:rPr>
        <w:t>32</w:t>
      </w:r>
      <w:r>
        <w:rPr>
          <w:snapToGrid w:val="0"/>
        </w:rPr>
        <w:t>.</w:t>
      </w:r>
      <w:r>
        <w:rPr>
          <w:snapToGrid w:val="0"/>
        </w:rPr>
        <w:tab/>
        <w:t>Review of the Act</w:t>
      </w:r>
      <w:bookmarkEnd w:id="298"/>
      <w:bookmarkEnd w:id="299"/>
      <w:bookmarkEnd w:id="300"/>
      <w:bookmarkEnd w:id="301"/>
      <w:bookmarkEnd w:id="302"/>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303" w:name="_Toc520108458"/>
      <w:bookmarkStart w:id="304" w:name="_Toc47348041"/>
      <w:bookmarkStart w:id="305" w:name="_Toc122508047"/>
      <w:bookmarkStart w:id="306" w:name="_Toc122508103"/>
      <w:bookmarkStart w:id="307" w:name="_Toc122949387"/>
      <w:bookmarkStart w:id="308" w:name="_Toc43616131"/>
      <w:r>
        <w:rPr>
          <w:rStyle w:val="CharSectno"/>
        </w:rPr>
        <w:t>33</w:t>
      </w:r>
      <w:r>
        <w:rPr>
          <w:snapToGrid w:val="0"/>
        </w:rPr>
        <w:t>.</w:t>
      </w:r>
      <w:r>
        <w:rPr>
          <w:snapToGrid w:val="0"/>
        </w:rPr>
        <w:tab/>
        <w:t>Consequential amendments</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The Acts referred to in the first column of Schedule 2 are amended in the manner set out in the second column of that Schedule.</w:t>
      </w:r>
    </w:p>
    <w:p>
      <w:pPr>
        <w:pStyle w:val="Heading5"/>
        <w:rPr>
          <w:snapToGrid w:val="0"/>
        </w:rPr>
      </w:pPr>
      <w:bookmarkStart w:id="309" w:name="_Toc47348042"/>
      <w:bookmarkStart w:id="310" w:name="_Toc122508048"/>
      <w:bookmarkStart w:id="311" w:name="_Toc122508104"/>
      <w:bookmarkStart w:id="312" w:name="_Toc122949388"/>
      <w:r>
        <w:rPr>
          <w:rStyle w:val="CharSectno"/>
        </w:rPr>
        <w:t>34</w:t>
      </w:r>
      <w:r>
        <w:rPr>
          <w:snapToGrid w:val="0"/>
        </w:rPr>
        <w:t>.</w:t>
      </w:r>
      <w:r>
        <w:rPr>
          <w:snapToGrid w:val="0"/>
        </w:rPr>
        <w:tab/>
        <w:t>Transitional provision relating to existing caravan parks and camping grounds</w:t>
      </w:r>
      <w:bookmarkEnd w:id="308"/>
      <w:bookmarkEnd w:id="309"/>
      <w:bookmarkEnd w:id="310"/>
      <w:bookmarkEnd w:id="311"/>
      <w:bookmarkEnd w:id="312"/>
      <w:r>
        <w:rPr>
          <w:snapToGrid w:val="0"/>
        </w:rPr>
        <w:t xml:space="preserve"> </w:t>
      </w:r>
    </w:p>
    <w:p>
      <w:pPr>
        <w:pStyle w:val="Ednotesubsection"/>
        <w:tabs>
          <w:tab w:val="clear" w:pos="879"/>
        </w:tabs>
        <w:ind w:left="284" w:hanging="284"/>
      </w:pPr>
      <w:r>
        <w:tab/>
        <w:t>[(1) and (2)</w:t>
      </w:r>
      <w:r>
        <w:tab/>
        <w:t xml:space="preserve">Have not come into operation </w:t>
      </w:r>
      <w:r>
        <w:rPr>
          <w:i w:val="0"/>
          <w:vertAlign w:val="superscript"/>
        </w:rPr>
        <w:t>1a</w:t>
      </w:r>
      <w:r>
        <w:t>.]</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existing facility</w:t>
      </w:r>
      <w:r>
        <w:rPr>
          <w:b/>
        </w:rPr>
        <w:t>”</w:t>
      </w:r>
      <w:r>
        <w:t xml:space="preserve"> means a facility that is in operation at the commencement of this section and in respect of which notice has not been given by the local government under subsection (3).</w:t>
      </w:r>
    </w:p>
    <w:p>
      <w:pPr>
        <w:pStyle w:val="Subsection"/>
        <w:keepNext/>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by No. 55 of 2004 s. 100.]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13" w:name="_Toc47348043"/>
      <w:bookmarkStart w:id="314" w:name="_Toc122507937"/>
      <w:bookmarkStart w:id="315" w:name="_Toc122508049"/>
      <w:bookmarkStart w:id="316" w:name="_Toc122508105"/>
      <w:bookmarkStart w:id="317" w:name="_Toc122508161"/>
      <w:bookmarkStart w:id="318" w:name="_Toc122949389"/>
      <w:r>
        <w:rPr>
          <w:rStyle w:val="CharSchNo"/>
        </w:rPr>
        <w:t>Schedule 1</w:t>
      </w:r>
      <w:bookmarkEnd w:id="313"/>
      <w:bookmarkEnd w:id="314"/>
      <w:bookmarkEnd w:id="315"/>
      <w:bookmarkEnd w:id="316"/>
      <w:bookmarkEnd w:id="317"/>
      <w:bookmarkEnd w:id="318"/>
      <w:r>
        <w:t xml:space="preserve"> </w:t>
      </w:r>
    </w:p>
    <w:p>
      <w:pPr>
        <w:pStyle w:val="yShoulderClause"/>
        <w:rPr>
          <w:snapToGrid w:val="0"/>
        </w:rPr>
      </w:pPr>
      <w:r>
        <w:rPr>
          <w:snapToGrid w:val="0"/>
        </w:rPr>
        <w:t>[Section 25(6)]</w:t>
      </w:r>
    </w:p>
    <w:p>
      <w:pPr>
        <w:pStyle w:val="yHeading2"/>
        <w:outlineLvl w:val="9"/>
        <w:rPr>
          <w:sz w:val="24"/>
        </w:rPr>
      </w:pPr>
      <w:bookmarkStart w:id="319" w:name="_Toc43799726"/>
      <w:bookmarkStart w:id="320" w:name="_Toc46629500"/>
      <w:bookmarkStart w:id="321" w:name="_Toc47348044"/>
      <w:bookmarkStart w:id="322" w:name="_Toc122507938"/>
      <w:bookmarkStart w:id="323" w:name="_Toc122508050"/>
      <w:bookmarkStart w:id="324" w:name="_Toc122508106"/>
      <w:bookmarkStart w:id="325" w:name="_Toc122508162"/>
      <w:bookmarkStart w:id="326" w:name="_Toc122949390"/>
      <w:r>
        <w:rPr>
          <w:sz w:val="24"/>
        </w:rPr>
        <w:t>Provisions applicable to the Caravan Parks and Camping Grounds Advisory Committee</w:t>
      </w:r>
      <w:bookmarkEnd w:id="319"/>
      <w:bookmarkEnd w:id="320"/>
      <w:bookmarkEnd w:id="321"/>
      <w:bookmarkEnd w:id="322"/>
      <w:bookmarkEnd w:id="323"/>
      <w:bookmarkEnd w:id="324"/>
      <w:bookmarkEnd w:id="325"/>
      <w:bookmarkEnd w:id="326"/>
    </w:p>
    <w:p>
      <w:pPr>
        <w:pStyle w:val="yHeading5"/>
        <w:outlineLvl w:val="9"/>
        <w:rPr>
          <w:snapToGrid w:val="0"/>
        </w:rPr>
      </w:pPr>
      <w:bookmarkStart w:id="327" w:name="_Toc47348045"/>
      <w:bookmarkStart w:id="328" w:name="_Toc122508051"/>
      <w:bookmarkStart w:id="329" w:name="_Toc122508107"/>
      <w:bookmarkStart w:id="330" w:name="_Toc122949391"/>
      <w:r>
        <w:rPr>
          <w:snapToGrid w:val="0"/>
        </w:rPr>
        <w:t>1.</w:t>
      </w:r>
      <w:r>
        <w:rPr>
          <w:snapToGrid w:val="0"/>
        </w:rPr>
        <w:tab/>
        <w:t>Interpretation</w:t>
      </w:r>
      <w:bookmarkEnd w:id="327"/>
      <w:bookmarkEnd w:id="328"/>
      <w:bookmarkEnd w:id="329"/>
      <w:bookmarkEnd w:id="330"/>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executive officer</w:t>
      </w:r>
      <w:r>
        <w:rPr>
          <w:b/>
        </w:rPr>
        <w:t>”</w:t>
      </w:r>
      <w:r>
        <w:t xml:space="preserve"> means the person appointed under section 25(2)(b);</w:t>
      </w:r>
    </w:p>
    <w:p>
      <w:pPr>
        <w:pStyle w:val="yDefstart"/>
      </w:pPr>
      <w:r>
        <w:rPr>
          <w:b/>
        </w:rPr>
        <w:tab/>
        <w:t>“</w:t>
      </w:r>
      <w:r>
        <w:rPr>
          <w:rStyle w:val="CharDefText"/>
        </w:rPr>
        <w:t>member</w:t>
      </w:r>
      <w:r>
        <w:rPr>
          <w:b/>
        </w:rPr>
        <w:t>”</w:t>
      </w:r>
      <w:r>
        <w:t xml:space="preserve"> means a member of the Committee.</w:t>
      </w:r>
    </w:p>
    <w:p>
      <w:pPr>
        <w:pStyle w:val="yHeading5"/>
        <w:outlineLvl w:val="9"/>
        <w:rPr>
          <w:snapToGrid w:val="0"/>
        </w:rPr>
      </w:pPr>
      <w:bookmarkStart w:id="331" w:name="_Toc47348046"/>
      <w:bookmarkStart w:id="332" w:name="_Toc122508052"/>
      <w:bookmarkStart w:id="333" w:name="_Toc122508108"/>
      <w:bookmarkStart w:id="334" w:name="_Toc122949392"/>
      <w:r>
        <w:rPr>
          <w:snapToGrid w:val="0"/>
        </w:rPr>
        <w:t>2.</w:t>
      </w:r>
      <w:r>
        <w:rPr>
          <w:snapToGrid w:val="0"/>
        </w:rPr>
        <w:tab/>
        <w:t>Tenure of office</w:t>
      </w:r>
      <w:bookmarkEnd w:id="331"/>
      <w:bookmarkEnd w:id="332"/>
      <w:bookmarkEnd w:id="333"/>
      <w:bookmarkEnd w:id="334"/>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335" w:name="_Toc47348047"/>
      <w:bookmarkStart w:id="336" w:name="_Toc122508053"/>
      <w:bookmarkStart w:id="337" w:name="_Toc122508109"/>
      <w:bookmarkStart w:id="338" w:name="_Toc122949393"/>
      <w:r>
        <w:rPr>
          <w:snapToGrid w:val="0"/>
        </w:rPr>
        <w:t>3.</w:t>
      </w:r>
      <w:r>
        <w:rPr>
          <w:snapToGrid w:val="0"/>
        </w:rPr>
        <w:tab/>
        <w:t>Deputy members</w:t>
      </w:r>
      <w:bookmarkEnd w:id="335"/>
      <w:bookmarkEnd w:id="336"/>
      <w:bookmarkEnd w:id="337"/>
      <w:bookmarkEnd w:id="338"/>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339" w:name="_Toc47348048"/>
      <w:bookmarkStart w:id="340" w:name="_Toc122508054"/>
      <w:bookmarkStart w:id="341" w:name="_Toc122508110"/>
      <w:bookmarkStart w:id="342" w:name="_Toc122949394"/>
      <w:r>
        <w:rPr>
          <w:snapToGrid w:val="0"/>
        </w:rPr>
        <w:t>4.</w:t>
      </w:r>
      <w:r>
        <w:rPr>
          <w:snapToGrid w:val="0"/>
        </w:rPr>
        <w:tab/>
        <w:t>Removal from office</w:t>
      </w:r>
      <w:bookmarkEnd w:id="339"/>
      <w:bookmarkEnd w:id="340"/>
      <w:bookmarkEnd w:id="341"/>
      <w:bookmarkEnd w:id="342"/>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Heading5"/>
        <w:outlineLvl w:val="9"/>
        <w:rPr>
          <w:snapToGrid w:val="0"/>
        </w:rPr>
      </w:pPr>
      <w:bookmarkStart w:id="343" w:name="_Toc47348049"/>
      <w:bookmarkStart w:id="344" w:name="_Toc122508055"/>
      <w:bookmarkStart w:id="345" w:name="_Toc122508111"/>
      <w:bookmarkStart w:id="346" w:name="_Toc122949395"/>
      <w:r>
        <w:rPr>
          <w:snapToGrid w:val="0"/>
        </w:rPr>
        <w:t>5.</w:t>
      </w:r>
      <w:r>
        <w:rPr>
          <w:snapToGrid w:val="0"/>
        </w:rPr>
        <w:tab/>
        <w:t>Chairperson</w:t>
      </w:r>
      <w:bookmarkEnd w:id="343"/>
      <w:bookmarkEnd w:id="344"/>
      <w:bookmarkEnd w:id="345"/>
      <w:bookmarkEnd w:id="346"/>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347" w:name="_Toc47348050"/>
      <w:bookmarkStart w:id="348" w:name="_Toc122508056"/>
      <w:bookmarkStart w:id="349" w:name="_Toc122508112"/>
      <w:bookmarkStart w:id="350" w:name="_Toc122949396"/>
      <w:r>
        <w:rPr>
          <w:snapToGrid w:val="0"/>
        </w:rPr>
        <w:t>6.</w:t>
      </w:r>
      <w:r>
        <w:rPr>
          <w:snapToGrid w:val="0"/>
        </w:rPr>
        <w:tab/>
        <w:t>Meetings</w:t>
      </w:r>
      <w:bookmarkEnd w:id="347"/>
      <w:bookmarkEnd w:id="348"/>
      <w:bookmarkEnd w:id="349"/>
      <w:bookmarkEnd w:id="350"/>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351" w:name="_Toc47348051"/>
      <w:bookmarkStart w:id="352" w:name="_Toc122508057"/>
      <w:bookmarkStart w:id="353" w:name="_Toc122508113"/>
      <w:bookmarkStart w:id="354" w:name="_Toc122949397"/>
      <w:r>
        <w:rPr>
          <w:snapToGrid w:val="0"/>
        </w:rPr>
        <w:t>7.</w:t>
      </w:r>
      <w:r>
        <w:rPr>
          <w:snapToGrid w:val="0"/>
        </w:rPr>
        <w:tab/>
        <w:t>Remuneration</w:t>
      </w:r>
      <w:bookmarkEnd w:id="351"/>
      <w:bookmarkEnd w:id="352"/>
      <w:bookmarkEnd w:id="353"/>
      <w:bookmarkEnd w:id="354"/>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 Minister for Public Sector Management.</w:t>
      </w:r>
    </w:p>
    <w:p>
      <w:pPr>
        <w:pStyle w:val="ySubsection"/>
        <w:rPr>
          <w:snapToGrid w:val="0"/>
        </w:rPr>
      </w:pPr>
      <w:r>
        <w:rPr>
          <w:snapToGrid w:val="0"/>
        </w:rPr>
        <w:tab/>
        <w:t>(2)</w:t>
      </w:r>
      <w:r>
        <w:rPr>
          <w:snapToGrid w:val="0"/>
        </w:rPr>
        <w:tab/>
        <w:t>Subclause (1) does not apply to a person employed in the Public Service of the State.</w:t>
      </w:r>
    </w:p>
    <w:p>
      <w:pPr>
        <w:pStyle w:val="yFootnotesection"/>
      </w:pPr>
      <w:r>
        <w:tab/>
        <w:t>[Schedule 1 amended by No. 10 of 2001 s. 220.]</w:t>
      </w:r>
    </w:p>
    <w:p>
      <w:pPr>
        <w:pStyle w:val="yScheduleHeading"/>
      </w:pPr>
      <w:bookmarkStart w:id="355" w:name="_Toc47348052"/>
      <w:bookmarkStart w:id="356" w:name="_Toc122507946"/>
      <w:bookmarkStart w:id="357" w:name="_Toc122508058"/>
      <w:bookmarkStart w:id="358" w:name="_Toc122508114"/>
      <w:bookmarkStart w:id="359" w:name="_Toc122508170"/>
      <w:bookmarkStart w:id="360" w:name="_Toc122949398"/>
      <w:r>
        <w:rPr>
          <w:rStyle w:val="CharSchNo"/>
        </w:rPr>
        <w:t>Schedule 2</w:t>
      </w:r>
      <w:bookmarkEnd w:id="355"/>
      <w:bookmarkEnd w:id="356"/>
      <w:bookmarkEnd w:id="357"/>
      <w:bookmarkEnd w:id="358"/>
      <w:bookmarkEnd w:id="359"/>
      <w:bookmarkEnd w:id="360"/>
      <w:r>
        <w:rPr>
          <w:rStyle w:val="CharSchNo"/>
        </w:rPr>
        <w:t xml:space="preserve"> </w:t>
      </w:r>
    </w:p>
    <w:p>
      <w:pPr>
        <w:pStyle w:val="yShoulderClause"/>
        <w:rPr>
          <w:snapToGrid w:val="0"/>
        </w:rPr>
      </w:pPr>
      <w:r>
        <w:rPr>
          <w:snapToGrid w:val="0"/>
        </w:rPr>
        <w:t>[Section 33]</w:t>
      </w:r>
    </w:p>
    <w:p>
      <w:pPr>
        <w:pStyle w:val="MiscellaneousHeading"/>
        <w:rPr>
          <w:b/>
          <w:snapToGrid w:val="0"/>
        </w:rPr>
      </w:pPr>
      <w:r>
        <w:rPr>
          <w:b/>
          <w:snapToGrid w:val="0"/>
        </w:rPr>
        <w:t>Consequential amendments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3969"/>
      </w:tblGrid>
      <w:tr>
        <w:trPr>
          <w:cantSplit/>
          <w:tblHeader/>
        </w:trPr>
        <w:tc>
          <w:tcPr>
            <w:tcW w:w="567" w:type="dxa"/>
            <w:tcBorders>
              <w:top w:val="nil"/>
              <w:left w:val="nil"/>
              <w:bottom w:val="nil"/>
              <w:right w:val="nil"/>
            </w:tcBorders>
          </w:tcPr>
          <w:p>
            <w:pPr>
              <w:pStyle w:val="YTable"/>
              <w:rPr>
                <w:b/>
                <w:sz w:val="18"/>
              </w:rPr>
            </w:pPr>
          </w:p>
        </w:tc>
        <w:tc>
          <w:tcPr>
            <w:tcW w:w="2552" w:type="dxa"/>
            <w:tcBorders>
              <w:top w:val="nil"/>
              <w:left w:val="nil"/>
              <w:bottom w:val="nil"/>
              <w:right w:val="nil"/>
            </w:tcBorders>
          </w:tcPr>
          <w:p>
            <w:pPr>
              <w:pStyle w:val="YTable"/>
              <w:rPr>
                <w:b/>
                <w:sz w:val="18"/>
              </w:rPr>
            </w:pPr>
            <w:r>
              <w:rPr>
                <w:b/>
                <w:sz w:val="18"/>
              </w:rPr>
              <w:t>Short title of Act</w:t>
            </w:r>
          </w:p>
        </w:tc>
        <w:tc>
          <w:tcPr>
            <w:tcW w:w="3969" w:type="dxa"/>
            <w:tcBorders>
              <w:top w:val="nil"/>
              <w:left w:val="nil"/>
              <w:bottom w:val="nil"/>
              <w:right w:val="nil"/>
            </w:tcBorders>
          </w:tcPr>
          <w:p>
            <w:pPr>
              <w:pStyle w:val="YTable"/>
              <w:rPr>
                <w:b/>
                <w:sz w:val="18"/>
              </w:rPr>
            </w:pPr>
            <w:r>
              <w:rPr>
                <w:b/>
                <w:sz w:val="18"/>
              </w:rPr>
              <w:t>Amendment</w:t>
            </w:r>
          </w:p>
        </w:tc>
      </w:tr>
      <w:tr>
        <w:trPr>
          <w:cantSplit/>
          <w:trHeight w:val="1575"/>
        </w:trPr>
        <w:tc>
          <w:tcPr>
            <w:tcW w:w="567" w:type="dxa"/>
            <w:tcBorders>
              <w:top w:val="nil"/>
              <w:left w:val="nil"/>
              <w:bottom w:val="nil"/>
              <w:right w:val="nil"/>
            </w:tcBorders>
          </w:tcPr>
          <w:p>
            <w:pPr>
              <w:pStyle w:val="YTable"/>
              <w:rPr>
                <w:sz w:val="18"/>
              </w:rPr>
            </w:pPr>
            <w:r>
              <w:rPr>
                <w:sz w:val="18"/>
              </w:rPr>
              <w:t>1.</w:t>
            </w:r>
          </w:p>
        </w:tc>
        <w:tc>
          <w:tcPr>
            <w:tcW w:w="2552" w:type="dxa"/>
            <w:tcBorders>
              <w:top w:val="nil"/>
              <w:left w:val="nil"/>
              <w:bottom w:val="nil"/>
              <w:right w:val="nil"/>
            </w:tcBorders>
          </w:tcPr>
          <w:p>
            <w:pPr>
              <w:pStyle w:val="YTable"/>
              <w:rPr>
                <w:i/>
                <w:sz w:val="18"/>
              </w:rPr>
            </w:pPr>
            <w:r>
              <w:rPr>
                <w:i/>
                <w:sz w:val="18"/>
              </w:rPr>
              <w:t>Constitution Acts Amendment Act 1899</w:t>
            </w:r>
          </w:p>
        </w:tc>
        <w:tc>
          <w:tcPr>
            <w:tcW w:w="3969" w:type="dxa"/>
            <w:tcBorders>
              <w:top w:val="nil"/>
              <w:left w:val="nil"/>
              <w:bottom w:val="nil"/>
              <w:right w:val="nil"/>
            </w:tcBorders>
          </w:tcPr>
          <w:p>
            <w:pPr>
              <w:pStyle w:val="YTable"/>
              <w:rPr>
                <w:sz w:val="18"/>
              </w:rPr>
            </w:pPr>
            <w:r>
              <w:rPr>
                <w:sz w:val="18"/>
              </w:rPr>
              <w:t>In Part 3 of Schedule V insert in the appropriate alphabetical position the following </w:t>
            </w:r>
            <w:r>
              <w:t>—</w:t>
            </w:r>
            <w:r>
              <w:rPr>
                <w:sz w:val="18"/>
              </w:rPr>
              <w:t> </w:t>
            </w:r>
          </w:p>
          <w:p>
            <w:pPr>
              <w:pStyle w:val="YTable"/>
              <w:ind w:left="742" w:right="176" w:hanging="425"/>
              <w:rPr>
                <w:sz w:val="18"/>
              </w:rPr>
            </w:pPr>
            <w:r>
              <w:rPr>
                <w:sz w:val="18"/>
              </w:rPr>
              <w:t>“</w:t>
            </w:r>
            <w:r>
              <w:rPr>
                <w:sz w:val="18"/>
              </w:rPr>
              <w:tab/>
              <w:t xml:space="preserve">The Caravan Parks and Camping Grounds Advisory Committee established under the </w:t>
            </w:r>
            <w:r>
              <w:rPr>
                <w:i/>
                <w:sz w:val="18"/>
              </w:rPr>
              <w:t>Caravan Parks and Camping Grounds Act 1995</w:t>
            </w:r>
            <w:r>
              <w:rPr>
                <w:sz w:val="18"/>
              </w:rPr>
              <w:t>.       ”.</w:t>
            </w:r>
          </w:p>
        </w:tc>
      </w:tr>
      <w:tr>
        <w:trPr>
          <w:cantSplit/>
        </w:trPr>
        <w:tc>
          <w:tcPr>
            <w:tcW w:w="567" w:type="dxa"/>
            <w:tcBorders>
              <w:top w:val="nil"/>
              <w:left w:val="nil"/>
              <w:bottom w:val="nil"/>
              <w:right w:val="nil"/>
            </w:tcBorders>
          </w:tcPr>
          <w:p>
            <w:pPr>
              <w:pStyle w:val="YTable"/>
              <w:rPr>
                <w:sz w:val="18"/>
              </w:rPr>
            </w:pPr>
            <w:r>
              <w:rPr>
                <w:sz w:val="18"/>
              </w:rPr>
              <w:t>2.</w:t>
            </w:r>
          </w:p>
        </w:tc>
        <w:tc>
          <w:tcPr>
            <w:tcW w:w="2552" w:type="dxa"/>
            <w:tcBorders>
              <w:top w:val="nil"/>
              <w:left w:val="nil"/>
              <w:bottom w:val="nil"/>
              <w:right w:val="nil"/>
            </w:tcBorders>
          </w:tcPr>
          <w:p>
            <w:pPr>
              <w:pStyle w:val="YTable"/>
              <w:rPr>
                <w:i/>
                <w:sz w:val="18"/>
              </w:rPr>
            </w:pPr>
            <w:r>
              <w:rPr>
                <w:i/>
                <w:sz w:val="18"/>
              </w:rPr>
              <w:t>Health Act 1911</w:t>
            </w:r>
          </w:p>
        </w:tc>
        <w:tc>
          <w:tcPr>
            <w:tcW w:w="3969" w:type="dxa"/>
            <w:tcBorders>
              <w:top w:val="nil"/>
              <w:left w:val="nil"/>
              <w:bottom w:val="nil"/>
              <w:right w:val="nil"/>
            </w:tcBorders>
          </w:tcPr>
          <w:p>
            <w:pPr>
              <w:pStyle w:val="YTable"/>
              <w:rPr>
                <w:sz w:val="18"/>
              </w:rPr>
            </w:pPr>
            <w:r>
              <w:rPr>
                <w:sz w:val="18"/>
              </w:rPr>
              <w:t>Section 343(6) is repealed.</w:t>
            </w:r>
          </w:p>
        </w:tc>
      </w:tr>
      <w:tr>
        <w:trPr>
          <w:cantSplit/>
        </w:trPr>
        <w:tc>
          <w:tcPr>
            <w:tcW w:w="567" w:type="dxa"/>
            <w:tcBorders>
              <w:top w:val="nil"/>
              <w:left w:val="nil"/>
              <w:bottom w:val="nil"/>
              <w:right w:val="nil"/>
            </w:tcBorders>
          </w:tcPr>
          <w:p>
            <w:pPr>
              <w:pStyle w:val="YTable"/>
              <w:rPr>
                <w:i/>
                <w:sz w:val="18"/>
              </w:rPr>
            </w:pPr>
            <w:r>
              <w:rPr>
                <w:i/>
                <w:sz w:val="18"/>
              </w:rPr>
              <w:t>[3.</w:t>
            </w:r>
          </w:p>
        </w:tc>
        <w:tc>
          <w:tcPr>
            <w:tcW w:w="2552" w:type="dxa"/>
            <w:tcBorders>
              <w:top w:val="nil"/>
              <w:left w:val="nil"/>
              <w:bottom w:val="nil"/>
              <w:right w:val="nil"/>
            </w:tcBorders>
          </w:tcPr>
          <w:p>
            <w:pPr>
              <w:pStyle w:val="YTable"/>
              <w:rPr>
                <w:i/>
                <w:sz w:val="18"/>
              </w:rPr>
            </w:pPr>
            <w:r>
              <w:rPr>
                <w:i/>
                <w:sz w:val="18"/>
              </w:rPr>
              <w:t xml:space="preserve">Not in operation </w:t>
            </w:r>
            <w:r>
              <w:rPr>
                <w:i/>
                <w:sz w:val="18"/>
                <w:vertAlign w:val="superscript"/>
              </w:rPr>
              <w:t>1a</w:t>
            </w:r>
            <w:r>
              <w:rPr>
                <w:i/>
                <w:sz w:val="18"/>
              </w:rPr>
              <w:t>]</w:t>
            </w:r>
          </w:p>
        </w:tc>
        <w:tc>
          <w:tcPr>
            <w:tcW w:w="3969" w:type="dxa"/>
            <w:tcBorders>
              <w:top w:val="nil"/>
              <w:left w:val="nil"/>
              <w:bottom w:val="nil"/>
              <w:right w:val="nil"/>
            </w:tcBorders>
          </w:tcPr>
          <w:p>
            <w:pPr>
              <w:pStyle w:val="YTable"/>
              <w:rPr>
                <w:sz w:val="18"/>
              </w:rPr>
            </w:pPr>
          </w:p>
        </w:tc>
      </w:tr>
      <w:tr>
        <w:trPr>
          <w:cantSplit/>
        </w:trPr>
        <w:tc>
          <w:tcPr>
            <w:tcW w:w="567" w:type="dxa"/>
            <w:tcBorders>
              <w:top w:val="nil"/>
              <w:left w:val="nil"/>
              <w:bottom w:val="nil"/>
              <w:right w:val="nil"/>
            </w:tcBorders>
          </w:tcPr>
          <w:p>
            <w:pPr>
              <w:pStyle w:val="YTable"/>
              <w:rPr>
                <w:sz w:val="18"/>
              </w:rPr>
            </w:pPr>
            <w:r>
              <w:rPr>
                <w:sz w:val="18"/>
              </w:rPr>
              <w:t>4.</w:t>
            </w:r>
          </w:p>
        </w:tc>
        <w:tc>
          <w:tcPr>
            <w:tcW w:w="2552" w:type="dxa"/>
            <w:tcBorders>
              <w:top w:val="nil"/>
              <w:left w:val="nil"/>
              <w:bottom w:val="nil"/>
              <w:right w:val="nil"/>
            </w:tcBorders>
          </w:tcPr>
          <w:p>
            <w:pPr>
              <w:pStyle w:val="YTable"/>
              <w:rPr>
                <w:i/>
                <w:sz w:val="18"/>
              </w:rPr>
            </w:pPr>
            <w:r>
              <w:rPr>
                <w:i/>
                <w:sz w:val="18"/>
              </w:rPr>
              <w:t>Local Government (Miscellaneous Provisions) Act 1960</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 section 373 </w:t>
            </w:r>
            <w:r>
              <w:t>—</w:t>
            </w:r>
            <w:r>
              <w:rPr>
                <w:sz w:val="18"/>
              </w:rPr>
              <w:t> </w:t>
            </w:r>
          </w:p>
          <w:p>
            <w:pPr>
              <w:pStyle w:val="YTable"/>
              <w:tabs>
                <w:tab w:val="left" w:pos="317"/>
                <w:tab w:val="left" w:pos="884"/>
                <w:tab w:val="left" w:pos="1451"/>
                <w:tab w:val="right" w:pos="3577"/>
              </w:tabs>
              <w:ind w:left="884" w:hanging="884"/>
              <w:rPr>
                <w:sz w:val="18"/>
              </w:rPr>
            </w:pPr>
            <w:r>
              <w:rPr>
                <w:sz w:val="18"/>
              </w:rPr>
              <w:tab/>
              <w:t>(a)</w:t>
            </w:r>
            <w:r>
              <w:rPr>
                <w:sz w:val="18"/>
              </w:rPr>
              <w:tab/>
              <w:t>in subsection (1) delete “and (3)” and insert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p>
            <w:pPr>
              <w:pStyle w:val="YTable"/>
              <w:tabs>
                <w:tab w:val="left" w:pos="317"/>
                <w:tab w:val="left" w:pos="884"/>
                <w:tab w:val="left" w:pos="1451"/>
                <w:tab w:val="right" w:pos="3577"/>
              </w:tabs>
              <w:ind w:left="884" w:hanging="884"/>
              <w:rPr>
                <w:sz w:val="18"/>
              </w:rPr>
            </w:pPr>
            <w:r>
              <w:rPr>
                <w:sz w:val="18"/>
              </w:rPr>
              <w:tab/>
              <w:t>(b)</w:t>
            </w:r>
            <w:r>
              <w:rPr>
                <w:sz w:val="18"/>
              </w:rPr>
              <w:tab/>
              <w:t>insert after subsection (3) the following subsection </w:t>
            </w:r>
            <w:r>
              <w:t>—</w:t>
            </w:r>
            <w:r>
              <w:rPr>
                <w:sz w:val="18"/>
              </w:rPr>
              <w:t> </w:t>
            </w:r>
          </w:p>
          <w:p>
            <w:pPr>
              <w:pStyle w:val="YTable"/>
              <w:tabs>
                <w:tab w:val="left" w:pos="317"/>
                <w:tab w:val="left" w:pos="884"/>
                <w:tab w:val="left" w:pos="1309"/>
                <w:tab w:val="right" w:pos="3719"/>
              </w:tabs>
              <w:ind w:left="1735" w:right="34" w:hanging="1735"/>
              <w:rPr>
                <w:sz w:val="18"/>
              </w:rPr>
            </w:pPr>
            <w:r>
              <w:rPr>
                <w:sz w:val="18"/>
              </w:rPr>
              <w:tab/>
            </w:r>
            <w:r>
              <w:rPr>
                <w:sz w:val="18"/>
              </w:rPr>
              <w:tab/>
              <w:t>“</w:t>
            </w:r>
            <w:r>
              <w:rPr>
                <w:sz w:val="18"/>
              </w:rPr>
              <w:tab/>
              <w:t xml:space="preserve">(3a) </w:t>
            </w:r>
            <w:r>
              <w:rPr>
                <w:sz w:val="18"/>
              </w:rPr>
              <w:tab/>
              <w:t xml:space="preserve">This Part does not apply to a park home or an annexe, as those terms are defined in the </w:t>
            </w:r>
            <w:r>
              <w:rPr>
                <w:i/>
                <w:sz w:val="18"/>
              </w:rPr>
              <w:t>Caravan Parks and Camping Grounds Act 1995</w:t>
            </w:r>
            <w:r>
              <w:rPr>
                <w:sz w:val="18"/>
              </w:rPr>
              <w:t>.</w:t>
            </w:r>
            <w:r>
              <w:rPr>
                <w:sz w:val="18"/>
              </w:rPr>
              <w:tab/>
              <w:t>”;</w:t>
            </w:r>
          </w:p>
          <w:p>
            <w:pPr>
              <w:pStyle w:val="YTable"/>
              <w:tabs>
                <w:tab w:val="left" w:pos="317"/>
                <w:tab w:val="left" w:pos="884"/>
                <w:tab w:val="left" w:pos="1451"/>
                <w:tab w:val="right" w:pos="3577"/>
              </w:tabs>
              <w:rPr>
                <w:sz w:val="18"/>
              </w:rPr>
            </w:pPr>
            <w:r>
              <w:rPr>
                <w:sz w:val="18"/>
              </w:rPr>
              <w:tab/>
            </w:r>
            <w:r>
              <w:rPr>
                <w:sz w:val="18"/>
              </w:rPr>
              <w:tab/>
              <w:t>and</w:t>
            </w:r>
          </w:p>
          <w:p>
            <w:pPr>
              <w:pStyle w:val="YTable"/>
              <w:tabs>
                <w:tab w:val="left" w:pos="317"/>
                <w:tab w:val="left" w:pos="884"/>
                <w:tab w:val="left" w:pos="1451"/>
                <w:tab w:val="right" w:pos="3577"/>
              </w:tabs>
              <w:ind w:left="884" w:hanging="884"/>
              <w:rPr>
                <w:sz w:val="18"/>
              </w:rPr>
            </w:pPr>
            <w:r>
              <w:rPr>
                <w:sz w:val="18"/>
              </w:rPr>
              <w:tab/>
              <w:t xml:space="preserve">(c) </w:t>
            </w:r>
            <w:r>
              <w:rPr>
                <w:sz w:val="18"/>
              </w:rPr>
              <w:tab/>
              <w:t>in subsection (4) delete “and (3)” and substitute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tc>
      </w:tr>
      <w:tr>
        <w:trPr>
          <w:cantSplit/>
          <w:trHeight w:val="1574"/>
        </w:trPr>
        <w:tc>
          <w:tcPr>
            <w:tcW w:w="567" w:type="dxa"/>
            <w:tcBorders>
              <w:top w:val="nil"/>
              <w:left w:val="nil"/>
              <w:bottom w:val="nil"/>
              <w:right w:val="nil"/>
            </w:tcBorders>
          </w:tcPr>
          <w:p>
            <w:pPr>
              <w:pStyle w:val="YTable"/>
              <w:keepLines/>
              <w:rPr>
                <w:sz w:val="18"/>
              </w:rPr>
            </w:pPr>
            <w:r>
              <w:rPr>
                <w:sz w:val="18"/>
              </w:rPr>
              <w:t>5.</w:t>
            </w:r>
          </w:p>
        </w:tc>
        <w:tc>
          <w:tcPr>
            <w:tcW w:w="2552" w:type="dxa"/>
            <w:tcBorders>
              <w:top w:val="nil"/>
              <w:left w:val="nil"/>
              <w:bottom w:val="nil"/>
              <w:right w:val="nil"/>
            </w:tcBorders>
          </w:tcPr>
          <w:p>
            <w:pPr>
              <w:pStyle w:val="YTable"/>
              <w:keepNext/>
              <w:keepLines/>
              <w:rPr>
                <w:i/>
                <w:sz w:val="18"/>
              </w:rPr>
            </w:pPr>
            <w:r>
              <w:rPr>
                <w:i/>
                <w:sz w:val="18"/>
              </w:rPr>
              <w:t>Parliamentary Commissioner Act 1971</w:t>
            </w:r>
          </w:p>
        </w:tc>
        <w:tc>
          <w:tcPr>
            <w:tcW w:w="3969" w:type="dxa"/>
            <w:tcBorders>
              <w:top w:val="nil"/>
              <w:left w:val="nil"/>
              <w:bottom w:val="nil"/>
              <w:right w:val="nil"/>
            </w:tcBorders>
          </w:tcPr>
          <w:p>
            <w:pPr>
              <w:pStyle w:val="YTable"/>
              <w:keepNext/>
              <w:tabs>
                <w:tab w:val="left" w:pos="317"/>
                <w:tab w:val="right" w:pos="3577"/>
              </w:tabs>
              <w:rPr>
                <w:sz w:val="18"/>
              </w:rPr>
            </w:pPr>
            <w:r>
              <w:rPr>
                <w:sz w:val="18"/>
              </w:rPr>
              <w:t>In the Schedule insert in the appropriate alphabetical position the following </w:t>
            </w:r>
            <w:r>
              <w:t>—</w:t>
            </w:r>
            <w:r>
              <w:rPr>
                <w:sz w:val="18"/>
              </w:rPr>
              <w:t> </w:t>
            </w:r>
          </w:p>
          <w:p>
            <w:pPr>
              <w:pStyle w:val="YTable"/>
              <w:keepNext/>
              <w:tabs>
                <w:tab w:val="left" w:pos="317"/>
                <w:tab w:val="right" w:pos="3719"/>
              </w:tabs>
              <w:ind w:left="720" w:hanging="720"/>
              <w:rPr>
                <w:sz w:val="18"/>
              </w:rPr>
            </w:pPr>
            <w:r>
              <w:rPr>
                <w:sz w:val="18"/>
              </w:rPr>
              <w:tab/>
              <w:t>“</w:t>
            </w:r>
            <w:r>
              <w:rPr>
                <w:sz w:val="18"/>
              </w:rPr>
              <w:tab/>
              <w:t xml:space="preserve">The Caravan Parks and Camping Grounds Advisory Committee established under the </w:t>
            </w:r>
            <w:r>
              <w:rPr>
                <w:i/>
                <w:sz w:val="18"/>
              </w:rPr>
              <w:t>Caravan Parks and Camping Grounds Act 1995</w:t>
            </w:r>
            <w:r>
              <w:rPr>
                <w:sz w:val="18"/>
              </w:rPr>
              <w:t xml:space="preserve">. </w:t>
            </w:r>
            <w:r>
              <w:rPr>
                <w:sz w:val="18"/>
              </w:rPr>
              <w:tab/>
              <w:t>”.</w:t>
            </w:r>
          </w:p>
        </w:tc>
      </w:tr>
      <w:tr>
        <w:trPr>
          <w:cantSplit/>
        </w:trPr>
        <w:tc>
          <w:tcPr>
            <w:tcW w:w="567" w:type="dxa"/>
            <w:tcBorders>
              <w:top w:val="nil"/>
              <w:left w:val="nil"/>
              <w:bottom w:val="nil"/>
              <w:right w:val="nil"/>
            </w:tcBorders>
          </w:tcPr>
          <w:p>
            <w:pPr>
              <w:pStyle w:val="YTable"/>
              <w:rPr>
                <w:sz w:val="18"/>
              </w:rPr>
            </w:pPr>
            <w:r>
              <w:rPr>
                <w:sz w:val="18"/>
              </w:rPr>
              <w:t>6.</w:t>
            </w:r>
          </w:p>
        </w:tc>
        <w:tc>
          <w:tcPr>
            <w:tcW w:w="2552" w:type="dxa"/>
            <w:tcBorders>
              <w:top w:val="nil"/>
              <w:left w:val="nil"/>
              <w:bottom w:val="nil"/>
              <w:right w:val="nil"/>
            </w:tcBorders>
          </w:tcPr>
          <w:p>
            <w:pPr>
              <w:pStyle w:val="YTable"/>
              <w:rPr>
                <w:i/>
                <w:sz w:val="18"/>
              </w:rPr>
            </w:pPr>
            <w:r>
              <w:rPr>
                <w:i/>
                <w:sz w:val="18"/>
              </w:rPr>
              <w:t>Residential Tenancies Act 1987</w:t>
            </w:r>
          </w:p>
        </w:tc>
        <w:tc>
          <w:tcPr>
            <w:tcW w:w="3969" w:type="dxa"/>
            <w:tcBorders>
              <w:top w:val="nil"/>
              <w:left w:val="nil"/>
              <w:bottom w:val="nil"/>
              <w:right w:val="nil"/>
            </w:tcBorders>
          </w:tcPr>
          <w:p>
            <w:pPr>
              <w:pStyle w:val="YTable"/>
              <w:tabs>
                <w:tab w:val="left" w:pos="317"/>
                <w:tab w:val="right" w:pos="3577"/>
              </w:tabs>
              <w:rPr>
                <w:sz w:val="18"/>
              </w:rPr>
            </w:pPr>
            <w:r>
              <w:rPr>
                <w:sz w:val="18"/>
              </w:rPr>
              <w:t>After section 5(4) insert the following subsection </w:t>
            </w:r>
            <w:r>
              <w:t>—</w:t>
            </w:r>
            <w:r>
              <w:rPr>
                <w:sz w:val="18"/>
              </w:rPr>
              <w:t> </w:t>
            </w:r>
          </w:p>
          <w:p>
            <w:pPr>
              <w:pStyle w:val="YTable"/>
              <w:tabs>
                <w:tab w:val="left" w:pos="317"/>
                <w:tab w:val="right" w:pos="3719"/>
              </w:tabs>
              <w:ind w:left="720" w:hanging="720"/>
              <w:rPr>
                <w:sz w:val="18"/>
              </w:rPr>
            </w:pPr>
            <w:r>
              <w:rPr>
                <w:sz w:val="18"/>
              </w:rPr>
              <w:t>“</w:t>
            </w:r>
            <w:r>
              <w:rPr>
                <w:sz w:val="18"/>
              </w:rPr>
              <w:tab/>
              <w:t xml:space="preserve">(5) </w:t>
            </w:r>
            <w:r>
              <w:rPr>
                <w:sz w:val="18"/>
              </w:rPr>
              <w:tab/>
              <w:t xml:space="preserve">This Act applies to a site at a caravan park, within the meaning of the </w:t>
            </w:r>
            <w:r>
              <w:rPr>
                <w:i/>
                <w:sz w:val="18"/>
              </w:rPr>
              <w:t>Caravan Parks and Camping Grounds Act 1995</w:t>
            </w:r>
            <w:r>
              <w:rPr>
                <w:sz w:val="18"/>
              </w:rPr>
              <w:t xml:space="preserve"> (whether or not a caravan, within the meaning of that Act, is situated on that site) as if the site was residential premises for the purposes of this Act.</w:t>
            </w:r>
            <w:r>
              <w:rPr>
                <w:sz w:val="18"/>
              </w:rPr>
              <w:tab/>
              <w:t>”.</w:t>
            </w:r>
          </w:p>
        </w:tc>
      </w:tr>
      <w:tr>
        <w:trPr>
          <w:cantSplit/>
        </w:trPr>
        <w:tc>
          <w:tcPr>
            <w:tcW w:w="567" w:type="dxa"/>
            <w:tcBorders>
              <w:top w:val="nil"/>
              <w:left w:val="nil"/>
              <w:bottom w:val="nil"/>
              <w:right w:val="nil"/>
            </w:tcBorders>
          </w:tcPr>
          <w:p>
            <w:pPr>
              <w:pStyle w:val="YTable"/>
              <w:rPr>
                <w:sz w:val="18"/>
              </w:rPr>
            </w:pPr>
            <w:r>
              <w:rPr>
                <w:sz w:val="18"/>
              </w:rPr>
              <w:t>7.</w:t>
            </w:r>
          </w:p>
        </w:tc>
        <w:tc>
          <w:tcPr>
            <w:tcW w:w="2552" w:type="dxa"/>
            <w:tcBorders>
              <w:top w:val="nil"/>
              <w:left w:val="nil"/>
              <w:bottom w:val="nil"/>
              <w:right w:val="nil"/>
            </w:tcBorders>
          </w:tcPr>
          <w:p>
            <w:pPr>
              <w:pStyle w:val="YTable"/>
              <w:rPr>
                <w:i/>
                <w:sz w:val="18"/>
              </w:rPr>
            </w:pPr>
            <w:r>
              <w:rPr>
                <w:i/>
                <w:sz w:val="18"/>
              </w:rPr>
              <w:t>Strata Titles Act 1985</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Insert after section 123 the following section </w:t>
            </w:r>
            <w:r>
              <w:t>—</w:t>
            </w:r>
            <w:r>
              <w:rPr>
                <w:sz w:val="18"/>
              </w:rPr>
              <w:t> </w:t>
            </w:r>
          </w:p>
          <w:p>
            <w:pPr>
              <w:pStyle w:val="YTable"/>
              <w:tabs>
                <w:tab w:val="left" w:pos="175"/>
                <w:tab w:val="left" w:pos="884"/>
                <w:tab w:val="left" w:pos="1451"/>
                <w:tab w:val="right" w:pos="3577"/>
              </w:tabs>
              <w:ind w:left="720" w:hanging="720"/>
              <w:rPr>
                <w:b/>
                <w:sz w:val="18"/>
              </w:rPr>
            </w:pPr>
            <w:r>
              <w:rPr>
                <w:sz w:val="18"/>
              </w:rPr>
              <w:t>“</w:t>
            </w:r>
            <w:r>
              <w:rPr>
                <w:sz w:val="18"/>
              </w:rPr>
              <w:tab/>
            </w:r>
            <w:r>
              <w:rPr>
                <w:b/>
                <w:sz w:val="18"/>
              </w:rPr>
              <w:t>123A.</w:t>
            </w:r>
            <w:r>
              <w:rPr>
                <w:b/>
                <w:sz w:val="18"/>
              </w:rPr>
              <w:tab/>
              <w:t>Caravan and camping areas not to be subdivided</w:t>
            </w:r>
          </w:p>
          <w:p>
            <w:pPr>
              <w:pStyle w:val="YTable"/>
              <w:tabs>
                <w:tab w:val="left" w:pos="317"/>
                <w:tab w:val="left" w:pos="884"/>
                <w:tab w:val="left" w:pos="1451"/>
                <w:tab w:val="right" w:pos="3577"/>
              </w:tabs>
              <w:ind w:left="720" w:hanging="720"/>
              <w:rPr>
                <w:sz w:val="18"/>
              </w:rPr>
            </w:pPr>
            <w:r>
              <w:rPr>
                <w:sz w:val="18"/>
              </w:rPr>
              <w:tab/>
              <w:t>(1)</w:t>
            </w:r>
            <w:r>
              <w:rPr>
                <w:sz w:val="18"/>
              </w:rPr>
              <w:tab/>
              <w:t>Land in respect of which </w:t>
            </w:r>
            <w:r>
              <w:t>—</w:t>
            </w:r>
            <w:r>
              <w:rPr>
                <w:sz w:val="18"/>
              </w:rPr>
              <w:t> </w:t>
            </w:r>
          </w:p>
          <w:p>
            <w:pPr>
              <w:pStyle w:val="YTable"/>
              <w:tabs>
                <w:tab w:val="left" w:pos="317"/>
                <w:tab w:val="left" w:pos="884"/>
                <w:tab w:val="left" w:pos="1451"/>
                <w:tab w:val="right" w:pos="3577"/>
              </w:tabs>
              <w:ind w:left="1168" w:hanging="426"/>
              <w:rPr>
                <w:sz w:val="18"/>
              </w:rPr>
            </w:pPr>
            <w:r>
              <w:rPr>
                <w:sz w:val="18"/>
              </w:rPr>
              <w:t>(a)</w:t>
            </w:r>
            <w:r>
              <w:rPr>
                <w:sz w:val="18"/>
              </w:rPr>
              <w:tab/>
              <w:t xml:space="preserve">a licence is held under the </w:t>
            </w:r>
            <w:r>
              <w:rPr>
                <w:i/>
                <w:sz w:val="18"/>
              </w:rPr>
              <w:t>Caravan Parks and Camping Grounds Act 1995</w:t>
            </w:r>
            <w:r>
              <w:rPr>
                <w:sz w:val="18"/>
              </w:rPr>
              <w:t>; or</w:t>
            </w:r>
          </w:p>
          <w:p>
            <w:pPr>
              <w:pStyle w:val="YTable"/>
              <w:tabs>
                <w:tab w:val="left" w:pos="317"/>
                <w:tab w:val="left" w:pos="884"/>
                <w:tab w:val="left" w:pos="1451"/>
                <w:tab w:val="right" w:pos="3577"/>
              </w:tabs>
              <w:ind w:left="1168" w:hanging="426"/>
              <w:rPr>
                <w:sz w:val="18"/>
              </w:rPr>
            </w:pPr>
            <w:r>
              <w:rPr>
                <w:sz w:val="18"/>
              </w:rPr>
              <w:t>(b)</w:t>
            </w:r>
            <w:r>
              <w:rPr>
                <w:sz w:val="18"/>
              </w:rPr>
              <w:tab/>
              <w:t>it is proposed to establish a caravan park or a camping ground,</w:t>
            </w:r>
          </w:p>
          <w:p>
            <w:pPr>
              <w:pStyle w:val="YTable"/>
              <w:tabs>
                <w:tab w:val="left" w:pos="317"/>
                <w:tab w:val="left" w:pos="884"/>
                <w:tab w:val="left" w:pos="1451"/>
                <w:tab w:val="right" w:pos="3577"/>
              </w:tabs>
              <w:ind w:left="742" w:hanging="425"/>
              <w:rPr>
                <w:sz w:val="18"/>
              </w:rPr>
            </w:pPr>
            <w:r>
              <w:rPr>
                <w:sz w:val="18"/>
              </w:rPr>
              <w:tab/>
              <w:t>is not to be subdivided or re</w:t>
            </w:r>
            <w:r>
              <w:rPr>
                <w:sz w:val="18"/>
              </w:rPr>
              <w:noBreakHyphen/>
              <w:t>subdivided under this Act where that subdivision or re</w:t>
            </w:r>
            <w:r>
              <w:rPr>
                <w:sz w:val="18"/>
              </w:rPr>
              <w:noBreakHyphen/>
              <w:t>subdivision would result in there being a caravan park on more than one lot, a camping ground on more than one lot or a caravan park and camping ground on more than one lot.</w:t>
            </w:r>
          </w:p>
          <w:p>
            <w:pPr>
              <w:pStyle w:val="YTable"/>
              <w:tabs>
                <w:tab w:val="left" w:pos="317"/>
                <w:tab w:val="left" w:pos="742"/>
                <w:tab w:val="left" w:pos="1451"/>
                <w:tab w:val="right" w:pos="3577"/>
              </w:tabs>
              <w:ind w:left="742" w:hanging="742"/>
              <w:rPr>
                <w:sz w:val="18"/>
              </w:rPr>
            </w:pPr>
            <w:r>
              <w:rPr>
                <w:sz w:val="18"/>
              </w:rPr>
              <w:tab/>
              <w:t>(2)</w:t>
            </w:r>
            <w:r>
              <w:rPr>
                <w:sz w:val="18"/>
              </w:rPr>
              <w:tab/>
            </w:r>
            <w:r>
              <w:rPr>
                <w:spacing w:val="-2"/>
                <w:sz w:val="18"/>
              </w:rPr>
              <w:t>Despite subsection (1), land referred to in subsection (1)(a) may be re</w:t>
            </w:r>
            <w:r>
              <w:rPr>
                <w:spacing w:val="-2"/>
                <w:sz w:val="18"/>
              </w:rPr>
              <w:noBreakHyphen/>
              <w:t>subdivided where that re</w:t>
            </w:r>
            <w:r>
              <w:rPr>
                <w:spacing w:val="-2"/>
                <w:sz w:val="18"/>
              </w:rPr>
              <w:noBreakHyphen/>
              <w:t>subdivision would not result in the land being re</w:t>
            </w:r>
            <w:r>
              <w:rPr>
                <w:sz w:val="18"/>
              </w:rPr>
              <w:noBreakHyphen/>
            </w:r>
            <w:r>
              <w:rPr>
                <w:spacing w:val="-2"/>
                <w:sz w:val="18"/>
              </w:rPr>
              <w:t>subdivided into more lots used or proposed to be used as, or as part of, a caravan park or camping ground.</w:t>
            </w:r>
          </w:p>
          <w:p>
            <w:pPr>
              <w:pStyle w:val="YTable"/>
              <w:tabs>
                <w:tab w:val="left" w:pos="317"/>
                <w:tab w:val="left" w:pos="742"/>
                <w:tab w:val="left" w:pos="1451"/>
                <w:tab w:val="right" w:pos="3577"/>
              </w:tabs>
              <w:ind w:left="742" w:hanging="742"/>
              <w:rPr>
                <w:sz w:val="18"/>
              </w:rPr>
            </w:pPr>
            <w:r>
              <w:rPr>
                <w:sz w:val="18"/>
              </w:rPr>
              <w:tab/>
              <w:t>(3)</w:t>
            </w:r>
            <w:r>
              <w:rPr>
                <w:sz w:val="18"/>
              </w:rPr>
              <w:tab/>
              <w:t xml:space="preserve">In this section “caravan park” and “camping ground” have the same meaning as they have for the purposes of the </w:t>
            </w:r>
            <w:r>
              <w:rPr>
                <w:i/>
                <w:sz w:val="18"/>
              </w:rPr>
              <w:t>Caravan Parks and Camping Grounds Act 1995</w:t>
            </w:r>
            <w:r>
              <w:rPr>
                <w:sz w:val="18"/>
              </w:rPr>
              <w:t>.”.</w:t>
            </w:r>
          </w:p>
        </w:tc>
      </w:tr>
    </w:tbl>
    <w:p>
      <w:pPr>
        <w:pStyle w:val="yFootnotesection"/>
      </w:pPr>
      <w:r>
        <w:tab/>
        <w:t>[Schedule 2 amended by No. 14 of 1996 s. 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61" w:name="_Toc89052579"/>
      <w:bookmarkStart w:id="362" w:name="_Toc89052635"/>
      <w:bookmarkStart w:id="363" w:name="_Toc90957170"/>
      <w:bookmarkStart w:id="364" w:name="_Toc92444036"/>
      <w:bookmarkStart w:id="365" w:name="_Toc97097922"/>
      <w:bookmarkStart w:id="366" w:name="_Toc100385302"/>
      <w:bookmarkStart w:id="367" w:name="_Toc100477220"/>
      <w:bookmarkStart w:id="368" w:name="_Toc103050915"/>
      <w:bookmarkStart w:id="369" w:name="_Toc122507835"/>
      <w:bookmarkStart w:id="370" w:name="_Toc122507891"/>
      <w:bookmarkStart w:id="371" w:name="_Toc122507947"/>
      <w:bookmarkStart w:id="372" w:name="_Toc122508003"/>
      <w:bookmarkStart w:id="373" w:name="_Toc122508059"/>
      <w:bookmarkStart w:id="374" w:name="_Toc122508115"/>
      <w:bookmarkStart w:id="375" w:name="_Toc122508171"/>
      <w:bookmarkStart w:id="376" w:name="_Toc122949399"/>
      <w:r>
        <w:t>Notes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nSubsection"/>
        <w:rPr>
          <w:snapToGrid w:val="0"/>
        </w:rPr>
      </w:pPr>
      <w:r>
        <w:rPr>
          <w:snapToGrid w:val="0"/>
          <w:vertAlign w:val="superscript"/>
        </w:rPr>
        <w:t>1</w:t>
      </w:r>
      <w:r>
        <w:rPr>
          <w:snapToGrid w:val="0"/>
        </w:rPr>
        <w:tab/>
        <w:t xml:space="preserve">This is a compilation of the </w:t>
      </w:r>
      <w:r>
        <w:rPr>
          <w:i/>
          <w:noProof/>
          <w:snapToGrid w:val="0"/>
        </w:rPr>
        <w:t>Caravan Parks and Camping Grounds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77" w:name="_Toc47348053"/>
      <w:bookmarkStart w:id="378" w:name="_Toc122508060"/>
      <w:bookmarkStart w:id="379" w:name="_Toc122508116"/>
      <w:bookmarkStart w:id="380" w:name="_Toc122949400"/>
      <w:r>
        <w:t>Compilation table</w:t>
      </w:r>
      <w:bookmarkEnd w:id="377"/>
      <w:bookmarkEnd w:id="378"/>
      <w:bookmarkEnd w:id="379"/>
      <w:bookmarkEnd w:id="380"/>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3"/>
        <w:gridCol w:w="29"/>
      </w:tblGrid>
      <w:tr>
        <w:trPr>
          <w:gridAfter w:val="1"/>
          <w:wAfter w:w="29"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trPr>
        <w:tc>
          <w:tcPr>
            <w:tcW w:w="2240" w:type="dxa"/>
          </w:tcPr>
          <w:p>
            <w:pPr>
              <w:pStyle w:val="nTable"/>
              <w:spacing w:after="40"/>
              <w:rPr>
                <w:sz w:val="19"/>
              </w:rPr>
            </w:pPr>
            <w:r>
              <w:rPr>
                <w:i/>
                <w:sz w:val="19"/>
              </w:rPr>
              <w:t>Caravan Parks and Camping Grounds Act 1995</w:t>
            </w:r>
          </w:p>
        </w:tc>
        <w:tc>
          <w:tcPr>
            <w:tcW w:w="1134" w:type="dxa"/>
            <w:gridSpan w:val="2"/>
          </w:tcPr>
          <w:p>
            <w:pPr>
              <w:pStyle w:val="nTable"/>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51" w:type="dxa"/>
            <w:gridSpan w:val="2"/>
          </w:tcPr>
          <w:p>
            <w:pPr>
              <w:pStyle w:val="nTable"/>
              <w:spacing w:after="40"/>
              <w:rPr>
                <w:sz w:val="19"/>
              </w:rPr>
            </w:pPr>
            <w:r>
              <w:rPr>
                <w:sz w:val="19"/>
              </w:rPr>
              <w:t>Act other than s. 34(1) and (2) and Sch. 2 it. 3: 1 Jul 1997 (see s. 2 and </w:t>
            </w:r>
            <w:r>
              <w:rPr>
                <w:i/>
                <w:sz w:val="19"/>
              </w:rPr>
              <w:t>Gazette</w:t>
            </w:r>
            <w:r>
              <w:rPr>
                <w:sz w:val="19"/>
              </w:rPr>
              <w:t xml:space="preserve"> 20 Jun 1997 p. 2805); </w:t>
            </w:r>
            <w:r>
              <w:rPr>
                <w:sz w:val="19"/>
              </w:rPr>
              <w:br/>
              <w:t>balance to be proclaimed</w:t>
            </w:r>
            <w:r>
              <w:rPr>
                <w:sz w:val="19"/>
                <w:vertAlign w:val="superscript"/>
              </w:rPr>
              <w:t> 1a</w:t>
            </w:r>
          </w:p>
        </w:tc>
      </w:tr>
      <w:tr>
        <w:trPr>
          <w:gridAfter w:val="1"/>
          <w:wAfter w:w="29" w:type="dxa"/>
        </w:trPr>
        <w:tc>
          <w:tcPr>
            <w:tcW w:w="2240" w:type="dxa"/>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29" w:type="dxa"/>
        </w:trPr>
        <w:tc>
          <w:tcPr>
            <w:tcW w:w="2240" w:type="dxa"/>
          </w:tcPr>
          <w:p>
            <w:pPr>
              <w:pStyle w:val="nTable"/>
              <w:spacing w:after="40"/>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9" w:type="dxa"/>
          <w:cantSplit/>
        </w:trPr>
        <w:tc>
          <w:tcPr>
            <w:tcW w:w="7059" w:type="dxa"/>
            <w:gridSpan w:val="7"/>
          </w:tcPr>
          <w:p>
            <w:pPr>
              <w:pStyle w:val="nTable"/>
              <w:spacing w:after="40"/>
              <w:rPr>
                <w:sz w:val="19"/>
              </w:rPr>
            </w:pPr>
            <w:r>
              <w:rPr>
                <w:b/>
                <w:sz w:val="19"/>
              </w:rPr>
              <w:t xml:space="preserve">Reprint 1:  The </w:t>
            </w:r>
            <w:r>
              <w:rPr>
                <w:b/>
                <w:i/>
                <w:sz w:val="19"/>
              </w:rPr>
              <w:t>Caravan Parks and Camping Grounds Act 1995</w:t>
            </w:r>
            <w:r>
              <w:rPr>
                <w:i/>
                <w:sz w:val="19"/>
              </w:rPr>
              <w:t xml:space="preserve"> </w:t>
            </w:r>
            <w:r>
              <w:rPr>
                <w:b/>
                <w:sz w:val="19"/>
              </w:rPr>
              <w:t xml:space="preserve">as at 18 Jul 2003 </w:t>
            </w:r>
            <w:r>
              <w:rPr>
                <w:sz w:val="19"/>
              </w:rPr>
              <w:t>(includes amendments listed above)</w:t>
            </w:r>
          </w:p>
        </w:tc>
      </w:tr>
      <w:tr>
        <w:tblPrEx>
          <w:tblCellMar>
            <w:left w:w="28" w:type="dxa"/>
            <w:right w:w="28" w:type="dxa"/>
          </w:tblCellMar>
        </w:tblPrEx>
        <w:trPr>
          <w:cantSplit/>
        </w:trPr>
        <w:tc>
          <w:tcPr>
            <w:tcW w:w="2268" w:type="dxa"/>
            <w:gridSpan w:val="2"/>
          </w:tcPr>
          <w:p>
            <w:pPr>
              <w:pStyle w:val="nTable"/>
              <w:spacing w:after="40"/>
              <w:ind w:right="113"/>
              <w:rPr>
                <w:iCs/>
                <w:snapToGrid w:val="0"/>
                <w:sz w:val="19"/>
              </w:rPr>
            </w:pPr>
            <w:r>
              <w:rPr>
                <w:i/>
                <w:snapToGrid w:val="0"/>
                <w:sz w:val="19"/>
              </w:rPr>
              <w:t>Local Government Amendment Act 2004</w:t>
            </w:r>
            <w:r>
              <w:rPr>
                <w:iCs/>
                <w:snapToGrid w:val="0"/>
                <w:sz w:val="19"/>
              </w:rPr>
              <w:t xml:space="preserve"> s. 13</w:t>
            </w:r>
          </w:p>
        </w:tc>
        <w:tc>
          <w:tcPr>
            <w:tcW w:w="1134" w:type="dxa"/>
            <w:gridSpan w:val="2"/>
          </w:tcPr>
          <w:p>
            <w:pPr>
              <w:pStyle w:val="nTable"/>
              <w:keepNext/>
              <w:spacing w:after="40"/>
              <w:rPr>
                <w:sz w:val="19"/>
              </w:rPr>
            </w:pPr>
            <w:r>
              <w:rPr>
                <w:sz w:val="19"/>
              </w:rPr>
              <w:t>49 of 2004</w:t>
            </w:r>
          </w:p>
        </w:tc>
        <w:tc>
          <w:tcPr>
            <w:tcW w:w="1134" w:type="dxa"/>
            <w:gridSpan w:val="2"/>
          </w:tcPr>
          <w:p>
            <w:pPr>
              <w:pStyle w:val="nTable"/>
              <w:keepNext/>
              <w:spacing w:after="40"/>
              <w:rPr>
                <w:sz w:val="19"/>
              </w:rPr>
            </w:pPr>
            <w:r>
              <w:rPr>
                <w:sz w:val="19"/>
              </w:rPr>
              <w:t>12 Nov 2004</w:t>
            </w:r>
          </w:p>
        </w:tc>
        <w:tc>
          <w:tcPr>
            <w:tcW w:w="2552" w:type="dxa"/>
            <w:gridSpan w:val="2"/>
          </w:tcPr>
          <w:p>
            <w:pPr>
              <w:pStyle w:val="nTable"/>
              <w:keepNext/>
              <w:spacing w:after="40"/>
              <w:rPr>
                <w:sz w:val="19"/>
              </w:rPr>
            </w:pPr>
            <w:r>
              <w:rPr>
                <w:sz w:val="19"/>
              </w:rPr>
              <w:t xml:space="preserve">1 Apr 2005 (see s. 2 and </w:t>
            </w:r>
            <w:r>
              <w:rPr>
                <w:i/>
                <w:iCs/>
                <w:sz w:val="19"/>
              </w:rPr>
              <w:t xml:space="preserve">Gazette </w:t>
            </w:r>
            <w:r>
              <w:rPr>
                <w:sz w:val="19"/>
              </w:rPr>
              <w:t>31 Mar 2005 p. 1029)</w:t>
            </w:r>
            <w:r>
              <w:rPr>
                <w:i/>
                <w:iCs/>
                <w:sz w:val="19"/>
              </w:rPr>
              <w:t xml:space="preserve"> </w:t>
            </w:r>
            <w:r>
              <w:rPr>
                <w:sz w:val="19"/>
              </w:rPr>
              <w:t xml:space="preserve"> </w:t>
            </w:r>
          </w:p>
        </w:tc>
      </w:tr>
      <w:tr>
        <w:trPr>
          <w:gridAfter w:val="1"/>
          <w:wAfter w:w="29" w:type="dxa"/>
        </w:trPr>
        <w:tc>
          <w:tcPr>
            <w:tcW w:w="2240" w:type="dxa"/>
          </w:tcPr>
          <w:p>
            <w:pPr>
              <w:pStyle w:val="nTable"/>
              <w:spacing w:after="40"/>
              <w:rPr>
                <w:i/>
                <w:sz w:val="19"/>
              </w:rPr>
            </w:pPr>
            <w:r>
              <w:rPr>
                <w:i/>
                <w:sz w:val="19"/>
              </w:rPr>
              <w:t>State Administrative Tribunal (Conferral of Jurisdiction) Amendment and Repeal Act 2004</w:t>
            </w:r>
            <w:r>
              <w:rPr>
                <w:iCs/>
                <w:sz w:val="19"/>
              </w:rPr>
              <w:t xml:space="preserve"> Pt. 2 Div. 16</w:t>
            </w:r>
            <w:r>
              <w:rPr>
                <w:iCs/>
                <w:sz w:val="19"/>
                <w:vertAlign w:val="superscript"/>
              </w:rPr>
              <w:t> 4</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29" w:type="dxa"/>
        </w:trPr>
        <w:tc>
          <w:tcPr>
            <w:tcW w:w="2240" w:type="dxa"/>
            <w:tcBorders>
              <w:bottom w:val="single" w:sz="4" w:space="0" w:color="auto"/>
            </w:tcBorders>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w:t>
            </w:r>
          </w:p>
        </w:tc>
        <w:tc>
          <w:tcPr>
            <w:tcW w:w="1134" w:type="dxa"/>
            <w:gridSpan w:val="2"/>
            <w:tcBorders>
              <w:bottom w:val="single" w:sz="4" w:space="0" w:color="auto"/>
            </w:tcBorders>
          </w:tcPr>
          <w:p>
            <w:pPr>
              <w:pStyle w:val="nTable"/>
              <w:spacing w:after="40"/>
              <w:rPr>
                <w:sz w:val="19"/>
              </w:rPr>
            </w:pPr>
            <w:r>
              <w:rPr>
                <w:snapToGrid w:val="0"/>
                <w:sz w:val="19"/>
                <w:lang w:val="en-US"/>
              </w:rPr>
              <w:t>84 of 2004</w:t>
            </w:r>
          </w:p>
        </w:tc>
        <w:tc>
          <w:tcPr>
            <w:tcW w:w="1134" w:type="dxa"/>
            <w:gridSpan w:val="2"/>
            <w:tcBorders>
              <w:bottom w:val="single" w:sz="4" w:space="0" w:color="auto"/>
            </w:tcBorders>
          </w:tcPr>
          <w:p>
            <w:pPr>
              <w:pStyle w:val="nTable"/>
              <w:spacing w:after="40"/>
              <w:rPr>
                <w:sz w:val="19"/>
              </w:rPr>
            </w:pPr>
            <w:r>
              <w:rPr>
                <w:sz w:val="19"/>
              </w:rPr>
              <w:t>16 Dec 2004</w:t>
            </w:r>
          </w:p>
        </w:tc>
        <w:tc>
          <w:tcPr>
            <w:tcW w:w="2551" w:type="dxa"/>
            <w:gridSpan w:val="2"/>
            <w:tcBorders>
              <w:bottom w:val="single" w:sz="4" w:space="0" w:color="auto"/>
            </w:tcBorders>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keepNext/>
        <w:spacing w:before="400"/>
        <w:rPr>
          <w:snapToGrid w:val="0"/>
        </w:rPr>
      </w:pPr>
      <w:r>
        <w:rPr>
          <w:snapToGrid w:val="0"/>
          <w:vertAlign w:val="superscript"/>
        </w:rPr>
        <w:t>1a</w:t>
      </w:r>
      <w:r>
        <w:rPr>
          <w:snapToGrid w:val="0"/>
        </w:rPr>
        <w:t xml:space="preserve"> </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1" w:name="_Toc511102521"/>
      <w:bookmarkStart w:id="382" w:name="_Toc47348054"/>
      <w:bookmarkStart w:id="383" w:name="_Toc122508061"/>
      <w:bookmarkStart w:id="384" w:name="_Toc122508117"/>
      <w:bookmarkStart w:id="385" w:name="_Toc122949401"/>
      <w:r>
        <w:t>Provisions that have not come into operation</w:t>
      </w:r>
      <w:bookmarkEnd w:id="381"/>
      <w:bookmarkEnd w:id="382"/>
      <w:bookmarkEnd w:id="383"/>
      <w:bookmarkEnd w:id="384"/>
      <w:bookmarkEnd w:id="38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Caravan Parks and Camping Grounds Act 1995</w:t>
            </w:r>
            <w:r>
              <w:rPr>
                <w:snapToGrid w:val="0"/>
                <w:sz w:val="19"/>
              </w:rPr>
              <w:t xml:space="preserve"> s. 34(1) and (2) and Sch. 2 it. 3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34 of 1995</w:t>
            </w:r>
          </w:p>
        </w:tc>
        <w:tc>
          <w:tcPr>
            <w:tcW w:w="1134" w:type="dxa"/>
            <w:tcBorders>
              <w:top w:val="single" w:sz="4" w:space="0" w:color="auto"/>
            </w:tcBorders>
          </w:tcPr>
          <w:p>
            <w:pPr>
              <w:pStyle w:val="nTable"/>
              <w:keepNext/>
              <w:spacing w:after="40"/>
              <w:rPr>
                <w:sz w:val="19"/>
              </w:rPr>
            </w:pPr>
            <w:r>
              <w:rPr>
                <w:sz w:val="19"/>
              </w:rPr>
              <w:t>29 Sep 1995</w:t>
            </w:r>
          </w:p>
        </w:tc>
        <w:tc>
          <w:tcPr>
            <w:tcW w:w="2552" w:type="dxa"/>
            <w:gridSpan w:val="2"/>
            <w:tcBorders>
              <w:top w:val="single" w:sz="4" w:space="0" w:color="auto"/>
            </w:tcBorders>
          </w:tcPr>
          <w:p>
            <w:pPr>
              <w:pStyle w:val="nTable"/>
              <w:keepNext/>
              <w:spacing w:after="40"/>
              <w:rPr>
                <w:sz w:val="19"/>
              </w:rPr>
            </w:pPr>
            <w:r>
              <w:rPr>
                <w:sz w:val="19"/>
              </w:rPr>
              <w:t>To be proclaimed (see s. 2)</w:t>
            </w:r>
          </w:p>
        </w:tc>
      </w:tr>
      <w:tr>
        <w:tblPrEx>
          <w:tblCellMar>
            <w:left w:w="56" w:type="dxa"/>
            <w:right w:w="56" w:type="dxa"/>
          </w:tblCellMar>
        </w:tblPrEx>
        <w:trPr>
          <w:gridAfter w:val="1"/>
          <w:wAfter w:w="28" w:type="dxa"/>
        </w:trPr>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5</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Appointed day under section 6(1): 1 October 1997, see </w:t>
      </w:r>
      <w:r>
        <w:rPr>
          <w:i/>
          <w:snapToGrid w:val="0"/>
        </w:rPr>
        <w:t>Gazette</w:t>
      </w:r>
      <w:r>
        <w:rPr>
          <w:snapToGrid w:val="0"/>
        </w:rPr>
        <w:t xml:space="preserve"> 20 Jun 1997 p. 2853.</w:t>
      </w:r>
    </w:p>
    <w:p>
      <w:pPr>
        <w:pStyle w:val="nSubsection"/>
        <w:keepNext/>
        <w:rPr>
          <w:snapToGrid w:val="0"/>
        </w:rPr>
      </w:pPr>
      <w:r>
        <w:rPr>
          <w:snapToGrid w:val="0"/>
          <w:vertAlign w:val="superscript"/>
        </w:rPr>
        <w:t>3</w:t>
      </w:r>
      <w:r>
        <w:rPr>
          <w:snapToGrid w:val="0"/>
        </w:rPr>
        <w:tab/>
        <w:t xml:space="preserve">On the date as at which this compilation was prepared, the </w:t>
      </w:r>
      <w:r>
        <w:rPr>
          <w:i/>
          <w:snapToGrid w:val="0"/>
        </w:rPr>
        <w:t>Caravan Parks and Camping Grounds Act 1995</w:t>
      </w:r>
      <w:r>
        <w:rPr>
          <w:snapToGrid w:val="0"/>
        </w:rPr>
        <w:t xml:space="preserve"> s. 34(1) and (2) and Sch. 2 it. 3 had not come into operation.  They read as follows:</w:t>
      </w:r>
    </w:p>
    <w:p>
      <w:pPr>
        <w:pStyle w:val="MiscOpen"/>
        <w:rPr>
          <w:snapToGrid w:val="0"/>
        </w:rPr>
      </w:pPr>
      <w:r>
        <w:rPr>
          <w:snapToGrid w:val="0"/>
        </w:rPr>
        <w:t>“</w:t>
      </w:r>
    </w:p>
    <w:p>
      <w:pPr>
        <w:pStyle w:val="nzHeading5"/>
        <w:rPr>
          <w:snapToGrid w:val="0"/>
        </w:rPr>
      </w:pPr>
      <w:r>
        <w:rPr>
          <w:snapToGrid w:val="0"/>
        </w:rPr>
        <w:t>34.</w:t>
      </w:r>
      <w:r>
        <w:rPr>
          <w:snapToGrid w:val="0"/>
        </w:rPr>
        <w:tab/>
        <w:t>Transitional provision relating to existing caravan parks and camping grounds</w:t>
      </w:r>
    </w:p>
    <w:p>
      <w:pPr>
        <w:pStyle w:val="nzSubsection"/>
        <w:rPr>
          <w:snapToGrid w:val="0"/>
        </w:rPr>
      </w:pPr>
      <w:r>
        <w:rPr>
          <w:snapToGrid w:val="0"/>
        </w:rPr>
        <w:tab/>
        <w:t>(1)</w:t>
      </w:r>
      <w:r>
        <w:rPr>
          <w:snapToGrid w:val="0"/>
        </w:rPr>
        <w:tab/>
        <w:t xml:space="preserve">Notwithstanding the repeal of section 200 of the </w:t>
      </w:r>
      <w:r>
        <w:rPr>
          <w:i/>
          <w:snapToGrid w:val="0"/>
        </w:rPr>
        <w:t>Local Government Act 1960</w:t>
      </w:r>
      <w:r>
        <w:rPr>
          <w:snapToGrid w:val="0"/>
        </w:rPr>
        <w:t xml:space="preserve"> by this Act, by</w:t>
      </w:r>
      <w:r>
        <w:rPr>
          <w:snapToGrid w:val="0"/>
        </w:rPr>
        <w:noBreakHyphen/>
        <w:t>laws made under that section by a local government and in force immediately before the commencement of this section remain in force in relation to any existing facility in the district of that local government.</w:t>
      </w:r>
    </w:p>
    <w:p>
      <w:pPr>
        <w:pStyle w:val="nzSubsection"/>
        <w:rPr>
          <w:snapToGrid w:val="0"/>
        </w:rPr>
      </w:pPr>
      <w:r>
        <w:rPr>
          <w:snapToGrid w:val="0"/>
        </w:rPr>
        <w:tab/>
        <w:t>(2)</w:t>
      </w:r>
      <w:r>
        <w:rPr>
          <w:snapToGrid w:val="0"/>
        </w:rPr>
        <w:tab/>
        <w:t>Existing facilities are exempt from the operation of those provisions of the regulations referred to in the regulations as not applying to existing facilities.</w:t>
      </w:r>
    </w:p>
    <w:p>
      <w:pPr>
        <w:pStyle w:val="MiscClose"/>
        <w:rPr>
          <w:snapToGrid w:val="0"/>
        </w:rPr>
      </w:pPr>
      <w:r>
        <w:rPr>
          <w:snapToGrid w:val="0"/>
        </w:rPr>
        <w:t>”.</w:t>
      </w:r>
    </w:p>
    <w:p>
      <w:pPr>
        <w:pStyle w:val="MiscOpen"/>
        <w:ind w:left="567"/>
        <w:rPr>
          <w:snapToGrid w:val="0"/>
        </w:rPr>
      </w:pPr>
      <w:r>
        <w:rPr>
          <w:snapToGrid w:val="0"/>
        </w:rPr>
        <w:t>“</w:t>
      </w:r>
    </w:p>
    <w:p>
      <w:pPr>
        <w:pStyle w:val="nzMiscellaneousBody"/>
        <w:jc w:val="center"/>
        <w:rPr>
          <w:b/>
        </w:rPr>
      </w:pPr>
      <w:r>
        <w:rPr>
          <w:b/>
        </w:rPr>
        <w:t>Schedule 2</w:t>
      </w:r>
    </w:p>
    <w:p>
      <w:pPr>
        <w:pStyle w:val="nzMiscellaneousBody"/>
        <w:jc w:val="right"/>
      </w:pPr>
      <w:r>
        <w:t>[Section 33]</w:t>
      </w:r>
    </w:p>
    <w:p>
      <w:pPr>
        <w:pStyle w:val="nzMiscellaneousBody"/>
        <w:jc w:val="center"/>
        <w:rPr>
          <w:b/>
        </w:rPr>
      </w:pPr>
      <w:r>
        <w:rPr>
          <w:b/>
        </w:rPr>
        <w:t>Consequential amendments</w:t>
      </w:r>
    </w:p>
    <w:p>
      <w:pPr>
        <w:pStyle w:val="nzMiscellaneousBody"/>
        <w:tabs>
          <w:tab w:val="left" w:pos="3402"/>
        </w:tabs>
        <w:spacing w:before="240"/>
        <w:ind w:left="1276"/>
        <w:rPr>
          <w:b/>
        </w:rPr>
      </w:pPr>
      <w:r>
        <w:rPr>
          <w:b/>
        </w:rPr>
        <w:t xml:space="preserve"> Short title of Act</w:t>
      </w:r>
      <w:r>
        <w:rPr>
          <w:b/>
        </w:rPr>
        <w:tab/>
        <w:t xml:space="preserve"> Amendment</w:t>
      </w:r>
    </w:p>
    <w:tbl>
      <w:tblPr>
        <w:tblW w:w="0" w:type="auto"/>
        <w:tblInd w:w="879" w:type="dxa"/>
        <w:tblLayout w:type="fixed"/>
        <w:tblCellMar>
          <w:left w:w="28" w:type="dxa"/>
          <w:right w:w="28" w:type="dxa"/>
        </w:tblCellMar>
        <w:tblLook w:val="0000" w:firstRow="0" w:lastRow="0" w:firstColumn="0" w:lastColumn="0" w:noHBand="0" w:noVBand="0"/>
      </w:tblPr>
      <w:tblGrid>
        <w:gridCol w:w="425"/>
        <w:gridCol w:w="2126"/>
        <w:gridCol w:w="3686"/>
      </w:tblGrid>
      <w:tr>
        <w:tc>
          <w:tcPr>
            <w:tcW w:w="425" w:type="dxa"/>
          </w:tcPr>
          <w:p>
            <w:pPr>
              <w:pStyle w:val="nTable"/>
            </w:pPr>
            <w:r>
              <w:t>3.</w:t>
            </w:r>
          </w:p>
        </w:tc>
        <w:tc>
          <w:tcPr>
            <w:tcW w:w="2126" w:type="dxa"/>
          </w:tcPr>
          <w:p>
            <w:pPr>
              <w:pStyle w:val="nTable"/>
            </w:pPr>
            <w:r>
              <w:rPr>
                <w:i/>
              </w:rPr>
              <w:t xml:space="preserve">Home Building Contracts </w:t>
            </w:r>
            <w:r>
              <w:rPr>
                <w:i/>
              </w:rPr>
              <w:br/>
              <w:t>Act 1991</w:t>
            </w:r>
          </w:p>
        </w:tc>
        <w:tc>
          <w:tcPr>
            <w:tcW w:w="3686" w:type="dxa"/>
          </w:tcPr>
          <w:p>
            <w:pPr>
              <w:pStyle w:val="nTable"/>
              <w:ind w:right="539"/>
            </w:pPr>
            <w:r>
              <w:t>In the definition of “dwelling” in s. 3(1), insert after “residence” the following — </w:t>
            </w:r>
          </w:p>
          <w:p>
            <w:pPr>
              <w:pStyle w:val="nTable"/>
              <w:ind w:right="539"/>
            </w:pPr>
            <w:r>
              <w:t>“</w:t>
            </w:r>
          </w:p>
          <w:p>
            <w:pPr>
              <w:pStyle w:val="nTable"/>
              <w:ind w:left="256" w:right="539" w:hanging="256"/>
              <w:rPr>
                <w:i/>
              </w:rPr>
            </w:pPr>
            <w:r>
              <w:tab/>
              <w:t xml:space="preserve">, but does not include a park home, as defined in the </w:t>
            </w:r>
            <w:r>
              <w:rPr>
                <w:i/>
              </w:rPr>
              <w:t>Caravan Parks and Camping Grounds Act 1995</w:t>
            </w:r>
          </w:p>
          <w:p>
            <w:pPr>
              <w:pStyle w:val="nTable"/>
              <w:ind w:right="256"/>
              <w:jc w:val="right"/>
            </w:pPr>
            <w:r>
              <w:rPr>
                <w:snapToGrid w:val="0"/>
              </w:rPr>
              <w:t>”.</w:t>
            </w:r>
          </w:p>
        </w:tc>
      </w:tr>
    </w:tbl>
    <w:p>
      <w:pPr>
        <w:pStyle w:val="MiscClose"/>
        <w:rPr>
          <w:snapToGrid w:val="0"/>
        </w:rPr>
      </w:pPr>
      <w:r>
        <w:rPr>
          <w:snapToGrid w:val="0"/>
        </w:rP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86" w:name="_Toc476631191"/>
      <w:bookmarkStart w:id="387" w:name="_Toc477066412"/>
      <w:bookmarkStart w:id="388" w:name="_Toc497301942"/>
      <w:bookmarkStart w:id="389" w:name="_Toc83657956"/>
      <w:bookmarkStart w:id="390" w:name="_Toc122243710"/>
      <w:bookmarkStart w:id="391" w:name="_Toc122425166"/>
      <w:r>
        <w:rPr>
          <w:rStyle w:val="CharSectno"/>
        </w:rPr>
        <w:t>15</w:t>
      </w:r>
      <w:r>
        <w:t>.</w:t>
      </w:r>
      <w:r>
        <w:tab/>
        <w:t>Acts in Schedule 2 amended</w:t>
      </w:r>
      <w:bookmarkEnd w:id="386"/>
      <w:bookmarkEnd w:id="387"/>
      <w:bookmarkEnd w:id="388"/>
      <w:bookmarkEnd w:id="389"/>
      <w:bookmarkEnd w:id="390"/>
      <w:bookmarkEnd w:id="391"/>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6 reads as follows:</w:t>
      </w:r>
    </w:p>
    <w:p>
      <w:pPr>
        <w:pStyle w:val="MiscOpen"/>
      </w:pPr>
      <w:r>
        <w:t>“</w:t>
      </w:r>
    </w:p>
    <w:p>
      <w:pPr>
        <w:pStyle w:val="nzHeading2"/>
      </w:pPr>
      <w:bookmarkStart w:id="392" w:name="_Toc122243734"/>
      <w:bookmarkStart w:id="393" w:name="_Toc122425190"/>
      <w:r>
        <w:rPr>
          <w:rStyle w:val="CharSchNo"/>
        </w:rPr>
        <w:t>Schedule 2</w:t>
      </w:r>
      <w:r>
        <w:rPr>
          <w:rStyle w:val="CharSDivNo"/>
        </w:rPr>
        <w:t> </w:t>
      </w:r>
      <w:r>
        <w:t>—</w:t>
      </w:r>
      <w:r>
        <w:rPr>
          <w:rStyle w:val="CharSDivText"/>
        </w:rPr>
        <w:t> </w:t>
      </w:r>
      <w:r>
        <w:rPr>
          <w:rStyle w:val="CharSchText"/>
        </w:rPr>
        <w:t>Consequential amendments</w:t>
      </w:r>
      <w:bookmarkEnd w:id="392"/>
      <w:bookmarkEnd w:id="393"/>
    </w:p>
    <w:p>
      <w:pPr>
        <w:pStyle w:val="nzMiscellaneousBody"/>
        <w:jc w:val="right"/>
      </w:pPr>
      <w:r>
        <w:t>[s.</w:t>
      </w:r>
      <w:bookmarkStart w:id="394" w:name="_Hlt485012328"/>
      <w:r>
        <w:t> 15</w:t>
      </w:r>
      <w:bookmarkEnd w:id="394"/>
      <w:r>
        <w:t>]</w:t>
      </w:r>
    </w:p>
    <w:p>
      <w:pPr>
        <w:pStyle w:val="nzHeading5"/>
      </w:pPr>
      <w:bookmarkStart w:id="395" w:name="_Toc476631207"/>
      <w:bookmarkStart w:id="396" w:name="_Toc477066427"/>
      <w:bookmarkStart w:id="397" w:name="_Toc497301959"/>
      <w:bookmarkStart w:id="398" w:name="_Toc83658020"/>
      <w:bookmarkStart w:id="399" w:name="_Toc122243740"/>
      <w:bookmarkStart w:id="400" w:name="_Toc122425196"/>
      <w:r>
        <w:rPr>
          <w:rStyle w:val="CharSClsNo"/>
        </w:rPr>
        <w:t>6</w:t>
      </w:r>
      <w:r>
        <w:t>.</w:t>
      </w:r>
      <w:r>
        <w:tab/>
      </w:r>
      <w:r>
        <w:rPr>
          <w:i/>
        </w:rPr>
        <w:t>Caravan Parks and Camping Grounds Act 1995</w:t>
      </w:r>
      <w:bookmarkEnd w:id="395"/>
      <w:bookmarkEnd w:id="396"/>
      <w:bookmarkEnd w:id="397"/>
      <w:bookmarkEnd w:id="398"/>
      <w:bookmarkEnd w:id="399"/>
      <w:bookmarkEnd w:id="400"/>
    </w:p>
    <w:p>
      <w:pPr>
        <w:pStyle w:val="nzSubsection"/>
      </w:pPr>
      <w:r>
        <w:tab/>
      </w:r>
      <w:r>
        <w:tab/>
        <w:t xml:space="preserve">Section 30(1)(b) is amended by deleting “the </w:t>
      </w:r>
      <w:r>
        <w:rPr>
          <w:i/>
        </w:rPr>
        <w:t>Town Planning and Development Act 1928</w:t>
      </w:r>
      <w:r>
        <w:t xml:space="preserve">” and inserting instead — </w:t>
      </w:r>
    </w:p>
    <w:p>
      <w:pPr>
        <w:pStyle w:val="nzSubsection"/>
      </w:pPr>
      <w:r>
        <w:tab/>
      </w:r>
      <w:r>
        <w:tab/>
        <w:t xml:space="preserve">“    the </w:t>
      </w:r>
      <w:r>
        <w:rPr>
          <w:i/>
        </w:rPr>
        <w:t>Planning and Development Act 2005</w:t>
      </w:r>
      <w:r>
        <w:t xml:space="preserve">    ”.</w:t>
      </w:r>
    </w:p>
    <w:p>
      <w:pPr>
        <w:pStyle w:val="MiscClose"/>
      </w:pPr>
      <w:r>
        <w:t>”.</w:t>
      </w:r>
      <w:bookmarkStart w:id="401" w:name="UpToHere"/>
      <w:bookmarkEnd w:id="401"/>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Caravan Parks and Camping Grounds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Caravan Parks and Camping Grounds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Caravan Parks and Camping Grounds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8247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749A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B0B1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16E4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96A4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728A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4C831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DE18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D2986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F4FD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7649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C8EE6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328"/>
    <w:docVar w:name="WAFER_20151207140328" w:val="RemoveTrackChanges"/>
    <w:docVar w:name="WAFER_20151207140328_GUID" w:val="f55eabed-3a4e-4e84-bd30-f29a2ddbf5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8704</Words>
  <Characters>41261</Characters>
  <Application>Microsoft Office Word</Application>
  <DocSecurity>0</DocSecurity>
  <Lines>1178</Lines>
  <Paragraphs>684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1995 - 01-d0-03</dc:title>
  <dc:subject/>
  <dc:creator/>
  <cp:keywords/>
  <dc:description/>
  <cp:lastModifiedBy>svcMRProcess</cp:lastModifiedBy>
  <cp:revision>4</cp:revision>
  <cp:lastPrinted>2003-07-22T01:34:00Z</cp:lastPrinted>
  <dcterms:created xsi:type="dcterms:W3CDTF">2018-08-20T15:40:00Z</dcterms:created>
  <dcterms:modified xsi:type="dcterms:W3CDTF">2018-08-20T15:40:00Z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103</vt:i4>
  </property>
  <property fmtid="{D5CDD505-2E9C-101B-9397-08002B2CF9AE}" pid="6" name="AsAtDate">
    <vt:lpwstr>12 Dec 2005</vt:lpwstr>
  </property>
  <property fmtid="{D5CDD505-2E9C-101B-9397-08002B2CF9AE}" pid="7" name="Suffix">
    <vt:lpwstr>01-d0-03</vt:lpwstr>
  </property>
</Properties>
</file>