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Civil Liability Act 2002</w:t>
      </w:r>
    </w:p>
    <w:p>
      <w:pPr>
        <w:pStyle w:val="NameofActRegPage1"/>
        <w:spacing w:before="1800" w:after="4200"/>
      </w:pPr>
      <w:r>
        <w:fldChar w:fldCharType="begin"/>
      </w:r>
      <w:r>
        <w:instrText xml:space="preserve"> STYLEREF "Name Of Act/Reg"</w:instrText>
      </w:r>
      <w:r>
        <w:fldChar w:fldCharType="separate"/>
      </w:r>
      <w:r>
        <w:rPr>
          <w:noProof/>
        </w:rPr>
        <w:t>Civil Liability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Liability Regulations 2011</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_Toc299024060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_Toc299024061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_Toc299024063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_Toc299024064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Civil Liability Act 2002</w:t>
      </w:r>
    </w:p>
    <w:p>
      <w:pPr>
        <w:pStyle w:val="NameofActReg"/>
        <w:spacing w:before="360" w:after="360"/>
      </w:pPr>
      <w:r>
        <w:t>Civil Liability Regulations 2011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99024060"/>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Civil Liability Regulations 2011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9902406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regulation 3 — on the day on which the </w:t>
      </w:r>
      <w:r>
        <w:rPr>
          <w:i/>
        </w:rPr>
        <w:t>Health, Safety and Civil Liability (Children in Schools and Child Care Services) Act 2011</w:t>
      </w:r>
      <w:r>
        <w:t xml:space="preserve"> section 6 comes into operation.</w:t>
      </w:r>
    </w:p>
    <w:p>
      <w:pPr>
        <w:pStyle w:val="Ed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w:t>
      </w:r>
      <w:r>
        <w:rPr>
          <w:b/>
        </w:rPr>
        <w:t>3.</w:t>
      </w:r>
      <w:r>
        <w:tab/>
        <w:t>Has not come into operation </w:t>
      </w:r>
      <w:r>
        <w:rPr>
          <w:i w:val="0"/>
          <w:vertAlign w:val="superscript"/>
        </w:rPr>
        <w:t>2</w:t>
      </w:r>
      <w:r>
        <w:t>.]</w:t>
      </w:r>
      <w:bookmarkStart w:id="18" w:name="_Toc113695922"/>
      <w:r>
        <w:t xml:space="preserve"> </w:t>
      </w:r>
    </w:p>
    <w:p>
      <w:pPr>
        <w:pStyle w:val="nHeading2"/>
      </w:pPr>
      <w:bookmarkStart w:id="19" w:name="_Toc299015890"/>
      <w:bookmarkStart w:id="20" w:name="_Toc299015897"/>
      <w:bookmarkStart w:id="21" w:name="_Toc299024062"/>
      <w:r>
        <w:lastRenderedPageBreak/>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Ci</w:t>
      </w:r>
      <w:r>
        <w:rPr>
          <w:i/>
          <w:noProof/>
          <w:snapToGrid w:val="0"/>
        </w:rPr>
        <w:t>vil Liability Regulations 2011</w:t>
      </w:r>
      <w:r>
        <w:rPr>
          <w:snapToGrid w:val="0"/>
        </w:rPr>
        <w:t xml:space="preserve">.  The following table contains information about those regulations. </w:t>
      </w:r>
    </w:p>
    <w:p>
      <w:pPr>
        <w:pStyle w:val="nHeading3"/>
      </w:pPr>
      <w:bookmarkStart w:id="22" w:name="_Toc70311430"/>
      <w:bookmarkStart w:id="23" w:name="_Toc113695923"/>
      <w:bookmarkStart w:id="24" w:name="_Toc299024063"/>
      <w:r>
        <w:t>Compilation table</w:t>
      </w:r>
      <w:bookmarkEnd w:id="22"/>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rPr>
              <w:t>Ci</w:t>
            </w:r>
            <w:r>
              <w:rPr>
                <w:i/>
                <w:noProof/>
                <w:snapToGrid w:val="0"/>
              </w:rPr>
              <w:t>vil Liability Regulations 2011</w:t>
            </w:r>
            <w:r>
              <w:rPr>
                <w:i/>
                <w:noProof/>
                <w:snapToGrid w:val="0"/>
              </w:rPr>
              <w:br/>
            </w:r>
            <w:r>
              <w:rPr>
                <w:sz w:val="19"/>
              </w:rPr>
              <w:t>r. 1 and 2</w:t>
            </w:r>
          </w:p>
        </w:tc>
        <w:tc>
          <w:tcPr>
            <w:tcW w:w="1276" w:type="dxa"/>
          </w:tcPr>
          <w:p>
            <w:pPr>
              <w:pStyle w:val="nTable"/>
              <w:spacing w:after="40"/>
              <w:rPr>
                <w:sz w:val="19"/>
              </w:rPr>
            </w:pPr>
            <w:r>
              <w:rPr>
                <w:sz w:val="19"/>
              </w:rPr>
              <w:t>22 Jul 2011 p. 3016</w:t>
            </w:r>
            <w:r>
              <w:rPr>
                <w:sz w:val="19"/>
              </w:rPr>
              <w:noBreakHyphen/>
              <w:t>17</w:t>
            </w:r>
          </w:p>
        </w:tc>
        <w:tc>
          <w:tcPr>
            <w:tcW w:w="2693" w:type="dxa"/>
          </w:tcPr>
          <w:p>
            <w:pPr>
              <w:pStyle w:val="nTable"/>
              <w:spacing w:after="40"/>
              <w:rPr>
                <w:sz w:val="19"/>
              </w:rPr>
            </w:pPr>
            <w:r>
              <w:rPr>
                <w:sz w:val="19"/>
              </w:rPr>
              <w:t>22 Jul 2011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 w:name="_Toc534778309"/>
      <w:bookmarkStart w:id="26" w:name="_Toc7405063"/>
      <w:bookmarkStart w:id="27" w:name="_Toc296601212"/>
      <w:bookmarkStart w:id="28" w:name="_Toc299024064"/>
      <w:r>
        <w:rPr>
          <w:snapToGrid w:val="0"/>
        </w:rPr>
        <w:t>Provisions that have not come into operation</w:t>
      </w:r>
      <w:bookmarkEnd w:id="25"/>
      <w:bookmarkEnd w:id="26"/>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napToGrid w:val="0"/>
              </w:rPr>
              <w:t>Ci</w:t>
            </w:r>
            <w:r>
              <w:rPr>
                <w:i/>
                <w:noProof/>
                <w:snapToGrid w:val="0"/>
              </w:rPr>
              <w:t>vil Liability Regulations 2011</w:t>
            </w:r>
            <w:r>
              <w:rPr>
                <w:noProof/>
                <w:snapToGrid w:val="0"/>
              </w:rPr>
              <w:t xml:space="preserve"> r. 3 </w:t>
            </w:r>
            <w:r>
              <w:rPr>
                <w:noProof/>
                <w:snapToGrid w:val="0"/>
                <w:vertAlign w:val="superscript"/>
              </w:rPr>
              <w:t>2</w:t>
            </w:r>
          </w:p>
        </w:tc>
        <w:tc>
          <w:tcPr>
            <w:tcW w:w="1276" w:type="dxa"/>
          </w:tcPr>
          <w:p>
            <w:pPr>
              <w:pStyle w:val="nTable"/>
              <w:spacing w:after="40"/>
              <w:rPr>
                <w:sz w:val="19"/>
              </w:rPr>
            </w:pPr>
            <w:r>
              <w:rPr>
                <w:sz w:val="19"/>
              </w:rPr>
              <w:t>22 Jul 2011 p. 3016</w:t>
            </w:r>
            <w:r>
              <w:rPr>
                <w:sz w:val="19"/>
              </w:rPr>
              <w:noBreakHyphen/>
              <w:t>17</w:t>
            </w:r>
          </w:p>
        </w:tc>
        <w:tc>
          <w:tcPr>
            <w:tcW w:w="2693" w:type="dxa"/>
          </w:tcPr>
          <w:p>
            <w:pPr>
              <w:pStyle w:val="nTable"/>
              <w:spacing w:after="40"/>
              <w:rPr>
                <w:sz w:val="19"/>
              </w:rPr>
            </w:pPr>
            <w:r>
              <w:t>On commencement of the</w:t>
            </w:r>
            <w:r>
              <w:rPr>
                <w:i/>
              </w:rPr>
              <w:t xml:space="preserve"> Health, Safety and Civil Liability (Children in Schools and Child Care Services) Act 2011</w:t>
            </w:r>
            <w:r>
              <w:t xml:space="preserve"> section 6 </w:t>
            </w:r>
            <w:r>
              <w:rPr>
                <w:sz w:val="19"/>
              </w:rPr>
              <w:t>(see r.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Civil Liability Regulations 2011 </w:t>
      </w:r>
      <w:r>
        <w:rPr>
          <w:snapToGrid w:val="0"/>
        </w:rPr>
        <w:t>r. 3</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3</w:t>
      </w:r>
      <w:r>
        <w:t>.</w:t>
      </w:r>
      <w:r>
        <w:tab/>
        <w:t>Emergency medical assistance (s. 5AAA of Act)</w:t>
      </w:r>
    </w:p>
    <w:p>
      <w:pPr>
        <w:pStyle w:val="nzSubsection"/>
      </w:pPr>
      <w:r>
        <w:tab/>
      </w:r>
      <w:r>
        <w:tab/>
        <w:t xml:space="preserve">For the purposes of the definition of </w:t>
      </w:r>
      <w:r>
        <w:rPr>
          <w:b/>
          <w:i/>
        </w:rPr>
        <w:t>emergency medical assistance</w:t>
      </w:r>
      <w:r>
        <w:t xml:space="preserve"> in section 5AAA of the Act, the administration of adrenaline to a person reasonably suspected to be suffering an anaphylactic reaction is prescribed as assistance to which Part 1CA of the Act applies.</w:t>
      </w:r>
    </w:p>
    <w:p>
      <w:pPr>
        <w:pStyle w:val="BlankClose"/>
      </w:pP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Liability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Liability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Liability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Liability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Liability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Liability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Liability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Liability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BD3335C"/>
    <w:multiLevelType w:val="hybridMultilevel"/>
    <w:tmpl w:val="FD6CB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75D5EF6"/>
    <w:multiLevelType w:val="hybridMultilevel"/>
    <w:tmpl w:val="355217AA"/>
    <w:lvl w:ilvl="0" w:tplc="5636BE8E">
      <w:start w:val="1"/>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6"/>
  </w:num>
  <w:num w:numId="1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2147</Characters>
  <Application>Microsoft Office Word</Application>
  <DocSecurity>0</DocSecurity>
  <Lines>89</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Regulations 2011 - 00-a0-01</dc:title>
  <dc:subject/>
  <dc:creator/>
  <cp:keywords/>
  <dc:description/>
  <cp:lastModifiedBy>svcMRProcess</cp:lastModifiedBy>
  <cp:revision>4</cp:revision>
  <cp:lastPrinted>2011-05-05T06:47:00Z</cp:lastPrinted>
  <dcterms:created xsi:type="dcterms:W3CDTF">2019-05-07T06:40:00Z</dcterms:created>
  <dcterms:modified xsi:type="dcterms:W3CDTF">2019-05-07T06:40:00Z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Jul 2011 p 3016-17</vt:lpwstr>
  </property>
  <property fmtid="{D5CDD505-2E9C-101B-9397-08002B2CF9AE}" pid="3" name="CommencementDate">
    <vt:lpwstr>20110722</vt:lpwstr>
  </property>
  <property fmtid="{D5CDD505-2E9C-101B-9397-08002B2CF9AE}" pid="4" name="AsAtDate">
    <vt:lpwstr>22 Jul 2011</vt:lpwstr>
  </property>
  <property fmtid="{D5CDD505-2E9C-101B-9397-08002B2CF9AE}" pid="5" name="Suffix">
    <vt:lpwstr>00-a0-01</vt:lpwstr>
  </property>
  <property fmtid="{D5CDD505-2E9C-101B-9397-08002B2CF9AE}" pid="6" name="DocumentType">
    <vt:lpwstr>Reg</vt:lpwstr>
  </property>
</Properties>
</file>