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Statute of Frauds (1677) (Imp)</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Statute of Frauds (1677) (Imp)</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 xml:space="preserve">The </w:t>
      </w:r>
      <w:r>
        <w:rPr>
          <w:i/>
          <w:snapToGrid w:val="0"/>
        </w:rPr>
        <w:t>Sale of Goods Act 1895</w:t>
      </w:r>
      <w:r>
        <w:rPr>
          <w:snapToGrid w:val="0"/>
        </w:rPr>
        <w:t>, s.58.</w:t>
      </w:r>
      <w:r>
        <w:tab/>
      </w:r>
      <w:r>
        <w:fldChar w:fldCharType="begin"/>
      </w:r>
      <w:r>
        <w:instrText xml:space="preserve"> PAGEREF _Toc434856076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snapToGrid w:val="0"/>
        </w:rPr>
        <w:tab/>
        <w:t>58.</w:t>
      </w:r>
      <w:r>
        <w:rPr>
          <w:noProof/>
          <w:snapToGrid w:val="0"/>
        </w:rPr>
        <w:tab/>
        <w:t>Repeals</w:t>
      </w:r>
      <w:r>
        <w:rPr>
          <w:noProof/>
        </w:rPr>
        <w:tab/>
      </w:r>
      <w:r>
        <w:rPr>
          <w:noProof/>
        </w:rPr>
        <w:fldChar w:fldCharType="begin"/>
      </w:r>
      <w:r>
        <w:rPr>
          <w:noProof/>
        </w:rPr>
        <w:instrText xml:space="preserve"> PAGEREF _Toc434856077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2</w:t>
      </w:r>
      <w:r>
        <w:rPr>
          <w:snapToGrid w:val="0"/>
        </w:rPr>
        <w:t>.</w:t>
      </w:r>
      <w:r>
        <w:rPr>
          <w:snapToGrid w:val="0"/>
        </w:rPr>
        <w:tab/>
        <w:t>Statute of Frauds provisions continued</w:t>
      </w:r>
      <w:r>
        <w:tab/>
      </w:r>
      <w:r>
        <w:fldChar w:fldCharType="begin"/>
      </w:r>
      <w:r>
        <w:instrText xml:space="preserve"> PAGEREF _Toc434856078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snapToGrid w:val="0"/>
        </w:rPr>
        <w:t>2.</w:t>
      </w:r>
      <w:r>
        <w:rPr>
          <w:noProof/>
          <w:snapToGrid w:val="0"/>
        </w:rPr>
        <w:tab/>
        <w:t>Application of s.4 of Statute of Frauds 1677</w:t>
      </w:r>
      <w:r>
        <w:rPr>
          <w:noProof/>
        </w:rPr>
        <w:tab/>
      </w:r>
      <w:r>
        <w:rPr>
          <w:noProof/>
        </w:rPr>
        <w:fldChar w:fldCharType="begin"/>
      </w:r>
      <w:r>
        <w:rPr>
          <w:noProof/>
        </w:rPr>
        <w:instrText xml:space="preserve"> PAGEREF _Toc434856079 \h </w:instrText>
      </w:r>
      <w:r>
        <w:rPr>
          <w:noProof/>
        </w:rPr>
      </w:r>
      <w:r>
        <w:rPr>
          <w:noProof/>
        </w:rPr>
        <w:fldChar w:fldCharType="separate"/>
      </w:r>
      <w:r>
        <w:rPr>
          <w:noProof/>
        </w:rPr>
        <w:t>2</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_Toc434856081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Statute of Frauds (1677) (Imp)</w:t>
      </w:r>
    </w:p>
    <w:p>
      <w:pPr>
        <w:pStyle w:val="MiscellaneousBody"/>
        <w:rPr>
          <w:snapToGrid w:val="0"/>
        </w:rPr>
      </w:pPr>
      <w:r>
        <w:rPr>
          <w:snapToGrid w:val="0"/>
        </w:rPr>
        <w:t xml:space="preserve">The Statute of Frauds (29 Car. II, c.3) (1677), has effect in W.A. by reason of being a Statute of the Realm of a general nature in force in </w:t>
      </w:r>
      <w:smartTag w:uri="urn:schemas-microsoft-com:office:smarttags" w:element="country-region">
        <w:smartTag w:uri="urn:schemas-microsoft-com:office:smarttags" w:element="place">
          <w:r>
            <w:rPr>
              <w:snapToGrid w:val="0"/>
            </w:rPr>
            <w:t>England</w:t>
          </w:r>
        </w:smartTag>
      </w:smartTag>
      <w:r>
        <w:rPr>
          <w:snapToGrid w:val="0"/>
        </w:rPr>
        <w:t xml:space="preserve"> on 1 June 1829.</w:t>
      </w:r>
    </w:p>
    <w:p>
      <w:pPr>
        <w:pStyle w:val="MiscellaneousBody"/>
        <w:rPr>
          <w:snapToGrid w:val="0"/>
        </w:rPr>
      </w:pPr>
      <w:r>
        <w:rPr>
          <w:snapToGrid w:val="0"/>
        </w:rPr>
        <w:t xml:space="preserve">Its provisions are not included on SWANS however the following amendments by Acts of W.A. are included. </w:t>
      </w:r>
    </w:p>
    <w:p>
      <w:pPr>
        <w:pStyle w:val="Heading5"/>
        <w:rPr>
          <w:b w:val="0"/>
          <w:snapToGrid w:val="0"/>
        </w:rPr>
      </w:pPr>
      <w:bookmarkStart w:id="3" w:name="_Toc379194552"/>
      <w:bookmarkStart w:id="4" w:name="_Toc434856076"/>
      <w:r>
        <w:rPr>
          <w:rStyle w:val="CharSectno"/>
        </w:rPr>
        <w:t>1</w:t>
      </w:r>
      <w:r>
        <w:rPr>
          <w:snapToGrid w:val="0"/>
        </w:rPr>
        <w:t>.</w:t>
      </w:r>
      <w:r>
        <w:rPr>
          <w:snapToGrid w:val="0"/>
        </w:rPr>
        <w:tab/>
      </w:r>
      <w:r>
        <w:rPr>
          <w:b w:val="0"/>
          <w:snapToGrid w:val="0"/>
        </w:rPr>
        <w:t xml:space="preserve">The </w:t>
      </w:r>
      <w:smartTag w:uri="urn:schemas-microsoft-com:office:smarttags" w:element="City">
        <w:smartTag w:uri="urn:schemas-microsoft-com:office:smarttags" w:element="place">
          <w:r>
            <w:rPr>
              <w:b w:val="0"/>
              <w:i/>
              <w:snapToGrid w:val="0"/>
            </w:rPr>
            <w:t>Sale</w:t>
          </w:r>
        </w:smartTag>
      </w:smartTag>
      <w:r>
        <w:rPr>
          <w:b w:val="0"/>
          <w:i/>
          <w:snapToGrid w:val="0"/>
        </w:rPr>
        <w:t xml:space="preserve"> of Goods Act 1895</w:t>
      </w:r>
      <w:r>
        <w:rPr>
          <w:b w:val="0"/>
          <w:snapToGrid w:val="0"/>
        </w:rPr>
        <w:t>, s.58.</w:t>
      </w:r>
      <w:bookmarkEnd w:id="3"/>
      <w:bookmarkEnd w:id="4"/>
    </w:p>
    <w:p>
      <w:pPr>
        <w:pStyle w:val="MiscOpen"/>
        <w:rPr>
          <w:snapToGrid w:val="0"/>
        </w:rPr>
      </w:pPr>
      <w:r>
        <w:rPr>
          <w:snapToGrid w:val="0"/>
        </w:rPr>
        <w:t>“</w:t>
      </w:r>
    </w:p>
    <w:p>
      <w:pPr>
        <w:pStyle w:val="zHeading5"/>
        <w:rPr>
          <w:snapToGrid w:val="0"/>
        </w:rPr>
      </w:pPr>
      <w:bookmarkStart w:id="5" w:name="_Toc379194553"/>
      <w:bookmarkStart w:id="6" w:name="_Toc434856077"/>
      <w:r>
        <w:rPr>
          <w:snapToGrid w:val="0"/>
        </w:rPr>
        <w:tab/>
        <w:t>58.</w:t>
      </w:r>
      <w:r>
        <w:rPr>
          <w:snapToGrid w:val="0"/>
        </w:rPr>
        <w:tab/>
        <w:t>Repeals</w:t>
      </w:r>
      <w:bookmarkEnd w:id="5"/>
      <w:bookmarkEnd w:id="6"/>
      <w:r>
        <w:rPr>
          <w:snapToGrid w:val="0"/>
        </w:rPr>
        <w:t xml:space="preserve"> </w:t>
      </w:r>
    </w:p>
    <w:p>
      <w:pPr>
        <w:pStyle w:val="zSubsection"/>
        <w:rPr>
          <w:snapToGrid w:val="0"/>
        </w:rPr>
      </w:pPr>
      <w:r>
        <w:rPr>
          <w:snapToGrid w:val="0"/>
        </w:rPr>
        <w:tab/>
      </w:r>
      <w:r>
        <w:rPr>
          <w:snapToGrid w:val="0"/>
        </w:rPr>
        <w:tab/>
        <w:t>The enactments mentioned in the schedule to this Act shall have no force or effect within the Colony of Western Australia as from the commencement of this Act to the extent in that schedule mentioned: Provided that nothing herein contained shall affect anything done or suffered, or any right, title, or interest acquired or accrued before the commencement of this Act, or any legal proceeding or remedy in respect of any such thing, right, title, or interest.</w:t>
      </w:r>
    </w:p>
    <w:p>
      <w:pPr>
        <w:pStyle w:val="MiscClose"/>
        <w:rPr>
          <w:snapToGrid w:val="0"/>
        </w:rPr>
      </w:pPr>
      <w:r>
        <w:rPr>
          <w:snapToGrid w:val="0"/>
        </w:rPr>
        <w:t>”.</w:t>
      </w:r>
    </w:p>
    <w:p>
      <w:pPr>
        <w:pStyle w:val="MiscellaneousHeading"/>
        <w:rPr>
          <w:snapToGrid w:val="0"/>
        </w:rPr>
      </w:pPr>
      <w:r>
        <w:rPr>
          <w:snapToGrid w:val="0"/>
        </w:rPr>
        <w:t>ENACTMENT REFERRED TO</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2693"/>
        <w:gridCol w:w="2268"/>
      </w:tblGrid>
      <w:tr>
        <w:tc>
          <w:tcPr>
            <w:tcW w:w="2127" w:type="dxa"/>
            <w:tcBorders>
              <w:top w:val="single" w:sz="4" w:space="0" w:color="auto"/>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both"/>
              <w:rPr>
                <w:spacing w:val="-2"/>
              </w:rPr>
            </w:pPr>
            <w:r>
              <w:rPr>
                <w:spacing w:val="-2"/>
              </w:rPr>
              <w:t>Session and Chapter</w:t>
            </w:r>
          </w:p>
        </w:tc>
        <w:tc>
          <w:tcPr>
            <w:tcW w:w="2693" w:type="dxa"/>
            <w:tcBorders>
              <w:top w:val="single" w:sz="4" w:space="0" w:color="auto"/>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both"/>
              <w:rPr>
                <w:spacing w:val="-2"/>
              </w:rPr>
            </w:pPr>
            <w:r>
              <w:rPr>
                <w:spacing w:val="-2"/>
              </w:rPr>
              <w:t>Title of Act</w:t>
            </w:r>
          </w:p>
        </w:tc>
        <w:tc>
          <w:tcPr>
            <w:tcW w:w="2268" w:type="dxa"/>
            <w:tcBorders>
              <w:top w:val="single" w:sz="4" w:space="0" w:color="auto"/>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both"/>
              <w:rPr>
                <w:spacing w:val="-2"/>
              </w:rPr>
            </w:pPr>
            <w:r>
              <w:rPr>
                <w:spacing w:val="-2"/>
              </w:rPr>
              <w:t>Extent of Repeal</w:t>
            </w:r>
          </w:p>
        </w:tc>
      </w:tr>
      <w:tr>
        <w:tc>
          <w:tcPr>
            <w:tcW w:w="212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29 Cha. 2, c. 3</w:t>
            </w:r>
          </w:p>
        </w:tc>
        <w:tc>
          <w:tcPr>
            <w:tcW w:w="269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Act for the prevention of Frauds and Perjuries</w:t>
            </w:r>
          </w:p>
        </w:tc>
        <w:tc>
          <w:tcPr>
            <w:tcW w:w="226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 part; that is to say, Section 15 and 16.</w:t>
            </w:r>
          </w:p>
        </w:tc>
      </w:tr>
    </w:tbl>
    <w:p>
      <w:pPr>
        <w:pStyle w:val="Heading5"/>
        <w:rPr>
          <w:snapToGrid w:val="0"/>
        </w:rPr>
      </w:pPr>
      <w:bookmarkStart w:id="7" w:name="_Toc379194554"/>
      <w:bookmarkStart w:id="8" w:name="_Toc434856078"/>
      <w:r>
        <w:rPr>
          <w:rStyle w:val="CharSectno"/>
        </w:rPr>
        <w:t>2</w:t>
      </w:r>
      <w:r>
        <w:rPr>
          <w:snapToGrid w:val="0"/>
        </w:rPr>
        <w:t>.</w:t>
      </w:r>
      <w:r>
        <w:rPr>
          <w:snapToGrid w:val="0"/>
        </w:rPr>
        <w:tab/>
        <w:t>Statute of Frauds provisions continued</w:t>
      </w:r>
      <w:bookmarkEnd w:id="7"/>
      <w:bookmarkEnd w:id="8"/>
    </w:p>
    <w:p>
      <w:pPr>
        <w:pStyle w:val="Subsection"/>
        <w:rPr>
          <w:snapToGrid w:val="0"/>
        </w:rPr>
      </w:pPr>
      <w:r>
        <w:rPr>
          <w:snapToGrid w:val="0"/>
        </w:rPr>
        <w:tab/>
      </w:r>
      <w:r>
        <w:rPr>
          <w:snapToGrid w:val="0"/>
        </w:rPr>
        <w:tab/>
        <w:t xml:space="preserve">Section 2 of the </w:t>
      </w:r>
      <w:r>
        <w:rPr>
          <w:i/>
          <w:snapToGrid w:val="0"/>
        </w:rPr>
        <w:t>Law Reform (Statute of Frauds) Act 1962</w:t>
      </w:r>
      <w:r>
        <w:rPr>
          <w:snapToGrid w:val="0"/>
        </w:rPr>
        <w:t xml:space="preserve"> reads as follows—</w:t>
      </w:r>
    </w:p>
    <w:p>
      <w:pPr>
        <w:pStyle w:val="MiscOpen"/>
        <w:rPr>
          <w:snapToGrid w:val="0"/>
        </w:rPr>
      </w:pPr>
      <w:r>
        <w:rPr>
          <w:snapToGrid w:val="0"/>
        </w:rPr>
        <w:t>“</w:t>
      </w:r>
    </w:p>
    <w:p>
      <w:pPr>
        <w:pStyle w:val="zHeading5"/>
        <w:ind w:left="890" w:hanging="890"/>
        <w:rPr>
          <w:snapToGrid w:val="0"/>
        </w:rPr>
      </w:pPr>
      <w:bookmarkStart w:id="9" w:name="_Toc379194555"/>
      <w:bookmarkStart w:id="10" w:name="_Toc434856079"/>
      <w:r>
        <w:rPr>
          <w:snapToGrid w:val="0"/>
        </w:rPr>
        <w:t>2.</w:t>
      </w:r>
      <w:r>
        <w:rPr>
          <w:snapToGrid w:val="0"/>
        </w:rPr>
        <w:tab/>
        <w:t>Application of s.4 of Statute of Frauds 1677</w:t>
      </w:r>
      <w:bookmarkEnd w:id="9"/>
      <w:bookmarkEnd w:id="10"/>
      <w:r>
        <w:rPr>
          <w:snapToGrid w:val="0"/>
        </w:rPr>
        <w:t xml:space="preserve"> </w:t>
      </w:r>
    </w:p>
    <w:p>
      <w:pPr>
        <w:pStyle w:val="zSubsection"/>
        <w:rPr>
          <w:snapToGrid w:val="0"/>
        </w:rPr>
      </w:pPr>
      <w:r>
        <w:rPr>
          <w:snapToGrid w:val="0"/>
        </w:rPr>
        <w:tab/>
      </w:r>
      <w:r>
        <w:rPr>
          <w:snapToGrid w:val="0"/>
        </w:rPr>
        <w:tab/>
        <w:t>The provisions of section four of the Statute of Frauds, 1677, continue in force in this State in relation to any promise or agreement, whether made before or after the coming into operation of this Act, as if the following passages were deleted from that section, namely — </w:t>
      </w:r>
    </w:p>
    <w:p>
      <w:pPr>
        <w:pStyle w:val="zIndenta"/>
        <w:rPr>
          <w:snapToGrid w:val="0"/>
        </w:rPr>
      </w:pPr>
      <w:r>
        <w:rPr>
          <w:snapToGrid w:val="0"/>
        </w:rPr>
        <w:tab/>
        <w:t>(a)</w:t>
      </w:r>
      <w:r>
        <w:rPr>
          <w:snapToGrid w:val="0"/>
        </w:rPr>
        <w:tab/>
        <w:t>“whereby to charge any executor or administrator upon any special promise to answer damages out of his own estate; or”;</w:t>
      </w:r>
    </w:p>
    <w:p>
      <w:pPr>
        <w:pStyle w:val="zIndenta"/>
        <w:rPr>
          <w:snapToGrid w:val="0"/>
        </w:rPr>
      </w:pPr>
      <w:r>
        <w:rPr>
          <w:snapToGrid w:val="0"/>
        </w:rPr>
        <w:tab/>
        <w:t>(b)</w:t>
      </w:r>
      <w:r>
        <w:rPr>
          <w:snapToGrid w:val="0"/>
        </w:rPr>
        <w:tab/>
        <w:t>“or to charge any person on upon any agreement made upon consideration of marriage”; and</w:t>
      </w:r>
    </w:p>
    <w:p>
      <w:pPr>
        <w:pStyle w:val="zIndenta"/>
        <w:rPr>
          <w:snapToGrid w:val="0"/>
        </w:rPr>
      </w:pPr>
      <w:r>
        <w:rPr>
          <w:snapToGrid w:val="0"/>
        </w:rPr>
        <w:tab/>
        <w:t>(c)</w:t>
      </w:r>
      <w:r>
        <w:rPr>
          <w:snapToGrid w:val="0"/>
        </w:rPr>
        <w:tab/>
        <w:t xml:space="preserve">“or upon any agreement that is not to be performed within the space of one year from the making thereof”. </w:t>
      </w:r>
    </w:p>
    <w:p>
      <w:pPr>
        <w:pStyle w:val="MiscClose"/>
        <w:rPr>
          <w:snapToGrid w:val="0"/>
        </w:rPr>
      </w:pP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9194556"/>
      <w:bookmarkStart w:id="12" w:name="_Toc424548603"/>
      <w:bookmarkStart w:id="13" w:name="_Toc434856080"/>
      <w:r>
        <w:t>Notes</w:t>
      </w:r>
      <w:bookmarkEnd w:id="11"/>
      <w:bookmarkEnd w:id="12"/>
      <w:bookmarkEnd w:id="13"/>
    </w:p>
    <w:p>
      <w:pPr>
        <w:pStyle w:val="nSubsection"/>
        <w:rPr>
          <w:snapToGrid w:val="0"/>
        </w:rPr>
      </w:pPr>
      <w:r>
        <w:rPr>
          <w:snapToGrid w:val="0"/>
        </w:rPr>
        <w:t>1.</w:t>
      </w:r>
      <w:r>
        <w:rPr>
          <w:snapToGrid w:val="0"/>
        </w:rPr>
        <w:tab/>
        <w:t xml:space="preserve">This is a compilation of amendments made by Acts of Western Australia to the </w:t>
      </w:r>
      <w:r>
        <w:rPr>
          <w:i/>
          <w:snapToGrid w:val="0"/>
        </w:rPr>
        <w:t>Statute of Frauds (1677) (Imp)</w:t>
      </w:r>
      <w:r>
        <w:rPr>
          <w:snapToGrid w:val="0"/>
        </w:rPr>
        <w:t xml:space="preserve"> and includes all amendments effected by the other Acts referred to in the following Table.</w:t>
      </w:r>
    </w:p>
    <w:p>
      <w:pPr>
        <w:pStyle w:val="nHeading3"/>
        <w:rPr>
          <w:snapToGrid w:val="0"/>
        </w:rPr>
      </w:pPr>
      <w:bookmarkStart w:id="14" w:name="_Toc379194557"/>
      <w:bookmarkStart w:id="15" w:name="_Toc434856081"/>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Statute of Frauds (1677) (Imp)</w:t>
            </w:r>
          </w:p>
        </w:tc>
        <w:tc>
          <w:tcPr>
            <w:tcW w:w="1134" w:type="dxa"/>
          </w:tcPr>
          <w:p>
            <w:pPr>
              <w:pStyle w:val="nTable"/>
              <w:spacing w:after="40"/>
            </w:pPr>
            <w:r>
              <w:t>29 Car. II c.3. (1677)</w:t>
            </w:r>
          </w:p>
        </w:tc>
        <w:tc>
          <w:tcPr>
            <w:tcW w:w="1134" w:type="dxa"/>
          </w:tcPr>
          <w:p>
            <w:pPr>
              <w:pStyle w:val="nTable"/>
              <w:spacing w:after="40"/>
            </w:pPr>
          </w:p>
        </w:tc>
        <w:tc>
          <w:tcPr>
            <w:tcW w:w="2551" w:type="dxa"/>
          </w:tcPr>
          <w:p>
            <w:pPr>
              <w:pStyle w:val="nTable"/>
              <w:spacing w:after="40"/>
            </w:pPr>
          </w:p>
        </w:tc>
      </w:tr>
      <w:tr>
        <w:tc>
          <w:tcPr>
            <w:tcW w:w="2268" w:type="dxa"/>
          </w:tcPr>
          <w:p>
            <w:pPr>
              <w:pStyle w:val="nTable"/>
              <w:spacing w:after="40"/>
            </w:pPr>
            <w:smartTag w:uri="urn:schemas-microsoft-com:office:smarttags" w:element="place">
              <w:smartTag w:uri="urn:schemas-microsoft-com:office:smarttags" w:element="City">
                <w:r>
                  <w:rPr>
                    <w:i/>
                  </w:rPr>
                  <w:t>Sale</w:t>
                </w:r>
              </w:smartTag>
            </w:smartTag>
            <w:r>
              <w:rPr>
                <w:i/>
              </w:rPr>
              <w:t xml:space="preserve"> of Goods Act 1895</w:t>
            </w:r>
            <w:r>
              <w:rPr>
                <w:i/>
              </w:rPr>
              <w:br/>
            </w:r>
            <w:r>
              <w:t>(section 58)</w:t>
            </w:r>
          </w:p>
        </w:tc>
        <w:tc>
          <w:tcPr>
            <w:tcW w:w="1134" w:type="dxa"/>
          </w:tcPr>
          <w:p>
            <w:pPr>
              <w:pStyle w:val="nTable"/>
              <w:spacing w:after="40"/>
            </w:pPr>
            <w:r>
              <w:t>41 of 1895</w:t>
            </w:r>
          </w:p>
        </w:tc>
        <w:tc>
          <w:tcPr>
            <w:tcW w:w="1134" w:type="dxa"/>
          </w:tcPr>
          <w:p>
            <w:pPr>
              <w:pStyle w:val="nTable"/>
              <w:spacing w:after="40"/>
            </w:pPr>
            <w:r>
              <w:t>12 Oct 1895</w:t>
            </w:r>
          </w:p>
        </w:tc>
        <w:tc>
          <w:tcPr>
            <w:tcW w:w="2551" w:type="dxa"/>
          </w:tcPr>
          <w:p>
            <w:pPr>
              <w:pStyle w:val="nTable"/>
              <w:spacing w:after="40"/>
            </w:pPr>
            <w:r>
              <w:t>1 Jan 1896</w:t>
            </w:r>
          </w:p>
        </w:tc>
      </w:tr>
      <w:tr>
        <w:tc>
          <w:tcPr>
            <w:tcW w:w="2268" w:type="dxa"/>
            <w:tcBorders>
              <w:bottom w:val="single" w:sz="8" w:space="0" w:color="auto"/>
            </w:tcBorders>
            <w:shd w:val="clear" w:color="auto" w:fill="auto"/>
          </w:tcPr>
          <w:p>
            <w:pPr>
              <w:pStyle w:val="nTable"/>
              <w:spacing w:after="40"/>
            </w:pPr>
            <w:r>
              <w:rPr>
                <w:i/>
              </w:rPr>
              <w:t>Law Reform (Statute of Frauds) Act 1962</w:t>
            </w:r>
            <w:r>
              <w:rPr>
                <w:i/>
              </w:rPr>
              <w:br/>
            </w:r>
            <w:r>
              <w:t>(section 2)</w:t>
            </w:r>
          </w:p>
        </w:tc>
        <w:tc>
          <w:tcPr>
            <w:tcW w:w="1134" w:type="dxa"/>
            <w:tcBorders>
              <w:bottom w:val="single" w:sz="8" w:space="0" w:color="auto"/>
            </w:tcBorders>
            <w:shd w:val="clear" w:color="auto" w:fill="auto"/>
          </w:tcPr>
          <w:p>
            <w:pPr>
              <w:pStyle w:val="nTable"/>
              <w:spacing w:after="40"/>
            </w:pPr>
            <w:r>
              <w:t>16 of 1962</w:t>
            </w:r>
          </w:p>
        </w:tc>
        <w:tc>
          <w:tcPr>
            <w:tcW w:w="1134" w:type="dxa"/>
            <w:tcBorders>
              <w:bottom w:val="single" w:sz="8" w:space="0" w:color="auto"/>
            </w:tcBorders>
            <w:shd w:val="clear" w:color="auto" w:fill="auto"/>
          </w:tcPr>
          <w:p>
            <w:pPr>
              <w:pStyle w:val="nTable"/>
              <w:spacing w:after="40"/>
            </w:pPr>
            <w:r>
              <w:t>1 Oct 1962</w:t>
            </w:r>
          </w:p>
        </w:tc>
        <w:tc>
          <w:tcPr>
            <w:tcW w:w="2551" w:type="dxa"/>
            <w:tcBorders>
              <w:bottom w:val="single" w:sz="8" w:space="0" w:color="auto"/>
            </w:tcBorders>
            <w:shd w:val="clear" w:color="auto" w:fill="auto"/>
          </w:tcPr>
          <w:p>
            <w:pPr>
              <w:pStyle w:val="nTable"/>
              <w:spacing w:after="40"/>
            </w:pPr>
            <w:r>
              <w:t>1 Oct 1962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Statute of Frauds (1677) (Imp)</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Statute of Frauds (1677) (Imp)</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Statute of Frauds (1677)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Statute of Frauds (1677)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Statute of Frauds (1677) (Imp)</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Statute of Frauds (1677) (Imp)</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225"/>
    <w:docVar w:name="WAFER_20140203120745" w:val="RemoveTocBookmarks,RemoveUnusedBookmarks,RemoveLanguageTags,UsedStyles,ResetPageSize,UpdateArrangement"/>
    <w:docVar w:name="WAFER_20140203120745_GUID" w:val="3381a902-c23d-4cb3-b921-f353ecc935b3"/>
    <w:docVar w:name="WAFER_20140203123016" w:val="RemoveTocBookmarks,RunningHeaders"/>
    <w:docVar w:name="WAFER_20140203123016_GUID" w:val="4fa7b147-82f2-4eb0-b141-169caf6ec349"/>
    <w:docVar w:name="WAFER_20150713103816" w:val="ResetPageSize,UpdateArrangement,UpdateNTable"/>
    <w:docVar w:name="WAFER_20150713103816_GUID" w:val="b373ad9c-d74f-4387-9b5d-559349bce836"/>
    <w:docVar w:name="WAFER_20151109175225" w:val="UpdateStyles,UsedStyles"/>
    <w:docVar w:name="WAFER_20151109175225_GUID" w:val="37814e1a-a7b6-4c2b-835c-ee13a5acea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558</Words>
  <Characters>2561</Characters>
  <Application>Microsoft Office Word</Application>
  <DocSecurity>0</DocSecurity>
  <Lines>121</Lines>
  <Paragraphs>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 of Frauds (1677) (Imp) - 00-b0-13</dc:title>
  <dc:subject/>
  <dc:creator/>
  <cp:keywords/>
  <dc:description/>
  <cp:lastModifiedBy>svcMRProcess</cp:lastModifiedBy>
  <cp:revision>4</cp:revision>
  <cp:lastPrinted>1998-01-26T22:59:00Z</cp:lastPrinted>
  <dcterms:created xsi:type="dcterms:W3CDTF">2019-01-23T06:27:00Z</dcterms:created>
  <dcterms:modified xsi:type="dcterms:W3CDTF">2019-01-23T06:27:00Z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999 of 1677</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00-b0-13</vt:lpwstr>
  </property>
</Properties>
</file>