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Subiaco Redevelopment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Subiaco Redevelopment Act 1994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_Toc122837366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_Toc122837367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_Toc122837368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Redevelopment area defined</w:t>
      </w:r>
      <w:r>
        <w:rPr>
          <w:noProof/>
        </w:rPr>
        <w:tab/>
      </w:r>
      <w:r>
        <w:rPr>
          <w:noProof/>
        </w:rPr>
        <w:fldChar w:fldCharType="begin"/>
      </w:r>
      <w:r>
        <w:rPr>
          <w:noProof/>
        </w:rPr>
        <w:instrText xml:space="preserve"> PAGEREF _Toc122837369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Transitional provisions where area amended</w:t>
      </w:r>
      <w:r>
        <w:rPr>
          <w:noProof/>
        </w:rPr>
        <w:tab/>
      </w:r>
      <w:r>
        <w:rPr>
          <w:noProof/>
        </w:rPr>
        <w:fldChar w:fldCharType="begin"/>
      </w:r>
      <w:r>
        <w:rPr>
          <w:noProof/>
        </w:rPr>
        <w:instrText xml:space="preserve"> PAGEREF _Toc122837370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2 — Subiaco Redevelopment Authority</w:t>
      </w:r>
    </w:p>
    <w:p>
      <w:pPr>
        <w:pStyle w:val="TOC3"/>
        <w:rPr>
          <w:b w:val="0"/>
          <w:noProof/>
          <w:sz w:val="24"/>
          <w:szCs w:val="24"/>
        </w:rPr>
      </w:pPr>
      <w:r>
        <w:rPr>
          <w:noProof/>
          <w:szCs w:val="26"/>
        </w:rPr>
        <w:t>Division 1</w:t>
      </w:r>
      <w:r>
        <w:rPr>
          <w:noProof/>
          <w:snapToGrid w:val="0"/>
          <w:szCs w:val="26"/>
        </w:rPr>
        <w:t> — </w:t>
      </w:r>
      <w:r>
        <w:rPr>
          <w:noProof/>
          <w:szCs w:val="26"/>
        </w:rPr>
        <w:t>Establishment of Authority</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Authority established</w:t>
      </w:r>
      <w:r>
        <w:rPr>
          <w:noProof/>
        </w:rPr>
        <w:tab/>
      </w:r>
      <w:r>
        <w:rPr>
          <w:noProof/>
        </w:rPr>
        <w:fldChar w:fldCharType="begin"/>
      </w:r>
      <w:r>
        <w:rPr>
          <w:noProof/>
        </w:rPr>
        <w:instrText xml:space="preserve"> PAGEREF _Toc122837373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Membership of Authority</w:t>
      </w:r>
      <w:r>
        <w:rPr>
          <w:noProof/>
        </w:rPr>
        <w:tab/>
      </w:r>
      <w:r>
        <w:rPr>
          <w:noProof/>
        </w:rPr>
        <w:fldChar w:fldCharType="begin"/>
      </w:r>
      <w:r>
        <w:rPr>
          <w:noProof/>
        </w:rPr>
        <w:instrText xml:space="preserve"> PAGEREF _Toc122837374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Chairperson and deputy chairperson</w:t>
      </w:r>
      <w:r>
        <w:rPr>
          <w:noProof/>
        </w:rPr>
        <w:tab/>
      </w:r>
      <w:r>
        <w:rPr>
          <w:noProof/>
        </w:rPr>
        <w:fldChar w:fldCharType="begin"/>
      </w:r>
      <w:r>
        <w:rPr>
          <w:noProof/>
        </w:rPr>
        <w:instrText xml:space="preserve"> PAGEREF _Toc122837375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Constitution and proceedings</w:t>
      </w:r>
      <w:r>
        <w:rPr>
          <w:noProof/>
        </w:rPr>
        <w:tab/>
      </w:r>
      <w:r>
        <w:rPr>
          <w:noProof/>
        </w:rPr>
        <w:fldChar w:fldCharType="begin"/>
      </w:r>
      <w:r>
        <w:rPr>
          <w:noProof/>
        </w:rPr>
        <w:instrText xml:space="preserve"> PAGEREF _Toc122837376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Remuneration and expenses of members</w:t>
      </w:r>
      <w:r>
        <w:rPr>
          <w:noProof/>
        </w:rPr>
        <w:tab/>
      </w:r>
      <w:r>
        <w:rPr>
          <w:noProof/>
        </w:rPr>
        <w:fldChar w:fldCharType="begin"/>
      </w:r>
      <w:r>
        <w:rPr>
          <w:noProof/>
        </w:rPr>
        <w:instrText xml:space="preserve"> PAGEREF _Toc122837377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Protection of members and officers</w:t>
      </w:r>
      <w:r>
        <w:rPr>
          <w:noProof/>
        </w:rPr>
        <w:tab/>
      </w:r>
      <w:r>
        <w:rPr>
          <w:noProof/>
        </w:rPr>
        <w:fldChar w:fldCharType="begin"/>
      </w:r>
      <w:r>
        <w:rPr>
          <w:noProof/>
        </w:rPr>
        <w:instrText xml:space="preserve"> PAGEREF _Toc122837378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Particular functions of members</w:t>
      </w:r>
      <w:r>
        <w:rPr>
          <w:noProof/>
        </w:rPr>
        <w:tab/>
      </w:r>
      <w:r>
        <w:rPr>
          <w:noProof/>
        </w:rPr>
        <w:fldChar w:fldCharType="begin"/>
      </w:r>
      <w:r>
        <w:rPr>
          <w:noProof/>
        </w:rPr>
        <w:instrText xml:space="preserve"> PAGEREF _Toc122837379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Staff</w:t>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Chief executive officer</w:t>
      </w:r>
      <w:r>
        <w:rPr>
          <w:noProof/>
        </w:rPr>
        <w:tab/>
      </w:r>
      <w:r>
        <w:rPr>
          <w:noProof/>
        </w:rPr>
        <w:fldChar w:fldCharType="begin"/>
      </w:r>
      <w:r>
        <w:rPr>
          <w:noProof/>
        </w:rPr>
        <w:instrText xml:space="preserve"> PAGEREF _Toc122837381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Use of staff and facilities of departments, agencies and instrumentalities</w:t>
      </w:r>
      <w:r>
        <w:rPr>
          <w:noProof/>
        </w:rPr>
        <w:tab/>
      </w:r>
      <w:r>
        <w:rPr>
          <w:noProof/>
        </w:rPr>
        <w:fldChar w:fldCharType="begin"/>
      </w:r>
      <w:r>
        <w:rPr>
          <w:noProof/>
        </w:rPr>
        <w:instrText xml:space="preserve"> PAGEREF _Toc122837382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Consultants, etc.</w:t>
      </w:r>
      <w:r>
        <w:rPr>
          <w:noProof/>
        </w:rPr>
        <w:tab/>
      </w:r>
      <w:r>
        <w:rPr>
          <w:noProof/>
        </w:rPr>
        <w:fldChar w:fldCharType="begin"/>
      </w:r>
      <w:r>
        <w:rPr>
          <w:noProof/>
        </w:rPr>
        <w:instrText xml:space="preserve"> PAGEREF _Toc122837383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Senior Executive Service</w:t>
      </w:r>
      <w:r>
        <w:rPr>
          <w:noProof/>
        </w:rPr>
        <w:tab/>
      </w:r>
      <w:r>
        <w:rPr>
          <w:noProof/>
        </w:rPr>
        <w:fldChar w:fldCharType="begin"/>
      </w:r>
      <w:r>
        <w:rPr>
          <w:noProof/>
        </w:rPr>
        <w:instrText xml:space="preserve"> PAGEREF _Toc122837384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3 — Functions and powers</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Compliance with written laws</w:t>
      </w:r>
      <w:r>
        <w:rPr>
          <w:noProof/>
        </w:rPr>
        <w:tab/>
      </w:r>
      <w:r>
        <w:rPr>
          <w:noProof/>
        </w:rPr>
        <w:fldChar w:fldCharType="begin"/>
      </w:r>
      <w:r>
        <w:rPr>
          <w:noProof/>
        </w:rPr>
        <w:instrText xml:space="preserve"> PAGEREF _Toc122837386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lastRenderedPageBreak/>
        <w:t>19</w:t>
      </w:r>
      <w:r>
        <w:rPr>
          <w:noProof/>
          <w:snapToGrid w:val="0"/>
          <w:szCs w:val="24"/>
        </w:rPr>
        <w:t>.</w:t>
      </w:r>
      <w:r>
        <w:rPr>
          <w:noProof/>
          <w:sz w:val="24"/>
          <w:szCs w:val="24"/>
        </w:rPr>
        <w:tab/>
      </w:r>
      <w:r>
        <w:rPr>
          <w:noProof/>
          <w:snapToGrid w:val="0"/>
          <w:szCs w:val="24"/>
        </w:rPr>
        <w:t>Authority exempt from rates, taxes, etc.</w:t>
      </w:r>
      <w:r>
        <w:rPr>
          <w:noProof/>
        </w:rPr>
        <w:tab/>
      </w:r>
      <w:r>
        <w:rPr>
          <w:noProof/>
        </w:rPr>
        <w:fldChar w:fldCharType="begin"/>
      </w:r>
      <w:r>
        <w:rPr>
          <w:noProof/>
        </w:rPr>
        <w:instrText xml:space="preserve"> PAGEREF _Toc122837387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Functions</w:t>
      </w:r>
      <w:r>
        <w:rPr>
          <w:noProof/>
        </w:rPr>
        <w:tab/>
      </w:r>
      <w:r>
        <w:rPr>
          <w:noProof/>
        </w:rPr>
        <w:fldChar w:fldCharType="begin"/>
      </w:r>
      <w:r>
        <w:rPr>
          <w:noProof/>
        </w:rPr>
        <w:instrText xml:space="preserve"> PAGEREF _Toc122837388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_Toc122837389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Further restrictions on exercise of power</w:t>
      </w:r>
      <w:r>
        <w:rPr>
          <w:noProof/>
        </w:rPr>
        <w:tab/>
      </w:r>
      <w:r>
        <w:rPr>
          <w:noProof/>
        </w:rPr>
        <w:fldChar w:fldCharType="begin"/>
      </w:r>
      <w:r>
        <w:rPr>
          <w:noProof/>
        </w:rPr>
        <w:instrText xml:space="preserve"> PAGEREF _Toc122837390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Conditional disposal of land</w:t>
      </w:r>
      <w:r>
        <w:rPr>
          <w:noProof/>
        </w:rPr>
        <w:tab/>
      </w:r>
      <w:r>
        <w:rPr>
          <w:noProof/>
        </w:rPr>
        <w:fldChar w:fldCharType="begin"/>
      </w:r>
      <w:r>
        <w:rPr>
          <w:noProof/>
        </w:rPr>
        <w:instrText xml:space="preserve"> PAGEREF _Toc122837391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Compulsory taking of land</w:t>
      </w:r>
      <w:r>
        <w:rPr>
          <w:noProof/>
        </w:rPr>
        <w:tab/>
      </w:r>
      <w:r>
        <w:rPr>
          <w:noProof/>
        </w:rPr>
        <w:fldChar w:fldCharType="begin"/>
      </w:r>
      <w:r>
        <w:rPr>
          <w:noProof/>
        </w:rPr>
        <w:instrText xml:space="preserve"> PAGEREF _Toc122837392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Power of Governor to direct transfer to Authority</w:t>
      </w:r>
      <w:r>
        <w:rPr>
          <w:noProof/>
        </w:rPr>
        <w:tab/>
      </w:r>
      <w:r>
        <w:rPr>
          <w:noProof/>
        </w:rPr>
        <w:fldChar w:fldCharType="begin"/>
      </w:r>
      <w:r>
        <w:rPr>
          <w:noProof/>
        </w:rPr>
        <w:instrText xml:space="preserve"> PAGEREF _Toc122837393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Temporary closure of streets</w:t>
      </w:r>
      <w:r>
        <w:rPr>
          <w:noProof/>
        </w:rPr>
        <w:tab/>
      </w:r>
      <w:r>
        <w:rPr>
          <w:noProof/>
        </w:rPr>
        <w:fldChar w:fldCharType="begin"/>
      </w:r>
      <w:r>
        <w:rPr>
          <w:noProof/>
        </w:rPr>
        <w:instrText xml:space="preserve"> PAGEREF _Toc122837394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Permanent closure of streets</w:t>
      </w:r>
      <w:r>
        <w:rPr>
          <w:noProof/>
        </w:rPr>
        <w:tab/>
      </w:r>
      <w:r>
        <w:rPr>
          <w:noProof/>
        </w:rPr>
        <w:fldChar w:fldCharType="begin"/>
      </w:r>
      <w:r>
        <w:rPr>
          <w:noProof/>
        </w:rPr>
        <w:instrText xml:space="preserve"> PAGEREF _Toc122837395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_Toc122837396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_Toc122837397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_Toc122837398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4 — Redevelopment scheme</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Authority to comply with redevelopment scheme</w:t>
      </w:r>
      <w:r>
        <w:rPr>
          <w:noProof/>
        </w:rPr>
        <w:tab/>
      </w:r>
      <w:r>
        <w:rPr>
          <w:noProof/>
        </w:rPr>
        <w:fldChar w:fldCharType="begin"/>
      </w:r>
      <w:r>
        <w:rPr>
          <w:noProof/>
        </w:rPr>
        <w:instrText xml:space="preserve"> PAGEREF _Toc122837401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Contents of redevelopment scheme</w:t>
      </w:r>
      <w:r>
        <w:rPr>
          <w:noProof/>
        </w:rPr>
        <w:tab/>
      </w:r>
      <w:r>
        <w:rPr>
          <w:noProof/>
        </w:rPr>
        <w:fldChar w:fldCharType="begin"/>
      </w:r>
      <w:r>
        <w:rPr>
          <w:noProof/>
        </w:rPr>
        <w:instrText xml:space="preserve"> PAGEREF _Toc122837402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Preparation and approval of redevelopment scheme</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Proposed redevelopment scheme</w:t>
      </w:r>
      <w:r>
        <w:rPr>
          <w:noProof/>
        </w:rPr>
        <w:tab/>
      </w:r>
      <w:r>
        <w:rPr>
          <w:noProof/>
        </w:rPr>
        <w:fldChar w:fldCharType="begin"/>
      </w:r>
      <w:r>
        <w:rPr>
          <w:noProof/>
        </w:rPr>
        <w:instrText xml:space="preserve"> PAGEREF _Toc122837404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Proposed scheme to be publicly notified</w:t>
      </w:r>
      <w:r>
        <w:rPr>
          <w:noProof/>
        </w:rPr>
        <w:tab/>
      </w:r>
      <w:r>
        <w:rPr>
          <w:noProof/>
        </w:rPr>
        <w:fldChar w:fldCharType="begin"/>
      </w:r>
      <w:r>
        <w:rPr>
          <w:noProof/>
        </w:rPr>
        <w:instrText xml:space="preserve"> PAGEREF _Toc122837405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Public submissions</w:t>
      </w:r>
      <w:r>
        <w:rPr>
          <w:noProof/>
        </w:rPr>
        <w:tab/>
      </w:r>
      <w:r>
        <w:rPr>
          <w:noProof/>
        </w:rPr>
        <w:fldChar w:fldCharType="begin"/>
      </w:r>
      <w:r>
        <w:rPr>
          <w:noProof/>
        </w:rPr>
        <w:instrText xml:space="preserve"> PAGEREF _Toc122837406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Approval by Minister</w:t>
      </w:r>
      <w:r>
        <w:rPr>
          <w:noProof/>
        </w:rPr>
        <w:tab/>
      </w:r>
      <w:r>
        <w:rPr>
          <w:noProof/>
        </w:rPr>
        <w:fldChar w:fldCharType="begin"/>
      </w:r>
      <w:r>
        <w:rPr>
          <w:noProof/>
        </w:rPr>
        <w:instrText xml:space="preserve"> PAGEREF _Toc122837407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Notice of approval</w:t>
      </w:r>
      <w:r>
        <w:rPr>
          <w:noProof/>
        </w:rPr>
        <w:tab/>
      </w:r>
      <w:r>
        <w:rPr>
          <w:noProof/>
        </w:rPr>
        <w:fldChar w:fldCharType="begin"/>
      </w:r>
      <w:r>
        <w:rPr>
          <w:noProof/>
        </w:rPr>
        <w:instrText xml:space="preserve"> PAGEREF _Toc122837408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Amendment of redevelopment scheme</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Amendment of redevelopment scheme</w:t>
      </w:r>
      <w:r>
        <w:rPr>
          <w:noProof/>
        </w:rPr>
        <w:tab/>
      </w:r>
      <w:r>
        <w:rPr>
          <w:noProof/>
        </w:rPr>
        <w:fldChar w:fldCharType="begin"/>
      </w:r>
      <w:r>
        <w:rPr>
          <w:noProof/>
        </w:rPr>
        <w:instrText xml:space="preserve"> PAGEREF _Toc122837410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_Toc122837411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Role of Environmental Protection Authority in respect of redevelopment schemes, etc.</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Reference of proposed redevelopment schemes, and proposed amendments to redevelopment schemes, to Environmental Protection Authority</w:t>
      </w:r>
      <w:r>
        <w:rPr>
          <w:noProof/>
        </w:rPr>
        <w:tab/>
      </w:r>
      <w:r>
        <w:rPr>
          <w:noProof/>
        </w:rPr>
        <w:fldChar w:fldCharType="begin"/>
      </w:r>
      <w:r>
        <w:rPr>
          <w:noProof/>
        </w:rPr>
        <w:instrText xml:space="preserve"> PAGEREF _Toc122837413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Prerequisite to submission of proposed redevelopment schemes, and proposed amendments to redevelopment schemes, to Minister for approval before public notification</w:t>
      </w:r>
      <w:r>
        <w:rPr>
          <w:noProof/>
        </w:rPr>
        <w:tab/>
      </w:r>
      <w:r>
        <w:rPr>
          <w:noProof/>
        </w:rPr>
        <w:fldChar w:fldCharType="begin"/>
      </w:r>
      <w:r>
        <w:rPr>
          <w:noProof/>
        </w:rPr>
        <w:instrText xml:space="preserve"> PAGEREF _Toc122837414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Role of Authority in relation to environmental submissions</w:t>
      </w:r>
      <w:r>
        <w:rPr>
          <w:noProof/>
        </w:rPr>
        <w:tab/>
      </w:r>
      <w:r>
        <w:rPr>
          <w:noProof/>
        </w:rPr>
        <w:fldChar w:fldCharType="begin"/>
      </w:r>
      <w:r>
        <w:rPr>
          <w:noProof/>
        </w:rPr>
        <w:instrText xml:space="preserve"> PAGEREF _Toc122837415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42A</w:t>
      </w:r>
      <w:r>
        <w:rPr>
          <w:noProof/>
          <w:snapToGrid w:val="0"/>
          <w:szCs w:val="24"/>
        </w:rPr>
        <w:t>.</w:t>
      </w:r>
      <w:r>
        <w:rPr>
          <w:noProof/>
          <w:sz w:val="24"/>
          <w:szCs w:val="24"/>
        </w:rPr>
        <w:tab/>
      </w:r>
      <w:r>
        <w:rPr>
          <w:noProof/>
          <w:snapToGrid w:val="0"/>
          <w:szCs w:val="24"/>
        </w:rPr>
        <w:t>Prerequisite to final approval by Minister of proposed redevelopment schemes and proposed amendments to redevelopment schemes</w:t>
      </w:r>
      <w:r>
        <w:rPr>
          <w:noProof/>
        </w:rPr>
        <w:tab/>
      </w:r>
      <w:r>
        <w:rPr>
          <w:noProof/>
        </w:rPr>
        <w:fldChar w:fldCharType="begin"/>
      </w:r>
      <w:r>
        <w:rPr>
          <w:noProof/>
        </w:rPr>
        <w:instrText xml:space="preserve"> PAGEREF _Toc122837416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5 — Development control</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_Toc122837418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_Toc122837419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Certain planning schemes cease to apply</w:t>
      </w:r>
      <w:r>
        <w:rPr>
          <w:noProof/>
        </w:rPr>
        <w:tab/>
      </w:r>
      <w:r>
        <w:rPr>
          <w:noProof/>
        </w:rPr>
        <w:fldChar w:fldCharType="begin"/>
      </w:r>
      <w:r>
        <w:rPr>
          <w:noProof/>
        </w:rPr>
        <w:instrText xml:space="preserve"> PAGEREF _Toc122837420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_Toc122837421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Development to be approved</w:t>
      </w:r>
      <w:r>
        <w:rPr>
          <w:noProof/>
        </w:rPr>
        <w:tab/>
      </w:r>
      <w:r>
        <w:rPr>
          <w:noProof/>
        </w:rPr>
        <w:fldChar w:fldCharType="begin"/>
      </w:r>
      <w:r>
        <w:rPr>
          <w:noProof/>
        </w:rPr>
        <w:instrText xml:space="preserve"> PAGEREF _Toc122837422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Applications for approval</w:t>
      </w:r>
      <w:r>
        <w:rPr>
          <w:noProof/>
        </w:rPr>
        <w:tab/>
      </w:r>
      <w:r>
        <w:rPr>
          <w:noProof/>
        </w:rPr>
        <w:fldChar w:fldCharType="begin"/>
      </w:r>
      <w:r>
        <w:rPr>
          <w:noProof/>
        </w:rPr>
        <w:instrText xml:space="preserve"> PAGEREF _Toc122837423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Consultation with other authorities</w:t>
      </w:r>
      <w:r>
        <w:rPr>
          <w:noProof/>
        </w:rPr>
        <w:tab/>
      </w:r>
      <w:r>
        <w:rPr>
          <w:noProof/>
        </w:rPr>
        <w:fldChar w:fldCharType="begin"/>
      </w:r>
      <w:r>
        <w:rPr>
          <w:noProof/>
        </w:rPr>
        <w:instrText xml:space="preserve"> PAGEREF _Toc122837424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Authority’s decision</w:t>
      </w:r>
      <w:r>
        <w:rPr>
          <w:noProof/>
        </w:rPr>
        <w:tab/>
      </w:r>
      <w:r>
        <w:rPr>
          <w:noProof/>
        </w:rPr>
        <w:fldChar w:fldCharType="begin"/>
      </w:r>
      <w:r>
        <w:rPr>
          <w:noProof/>
        </w:rPr>
        <w:instrText xml:space="preserve"> PAGEREF _Toc122837425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Referral of certain applications to Minister</w:t>
      </w:r>
      <w:r>
        <w:rPr>
          <w:noProof/>
        </w:rPr>
        <w:tab/>
      </w:r>
      <w:r>
        <w:rPr>
          <w:noProof/>
        </w:rPr>
        <w:fldChar w:fldCharType="begin"/>
      </w:r>
      <w:r>
        <w:rPr>
          <w:noProof/>
        </w:rPr>
        <w:instrText xml:space="preserve"> PAGEREF _Toc122837426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Appeal</w:t>
      </w:r>
      <w:r>
        <w:rPr>
          <w:noProof/>
        </w:rPr>
        <w:tab/>
      </w:r>
      <w:r>
        <w:rPr>
          <w:noProof/>
        </w:rPr>
        <w:fldChar w:fldCharType="begin"/>
      </w:r>
      <w:r>
        <w:rPr>
          <w:noProof/>
        </w:rPr>
        <w:instrText xml:space="preserve"> PAGEREF _Toc122837427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Liability of officers for offence committed by body corporate</w:t>
      </w:r>
      <w:r>
        <w:rPr>
          <w:noProof/>
        </w:rPr>
        <w:tab/>
      </w:r>
      <w:r>
        <w:rPr>
          <w:noProof/>
        </w:rPr>
        <w:fldChar w:fldCharType="begin"/>
      </w:r>
      <w:r>
        <w:rPr>
          <w:noProof/>
        </w:rPr>
        <w:instrText xml:space="preserve"> PAGEREF _Toc122837428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Power to direct cessation or removal of unlawful development</w:t>
      </w:r>
      <w:r>
        <w:rPr>
          <w:noProof/>
        </w:rPr>
        <w:tab/>
      </w:r>
      <w:r>
        <w:rPr>
          <w:noProof/>
        </w:rPr>
        <w:fldChar w:fldCharType="begin"/>
      </w:r>
      <w:r>
        <w:rPr>
          <w:noProof/>
        </w:rPr>
        <w:instrText xml:space="preserve"> PAGEREF _Toc122837429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54A</w:t>
      </w:r>
      <w:r>
        <w:rPr>
          <w:noProof/>
          <w:snapToGrid w:val="0"/>
          <w:szCs w:val="24"/>
        </w:rPr>
        <w:t>.</w:t>
      </w:r>
      <w:r>
        <w:rPr>
          <w:noProof/>
          <w:sz w:val="24"/>
          <w:szCs w:val="24"/>
        </w:rPr>
        <w:tab/>
      </w:r>
      <w:r>
        <w:rPr>
          <w:noProof/>
          <w:snapToGrid w:val="0"/>
          <w:szCs w:val="24"/>
        </w:rPr>
        <w:t>Powers of Minister to ensure that environmental conditions are met</w:t>
      </w:r>
      <w:r>
        <w:rPr>
          <w:noProof/>
        </w:rPr>
        <w:tab/>
      </w:r>
      <w:r>
        <w:rPr>
          <w:noProof/>
        </w:rPr>
        <w:fldChar w:fldCharType="begin"/>
      </w:r>
      <w:r>
        <w:rPr>
          <w:noProof/>
        </w:rPr>
        <w:instrText xml:space="preserve"> PAGEREF _Toc122837430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_Toc122837431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6 — Financial provisions</w:t>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Funds of Authority</w:t>
      </w:r>
      <w:r>
        <w:rPr>
          <w:noProof/>
        </w:rPr>
        <w:tab/>
      </w:r>
      <w:r>
        <w:rPr>
          <w:noProof/>
        </w:rPr>
        <w:fldChar w:fldCharType="begin"/>
      </w:r>
      <w:r>
        <w:rPr>
          <w:noProof/>
        </w:rPr>
        <w:instrText xml:space="preserve"> PAGEREF _Toc122837433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Investment</w:t>
      </w:r>
      <w:r>
        <w:rPr>
          <w:noProof/>
        </w:rPr>
        <w:tab/>
      </w:r>
      <w:r>
        <w:rPr>
          <w:noProof/>
        </w:rPr>
        <w:fldChar w:fldCharType="begin"/>
      </w:r>
      <w:r>
        <w:rPr>
          <w:noProof/>
        </w:rPr>
        <w:instrText xml:space="preserve"> PAGEREF _Toc122837434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Borrowing by Authority from Treasurer</w:t>
      </w:r>
      <w:r>
        <w:rPr>
          <w:noProof/>
        </w:rPr>
        <w:tab/>
      </w:r>
      <w:r>
        <w:rPr>
          <w:noProof/>
        </w:rPr>
        <w:fldChar w:fldCharType="begin"/>
      </w:r>
      <w:r>
        <w:rPr>
          <w:noProof/>
        </w:rPr>
        <w:instrText xml:space="preserve"> PAGEREF _Toc122837435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Borrowing by Authority generally</w:t>
      </w:r>
      <w:r>
        <w:rPr>
          <w:noProof/>
        </w:rPr>
        <w:tab/>
      </w:r>
      <w:r>
        <w:rPr>
          <w:noProof/>
        </w:rPr>
        <w:fldChar w:fldCharType="begin"/>
      </w:r>
      <w:r>
        <w:rPr>
          <w:noProof/>
        </w:rPr>
        <w:instrText xml:space="preserve"> PAGEREF _Toc122837436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Guarantee by Treasurer</w:t>
      </w:r>
      <w:r>
        <w:rPr>
          <w:noProof/>
        </w:rPr>
        <w:tab/>
      </w:r>
      <w:r>
        <w:rPr>
          <w:noProof/>
        </w:rPr>
        <w:fldChar w:fldCharType="begin"/>
      </w:r>
      <w:r>
        <w:rPr>
          <w:noProof/>
        </w:rPr>
        <w:instrText xml:space="preserve"> PAGEREF _Toc122837437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_Toc122837438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Surplus</w:t>
      </w:r>
      <w:r>
        <w:rPr>
          <w:noProof/>
        </w:rPr>
        <w:tab/>
      </w:r>
      <w:r>
        <w:rPr>
          <w:noProof/>
        </w:rPr>
        <w:fldChar w:fldCharType="begin"/>
      </w:r>
      <w:r>
        <w:rPr>
          <w:noProof/>
        </w:rPr>
        <w:instrText xml:space="preserve"> PAGEREF _Toc122837439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7 — General</w:t>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Modification of other laws</w:t>
      </w:r>
      <w:r>
        <w:rPr>
          <w:noProof/>
        </w:rPr>
        <w:tab/>
      </w:r>
      <w:r>
        <w:rPr>
          <w:noProof/>
        </w:rPr>
        <w:fldChar w:fldCharType="begin"/>
      </w:r>
      <w:r>
        <w:rPr>
          <w:noProof/>
        </w:rPr>
        <w:instrText xml:space="preserve"> PAGEREF _Toc122837441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Execution of documents by Authority</w:t>
      </w:r>
      <w:r>
        <w:rPr>
          <w:noProof/>
        </w:rPr>
        <w:tab/>
      </w:r>
      <w:r>
        <w:rPr>
          <w:noProof/>
        </w:rPr>
        <w:fldChar w:fldCharType="begin"/>
      </w:r>
      <w:r>
        <w:rPr>
          <w:noProof/>
        </w:rPr>
        <w:instrText xml:space="preserve"> PAGEREF _Toc122837442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_Toc122837443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_Toc122837444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Consequential amendments</w:t>
      </w:r>
      <w:r>
        <w:rPr>
          <w:noProof/>
        </w:rPr>
        <w:tab/>
      </w:r>
      <w:r>
        <w:rPr>
          <w:noProof/>
        </w:rPr>
        <w:fldChar w:fldCharType="begin"/>
      </w:r>
      <w:r>
        <w:rPr>
          <w:noProof/>
        </w:rPr>
        <w:instrText xml:space="preserve"> PAGEREF _Toc122837445 \h </w:instrText>
      </w:r>
      <w:r>
        <w:rPr>
          <w:noProof/>
        </w:rPr>
      </w:r>
      <w:r>
        <w:rPr>
          <w:noProof/>
        </w:rPr>
        <w:fldChar w:fldCharType="separate"/>
      </w:r>
      <w:r>
        <w:rPr>
          <w:noProof/>
        </w:rPr>
        <w:t>46</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_Toc122837446 \h </w:instrText>
      </w:r>
      <w:r>
        <w:rPr>
          <w:noProof/>
        </w:rPr>
      </w:r>
      <w:r>
        <w:rPr>
          <w:noProof/>
        </w:rPr>
        <w:fldChar w:fldCharType="separate"/>
      </w:r>
      <w:r>
        <w:rPr>
          <w:noProof/>
        </w:rPr>
        <w:t>47</w:t>
      </w:r>
      <w:r>
        <w:rPr>
          <w:noProof/>
        </w:rPr>
        <w:fldChar w:fldCharType="end"/>
      </w:r>
    </w:p>
    <w:p>
      <w:pPr>
        <w:pStyle w:val="TOC7"/>
        <w:rPr>
          <w:noProof/>
          <w:sz w:val="24"/>
          <w:szCs w:val="24"/>
        </w:rPr>
      </w:pPr>
      <w:r>
        <w:rPr>
          <w:noProof/>
          <w:szCs w:val="24"/>
        </w:rPr>
        <w:t>Redevelopment Area</w:t>
      </w:r>
      <w:r>
        <w:rPr>
          <w:noProof/>
        </w:rPr>
        <w:tab/>
      </w:r>
      <w:r>
        <w:rPr>
          <w:noProof/>
        </w:rPr>
        <w:fldChar w:fldCharType="begin"/>
      </w:r>
      <w:r>
        <w:rPr>
          <w:noProof/>
        </w:rPr>
        <w:instrText xml:space="preserve"> PAGEREF _Toc122837447 \h </w:instrText>
      </w:r>
      <w:r>
        <w:rPr>
          <w:noProof/>
        </w:rPr>
      </w:r>
      <w:r>
        <w:rPr>
          <w:noProof/>
        </w:rPr>
        <w:fldChar w:fldCharType="separate"/>
      </w:r>
      <w:r>
        <w:rPr>
          <w:noProof/>
        </w:rPr>
        <w:t>47</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_Toc122837448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 of office</w:t>
      </w:r>
      <w:r>
        <w:rPr>
          <w:noProof/>
        </w:rPr>
        <w:tab/>
      </w:r>
      <w:r>
        <w:rPr>
          <w:noProof/>
        </w:rPr>
        <w:fldChar w:fldCharType="begin"/>
      </w:r>
      <w:r>
        <w:rPr>
          <w:noProof/>
        </w:rPr>
        <w:instrText xml:space="preserve"> PAGEREF _Toc122837449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Resignation, removal, etc.</w:t>
      </w:r>
      <w:r>
        <w:rPr>
          <w:noProof/>
        </w:rPr>
        <w:tab/>
      </w:r>
      <w:r>
        <w:rPr>
          <w:noProof/>
        </w:rPr>
        <w:fldChar w:fldCharType="begin"/>
      </w:r>
      <w:r>
        <w:rPr>
          <w:noProof/>
        </w:rPr>
        <w:instrText xml:space="preserve"> PAGEREF _Toc122837450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Temporary members</w:t>
      </w:r>
      <w:r>
        <w:rPr>
          <w:noProof/>
        </w:rPr>
        <w:tab/>
      </w:r>
      <w:r>
        <w:rPr>
          <w:noProof/>
        </w:rPr>
        <w:fldChar w:fldCharType="begin"/>
      </w:r>
      <w:r>
        <w:rPr>
          <w:noProof/>
        </w:rPr>
        <w:instrText xml:space="preserve"> PAGEREF _Toc122837451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Resignation, etc., of deputy chairperson</w:t>
      </w:r>
      <w:r>
        <w:rPr>
          <w:noProof/>
        </w:rPr>
        <w:tab/>
      </w:r>
      <w:r>
        <w:rPr>
          <w:noProof/>
        </w:rPr>
        <w:fldChar w:fldCharType="begin"/>
      </w:r>
      <w:r>
        <w:rPr>
          <w:noProof/>
        </w:rPr>
        <w:instrText xml:space="preserve"> PAGEREF _Toc122837452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Function of deputy chairperson</w:t>
      </w:r>
      <w:r>
        <w:rPr>
          <w:noProof/>
        </w:rPr>
        <w:tab/>
      </w:r>
      <w:r>
        <w:rPr>
          <w:noProof/>
        </w:rPr>
        <w:fldChar w:fldCharType="begin"/>
      </w:r>
      <w:r>
        <w:rPr>
          <w:noProof/>
        </w:rPr>
        <w:instrText xml:space="preserve"> PAGEREF _Toc122837453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Meetings</w:t>
      </w:r>
      <w:r>
        <w:rPr>
          <w:noProof/>
        </w:rPr>
        <w:tab/>
      </w:r>
      <w:r>
        <w:rPr>
          <w:noProof/>
        </w:rPr>
        <w:fldChar w:fldCharType="begin"/>
      </w:r>
      <w:r>
        <w:rPr>
          <w:noProof/>
        </w:rPr>
        <w:instrText xml:space="preserve"> PAGEREF _Toc122837454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Committees</w:t>
      </w:r>
      <w:r>
        <w:rPr>
          <w:noProof/>
        </w:rPr>
        <w:tab/>
      </w:r>
      <w:r>
        <w:rPr>
          <w:noProof/>
        </w:rPr>
        <w:fldChar w:fldCharType="begin"/>
      </w:r>
      <w:r>
        <w:rPr>
          <w:noProof/>
        </w:rPr>
        <w:instrText xml:space="preserve"> PAGEREF _Toc122837455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Resolution may be passed without meeting</w:t>
      </w:r>
      <w:r>
        <w:rPr>
          <w:noProof/>
        </w:rPr>
        <w:tab/>
      </w:r>
      <w:r>
        <w:rPr>
          <w:noProof/>
        </w:rPr>
        <w:fldChar w:fldCharType="begin"/>
      </w:r>
      <w:r>
        <w:rPr>
          <w:noProof/>
        </w:rPr>
        <w:instrText xml:space="preserve"> PAGEREF _Toc122837456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_Toc122837457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Authority to determine own procedures</w:t>
      </w:r>
      <w:r>
        <w:rPr>
          <w:noProof/>
        </w:rPr>
        <w:tab/>
      </w:r>
      <w:r>
        <w:rPr>
          <w:noProof/>
        </w:rPr>
        <w:fldChar w:fldCharType="begin"/>
      </w:r>
      <w:r>
        <w:rPr>
          <w:noProof/>
        </w:rPr>
        <w:instrText xml:space="preserve"> PAGEREF _Toc122837458 \h </w:instrText>
      </w:r>
      <w:r>
        <w:rPr>
          <w:noProof/>
        </w:rPr>
      </w:r>
      <w:r>
        <w:rPr>
          <w:noProof/>
        </w:rPr>
        <w:fldChar w:fldCharType="separate"/>
      </w:r>
      <w:r>
        <w:rPr>
          <w:noProof/>
        </w:rPr>
        <w:t>51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_Toc122837460 \h </w:instrText>
      </w:r>
      <w:r>
        <w:rPr>
          <w:noProof/>
        </w:rPr>
      </w:r>
      <w:r>
        <w:rPr>
          <w:noProof/>
        </w:rPr>
        <w:fldChar w:fldCharType="separate"/>
      </w:r>
      <w:r>
        <w:rPr>
          <w:noProof/>
        </w:rPr>
        <w:t>53</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_Toc122837461 \h </w:instrText>
      </w:r>
      <w:r>
        <w:rPr>
          <w:noProof/>
        </w:rPr>
      </w:r>
      <w:r>
        <w:rPr>
          <w:noProof/>
        </w:rPr>
        <w:fldChar w:fldCharType="separate"/>
      </w:r>
      <w:r>
        <w:rPr>
          <w:noProof/>
        </w:rPr>
        <w:t>54</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Subiaco Redevelopment Act 1994 </w:t>
      </w:r>
    </w:p>
    <w:p>
      <w:pPr>
        <w:pStyle w:val="LongTitle"/>
        <w:rPr>
          <w:snapToGrid w:val="0"/>
        </w:rPr>
      </w:pPr>
      <w:r>
        <w:rPr>
          <w:snapToGrid w:val="0"/>
        </w:rPr>
        <w:t xml:space="preserve">An Act to provide for the development and redevelopment of certain land in the local government districts of Subiaco and Cambridge, to establish an Authority with planning, development control and other functions in respect of that land, and for related purposes. </w:t>
      </w:r>
    </w:p>
    <w:p>
      <w:pPr>
        <w:pStyle w:val="Footnotelongtitle"/>
      </w:pPr>
      <w:r>
        <w:tab/>
        <w:t xml:space="preserve">[Long title amended by No. 14 of 1996 s.4.] </w:t>
      </w:r>
    </w:p>
    <w:p>
      <w:pPr>
        <w:pStyle w:val="Heading2"/>
      </w:pPr>
      <w:bookmarkStart w:id="1" w:name="_Toc92771218"/>
      <w:bookmarkStart w:id="2" w:name="_Toc114631492"/>
      <w:bookmarkStart w:id="3" w:name="_Toc122837365"/>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17978270"/>
      <w:bookmarkStart w:id="5" w:name="_Toc44994493"/>
      <w:bookmarkStart w:id="6" w:name="_Toc122837366"/>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Subiaco Redevelopment Act 1994</w:t>
      </w:r>
      <w:r>
        <w:rPr>
          <w:snapToGrid w:val="0"/>
          <w:vertAlign w:val="superscript"/>
        </w:rPr>
        <w:t xml:space="preserve"> 1</w:t>
      </w:r>
      <w:r>
        <w:rPr>
          <w:snapToGrid w:val="0"/>
        </w:rPr>
        <w:t>.</w:t>
      </w:r>
    </w:p>
    <w:p>
      <w:pPr>
        <w:pStyle w:val="Heading5"/>
        <w:rPr>
          <w:snapToGrid w:val="0"/>
        </w:rPr>
      </w:pPr>
      <w:bookmarkStart w:id="7" w:name="_Toc417978271"/>
      <w:bookmarkStart w:id="8" w:name="_Toc44994494"/>
      <w:bookmarkStart w:id="9" w:name="_Toc122837367"/>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0" w:name="_Toc417978272"/>
      <w:bookmarkStart w:id="11" w:name="_Toc44994495"/>
      <w:bookmarkStart w:id="12" w:name="_Toc122837368"/>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Subiaco Redevelopment Authority Account referred to in section 56;</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Subiaco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committee</w:t>
      </w:r>
      <w:r>
        <w:rPr>
          <w:b/>
        </w:rPr>
        <w:t>”</w:t>
      </w:r>
      <w:r>
        <w:t xml:space="preserve"> means a committee established under clause 7 of Schedule 2;</w:t>
      </w:r>
    </w:p>
    <w:p>
      <w:pPr>
        <w:pStyle w:val="Defstart"/>
      </w:pPr>
      <w:r>
        <w:rPr>
          <w:b/>
        </w:rPr>
        <w:tab/>
        <w:t>“</w:t>
      </w:r>
      <w:r>
        <w:rPr>
          <w:rStyle w:val="CharDefText"/>
        </w:rPr>
        <w:t>council</w:t>
      </w:r>
      <w:r>
        <w:rPr>
          <w:b/>
        </w:rPr>
        <w:t>”</w:t>
      </w:r>
      <w:r>
        <w:t xml:space="preserve"> means, in relation to the Town of Cambridge, the commission appointed under section 6 of the </w:t>
      </w:r>
      <w:r>
        <w:rPr>
          <w:i/>
        </w:rPr>
        <w:t>City of Perth Restructuring Act 1993</w:t>
      </w:r>
      <w:r>
        <w:t xml:space="preserve"> until the commencement of the first properly constituted meeting of the council of the Town of Cambridge;</w:t>
      </w:r>
    </w:p>
    <w:p>
      <w:pPr>
        <w:pStyle w:val="Defstart"/>
      </w:pPr>
      <w:r>
        <w:rPr>
          <w:b/>
        </w:rPr>
        <w:tab/>
        <w:t>“</w:t>
      </w:r>
      <w:r>
        <w:rPr>
          <w:rStyle w:val="CharDefText"/>
        </w:rPr>
        <w:t>development</w:t>
      </w:r>
      <w:r>
        <w:rPr>
          <w:b/>
        </w:rPr>
        <w:t>”</w:t>
      </w:r>
      <w:r>
        <w:t xml:space="preserve"> has the same meaning as it has in the Town Planning Act, but does not include any work, act or activity declared by regulations made under section 65 not to constitute development;</w:t>
      </w:r>
    </w:p>
    <w:p>
      <w:pPr>
        <w:pStyle w:val="Defstart"/>
      </w:pPr>
      <w:r>
        <w:rPr>
          <w:b/>
        </w:rPr>
        <w:tab/>
        <w:t>“</w:t>
      </w:r>
      <w:r>
        <w:rPr>
          <w:rStyle w:val="CharDefText"/>
        </w:rPr>
        <w:t xml:space="preserve">dispose of </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a legal or equitable estate or interest in land;</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rPr>
          <w:b/>
        </w:rPr>
        <w:tab/>
        <w:t>“</w:t>
      </w:r>
      <w:r>
        <w:rPr>
          <w:rStyle w:val="CharDefText"/>
        </w:rPr>
        <w:t>Metropolitan Region Scheme</w:t>
      </w:r>
      <w:r>
        <w:rPr>
          <w:b/>
        </w:rPr>
        <w:t>”</w:t>
      </w:r>
      <w:r>
        <w:t xml:space="preserve"> has the same meaning as it has in the Metropolitan Scheme Act;</w:t>
      </w:r>
    </w:p>
    <w:p>
      <w:pPr>
        <w:pStyle w:val="Defstart"/>
      </w:pPr>
      <w:r>
        <w:rPr>
          <w:b/>
        </w:rPr>
        <w:tab/>
        <w:t>“</w:t>
      </w:r>
      <w:r>
        <w:rPr>
          <w:rStyle w:val="CharDefText"/>
        </w:rPr>
        <w:t>Metropolitan Scheme Act</w:t>
      </w:r>
      <w:r>
        <w:rPr>
          <w:b/>
        </w:rPr>
        <w:t>”</w:t>
      </w:r>
      <w:r>
        <w:t xml:space="preserve"> means the </w:t>
      </w:r>
      <w:r>
        <w:rPr>
          <w:i/>
        </w:rPr>
        <w:t>Metropolitan Region Town Planning Scheme Act 1959</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Public Service Act</w:t>
      </w:r>
      <w:r>
        <w:rPr>
          <w:b/>
        </w:rPr>
        <w:t>”</w:t>
      </w:r>
      <w:r>
        <w:t xml:space="preserve"> means the </w:t>
      </w:r>
      <w:r>
        <w:rPr>
          <w:i/>
        </w:rPr>
        <w:t>Public Service Act 1978</w:t>
      </w:r>
      <w:r>
        <w:rPr>
          <w:vertAlign w:val="superscript"/>
        </w:rPr>
        <w:t xml:space="preserve"> 2</w:t>
      </w:r>
      <w:r>
        <w:t xml:space="preserve"> or any Act that repeals and replaces that Act;</w:t>
      </w:r>
    </w:p>
    <w:p>
      <w:pPr>
        <w:pStyle w:val="Defstart"/>
      </w:pPr>
      <w:r>
        <w:rPr>
          <w:b/>
        </w:rPr>
        <w:tab/>
        <w:t>“</w:t>
      </w:r>
      <w:r>
        <w:rPr>
          <w:rStyle w:val="CharDefText"/>
        </w:rPr>
        <w:t>redevelopment area</w:t>
      </w:r>
      <w:r>
        <w:rPr>
          <w:b/>
        </w:rPr>
        <w:t>”</w:t>
      </w:r>
      <w:r>
        <w:t xml:space="preserve"> means the area referred to in section 4(1);</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Defstart"/>
      </w:pPr>
      <w:r>
        <w:rPr>
          <w:b/>
        </w:rPr>
        <w:tab/>
        <w:t>“</w:t>
      </w:r>
      <w:r>
        <w:rPr>
          <w:rStyle w:val="CharDefText"/>
        </w:rPr>
        <w:t>Town Planning Act</w:t>
      </w:r>
      <w:r>
        <w:rPr>
          <w:b/>
        </w:rPr>
        <w:t>”</w:t>
      </w:r>
      <w:r>
        <w:t xml:space="preserve"> means the </w:t>
      </w:r>
      <w:r>
        <w:rPr>
          <w:i/>
        </w:rPr>
        <w:t>Town Planning and Development Act 1928</w:t>
      </w:r>
      <w:r>
        <w:t>;</w:t>
      </w:r>
    </w:p>
    <w:p>
      <w:pPr>
        <w:pStyle w:val="Defstart"/>
        <w:keepNext/>
      </w:pPr>
      <w:r>
        <w:rPr>
          <w:b/>
        </w:rPr>
        <w:tab/>
        <w:t>“</w:t>
      </w:r>
      <w:r>
        <w:rPr>
          <w:rStyle w:val="CharDefText"/>
        </w:rPr>
        <w:t>Western Australian Land Authority</w:t>
      </w:r>
      <w:r>
        <w:rPr>
          <w:b/>
        </w:rPr>
        <w:t>”</w:t>
      </w:r>
      <w:r>
        <w:t xml:space="preserve"> means the Western Australian Land Authority established by section 5 of the </w:t>
      </w:r>
      <w:r>
        <w:rPr>
          <w:i/>
        </w:rPr>
        <w:t>Western Australian Land Authority Act 1992</w:t>
      </w:r>
      <w:r>
        <w:t>.</w:t>
      </w:r>
    </w:p>
    <w:p>
      <w:pPr>
        <w:pStyle w:val="Footnotesection"/>
      </w:pPr>
      <w:r>
        <w:tab/>
        <w:t xml:space="preserve">[Section 3 amended by No. 14 of 1996 s.4; No. 23 of 1996 s.35.] </w:t>
      </w:r>
    </w:p>
    <w:p>
      <w:pPr>
        <w:pStyle w:val="Heading5"/>
        <w:rPr>
          <w:snapToGrid w:val="0"/>
        </w:rPr>
      </w:pPr>
      <w:bookmarkStart w:id="13" w:name="_Toc417978273"/>
      <w:bookmarkStart w:id="14" w:name="_Toc44994496"/>
      <w:bookmarkStart w:id="15" w:name="_Toc122837369"/>
      <w:r>
        <w:rPr>
          <w:rStyle w:val="CharSectno"/>
        </w:rPr>
        <w:t>4</w:t>
      </w:r>
      <w:r>
        <w:rPr>
          <w:snapToGrid w:val="0"/>
        </w:rPr>
        <w:t>.</w:t>
      </w:r>
      <w:r>
        <w:rPr>
          <w:snapToGrid w:val="0"/>
        </w:rPr>
        <w:tab/>
        <w:t>Redevelopment area defined</w:t>
      </w:r>
      <w:bookmarkEnd w:id="13"/>
      <w:bookmarkEnd w:id="14"/>
      <w:bookmarkEnd w:id="15"/>
      <w:r>
        <w:rPr>
          <w:snapToGrid w:val="0"/>
        </w:rPr>
        <w:t xml:space="preserve"> </w:t>
      </w:r>
    </w:p>
    <w:p>
      <w:pPr>
        <w:pStyle w:val="Subsection"/>
        <w:spacing w:before="120"/>
        <w:rPr>
          <w:snapToGrid w:val="0"/>
        </w:rPr>
      </w:pPr>
      <w:r>
        <w:rPr>
          <w:snapToGrid w:val="0"/>
        </w:rPr>
        <w:tab/>
        <w:t>(1)</w:t>
      </w:r>
      <w:r>
        <w:rPr>
          <w:snapToGrid w:val="0"/>
        </w:rPr>
        <w:tab/>
        <w:t>The redevelopment area for the purposes of this Act is the area referred to in Schedule 1.</w:t>
      </w:r>
    </w:p>
    <w:p>
      <w:pPr>
        <w:pStyle w:val="Subsection"/>
        <w:spacing w:before="120"/>
        <w:rPr>
          <w:snapToGrid w:val="0"/>
        </w:rPr>
      </w:pPr>
      <w:r>
        <w:rPr>
          <w:snapToGrid w:val="0"/>
        </w:rPr>
        <w:tab/>
        <w:t>(2)</w:t>
      </w:r>
      <w:r>
        <w:rPr>
          <w:snapToGrid w:val="0"/>
        </w:rPr>
        <w:tab/>
        <w:t>Regulations may be made under section 65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spacing w:before="120"/>
        <w:rPr>
          <w:snapToGrid w:val="0"/>
        </w:rPr>
      </w:pPr>
      <w:r>
        <w:rPr>
          <w:snapToGrid w:val="0"/>
        </w:rPr>
        <w:tab/>
      </w:r>
      <w:r>
        <w:rPr>
          <w:snapToGrid w:val="0"/>
        </w:rPr>
        <w:tab/>
        <w:t>but before any such regulations are made the Minister is to consult with the City of Subiaco or the Town of Cambridge, as the case requires.</w:t>
      </w:r>
    </w:p>
    <w:p>
      <w:pPr>
        <w:pStyle w:val="Subsection"/>
        <w:spacing w:before="120"/>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they are to be accompanied by an explanatory memorandum showing how and why it is intended to amend the redevelopment area in respect of the area that is added.</w:t>
      </w:r>
    </w:p>
    <w:p>
      <w:pPr>
        <w:pStyle w:val="Subsection"/>
        <w:spacing w:before="120"/>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spacing w:before="120"/>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14 of 1996 s.4.] </w:t>
      </w:r>
    </w:p>
    <w:p>
      <w:pPr>
        <w:pStyle w:val="Heading5"/>
        <w:rPr>
          <w:snapToGrid w:val="0"/>
        </w:rPr>
      </w:pPr>
      <w:bookmarkStart w:id="16" w:name="_Toc417978274"/>
      <w:bookmarkStart w:id="17" w:name="_Toc44994497"/>
      <w:bookmarkStart w:id="18" w:name="_Toc122837370"/>
      <w:r>
        <w:rPr>
          <w:rStyle w:val="CharSectno"/>
        </w:rPr>
        <w:t>5</w:t>
      </w:r>
      <w:r>
        <w:rPr>
          <w:snapToGrid w:val="0"/>
        </w:rPr>
        <w:t>.</w:t>
      </w:r>
      <w:r>
        <w:rPr>
          <w:snapToGrid w:val="0"/>
        </w:rPr>
        <w:tab/>
        <w:t>Transitional provisions where area amended</w:t>
      </w:r>
      <w:bookmarkEnd w:id="16"/>
      <w:bookmarkEnd w:id="17"/>
      <w:bookmarkEnd w:id="18"/>
      <w:r>
        <w:rPr>
          <w:snapToGrid w:val="0"/>
        </w:rPr>
        <w:t xml:space="preserve"> </w:t>
      </w:r>
    </w:p>
    <w:p>
      <w:pPr>
        <w:pStyle w:val="Subsection"/>
        <w:spacing w:before="120"/>
        <w:rPr>
          <w:snapToGrid w:val="0"/>
          <w:spacing w:val="-4"/>
        </w:rPr>
      </w:pPr>
      <w:r>
        <w:rPr>
          <w:snapToGrid w:val="0"/>
          <w:spacing w:val="-4"/>
        </w:rPr>
        <w:tab/>
        <w:t>(1)</w:t>
      </w:r>
      <w:r>
        <w:rPr>
          <w:snapToGrid w:val="0"/>
          <w:spacing w:val="-4"/>
        </w:rPr>
        <w:tab/>
        <w:t>A redevelopment scheme does not extend to any area that becomes part of the redevelopment area under section 4(2) except by virtue of an amendment to the scheme under section 38.</w:t>
      </w:r>
    </w:p>
    <w:p>
      <w:pPr>
        <w:pStyle w:val="Subsection"/>
        <w:spacing w:before="120"/>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45(3)) are repealed in relation to that area.</w:t>
      </w:r>
    </w:p>
    <w:p>
      <w:pPr>
        <w:pStyle w:val="Subsection"/>
        <w:spacing w:before="120"/>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spacing w:before="120"/>
        <w:rPr>
          <w:snapToGrid w:val="0"/>
        </w:rPr>
      </w:pPr>
      <w:r>
        <w:rPr>
          <w:snapToGrid w:val="0"/>
        </w:rPr>
        <w:tab/>
        <w:t>(4)</w:t>
      </w:r>
      <w:r>
        <w:rPr>
          <w:snapToGrid w:val="0"/>
        </w:rPr>
        <w:tab/>
        <w:t>Regulations referred to in section 4(2) may make further provisions of a transitional nature that are expedient to be made in respect of an amendment to Schedule 1 under that subsection including provision — </w:t>
      </w:r>
    </w:p>
    <w:p>
      <w:pPr>
        <w:pStyle w:val="Indenta"/>
        <w:rPr>
          <w:snapToGrid w:val="0"/>
        </w:rPr>
      </w:pPr>
      <w:r>
        <w:rPr>
          <w:snapToGrid w:val="0"/>
        </w:rPr>
        <w:tab/>
        <w:t>(a)</w:t>
      </w:r>
      <w:r>
        <w:rPr>
          <w:snapToGrid w:val="0"/>
        </w:rPr>
        <w:tab/>
        <w:t>empowering the Minister, if land is subtracted from the redevelopment area, to amend the Metropolitan Region Scheme or a relevant town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spacing w:val="-4"/>
        </w:rPr>
      </w:pPr>
      <w:r>
        <w:rPr>
          <w:snapToGrid w:val="0"/>
          <w:spacing w:val="-4"/>
        </w:rPr>
        <w:tab/>
        <w:t>(ii)</w:t>
      </w:r>
      <w:r>
        <w:rPr>
          <w:snapToGrid w:val="0"/>
          <w:spacing w:val="-4"/>
        </w:rPr>
        <w:tab/>
        <w:t>the land to have a reservation or zoning under those schemes the same as, or similar to, that which applied to it under the redevelopment scheme in force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Heading2"/>
      </w:pPr>
      <w:bookmarkStart w:id="19" w:name="_Toc92771224"/>
      <w:bookmarkStart w:id="20" w:name="_Toc114631498"/>
      <w:bookmarkStart w:id="21" w:name="_Toc122837371"/>
      <w:r>
        <w:rPr>
          <w:rStyle w:val="CharPartNo"/>
        </w:rPr>
        <w:t>Part 2</w:t>
      </w:r>
      <w:r>
        <w:t> — </w:t>
      </w:r>
      <w:r>
        <w:rPr>
          <w:rStyle w:val="CharPartText"/>
        </w:rPr>
        <w:t>Subiaco Redevelopment Authority</w:t>
      </w:r>
      <w:bookmarkEnd w:id="19"/>
      <w:bookmarkEnd w:id="20"/>
      <w:bookmarkEnd w:id="21"/>
      <w:r>
        <w:rPr>
          <w:rStyle w:val="CharPartText"/>
        </w:rPr>
        <w:t xml:space="preserve"> </w:t>
      </w:r>
    </w:p>
    <w:p>
      <w:pPr>
        <w:pStyle w:val="Heading3"/>
        <w:rPr>
          <w:snapToGrid w:val="0"/>
        </w:rPr>
      </w:pPr>
      <w:bookmarkStart w:id="22" w:name="_Toc92771225"/>
      <w:bookmarkStart w:id="23" w:name="_Toc114631499"/>
      <w:bookmarkStart w:id="24" w:name="_Toc122837372"/>
      <w:r>
        <w:rPr>
          <w:rStyle w:val="CharDivNo"/>
        </w:rPr>
        <w:t>Division 1</w:t>
      </w:r>
      <w:r>
        <w:rPr>
          <w:snapToGrid w:val="0"/>
        </w:rPr>
        <w:t> — </w:t>
      </w:r>
      <w:r>
        <w:rPr>
          <w:rStyle w:val="CharDivText"/>
        </w:rPr>
        <w:t>Establishment of Authority</w:t>
      </w:r>
      <w:bookmarkEnd w:id="22"/>
      <w:bookmarkEnd w:id="23"/>
      <w:bookmarkEnd w:id="24"/>
      <w:r>
        <w:rPr>
          <w:rStyle w:val="CharDivText"/>
        </w:rPr>
        <w:t xml:space="preserve"> </w:t>
      </w:r>
    </w:p>
    <w:p>
      <w:pPr>
        <w:pStyle w:val="Heading5"/>
        <w:rPr>
          <w:snapToGrid w:val="0"/>
        </w:rPr>
      </w:pPr>
      <w:bookmarkStart w:id="25" w:name="_Toc417978275"/>
      <w:bookmarkStart w:id="26" w:name="_Toc44994498"/>
      <w:bookmarkStart w:id="27" w:name="_Toc122837373"/>
      <w:r>
        <w:rPr>
          <w:rStyle w:val="CharSectno"/>
        </w:rPr>
        <w:t>6</w:t>
      </w:r>
      <w:r>
        <w:rPr>
          <w:snapToGrid w:val="0"/>
        </w:rPr>
        <w:t>.</w:t>
      </w:r>
      <w:r>
        <w:rPr>
          <w:snapToGrid w:val="0"/>
        </w:rPr>
        <w:tab/>
        <w:t>Authority established</w:t>
      </w:r>
      <w:bookmarkEnd w:id="25"/>
      <w:bookmarkEnd w:id="26"/>
      <w:bookmarkEnd w:id="27"/>
      <w:r>
        <w:rPr>
          <w:snapToGrid w:val="0"/>
        </w:rPr>
        <w:t xml:space="preserve"> </w:t>
      </w:r>
    </w:p>
    <w:p>
      <w:pPr>
        <w:pStyle w:val="Subsection"/>
        <w:spacing w:before="120"/>
        <w:rPr>
          <w:snapToGrid w:val="0"/>
        </w:rPr>
      </w:pPr>
      <w:r>
        <w:rPr>
          <w:snapToGrid w:val="0"/>
        </w:rPr>
        <w:tab/>
        <w:t>(1)</w:t>
      </w:r>
      <w:r>
        <w:rPr>
          <w:snapToGrid w:val="0"/>
        </w:rPr>
        <w:tab/>
        <w:t>A body by the name of the Subiaco Redevelopment Authority is established.</w:t>
      </w:r>
    </w:p>
    <w:p>
      <w:pPr>
        <w:pStyle w:val="Subsection"/>
        <w:spacing w:before="120"/>
        <w:rPr>
          <w:snapToGrid w:val="0"/>
        </w:rPr>
      </w:pPr>
      <w:r>
        <w:rPr>
          <w:snapToGrid w:val="0"/>
        </w:rPr>
        <w:tab/>
        <w:t>(2)</w:t>
      </w:r>
      <w:r>
        <w:rPr>
          <w:snapToGrid w:val="0"/>
        </w:rPr>
        <w:tab/>
        <w:t>The Authority is a body corporate with perpetual succession and a common seal.</w:t>
      </w:r>
    </w:p>
    <w:p>
      <w:pPr>
        <w:pStyle w:val="Subsection"/>
        <w:spacing w:before="120"/>
        <w:rPr>
          <w:snapToGrid w:val="0"/>
        </w:rPr>
      </w:pPr>
      <w:r>
        <w:rPr>
          <w:snapToGrid w:val="0"/>
        </w:rPr>
        <w:tab/>
        <w:t>(3)</w:t>
      </w:r>
      <w:r>
        <w:rPr>
          <w:snapToGrid w:val="0"/>
        </w:rPr>
        <w:tab/>
        <w:t>Proceedings may be taken by or against the Authority in its corporate name.</w:t>
      </w:r>
    </w:p>
    <w:p>
      <w:pPr>
        <w:pStyle w:val="Subsection"/>
        <w:spacing w:before="120"/>
        <w:rPr>
          <w:snapToGrid w:val="0"/>
        </w:rPr>
      </w:pPr>
      <w:r>
        <w:rPr>
          <w:snapToGrid w:val="0"/>
        </w:rPr>
        <w:tab/>
        <w:t>(4)</w:t>
      </w:r>
      <w:r>
        <w:rPr>
          <w:snapToGrid w:val="0"/>
        </w:rPr>
        <w:tab/>
        <w:t>The Authority is an agent of the Crown in right of the State and, except as provided in section 18, enjoys the status, immunities and privileges of the Crown.</w:t>
      </w:r>
    </w:p>
    <w:p>
      <w:pPr>
        <w:pStyle w:val="Heading5"/>
        <w:rPr>
          <w:snapToGrid w:val="0"/>
        </w:rPr>
      </w:pPr>
      <w:bookmarkStart w:id="28" w:name="_Toc417978276"/>
      <w:bookmarkStart w:id="29" w:name="_Toc44994499"/>
      <w:bookmarkStart w:id="30" w:name="_Toc122837374"/>
      <w:r>
        <w:rPr>
          <w:rStyle w:val="CharSectno"/>
        </w:rPr>
        <w:t>7</w:t>
      </w:r>
      <w:r>
        <w:rPr>
          <w:snapToGrid w:val="0"/>
        </w:rPr>
        <w:t>.</w:t>
      </w:r>
      <w:r>
        <w:rPr>
          <w:snapToGrid w:val="0"/>
        </w:rPr>
        <w:tab/>
        <w:t>Membership of Authority</w:t>
      </w:r>
      <w:bookmarkEnd w:id="28"/>
      <w:bookmarkEnd w:id="29"/>
      <w:bookmarkEnd w:id="30"/>
      <w:r>
        <w:rPr>
          <w:snapToGrid w:val="0"/>
        </w:rPr>
        <w:t xml:space="preserve"> </w:t>
      </w:r>
    </w:p>
    <w:p>
      <w:pPr>
        <w:pStyle w:val="Subsection"/>
        <w:spacing w:before="120"/>
        <w:rPr>
          <w:snapToGrid w:val="0"/>
        </w:rPr>
      </w:pPr>
      <w:r>
        <w:rPr>
          <w:snapToGrid w:val="0"/>
        </w:rPr>
        <w:tab/>
        <w:t>(1)</w:t>
      </w:r>
      <w:r>
        <w:rPr>
          <w:snapToGrid w:val="0"/>
        </w:rPr>
        <w:tab/>
        <w:t>The Authority consists of 5 members appointed by the Minister of whom — </w:t>
      </w:r>
    </w:p>
    <w:p>
      <w:pPr>
        <w:pStyle w:val="Indenta"/>
        <w:rPr>
          <w:snapToGrid w:val="0"/>
        </w:rPr>
      </w:pPr>
      <w:r>
        <w:rPr>
          <w:snapToGrid w:val="0"/>
        </w:rPr>
        <w:tab/>
        <w:t>(a)</w:t>
      </w:r>
      <w:r>
        <w:rPr>
          <w:snapToGrid w:val="0"/>
        </w:rPr>
        <w:tab/>
        <w:t>2 are to be persons who, in the opinion of the Minister, have a relevant qualification;</w:t>
      </w:r>
    </w:p>
    <w:p>
      <w:pPr>
        <w:pStyle w:val="Indenta"/>
        <w:rPr>
          <w:snapToGrid w:val="0"/>
        </w:rPr>
      </w:pPr>
      <w:r>
        <w:rPr>
          <w:snapToGrid w:val="0"/>
        </w:rPr>
        <w:tab/>
        <w:t>(b)</w:t>
      </w:r>
      <w:r>
        <w:rPr>
          <w:snapToGrid w:val="0"/>
        </w:rPr>
        <w:tab/>
        <w:t>2 are to be persons nominated by the City of Subiaco who are members of the Council of, or employees of, the City of Subiaco;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is to be a person nominated by the Minister to whom the administration of the </w:t>
      </w:r>
      <w:r>
        <w:rPr>
          <w:i/>
          <w:snapToGrid w:val="0"/>
        </w:rPr>
        <w:t>Transport Co</w:t>
      </w:r>
      <w:r>
        <w:rPr>
          <w:i/>
          <w:snapToGrid w:val="0"/>
        </w:rPr>
        <w:noBreakHyphen/>
        <w:t>ordination Act 1966</w:t>
      </w:r>
      <w:r>
        <w:rPr>
          <w:snapToGrid w:val="0"/>
        </w:rPr>
        <w:t xml:space="preserve"> is for the time being committed by the Governor.</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a relevant qualification</w:t>
      </w:r>
      <w:r>
        <w:rPr>
          <w:b/>
          <w:snapToGrid w:val="0"/>
        </w:rPr>
        <w:t>”</w:t>
      </w:r>
      <w:r>
        <w:rPr>
          <w:snapToGrid w:val="0"/>
        </w:rPr>
        <w:t xml:space="preserve"> means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is to comprise persons who between them have knowledge or experience covering all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Footnotesection"/>
      </w:pPr>
      <w:r>
        <w:tab/>
        <w:t>[Section 7 amended by No. 14 of 1996 s.4; No. 57 of 1997 s.116(1)</w:t>
      </w:r>
      <w:r>
        <w:rPr>
          <w:vertAlign w:val="superscript"/>
        </w:rPr>
        <w:t xml:space="preserve"> 3</w:t>
      </w:r>
      <w:r>
        <w:t xml:space="preserve">.] </w:t>
      </w:r>
    </w:p>
    <w:p>
      <w:pPr>
        <w:pStyle w:val="Heading5"/>
        <w:rPr>
          <w:snapToGrid w:val="0"/>
        </w:rPr>
      </w:pPr>
      <w:bookmarkStart w:id="31" w:name="_Toc417978277"/>
      <w:bookmarkStart w:id="32" w:name="_Toc44994500"/>
      <w:bookmarkStart w:id="33" w:name="_Toc122837375"/>
      <w:r>
        <w:rPr>
          <w:rStyle w:val="CharSectno"/>
        </w:rPr>
        <w:t>8</w:t>
      </w:r>
      <w:r>
        <w:rPr>
          <w:snapToGrid w:val="0"/>
        </w:rPr>
        <w:t>.</w:t>
      </w:r>
      <w:r>
        <w:rPr>
          <w:snapToGrid w:val="0"/>
        </w:rPr>
        <w:tab/>
        <w:t>Chairperson and deputy chairperson</w:t>
      </w:r>
      <w:bookmarkEnd w:id="31"/>
      <w:bookmarkEnd w:id="32"/>
      <w:bookmarkEnd w:id="33"/>
      <w:r>
        <w:rPr>
          <w:snapToGrid w:val="0"/>
        </w:rPr>
        <w:t xml:space="preserve"> </w:t>
      </w:r>
    </w:p>
    <w:p>
      <w:pPr>
        <w:pStyle w:val="Subsection"/>
        <w:rPr>
          <w:snapToGrid w:val="0"/>
        </w:rPr>
      </w:pPr>
      <w:r>
        <w:rPr>
          <w:snapToGrid w:val="0"/>
        </w:rPr>
        <w:tab/>
        <w:t>(1)</w:t>
      </w:r>
      <w:r>
        <w:rPr>
          <w:snapToGrid w:val="0"/>
        </w:rPr>
        <w:tab/>
        <w:t>The member appointed under section 7(1)(a) is to be the chairperson of the Authority.</w:t>
      </w:r>
    </w:p>
    <w:p>
      <w:pPr>
        <w:pStyle w:val="Subsection"/>
        <w:rPr>
          <w:snapToGrid w:val="0"/>
        </w:rPr>
      </w:pPr>
      <w:r>
        <w:rPr>
          <w:snapToGrid w:val="0"/>
        </w:rPr>
        <w:tab/>
        <w:t>(2)</w:t>
      </w:r>
      <w:r>
        <w:rPr>
          <w:snapToGrid w:val="0"/>
        </w:rPr>
        <w:tab/>
        <w:t>The Minister is to appoint another member to be the deputy chairperson of the Authority.</w:t>
      </w:r>
    </w:p>
    <w:p>
      <w:pPr>
        <w:pStyle w:val="Heading5"/>
        <w:rPr>
          <w:snapToGrid w:val="0"/>
        </w:rPr>
      </w:pPr>
      <w:bookmarkStart w:id="34" w:name="_Toc417978278"/>
      <w:bookmarkStart w:id="35" w:name="_Toc44994501"/>
      <w:bookmarkStart w:id="36" w:name="_Toc122837376"/>
      <w:r>
        <w:rPr>
          <w:rStyle w:val="CharSectno"/>
        </w:rPr>
        <w:t>9</w:t>
      </w:r>
      <w:r>
        <w:rPr>
          <w:snapToGrid w:val="0"/>
        </w:rPr>
        <w:t>.</w:t>
      </w:r>
      <w:r>
        <w:rPr>
          <w:snapToGrid w:val="0"/>
        </w:rPr>
        <w:tab/>
        <w:t>Constitution and proceedings</w:t>
      </w:r>
      <w:bookmarkEnd w:id="34"/>
      <w:bookmarkEnd w:id="35"/>
      <w:bookmarkEnd w:id="36"/>
      <w:r>
        <w:rPr>
          <w:snapToGrid w:val="0"/>
        </w:rPr>
        <w:t xml:space="preserve"> </w:t>
      </w:r>
    </w:p>
    <w:p>
      <w:pPr>
        <w:pStyle w:val="Subsection"/>
        <w:rPr>
          <w:snapToGrid w:val="0"/>
        </w:rPr>
      </w:pPr>
      <w:r>
        <w:rPr>
          <w:snapToGrid w:val="0"/>
        </w:rPr>
        <w:tab/>
      </w:r>
      <w:r>
        <w:rPr>
          <w:snapToGrid w:val="0"/>
        </w:rPr>
        <w:tab/>
        <w:t>The provisions of Schedule 2 have effect with respect to the constitution and proceedings of the Authority.</w:t>
      </w:r>
    </w:p>
    <w:p>
      <w:pPr>
        <w:pStyle w:val="Heading5"/>
        <w:rPr>
          <w:snapToGrid w:val="0"/>
        </w:rPr>
      </w:pPr>
      <w:bookmarkStart w:id="37" w:name="_Toc417978279"/>
      <w:bookmarkStart w:id="38" w:name="_Toc44994502"/>
      <w:bookmarkStart w:id="39" w:name="_Toc122837377"/>
      <w:r>
        <w:rPr>
          <w:rStyle w:val="CharSectno"/>
        </w:rPr>
        <w:t>10</w:t>
      </w:r>
      <w:r>
        <w:rPr>
          <w:snapToGrid w:val="0"/>
        </w:rPr>
        <w:t>.</w:t>
      </w:r>
      <w:r>
        <w:rPr>
          <w:snapToGrid w:val="0"/>
        </w:rPr>
        <w:tab/>
        <w:t>Remuneration and expenses of members</w:t>
      </w:r>
      <w:bookmarkEnd w:id="37"/>
      <w:bookmarkEnd w:id="38"/>
      <w:bookmarkEnd w:id="39"/>
      <w:r>
        <w:rPr>
          <w:snapToGrid w:val="0"/>
        </w:rPr>
        <w:t xml:space="preserve"> </w:t>
      </w:r>
    </w:p>
    <w:p>
      <w:pPr>
        <w:pStyle w:val="Subsection"/>
        <w:rPr>
          <w:snapToGrid w:val="0"/>
        </w:rPr>
      </w:pPr>
      <w:r>
        <w:rPr>
          <w:snapToGrid w:val="0"/>
        </w:rPr>
        <w:tab/>
      </w:r>
      <w:r>
        <w:rPr>
          <w:snapToGrid w:val="0"/>
        </w:rPr>
        <w:tab/>
        <w:t>A member is to be paid out of the funds of the Authority the remuneration and travelling and other allowances that are determined in his or her case by the Minister on the recommendation of the Minister to whom the administration of the Public Service Act is for the time being committed by the Governor.</w:t>
      </w:r>
    </w:p>
    <w:p>
      <w:pPr>
        <w:pStyle w:val="Heading5"/>
        <w:rPr>
          <w:snapToGrid w:val="0"/>
        </w:rPr>
      </w:pPr>
      <w:bookmarkStart w:id="40" w:name="_Toc417978280"/>
      <w:bookmarkStart w:id="41" w:name="_Toc44994503"/>
      <w:bookmarkStart w:id="42" w:name="_Toc122837378"/>
      <w:r>
        <w:rPr>
          <w:rStyle w:val="CharSectno"/>
        </w:rPr>
        <w:t>11</w:t>
      </w:r>
      <w:r>
        <w:rPr>
          <w:snapToGrid w:val="0"/>
        </w:rPr>
        <w:t>.</w:t>
      </w:r>
      <w:r>
        <w:rPr>
          <w:snapToGrid w:val="0"/>
        </w:rPr>
        <w:tab/>
        <w:t>Protection of members and officers</w:t>
      </w:r>
      <w:bookmarkEnd w:id="40"/>
      <w:bookmarkEnd w:id="41"/>
      <w:bookmarkEnd w:id="42"/>
      <w:r>
        <w:rPr>
          <w:snapToGrid w:val="0"/>
        </w:rPr>
        <w:t xml:space="preserve"> </w:t>
      </w:r>
    </w:p>
    <w:p>
      <w:pPr>
        <w:pStyle w:val="Subsection"/>
        <w:rPr>
          <w:snapToGrid w:val="0"/>
        </w:rPr>
      </w:pPr>
      <w:r>
        <w:rPr>
          <w:snapToGrid w:val="0"/>
        </w:rPr>
        <w:tab/>
        <w:t>(1)</w:t>
      </w:r>
      <w:r>
        <w:rPr>
          <w:snapToGrid w:val="0"/>
        </w:rPr>
        <w:tab/>
        <w:t>A member or the chief executive officer of the Authority, or any person referred to in section 15 whose services are used by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s.3.] </w:t>
      </w:r>
    </w:p>
    <w:p>
      <w:pPr>
        <w:pStyle w:val="Ednotesection"/>
      </w:pPr>
      <w:r>
        <w:t>[</w:t>
      </w:r>
      <w:r>
        <w:rPr>
          <w:b/>
        </w:rPr>
        <w:t>12</w:t>
      </w:r>
      <w:r>
        <w:t>.</w:t>
      </w:r>
      <w:r>
        <w:tab/>
        <w:t>Repealed by No. 14 of 1996 s.4.]</w:t>
      </w:r>
    </w:p>
    <w:p>
      <w:pPr>
        <w:pStyle w:val="Heading5"/>
        <w:rPr>
          <w:snapToGrid w:val="0"/>
        </w:rPr>
      </w:pPr>
      <w:bookmarkStart w:id="43" w:name="_Toc417978281"/>
      <w:bookmarkStart w:id="44" w:name="_Toc44994504"/>
      <w:bookmarkStart w:id="45" w:name="_Toc122837379"/>
      <w:r>
        <w:rPr>
          <w:rStyle w:val="CharSectno"/>
        </w:rPr>
        <w:t>13</w:t>
      </w:r>
      <w:r>
        <w:rPr>
          <w:snapToGrid w:val="0"/>
        </w:rPr>
        <w:t>.</w:t>
      </w:r>
      <w:r>
        <w:rPr>
          <w:snapToGrid w:val="0"/>
        </w:rPr>
        <w:tab/>
        <w:t>Particular functions of members</w:t>
      </w:r>
      <w:bookmarkEnd w:id="43"/>
      <w:bookmarkEnd w:id="44"/>
      <w:bookmarkEnd w:id="4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w:t>
      </w:r>
    </w:p>
    <w:p>
      <w:pPr>
        <w:pStyle w:val="Indenta"/>
        <w:rPr>
          <w:snapToGrid w:val="0"/>
        </w:rPr>
      </w:pPr>
      <w:r>
        <w:rPr>
          <w:snapToGrid w:val="0"/>
        </w:rPr>
        <w:tab/>
        <w:t>(b)</w:t>
      </w:r>
      <w:r>
        <w:rPr>
          <w:snapToGrid w:val="0"/>
        </w:rPr>
        <w:tab/>
        <w:t>for the purposes of any proceedings arising out of this Act or any report of those proceedings; or</w:t>
      </w:r>
    </w:p>
    <w:p>
      <w:pPr>
        <w:pStyle w:val="Indenta"/>
        <w:rPr>
          <w:snapToGrid w:val="0"/>
        </w:rPr>
      </w:pPr>
      <w:r>
        <w:rPr>
          <w:snapToGrid w:val="0"/>
        </w:rPr>
        <w:tab/>
        <w:t>(c)</w:t>
      </w:r>
      <w:r>
        <w:rPr>
          <w:snapToGrid w:val="0"/>
        </w:rPr>
        <w:tab/>
        <w:t>in the case of a member appointed under section 7(1)(b) who is a member of the council of the City of Subiaco — </w:t>
      </w:r>
    </w:p>
    <w:p>
      <w:pPr>
        <w:pStyle w:val="Indenti"/>
        <w:rPr>
          <w:snapToGrid w:val="0"/>
        </w:rPr>
      </w:pPr>
      <w:r>
        <w:rPr>
          <w:snapToGrid w:val="0"/>
        </w:rPr>
        <w:tab/>
        <w:t>(i)</w:t>
      </w:r>
      <w:r>
        <w:rPr>
          <w:snapToGrid w:val="0"/>
        </w:rPr>
        <w:tab/>
        <w:t>in connection with the performance of his or her functions as a member of the council; and</w:t>
      </w:r>
    </w:p>
    <w:p>
      <w:pPr>
        <w:pStyle w:val="Indenti"/>
        <w:rPr>
          <w:snapToGrid w:val="0"/>
        </w:rPr>
      </w:pPr>
      <w:r>
        <w:rPr>
          <w:snapToGrid w:val="0"/>
        </w:rPr>
        <w:tab/>
        <w:t>(ii)</w:t>
      </w:r>
      <w:r>
        <w:rPr>
          <w:snapToGrid w:val="0"/>
        </w:rPr>
        <w:tab/>
        <w:t>to a closed meeting, or a closed committee meeting, of the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84 of 1994 s. 49; No. 41 of 1996 s. 3.] </w:t>
      </w:r>
    </w:p>
    <w:p>
      <w:pPr>
        <w:pStyle w:val="Heading3"/>
        <w:spacing w:before="220"/>
        <w:rPr>
          <w:snapToGrid w:val="0"/>
        </w:rPr>
      </w:pPr>
      <w:bookmarkStart w:id="46" w:name="_Toc92771233"/>
      <w:bookmarkStart w:id="47" w:name="_Toc114631507"/>
      <w:bookmarkStart w:id="48" w:name="_Toc122837380"/>
      <w:r>
        <w:rPr>
          <w:rStyle w:val="CharDivNo"/>
        </w:rPr>
        <w:t>Division 2</w:t>
      </w:r>
      <w:r>
        <w:rPr>
          <w:snapToGrid w:val="0"/>
        </w:rPr>
        <w:t> — </w:t>
      </w:r>
      <w:r>
        <w:rPr>
          <w:rStyle w:val="CharDivText"/>
        </w:rPr>
        <w:t>Staff</w:t>
      </w:r>
      <w:bookmarkEnd w:id="46"/>
      <w:bookmarkEnd w:id="47"/>
      <w:bookmarkEnd w:id="48"/>
      <w:r>
        <w:rPr>
          <w:rStyle w:val="CharDivText"/>
        </w:rPr>
        <w:t xml:space="preserve"> </w:t>
      </w:r>
    </w:p>
    <w:p>
      <w:pPr>
        <w:pStyle w:val="Heading5"/>
        <w:rPr>
          <w:snapToGrid w:val="0"/>
        </w:rPr>
      </w:pPr>
      <w:bookmarkStart w:id="49" w:name="_Toc417978282"/>
      <w:bookmarkStart w:id="50" w:name="_Toc44994505"/>
      <w:bookmarkStart w:id="51" w:name="_Toc122837381"/>
      <w:r>
        <w:rPr>
          <w:rStyle w:val="CharSectno"/>
        </w:rPr>
        <w:t>14</w:t>
      </w:r>
      <w:r>
        <w:rPr>
          <w:snapToGrid w:val="0"/>
        </w:rPr>
        <w:t>.</w:t>
      </w:r>
      <w:r>
        <w:rPr>
          <w:snapToGrid w:val="0"/>
        </w:rPr>
        <w:tab/>
        <w:t>Chief executive officer</w:t>
      </w:r>
      <w:bookmarkEnd w:id="49"/>
      <w:bookmarkEnd w:id="50"/>
      <w:bookmarkEnd w:id="51"/>
      <w:r>
        <w:rPr>
          <w:snapToGrid w:val="0"/>
        </w:rPr>
        <w:t xml:space="preserve"> </w:t>
      </w:r>
    </w:p>
    <w:p>
      <w:pPr>
        <w:pStyle w:val="Subsection"/>
        <w:rPr>
          <w:snapToGrid w:val="0"/>
        </w:rPr>
      </w:pPr>
      <w:r>
        <w:rPr>
          <w:snapToGrid w:val="0"/>
        </w:rPr>
        <w:tab/>
        <w:t>(1)</w:t>
      </w:r>
      <w:r>
        <w:rPr>
          <w:snapToGrid w:val="0"/>
        </w:rPr>
        <w:tab/>
        <w:t>There is to be appointed under the Public Service Act a chief executive officer of the Authority.</w:t>
      </w:r>
    </w:p>
    <w:p>
      <w:pPr>
        <w:pStyle w:val="Subsection"/>
        <w:rPr>
          <w:snapToGrid w:val="0"/>
        </w:rPr>
      </w:pPr>
      <w:r>
        <w:rPr>
          <w:snapToGrid w:val="0"/>
        </w:rPr>
        <w:tab/>
        <w:t>(2)</w:t>
      </w:r>
      <w:r>
        <w:rPr>
          <w:snapToGrid w:val="0"/>
        </w:rPr>
        <w:tab/>
        <w:t>The chief executive officer is to administer the day to day operations of the Authority.</w:t>
      </w:r>
    </w:p>
    <w:p>
      <w:pPr>
        <w:pStyle w:val="Heading5"/>
        <w:rPr>
          <w:snapToGrid w:val="0"/>
        </w:rPr>
      </w:pPr>
      <w:bookmarkStart w:id="52" w:name="_Toc417978283"/>
      <w:bookmarkStart w:id="53" w:name="_Toc44994506"/>
      <w:bookmarkStart w:id="54" w:name="_Toc122837382"/>
      <w:r>
        <w:rPr>
          <w:rStyle w:val="CharSectno"/>
        </w:rPr>
        <w:t>15</w:t>
      </w:r>
      <w:r>
        <w:rPr>
          <w:snapToGrid w:val="0"/>
        </w:rPr>
        <w:t>.</w:t>
      </w:r>
      <w:r>
        <w:rPr>
          <w:snapToGrid w:val="0"/>
        </w:rPr>
        <w:tab/>
        <w:t>Use of staff and facilities of departments, agencies and instrumentalities</w:t>
      </w:r>
      <w:bookmarkEnd w:id="52"/>
      <w:bookmarkEnd w:id="53"/>
      <w:bookmarkEnd w:id="54"/>
      <w:r>
        <w:rPr>
          <w:snapToGrid w:val="0"/>
        </w:rPr>
        <w:t xml:space="preserve"> </w:t>
      </w:r>
    </w:p>
    <w:p>
      <w:pPr>
        <w:pStyle w:val="Subsection"/>
        <w:rPr>
          <w:snapToGrid w:val="0"/>
        </w:rPr>
      </w:pPr>
      <w:r>
        <w:rPr>
          <w:snapToGrid w:val="0"/>
        </w:rPr>
        <w:tab/>
        <w:t>(1)</w:t>
      </w:r>
      <w:r>
        <w:rPr>
          <w:snapToGrid w:val="0"/>
        </w:rPr>
        <w:tab/>
        <w:t>The Authority may, by arrangement between it and the Minister concerned, and on such terms and conditions as may be agreed by it with that Minister and the Minister to whom the administration of the Public Service Act is for the time being committed by the Governor, make use, either full</w:t>
      </w:r>
      <w:r>
        <w:rPr>
          <w:snapToGrid w:val="0"/>
        </w:rPr>
        <w:noBreakHyphen/>
        <w:t>time or part</w:t>
      </w:r>
      <w:r>
        <w:rPr>
          <w:snapToGrid w:val="0"/>
        </w:rPr>
        <w:noBreakHyphen/>
        <w:t>time, of — </w:t>
      </w:r>
    </w:p>
    <w:p>
      <w:pPr>
        <w:pStyle w:val="Indenta"/>
        <w:rPr>
          <w:snapToGrid w:val="0"/>
          <w:spacing w:val="-4"/>
        </w:rPr>
      </w:pPr>
      <w:r>
        <w:rPr>
          <w:snapToGrid w:val="0"/>
          <w:spacing w:val="-4"/>
        </w:rPr>
        <w:tab/>
        <w:t>(a)</w:t>
      </w:r>
      <w:r>
        <w:rPr>
          <w:snapToGrid w:val="0"/>
          <w:spacing w:val="-4"/>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there is no arrangement under subsection (1); or</w:t>
      </w:r>
    </w:p>
    <w:p>
      <w:pPr>
        <w:pStyle w:val="Indenta"/>
        <w:rPr>
          <w:snapToGrid w:val="0"/>
        </w:rPr>
      </w:pPr>
      <w:r>
        <w:rPr>
          <w:snapToGrid w:val="0"/>
        </w:rPr>
        <w:tab/>
        <w:t>(b)</w:t>
      </w:r>
      <w:r>
        <w:rPr>
          <w:snapToGrid w:val="0"/>
        </w:rPr>
        <w:tab/>
        <w:t>in the opinion of the Minister, arrangements under subsection (1) are not sufficient to enable the Authority to perform its functions,</w:t>
      </w:r>
    </w:p>
    <w:p>
      <w:pPr>
        <w:pStyle w:val="Subsection"/>
        <w:rPr>
          <w:snapToGrid w:val="0"/>
        </w:rPr>
      </w:pPr>
      <w:r>
        <w:rPr>
          <w:snapToGrid w:val="0"/>
        </w:rPr>
        <w:tab/>
      </w:r>
      <w:r>
        <w:rPr>
          <w:snapToGrid w:val="0"/>
        </w:rPr>
        <w:tab/>
        <w:t>an arrangement is to be made for the use by the Authority of the services of officers and other employees of the Western Australian Land Authority to enable the Authority to perform its functions.</w:t>
      </w:r>
    </w:p>
    <w:p>
      <w:pPr>
        <w:pStyle w:val="Subsection"/>
        <w:rPr>
          <w:snapToGrid w:val="0"/>
        </w:rPr>
      </w:pPr>
      <w:r>
        <w:rPr>
          <w:snapToGrid w:val="0"/>
        </w:rPr>
        <w:tab/>
        <w:t>(3)</w:t>
      </w:r>
      <w:r>
        <w:rPr>
          <w:snapToGrid w:val="0"/>
        </w:rPr>
        <w:tab/>
        <w:t>An arrangement under subsection (2) is to be made between the Authority and the Western Australian Land Authority and on the terms and conditions that are agreed by them and approved by the Minister.</w:t>
      </w:r>
    </w:p>
    <w:p>
      <w:pPr>
        <w:pStyle w:val="Subsection"/>
        <w:rPr>
          <w:snapToGrid w:val="0"/>
        </w:rPr>
      </w:pPr>
      <w:r>
        <w:rPr>
          <w:snapToGrid w:val="0"/>
        </w:rPr>
        <w:tab/>
        <w:t>(4)</w:t>
      </w:r>
      <w:r>
        <w:rPr>
          <w:snapToGrid w:val="0"/>
        </w:rPr>
        <w:tab/>
        <w:t xml:space="preserve">If any disagreement arises between the Authority and the Western Australian Land Authority as to the operation of subsection (2), the matter is to be determined as agreed by the Minister and the Minister to whom the administration of the </w:t>
      </w:r>
      <w:r>
        <w:rPr>
          <w:i/>
          <w:snapToGrid w:val="0"/>
        </w:rPr>
        <w:t>Western Australian Land Authority Act 1992</w:t>
      </w:r>
      <w:r>
        <w:rPr>
          <w:snapToGrid w:val="0"/>
        </w:rPr>
        <w:t xml:space="preserve"> is for the time being committed by the Governor.</w:t>
      </w:r>
    </w:p>
    <w:p>
      <w:pPr>
        <w:pStyle w:val="Subsection"/>
        <w:rPr>
          <w:snapToGrid w:val="0"/>
        </w:rPr>
      </w:pPr>
      <w:r>
        <w:rPr>
          <w:snapToGrid w:val="0"/>
        </w:rPr>
        <w:tab/>
        <w:t>(5)</w:t>
      </w:r>
      <w:r>
        <w:rPr>
          <w:snapToGrid w:val="0"/>
        </w:rPr>
        <w:tab/>
        <w:t xml:space="preserve">The Western Australian Land Authority is authorized to comply with this section despite any provision of the </w:t>
      </w:r>
      <w:r>
        <w:rPr>
          <w:i/>
          <w:snapToGrid w:val="0"/>
        </w:rPr>
        <w:t>Western Australian Land Authority Act 1992</w:t>
      </w:r>
      <w:r>
        <w:rPr>
          <w:snapToGrid w:val="0"/>
        </w:rPr>
        <w:t>.</w:t>
      </w:r>
    </w:p>
    <w:p>
      <w:pPr>
        <w:pStyle w:val="Heading5"/>
        <w:rPr>
          <w:snapToGrid w:val="0"/>
        </w:rPr>
      </w:pPr>
      <w:bookmarkStart w:id="55" w:name="_Toc417978284"/>
      <w:bookmarkStart w:id="56" w:name="_Toc44994507"/>
      <w:bookmarkStart w:id="57" w:name="_Toc122837383"/>
      <w:r>
        <w:rPr>
          <w:rStyle w:val="CharSectno"/>
        </w:rPr>
        <w:t>16</w:t>
      </w:r>
      <w:r>
        <w:rPr>
          <w:snapToGrid w:val="0"/>
        </w:rPr>
        <w:t>.</w:t>
      </w:r>
      <w:r>
        <w:rPr>
          <w:snapToGrid w:val="0"/>
        </w:rPr>
        <w:tab/>
        <w:t>Consultants, etc.</w:t>
      </w:r>
      <w:bookmarkEnd w:id="55"/>
      <w:bookmarkEnd w:id="56"/>
      <w:bookmarkEnd w:id="57"/>
      <w:r>
        <w:rPr>
          <w:snapToGrid w:val="0"/>
        </w:rPr>
        <w:t xml:space="preserve"> </w:t>
      </w:r>
    </w:p>
    <w:p>
      <w:pPr>
        <w:pStyle w:val="Subsection"/>
        <w:rPr>
          <w:snapToGrid w:val="0"/>
        </w:rPr>
      </w:pPr>
      <w:r>
        <w:rPr>
          <w:snapToGrid w:val="0"/>
        </w:rPr>
        <w:tab/>
      </w:r>
      <w:r>
        <w:rPr>
          <w:snapToGrid w:val="0"/>
        </w:rPr>
        <w:tab/>
        <w:t>The Authority may engage, under a contract for services or other arrangement, any consultants and professional or technical or other assistance that it considers necessary to enable it to perform its functions.</w:t>
      </w:r>
    </w:p>
    <w:p>
      <w:pPr>
        <w:pStyle w:val="Heading5"/>
        <w:rPr>
          <w:snapToGrid w:val="0"/>
        </w:rPr>
      </w:pPr>
      <w:bookmarkStart w:id="58" w:name="_Toc417978285"/>
      <w:bookmarkStart w:id="59" w:name="_Toc44994508"/>
      <w:bookmarkStart w:id="60" w:name="_Toc122837384"/>
      <w:r>
        <w:rPr>
          <w:rStyle w:val="CharSectno"/>
        </w:rPr>
        <w:t>17</w:t>
      </w:r>
      <w:r>
        <w:rPr>
          <w:snapToGrid w:val="0"/>
        </w:rPr>
        <w:t>.</w:t>
      </w:r>
      <w:r>
        <w:rPr>
          <w:snapToGrid w:val="0"/>
        </w:rPr>
        <w:tab/>
        <w:t>Senior Executive Service</w:t>
      </w:r>
      <w:bookmarkEnd w:id="58"/>
      <w:bookmarkEnd w:id="59"/>
      <w:bookmarkEnd w:id="60"/>
      <w:r>
        <w:rPr>
          <w:snapToGrid w:val="0"/>
        </w:rPr>
        <w:t xml:space="preserve"> </w:t>
      </w:r>
    </w:p>
    <w:p>
      <w:pPr>
        <w:pStyle w:val="Subsection"/>
        <w:rPr>
          <w:snapToGrid w:val="0"/>
        </w:rPr>
      </w:pPr>
      <w:r>
        <w:rPr>
          <w:snapToGrid w:val="0"/>
        </w:rPr>
        <w:tab/>
      </w:r>
      <w:r>
        <w:rPr>
          <w:snapToGrid w:val="0"/>
        </w:rPr>
        <w:tab/>
        <w:t>Despite anything in this division, if there is, in the case of the chief executive officer who is a member of the Senior Executive Service under the Public Service Act, an inconsistency between this Act and that Act, that Act is to prevail.</w:t>
      </w:r>
    </w:p>
    <w:p>
      <w:pPr>
        <w:pStyle w:val="Heading2"/>
      </w:pPr>
      <w:bookmarkStart w:id="61" w:name="_Toc92771238"/>
      <w:bookmarkStart w:id="62" w:name="_Toc114631512"/>
      <w:bookmarkStart w:id="63" w:name="_Toc122837385"/>
      <w:r>
        <w:rPr>
          <w:rStyle w:val="CharPartNo"/>
        </w:rPr>
        <w:t>Part 3</w:t>
      </w:r>
      <w:r>
        <w:rPr>
          <w:rStyle w:val="CharDivNo"/>
        </w:rPr>
        <w:t> </w:t>
      </w:r>
      <w:r>
        <w:t>—</w:t>
      </w:r>
      <w:r>
        <w:rPr>
          <w:rStyle w:val="CharDivText"/>
        </w:rPr>
        <w:t> </w:t>
      </w:r>
      <w:r>
        <w:rPr>
          <w:rStyle w:val="CharPartText"/>
        </w:rPr>
        <w:t>Functions and powers</w:t>
      </w:r>
      <w:bookmarkEnd w:id="61"/>
      <w:bookmarkEnd w:id="62"/>
      <w:bookmarkEnd w:id="63"/>
      <w:r>
        <w:rPr>
          <w:rStyle w:val="CharPartText"/>
        </w:rPr>
        <w:t xml:space="preserve"> </w:t>
      </w:r>
    </w:p>
    <w:p>
      <w:pPr>
        <w:pStyle w:val="Heading5"/>
        <w:rPr>
          <w:snapToGrid w:val="0"/>
        </w:rPr>
      </w:pPr>
      <w:bookmarkStart w:id="64" w:name="_Toc417978286"/>
      <w:bookmarkStart w:id="65" w:name="_Toc44994509"/>
      <w:bookmarkStart w:id="66" w:name="_Toc122837386"/>
      <w:r>
        <w:rPr>
          <w:rStyle w:val="CharSectno"/>
        </w:rPr>
        <w:t>18</w:t>
      </w:r>
      <w:r>
        <w:rPr>
          <w:snapToGrid w:val="0"/>
        </w:rPr>
        <w:t>.</w:t>
      </w:r>
      <w:r>
        <w:rPr>
          <w:snapToGrid w:val="0"/>
        </w:rPr>
        <w:tab/>
        <w:t>Compliance with written laws</w:t>
      </w:r>
      <w:bookmarkEnd w:id="64"/>
      <w:bookmarkEnd w:id="65"/>
      <w:bookmarkEnd w:id="66"/>
      <w:r>
        <w:rPr>
          <w:snapToGrid w:val="0"/>
        </w:rPr>
        <w:t xml:space="preserve"> </w:t>
      </w:r>
    </w:p>
    <w:p>
      <w:pPr>
        <w:pStyle w:val="Subsection"/>
        <w:rPr>
          <w:snapToGrid w:val="0"/>
        </w:rPr>
      </w:pPr>
      <w:r>
        <w:rPr>
          <w:snapToGrid w:val="0"/>
        </w:rPr>
        <w:tab/>
      </w:r>
      <w:r>
        <w:rPr>
          <w:snapToGrid w:val="0"/>
        </w:rPr>
        <w:tab/>
        <w:t>Subject to sections 19 and 21(7), nothing in this Act is to be read as conferring on the Authority in the performance of its functions any immunity from the operation of any written law.</w:t>
      </w:r>
    </w:p>
    <w:p>
      <w:pPr>
        <w:pStyle w:val="Heading5"/>
        <w:rPr>
          <w:snapToGrid w:val="0"/>
        </w:rPr>
      </w:pPr>
      <w:bookmarkStart w:id="67" w:name="_Toc417978287"/>
      <w:bookmarkStart w:id="68" w:name="_Toc44994510"/>
      <w:bookmarkStart w:id="69" w:name="_Toc122837387"/>
      <w:r>
        <w:rPr>
          <w:rStyle w:val="CharSectno"/>
        </w:rPr>
        <w:t>19</w:t>
      </w:r>
      <w:r>
        <w:rPr>
          <w:snapToGrid w:val="0"/>
        </w:rPr>
        <w:t>.</w:t>
      </w:r>
      <w:r>
        <w:rPr>
          <w:snapToGrid w:val="0"/>
        </w:rPr>
        <w:tab/>
        <w:t>Authority exempt from rates, taxes, etc.</w:t>
      </w:r>
      <w:bookmarkEnd w:id="67"/>
      <w:bookmarkEnd w:id="68"/>
      <w:bookmarkEnd w:id="69"/>
      <w:r>
        <w:rPr>
          <w:snapToGrid w:val="0"/>
        </w:rPr>
        <w:t xml:space="preserve"> </w:t>
      </w:r>
    </w:p>
    <w:p>
      <w:pPr>
        <w:pStyle w:val="Subsection"/>
        <w:rPr>
          <w:snapToGrid w:val="0"/>
        </w:rPr>
      </w:pPr>
      <w:r>
        <w:rPr>
          <w:snapToGrid w:val="0"/>
        </w:rPr>
        <w:tab/>
        <w:t>(1)</w:t>
      </w:r>
      <w:r>
        <w:rPr>
          <w:snapToGrid w:val="0"/>
        </w:rPr>
        <w:tab/>
        <w:t>Subject to subsection (2), the Authority is not liable to pay any local government rate or charge, land tax, metropolitan region improvement tax, water rate, pay</w:t>
      </w:r>
      <w:r>
        <w:rPr>
          <w:snapToGrid w:val="0"/>
        </w:rPr>
        <w:noBreakHyphen/>
        <w:t>roll tax, stamp duty or other rate, tax, duty, fee or charge imposed by or under a written law.</w:t>
      </w:r>
    </w:p>
    <w:p>
      <w:pPr>
        <w:pStyle w:val="Subsection"/>
        <w:rPr>
          <w:snapToGrid w:val="0"/>
        </w:rPr>
      </w:pPr>
      <w:r>
        <w:rPr>
          <w:snapToGrid w:val="0"/>
        </w:rPr>
        <w:tab/>
        <w:t>(2)</w:t>
      </w:r>
      <w:r>
        <w:rPr>
          <w:snapToGrid w:val="0"/>
        </w:rPr>
        <w:tab/>
        <w:t>Subsection (1) does not apply to the liability to pay any rate, charge, tax, duty or fee in respect of land held under a lease or tenancy agreement from the Authority.</w:t>
      </w:r>
    </w:p>
    <w:p>
      <w:pPr>
        <w:pStyle w:val="Heading5"/>
        <w:rPr>
          <w:snapToGrid w:val="0"/>
        </w:rPr>
      </w:pPr>
      <w:bookmarkStart w:id="70" w:name="_Toc417978288"/>
      <w:bookmarkStart w:id="71" w:name="_Toc44994511"/>
      <w:bookmarkStart w:id="72" w:name="_Toc122837388"/>
      <w:r>
        <w:rPr>
          <w:rStyle w:val="CharSectno"/>
        </w:rPr>
        <w:t>20</w:t>
      </w:r>
      <w:r>
        <w:rPr>
          <w:snapToGrid w:val="0"/>
        </w:rPr>
        <w:t>.</w:t>
      </w:r>
      <w:r>
        <w:rPr>
          <w:snapToGrid w:val="0"/>
        </w:rPr>
        <w:tab/>
        <w:t>Functions</w:t>
      </w:r>
      <w:bookmarkEnd w:id="70"/>
      <w:bookmarkEnd w:id="71"/>
      <w:bookmarkEnd w:id="72"/>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development and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73" w:name="_Toc417978289"/>
      <w:bookmarkStart w:id="74" w:name="_Toc44994512"/>
      <w:bookmarkStart w:id="75" w:name="_Toc122837389"/>
      <w:r>
        <w:rPr>
          <w:rStyle w:val="CharSectno"/>
        </w:rPr>
        <w:t>21</w:t>
      </w:r>
      <w:r>
        <w:rPr>
          <w:snapToGrid w:val="0"/>
        </w:rPr>
        <w:t>.</w:t>
      </w:r>
      <w:r>
        <w:rPr>
          <w:snapToGrid w:val="0"/>
        </w:rPr>
        <w:tab/>
        <w:t>Powers</w:t>
      </w:r>
      <w:bookmarkEnd w:id="73"/>
      <w:bookmarkEnd w:id="74"/>
      <w:bookmarkEnd w:id="75"/>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rPr>
          <w:snapToGrid w:val="0"/>
        </w:rPr>
      </w:pPr>
      <w:r>
        <w:rPr>
          <w:snapToGrid w:val="0"/>
        </w:rPr>
        <w:tab/>
        <w:t>(b)</w:t>
      </w:r>
      <w:r>
        <w:rPr>
          <w:snapToGrid w:val="0"/>
        </w:rPr>
        <w:tab/>
        <w:t>subdivide, amalgamate, improve, develop and alter land;</w:t>
      </w:r>
    </w:p>
    <w:p>
      <w:pPr>
        <w:pStyle w:val="Indenta"/>
        <w:rPr>
          <w:snapToGrid w:val="0"/>
        </w:rPr>
      </w:pPr>
      <w:r>
        <w:rPr>
          <w:snapToGrid w:val="0"/>
        </w:rPr>
        <w:tab/>
        <w:t>(c)</w:t>
      </w:r>
      <w:r>
        <w:rPr>
          <w:snapToGrid w:val="0"/>
        </w:rPr>
        <w:tab/>
        <w:t>subject to section 22(1) — </w:t>
      </w:r>
    </w:p>
    <w:p>
      <w:pPr>
        <w:pStyle w:val="Indenti"/>
        <w:rPr>
          <w:snapToGrid w:val="0"/>
        </w:rPr>
      </w:pPr>
      <w:r>
        <w:rPr>
          <w:snapToGrid w:val="0"/>
        </w:rPr>
        <w:tab/>
        <w:t>(i)</w:t>
      </w:r>
      <w:r>
        <w:rPr>
          <w:snapToGrid w:val="0"/>
        </w:rPr>
        <w:tab/>
        <w:t>participate in any business arrangement; or</w:t>
      </w:r>
    </w:p>
    <w:p>
      <w:pPr>
        <w:pStyle w:val="Indenti"/>
        <w:rPr>
          <w:snapToGrid w:val="0"/>
        </w:rPr>
      </w:pPr>
      <w:r>
        <w:rPr>
          <w:snapToGrid w:val="0"/>
        </w:rPr>
        <w:tab/>
        <w:t>(ii)</w:t>
      </w:r>
      <w:r>
        <w:rPr>
          <w:snapToGrid w:val="0"/>
        </w:rPr>
        <w:tab/>
        <w:t>acquire, hold and dispose of shares, units or other interests in any business arrangement;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subject to subsection (3), 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rPr>
          <w:snapToGrid w:val="0"/>
        </w:rPr>
      </w:pPr>
      <w:r>
        <w:rPr>
          <w:snapToGrid w:val="0"/>
        </w:rPr>
        <w:tab/>
        <w:t>(4)</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(5)</w:t>
      </w:r>
      <w:r>
        <w:rPr>
          <w:snapToGrid w:val="0"/>
        </w:rPr>
        <w:tab/>
        <w:t>In performing its functions the Authority is to have regard to, and is to seek to enhance and preserve, the colonial heritage and significance of the redevelopment area and its adjacent areas.</w:t>
      </w:r>
    </w:p>
    <w:p>
      <w:pPr>
        <w:pStyle w:val="Subsection"/>
        <w:rPr>
          <w:snapToGrid w:val="0"/>
        </w:rPr>
      </w:pPr>
      <w:r>
        <w:rPr>
          <w:snapToGrid w:val="0"/>
        </w:rPr>
        <w:tab/>
        <w:t>(6)</w:t>
      </w:r>
      <w:r>
        <w:rPr>
          <w:snapToGrid w:val="0"/>
        </w:rPr>
        <w:tab/>
        <w:t>Despite anything in this section or in section 20, the Authority may pay for the carrying out of any work on land that is contiguous to the redevelopment area if the work is, in its opinion, directly related to the improvement of the redevelopment area or to the functions of the Authority.</w:t>
      </w:r>
    </w:p>
    <w:p>
      <w:pPr>
        <w:pStyle w:val="Subsection"/>
        <w:rPr>
          <w:snapToGrid w:val="0"/>
        </w:rPr>
      </w:pPr>
      <w:r>
        <w:rPr>
          <w:snapToGrid w:val="0"/>
        </w:rPr>
        <w:tab/>
        <w:t>(7)</w:t>
      </w:r>
      <w:r>
        <w:rPr>
          <w:snapToGrid w:val="0"/>
        </w:rPr>
        <w:tab/>
        <w:t>In exercising any power under this section the Authority is not required to comply with section 20 of the Town Planning Act but — </w:t>
      </w:r>
    </w:p>
    <w:p>
      <w:pPr>
        <w:pStyle w:val="Indenta"/>
        <w:rPr>
          <w:snapToGrid w:val="0"/>
        </w:rPr>
      </w:pPr>
      <w:r>
        <w:rPr>
          <w:snapToGrid w:val="0"/>
        </w:rPr>
        <w:tab/>
        <w:t>(a)</w:t>
      </w:r>
      <w:r>
        <w:rPr>
          <w:snapToGrid w:val="0"/>
        </w:rPr>
        <w:tab/>
        <w:t>anything that would otherwise require the approval of the State Planning Commission under that section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State Planning Commission and consider any advice offered; and</w:t>
      </w:r>
    </w:p>
    <w:p>
      <w:pPr>
        <w:pStyle w:val="Indenta"/>
        <w:rPr>
          <w:snapToGrid w:val="0"/>
        </w:rPr>
      </w:pPr>
      <w:r>
        <w:rPr>
          <w:snapToGrid w:val="0"/>
        </w:rPr>
        <w:tab/>
        <w:t>(c)</w:t>
      </w:r>
      <w:r>
        <w:rPr>
          <w:snapToGrid w:val="0"/>
        </w:rPr>
        <w:tab/>
        <w:t>if this section applies, section 21 of the Town Planning Act is to be read as if references to the Commission were references to the Minister.</w:t>
      </w:r>
    </w:p>
    <w:p>
      <w:pPr>
        <w:pStyle w:val="Subsection"/>
        <w:rPr>
          <w:snapToGrid w:val="0"/>
        </w:rPr>
      </w:pPr>
      <w:r>
        <w:rPr>
          <w:snapToGrid w:val="0"/>
        </w:rPr>
        <w:tab/>
        <w:t>(8)</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21 amended by No. 84 of 1994 s.50; No. 14 of 1996 s.4.] </w:t>
      </w:r>
    </w:p>
    <w:p>
      <w:pPr>
        <w:pStyle w:val="Heading5"/>
        <w:rPr>
          <w:snapToGrid w:val="0"/>
        </w:rPr>
      </w:pPr>
      <w:bookmarkStart w:id="76" w:name="_Toc417978290"/>
      <w:bookmarkStart w:id="77" w:name="_Toc44994513"/>
      <w:bookmarkStart w:id="78" w:name="_Toc122837390"/>
      <w:r>
        <w:rPr>
          <w:rStyle w:val="CharSectno"/>
        </w:rPr>
        <w:t>22</w:t>
      </w:r>
      <w:r>
        <w:rPr>
          <w:snapToGrid w:val="0"/>
        </w:rPr>
        <w:t>.</w:t>
      </w:r>
      <w:r>
        <w:rPr>
          <w:snapToGrid w:val="0"/>
        </w:rPr>
        <w:tab/>
        <w:t>Further restrictions on exercise of power</w:t>
      </w:r>
      <w:bookmarkEnd w:id="76"/>
      <w:bookmarkEnd w:id="77"/>
      <w:bookmarkEnd w:id="78"/>
      <w:r>
        <w:rPr>
          <w:snapToGrid w:val="0"/>
        </w:rPr>
        <w:t xml:space="preserve"> </w:t>
      </w:r>
    </w:p>
    <w:p>
      <w:pPr>
        <w:pStyle w:val="Subsection"/>
        <w:rPr>
          <w:snapToGrid w:val="0"/>
        </w:rPr>
      </w:pPr>
      <w:r>
        <w:rPr>
          <w:snapToGrid w:val="0"/>
        </w:rPr>
        <w:tab/>
        <w:t>(1)</w:t>
      </w:r>
      <w:r>
        <w:rPr>
          <w:snapToGrid w:val="0"/>
        </w:rPr>
        <w:tab/>
        <w:t>Any power conferred by section 21(2)(c) is only exercisable with the approval of the Governor and subject to any conditions attached to the approval.</w:t>
      </w:r>
    </w:p>
    <w:p>
      <w:pPr>
        <w:pStyle w:val="Subsection"/>
        <w:rPr>
          <w:snapToGrid w:val="0"/>
        </w:rPr>
      </w:pPr>
      <w:r>
        <w:rPr>
          <w:snapToGrid w:val="0"/>
        </w:rPr>
        <w:tab/>
        <w:t>(2)</w:t>
      </w:r>
      <w:r>
        <w:rPr>
          <w:snapToGrid w:val="0"/>
        </w:rPr>
        <w:tab/>
        <w:t>When the Minister gives any approval under section 21, or the Governor gives any approval under subsection (1), the text of that approval is to be laid before each House of Parliament within 28 sitting days of that House after the day on which the approval is given.</w:t>
      </w:r>
    </w:p>
    <w:p>
      <w:pPr>
        <w:pStyle w:val="Subsection"/>
        <w:rPr>
          <w:snapToGrid w:val="0"/>
        </w:rPr>
      </w:pPr>
      <w:r>
        <w:rPr>
          <w:snapToGrid w:val="0"/>
        </w:rPr>
        <w:tab/>
        <w:t>(3)</w:t>
      </w:r>
      <w:r>
        <w:rPr>
          <w:snapToGrid w:val="0"/>
        </w:rPr>
        <w:tab/>
        <w:t xml:space="preserve">The annual report submitted by the accountable authority of the Authority under section 66 of the </w:t>
      </w:r>
      <w:r>
        <w:rPr>
          <w:i/>
          <w:snapToGrid w:val="0"/>
        </w:rPr>
        <w:t>Financial Administration and Audit Act 1985</w:t>
      </w:r>
      <w:r>
        <w:rPr>
          <w:snapToGrid w:val="0"/>
        </w:rPr>
        <w:t xml:space="preserve"> is to include a summary of any approval referred to in subsection (2).</w:t>
      </w:r>
    </w:p>
    <w:p>
      <w:pPr>
        <w:pStyle w:val="Heading5"/>
        <w:rPr>
          <w:snapToGrid w:val="0"/>
        </w:rPr>
      </w:pPr>
      <w:bookmarkStart w:id="79" w:name="_Toc417978291"/>
      <w:bookmarkStart w:id="80" w:name="_Toc44994514"/>
      <w:bookmarkStart w:id="81" w:name="_Toc122837391"/>
      <w:r>
        <w:rPr>
          <w:rStyle w:val="CharSectno"/>
        </w:rPr>
        <w:t>23</w:t>
      </w:r>
      <w:r>
        <w:rPr>
          <w:snapToGrid w:val="0"/>
        </w:rPr>
        <w:t>.</w:t>
      </w:r>
      <w:r>
        <w:rPr>
          <w:snapToGrid w:val="0"/>
        </w:rPr>
        <w:tab/>
        <w:t>Conditional disposal of land</w:t>
      </w:r>
      <w:bookmarkEnd w:id="79"/>
      <w:bookmarkEnd w:id="80"/>
      <w:bookmarkEnd w:id="81"/>
      <w:r>
        <w:rPr>
          <w:snapToGrid w:val="0"/>
        </w:rPr>
        <w:t xml:space="preserve"> </w:t>
      </w:r>
    </w:p>
    <w:p>
      <w:pPr>
        <w:pStyle w:val="Subsection"/>
        <w:rPr>
          <w:snapToGrid w:val="0"/>
        </w:rPr>
      </w:pPr>
      <w:r>
        <w:rPr>
          <w:snapToGrid w:val="0"/>
        </w:rPr>
        <w:tab/>
        <w:t>(1)</w:t>
      </w:r>
      <w:r>
        <w:rPr>
          <w:snapToGrid w:val="0"/>
        </w:rPr>
        <w:tab/>
        <w:t>The Authority may attach any condition or restriction to a disposal of land under section 21(2)(a).</w:t>
      </w:r>
    </w:p>
    <w:p>
      <w:pPr>
        <w:pStyle w:val="Subsection"/>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who, on payment of the appropriate fee, is to register the memorial against the relevant land.</w:t>
      </w:r>
    </w:p>
    <w:p>
      <w:pPr>
        <w:pStyle w:val="Subsection"/>
        <w:rPr>
          <w:snapToGrid w:val="0"/>
        </w:rPr>
      </w:pPr>
      <w:r>
        <w:rPr>
          <w:snapToGrid w:val="0"/>
        </w:rPr>
        <w:tab/>
        <w:t>(4)</w:t>
      </w:r>
      <w:r>
        <w:rPr>
          <w:snapToGrid w:val="0"/>
        </w:rPr>
        <w:tab/>
        <w:t>A memorial under subsection (3) is to be in a form approved by the Registrar.</w:t>
      </w:r>
    </w:p>
    <w:p>
      <w:pPr>
        <w:pStyle w:val="Subsection"/>
        <w:rPr>
          <w:snapToGrid w:val="0"/>
        </w:rPr>
      </w:pPr>
      <w:r>
        <w:rPr>
          <w:snapToGrid w:val="0"/>
        </w:rPr>
        <w:tab/>
        <w:t>(5)</w:t>
      </w:r>
      <w:r>
        <w:rPr>
          <w:snapToGrid w:val="0"/>
        </w:rPr>
        <w:tab/>
        <w:t xml:space="preserve">While a memorial is registered under subsection (3), the Registrar is not to register under the </w:t>
      </w:r>
      <w:r>
        <w:rPr>
          <w:i/>
          <w:snapToGrid w:val="0"/>
        </w:rPr>
        <w:t>Transfer of Land Act 1893</w:t>
      </w:r>
      <w:r>
        <w:rPr>
          <w:snapToGrid w:val="0"/>
        </w:rPr>
        <w:t>, without the consent in writing of the Authority, any instrument affecting the land to which the memorial relates.</w:t>
      </w:r>
    </w:p>
    <w:p>
      <w:pPr>
        <w:pStyle w:val="Subsection"/>
        <w:rPr>
          <w:snapToGrid w:val="0"/>
        </w:rPr>
      </w:pPr>
      <w:r>
        <w:rPr>
          <w:snapToGrid w:val="0"/>
        </w:rPr>
        <w:tab/>
        <w:t>(6)</w:t>
      </w:r>
      <w:r>
        <w:rPr>
          <w:snapToGrid w:val="0"/>
        </w:rP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rPr>
          <w:snapToGrid w:val="0"/>
        </w:rPr>
      </w:pPr>
      <w:r>
        <w:rPr>
          <w:snapToGrid w:val="0"/>
        </w:rPr>
        <w:tab/>
        <w:t>(7)</w:t>
      </w:r>
      <w:r>
        <w:rPr>
          <w:snapToGrid w:val="0"/>
        </w:rPr>
        <w:tab/>
        <w:t xml:space="preserve">In this section, </w:t>
      </w:r>
      <w:r>
        <w:rPr>
          <w:b/>
          <w:snapToGrid w:val="0"/>
        </w:rPr>
        <w:t>“</w:t>
      </w:r>
      <w:r>
        <w:rPr>
          <w:rStyle w:val="CharDefText"/>
        </w:rPr>
        <w:t>Registrar</w:t>
      </w:r>
      <w:r>
        <w:rPr>
          <w:b/>
          <w:snapToGrid w:val="0"/>
        </w:rPr>
        <w:t>”</w:t>
      </w:r>
      <w:r>
        <w:rPr>
          <w:snapToGrid w:val="0"/>
        </w:rPr>
        <w:t xml:space="preserve"> means Registrar of Titles.</w:t>
      </w:r>
    </w:p>
    <w:p>
      <w:pPr>
        <w:pStyle w:val="Heading5"/>
        <w:rPr>
          <w:snapToGrid w:val="0"/>
        </w:rPr>
      </w:pPr>
      <w:bookmarkStart w:id="82" w:name="_Toc417978292"/>
      <w:bookmarkStart w:id="83" w:name="_Toc44994515"/>
      <w:bookmarkStart w:id="84" w:name="_Toc122837392"/>
      <w:r>
        <w:rPr>
          <w:rStyle w:val="CharSectno"/>
        </w:rPr>
        <w:t>24</w:t>
      </w:r>
      <w:r>
        <w:rPr>
          <w:snapToGrid w:val="0"/>
        </w:rPr>
        <w:t>.</w:t>
      </w:r>
      <w:r>
        <w:rPr>
          <w:snapToGrid w:val="0"/>
        </w:rPr>
        <w:tab/>
        <w:t>Compulsory taking of land</w:t>
      </w:r>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“land” in those Acts has the same meaning as it has in section 3 of this Act;</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authorized by this Act.</w:t>
      </w:r>
    </w:p>
    <w:p>
      <w:pPr>
        <w:pStyle w:val="Footnotesection"/>
      </w:pPr>
      <w:r>
        <w:tab/>
        <w:t>[Section 24 amended by No. 31 of 1997 s.84(1) and (2).]</w:t>
      </w:r>
    </w:p>
    <w:p>
      <w:pPr>
        <w:pStyle w:val="Heading5"/>
        <w:rPr>
          <w:snapToGrid w:val="0"/>
        </w:rPr>
      </w:pPr>
      <w:bookmarkStart w:id="85" w:name="_Toc417978293"/>
      <w:bookmarkStart w:id="86" w:name="_Toc44994516"/>
      <w:bookmarkStart w:id="87" w:name="_Toc122837393"/>
      <w:r>
        <w:rPr>
          <w:rStyle w:val="CharSectno"/>
        </w:rPr>
        <w:t>25</w:t>
      </w:r>
      <w:r>
        <w:rPr>
          <w:snapToGrid w:val="0"/>
        </w:rPr>
        <w:t>.</w:t>
      </w:r>
      <w:r>
        <w:rPr>
          <w:snapToGrid w:val="0"/>
        </w:rPr>
        <w:tab/>
        <w:t>Power of Governor to direct transfer to Authority</w:t>
      </w:r>
      <w:bookmarkEnd w:id="85"/>
      <w:bookmarkEnd w:id="86"/>
      <w:bookmarkEnd w:id="87"/>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disposal in a piece of land specified in the order.</w:t>
      </w:r>
    </w:p>
    <w:p>
      <w:pPr>
        <w:pStyle w:val="Subsection"/>
        <w:rPr>
          <w:snapToGrid w:val="0"/>
        </w:rPr>
      </w:pPr>
      <w:r>
        <w:rPr>
          <w:snapToGrid w:val="0"/>
        </w:rPr>
        <w:tab/>
        <w:t>(2)</w:t>
      </w:r>
      <w:r>
        <w:rPr>
          <w:snapToGrid w:val="0"/>
        </w:rP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is to specify the terms and conditions subject to which the transfer is to be made.</w:t>
      </w:r>
    </w:p>
    <w:p>
      <w:pPr>
        <w:pStyle w:val="Subsection"/>
        <w:rPr>
          <w:snapToGrid w:val="0"/>
        </w:rPr>
      </w:pPr>
      <w:r>
        <w:rPr>
          <w:snapToGrid w:val="0"/>
        </w:rPr>
        <w:tab/>
        <w:t>(4)</w:t>
      </w:r>
      <w:r>
        <w:rPr>
          <w:snapToGrid w:val="0"/>
        </w:rPr>
        <w:tab/>
        <w:t>A public authority is to comply with a direction given to it under subsection (1), despite any other written law.</w:t>
      </w:r>
    </w:p>
    <w:p>
      <w:pPr>
        <w:pStyle w:val="Heading5"/>
        <w:rPr>
          <w:snapToGrid w:val="0"/>
        </w:rPr>
      </w:pPr>
      <w:bookmarkStart w:id="88" w:name="_Toc417978294"/>
      <w:bookmarkStart w:id="89" w:name="_Toc44994517"/>
      <w:bookmarkStart w:id="90" w:name="_Toc122837394"/>
      <w:r>
        <w:rPr>
          <w:rStyle w:val="CharSectno"/>
        </w:rPr>
        <w:t>26</w:t>
      </w:r>
      <w:r>
        <w:rPr>
          <w:snapToGrid w:val="0"/>
        </w:rPr>
        <w:t>.</w:t>
      </w:r>
      <w:r>
        <w:rPr>
          <w:snapToGrid w:val="0"/>
        </w:rPr>
        <w:tab/>
        <w:t>Temporary closure of streets</w:t>
      </w:r>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Despite any provision of the </w:t>
      </w:r>
      <w:r>
        <w:rPr>
          <w:i/>
          <w:snapToGrid w:val="0"/>
        </w:rPr>
        <w:t>Local Government (Miscellaneous Provisions) Act 1960</w:t>
      </w:r>
      <w:r>
        <w:rPr>
          <w:snapToGrid w:val="0"/>
        </w:rPr>
        <w:t>, the Authority may close, or restrict the thoroughfare in, a street in the redevelopment area — </w:t>
      </w:r>
    </w:p>
    <w:p>
      <w:pPr>
        <w:pStyle w:val="Indenta"/>
        <w:rPr>
          <w:snapToGrid w:val="0"/>
        </w:rPr>
      </w:pPr>
      <w:r>
        <w:rPr>
          <w:snapToGrid w:val="0"/>
        </w:rPr>
        <w:tab/>
        <w:t>(a)</w:t>
      </w:r>
      <w:r>
        <w:rPr>
          <w:snapToGrid w:val="0"/>
        </w:rPr>
        <w:tab/>
        <w:t>by causing fences and barriers to be placed on or across the street;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the period that, the Authority considers that the closure or restriction is necessary for the performance of its functions.</w:t>
      </w:r>
    </w:p>
    <w:p>
      <w:pPr>
        <w:pStyle w:val="Subsection"/>
        <w:rPr>
          <w:snapToGrid w:val="0"/>
        </w:rPr>
      </w:pPr>
      <w:r>
        <w:rPr>
          <w:snapToGrid w:val="0"/>
        </w:rPr>
        <w:tab/>
        <w:t>(2)</w:t>
      </w:r>
      <w:r>
        <w:rPr>
          <w:snapToGrid w:val="0"/>
        </w:rPr>
        <w:tab/>
        <w:t>A street may be closed for more than 3 days under subsection (1) only if the Authority has given at least 14 days notice of the closure to the chief executive officer of the City of Subiaco or of the Town of Cambridge, as the case requires.</w:t>
      </w:r>
    </w:p>
    <w:p>
      <w:pPr>
        <w:pStyle w:val="Subsection"/>
        <w:rPr>
          <w:snapToGrid w:val="0"/>
        </w:rPr>
      </w:pPr>
      <w:r>
        <w:rPr>
          <w:snapToGrid w:val="0"/>
        </w:rPr>
        <w:tab/>
        <w:t>(3)</w:t>
      </w:r>
      <w:r>
        <w:rPr>
          <w:snapToGrid w:val="0"/>
        </w:rPr>
        <w:tab/>
        <w:t>In this section and section 27 — </w:t>
      </w:r>
    </w:p>
    <w:p>
      <w:pPr>
        <w:pStyle w:val="Defstart"/>
      </w:pPr>
      <w:r>
        <w:rPr>
          <w:b/>
        </w:rPr>
        <w:tab/>
        <w:t>“</w:t>
      </w:r>
      <w:r>
        <w:rPr>
          <w:rStyle w:val="CharDefText"/>
        </w:rPr>
        <w:t>street</w:t>
      </w:r>
      <w:r>
        <w:rPr>
          <w:b/>
        </w:rPr>
        <w:t>”</w:t>
      </w:r>
      <w:r>
        <w:t xml:space="preserve"> means a thoroughfare as defined in the </w:t>
      </w:r>
      <w:r>
        <w:rPr>
          <w:i/>
        </w:rPr>
        <w:t>Local Government Act 1995</w:t>
      </w:r>
      <w:r>
        <w:t>.</w:t>
      </w:r>
    </w:p>
    <w:p>
      <w:pPr>
        <w:pStyle w:val="Footnotesection"/>
      </w:pPr>
      <w:r>
        <w:tab/>
        <w:t xml:space="preserve">[Section 26 amended by No. 14 of 1996 s.4.] </w:t>
      </w:r>
    </w:p>
    <w:p>
      <w:pPr>
        <w:pStyle w:val="Heading5"/>
        <w:rPr>
          <w:snapToGrid w:val="0"/>
        </w:rPr>
      </w:pPr>
      <w:bookmarkStart w:id="91" w:name="_Toc417978295"/>
      <w:bookmarkStart w:id="92" w:name="_Toc44994518"/>
      <w:bookmarkStart w:id="93" w:name="_Toc122837395"/>
      <w:r>
        <w:rPr>
          <w:rStyle w:val="CharSectno"/>
        </w:rPr>
        <w:t>27</w:t>
      </w:r>
      <w:r>
        <w:rPr>
          <w:snapToGrid w:val="0"/>
        </w:rPr>
        <w:t>.</w:t>
      </w:r>
      <w:r>
        <w:rPr>
          <w:snapToGrid w:val="0"/>
        </w:rPr>
        <w:tab/>
        <w:t>Permanent closure of streets</w:t>
      </w:r>
      <w:bookmarkEnd w:id="91"/>
      <w:bookmarkEnd w:id="92"/>
      <w:bookmarkEnd w:id="93"/>
      <w:r>
        <w:rPr>
          <w:snapToGrid w:val="0"/>
        </w:rPr>
        <w:t xml:space="preserve"> </w:t>
      </w:r>
    </w:p>
    <w:p>
      <w:pPr>
        <w:pStyle w:val="Subsection"/>
        <w:keepNext/>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w:t>
      </w:r>
      <w:r>
        <w:rPr>
          <w:b/>
          <w:snapToGrid w:val="0"/>
        </w:rPr>
        <w:t>“</w:t>
      </w:r>
      <w:r>
        <w:rPr>
          <w:rStyle w:val="CharDefText"/>
        </w:rPr>
        <w:t>local government</w:t>
      </w:r>
      <w:r>
        <w:rPr>
          <w:b/>
          <w:snapToGrid w:val="0"/>
        </w:rPr>
        <w:t>”</w:t>
      </w:r>
      <w:r>
        <w:rPr>
          <w:snapToGrid w:val="0"/>
        </w:rPr>
        <w:t xml:space="preserve">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Subiaco or the Town of Cambridge,</w:t>
      </w:r>
    </w:p>
    <w:p>
      <w:pPr>
        <w:pStyle w:val="Subsection"/>
        <w:rPr>
          <w:snapToGrid w:val="0"/>
        </w:rPr>
      </w:pPr>
      <w:r>
        <w:rPr>
          <w:snapToGrid w:val="0"/>
        </w:rPr>
        <w:tab/>
      </w:r>
      <w:r>
        <w:rPr>
          <w:snapToGrid w:val="0"/>
        </w:rPr>
        <w:tab/>
        <w:t>in relation to any such street.</w:t>
      </w:r>
    </w:p>
    <w:p>
      <w:pPr>
        <w:pStyle w:val="Footnotesection"/>
      </w:pPr>
      <w:r>
        <w:tab/>
        <w:t xml:space="preserve">[Section 27 amended by No. 14 of 1996 s.4; No. 31 of 1997 s.84(3).] </w:t>
      </w:r>
    </w:p>
    <w:p>
      <w:pPr>
        <w:pStyle w:val="Heading5"/>
        <w:rPr>
          <w:snapToGrid w:val="0"/>
        </w:rPr>
      </w:pPr>
      <w:bookmarkStart w:id="94" w:name="_Toc417978296"/>
      <w:bookmarkStart w:id="95" w:name="_Toc44994519"/>
      <w:bookmarkStart w:id="96" w:name="_Toc122837396"/>
      <w:r>
        <w:rPr>
          <w:rStyle w:val="CharSectno"/>
        </w:rPr>
        <w:t>28</w:t>
      </w:r>
      <w:r>
        <w:rPr>
          <w:snapToGrid w:val="0"/>
        </w:rPr>
        <w:t>.</w:t>
      </w:r>
      <w:r>
        <w:rPr>
          <w:snapToGrid w:val="0"/>
        </w:rPr>
        <w:tab/>
        <w:t>Delegation</w:t>
      </w:r>
      <w:bookmarkEnd w:id="94"/>
      <w:bookmarkEnd w:id="95"/>
      <w:bookmarkEnd w:id="96"/>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Land Authority, or a member of the board of directors or an officer of that Authority;</w:t>
      </w:r>
    </w:p>
    <w:p>
      <w:pPr>
        <w:pStyle w:val="Indenta"/>
        <w:rPr>
          <w:snapToGrid w:val="0"/>
        </w:rPr>
      </w:pPr>
      <w:r>
        <w:rPr>
          <w:snapToGrid w:val="0"/>
        </w:rPr>
        <w:tab/>
        <w:t>(c)</w:t>
      </w:r>
      <w:r>
        <w:rPr>
          <w:snapToGrid w:val="0"/>
        </w:rPr>
        <w:tab/>
        <w:t>the chief executive officer, or a nominee of the chief executive officer, of the department principally assisting the Minister to whom the administration of the Town Planning Act is committed in the administration of that Act;</w:t>
      </w:r>
    </w:p>
    <w:p>
      <w:pPr>
        <w:pStyle w:val="Indenta"/>
      </w:pPr>
      <w:r>
        <w:tab/>
        <w:t>(d)</w:t>
      </w:r>
      <w:r>
        <w:tab/>
        <w:t xml:space="preserve">the Public Transport Authority of Western Australia, established by the </w:t>
      </w:r>
      <w:r>
        <w:rPr>
          <w:i/>
        </w:rPr>
        <w:t>Public Transport Authority Act 2003</w:t>
      </w:r>
      <w:r>
        <w:t xml:space="preserve"> section 5, or its nominee; and</w:t>
      </w:r>
    </w:p>
    <w:p>
      <w:pPr>
        <w:pStyle w:val="Indenta"/>
        <w:rPr>
          <w:snapToGrid w:val="0"/>
        </w:rPr>
      </w:pPr>
      <w:r>
        <w:rPr>
          <w:snapToGrid w:val="0"/>
        </w:rPr>
        <w:tab/>
        <w:t>(e)</w:t>
      </w:r>
      <w:r>
        <w:rPr>
          <w:snapToGrid w:val="0"/>
        </w:rPr>
        <w:tab/>
        <w:t>a local government or a committee or employee of 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 xml:space="preserve">[Section 28 amended by No. 14 of 1996 s.4; No. 31 of 2003 s. 154.] </w:t>
      </w:r>
    </w:p>
    <w:p>
      <w:pPr>
        <w:pStyle w:val="Heading5"/>
        <w:rPr>
          <w:snapToGrid w:val="0"/>
        </w:rPr>
      </w:pPr>
      <w:bookmarkStart w:id="97" w:name="_Toc417978297"/>
      <w:bookmarkStart w:id="98" w:name="_Toc44994520"/>
      <w:bookmarkStart w:id="99" w:name="_Toc122837397"/>
      <w:r>
        <w:rPr>
          <w:rStyle w:val="CharSectno"/>
        </w:rPr>
        <w:t>29</w:t>
      </w:r>
      <w:r>
        <w:rPr>
          <w:snapToGrid w:val="0"/>
        </w:rPr>
        <w:t>.</w:t>
      </w:r>
      <w:r>
        <w:rPr>
          <w:snapToGrid w:val="0"/>
        </w:rPr>
        <w:tab/>
        <w:t>Minister may give directions</w:t>
      </w:r>
      <w:bookmarkEnd w:id="97"/>
      <w:bookmarkEnd w:id="98"/>
      <w:bookmarkEnd w:id="99"/>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29 amended by No. 41 of 1996 s.3.] </w:t>
      </w:r>
    </w:p>
    <w:p>
      <w:pPr>
        <w:pStyle w:val="Heading5"/>
        <w:rPr>
          <w:snapToGrid w:val="0"/>
        </w:rPr>
      </w:pPr>
      <w:bookmarkStart w:id="100" w:name="_Toc417978298"/>
      <w:bookmarkStart w:id="101" w:name="_Toc44994521"/>
      <w:bookmarkStart w:id="102" w:name="_Toc122837398"/>
      <w:r>
        <w:rPr>
          <w:rStyle w:val="CharSectno"/>
        </w:rPr>
        <w:t>30</w:t>
      </w:r>
      <w:r>
        <w:rPr>
          <w:snapToGrid w:val="0"/>
        </w:rPr>
        <w:t>.</w:t>
      </w:r>
      <w:r>
        <w:rPr>
          <w:snapToGrid w:val="0"/>
        </w:rPr>
        <w:tab/>
        <w:t>Minister to have access to information</w:t>
      </w:r>
      <w:bookmarkEnd w:id="100"/>
      <w:bookmarkEnd w:id="101"/>
      <w:bookmarkEnd w:id="102"/>
      <w:r>
        <w:rPr>
          <w:snapToGrid w:val="0"/>
        </w:rPr>
        <w:t xml:space="preserve"> </w:t>
      </w:r>
    </w:p>
    <w:p>
      <w:pPr>
        <w:pStyle w:val="Subsection"/>
        <w:rPr>
          <w:snapToGrid w:val="0"/>
        </w:rPr>
      </w:pPr>
      <w:r>
        <w:rPr>
          <w:snapToGrid w:val="0"/>
        </w:rPr>
        <w:tab/>
        <w:t>(1)</w:t>
      </w:r>
      <w:r>
        <w:rPr>
          <w:snapToGrid w:val="0"/>
        </w:rPr>
        <w:tab/>
        <w:t>The Minister is entitled to have information in the possession of the Authority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provide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or of the Western Australian Land Authority to obtain the information and provide it to the Minister.</w:t>
      </w:r>
    </w:p>
    <w:p>
      <w:pPr>
        <w:pStyle w:val="Subsection"/>
        <w:keepNext/>
        <w:keepLines/>
        <w:rPr>
          <w:snapToGrid w:val="0"/>
        </w:rPr>
      </w:pPr>
      <w:r>
        <w:rPr>
          <w:snapToGrid w:val="0"/>
        </w:rPr>
        <w:tab/>
        <w:t>(3)</w:t>
      </w:r>
      <w:r>
        <w:rPr>
          <w:snapToGrid w:val="0"/>
        </w:rPr>
        <w:tab/>
        <w:t>The Authority is to comply with a request under subsection (2) and the Authority and the Western Australian Land Authority are to make their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103" w:name="_Toc92771252"/>
      <w:bookmarkStart w:id="104" w:name="_Toc114631526"/>
      <w:bookmarkStart w:id="105" w:name="_Toc122837399"/>
      <w:r>
        <w:rPr>
          <w:rStyle w:val="CharPartNo"/>
        </w:rPr>
        <w:t>Part 4</w:t>
      </w:r>
      <w:r>
        <w:t> — </w:t>
      </w:r>
      <w:r>
        <w:rPr>
          <w:rStyle w:val="CharPartText"/>
        </w:rPr>
        <w:t>Redevelopment scheme</w:t>
      </w:r>
      <w:bookmarkEnd w:id="103"/>
      <w:bookmarkEnd w:id="104"/>
      <w:bookmarkEnd w:id="105"/>
      <w:r>
        <w:rPr>
          <w:rStyle w:val="CharPartText"/>
        </w:rPr>
        <w:t xml:space="preserve"> </w:t>
      </w:r>
    </w:p>
    <w:p>
      <w:pPr>
        <w:pStyle w:val="Heading3"/>
        <w:rPr>
          <w:snapToGrid w:val="0"/>
        </w:rPr>
      </w:pPr>
      <w:bookmarkStart w:id="106" w:name="_Toc92771253"/>
      <w:bookmarkStart w:id="107" w:name="_Toc114631527"/>
      <w:bookmarkStart w:id="108" w:name="_Toc122837400"/>
      <w:r>
        <w:rPr>
          <w:rStyle w:val="CharDivNo"/>
        </w:rPr>
        <w:t>Division 1</w:t>
      </w:r>
      <w:r>
        <w:rPr>
          <w:snapToGrid w:val="0"/>
        </w:rPr>
        <w:t> — </w:t>
      </w:r>
      <w:r>
        <w:rPr>
          <w:rStyle w:val="CharDivText"/>
        </w:rPr>
        <w:t>General</w:t>
      </w:r>
      <w:bookmarkEnd w:id="106"/>
      <w:bookmarkEnd w:id="107"/>
      <w:bookmarkEnd w:id="108"/>
      <w:r>
        <w:rPr>
          <w:rStyle w:val="CharDivText"/>
        </w:rPr>
        <w:t xml:space="preserve"> </w:t>
      </w:r>
    </w:p>
    <w:p>
      <w:pPr>
        <w:pStyle w:val="Heading5"/>
        <w:rPr>
          <w:snapToGrid w:val="0"/>
        </w:rPr>
      </w:pPr>
      <w:bookmarkStart w:id="109" w:name="_Toc417978299"/>
      <w:bookmarkStart w:id="110" w:name="_Toc44994522"/>
      <w:bookmarkStart w:id="111" w:name="_Toc122837401"/>
      <w:r>
        <w:rPr>
          <w:rStyle w:val="CharSectno"/>
        </w:rPr>
        <w:t>31</w:t>
      </w:r>
      <w:r>
        <w:rPr>
          <w:snapToGrid w:val="0"/>
        </w:rPr>
        <w:t>.</w:t>
      </w:r>
      <w:r>
        <w:rPr>
          <w:snapToGrid w:val="0"/>
        </w:rPr>
        <w:tab/>
        <w:t>Authority to comply with redevelopment scheme</w:t>
      </w:r>
      <w:bookmarkEnd w:id="109"/>
      <w:bookmarkEnd w:id="110"/>
      <w:bookmarkEnd w:id="111"/>
      <w:r>
        <w:rPr>
          <w:snapToGrid w:val="0"/>
        </w:rPr>
        <w:t xml:space="preserve"> </w:t>
      </w:r>
    </w:p>
    <w:p>
      <w:pPr>
        <w:pStyle w:val="Subsection"/>
        <w:rPr>
          <w:snapToGrid w:val="0"/>
        </w:rPr>
      </w:pPr>
      <w:r>
        <w:rPr>
          <w:snapToGrid w:val="0"/>
        </w:rPr>
        <w:tab/>
        <w:t>(1)</w:t>
      </w:r>
      <w:r>
        <w:rPr>
          <w:snapToGrid w:val="0"/>
        </w:rPr>
        <w:tab/>
        <w:t>The Authority is to perform its functions in accordance with the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50(1).</w:t>
      </w:r>
    </w:p>
    <w:p>
      <w:pPr>
        <w:pStyle w:val="Subsection"/>
        <w:rPr>
          <w:snapToGrid w:val="0"/>
        </w:rPr>
      </w:pPr>
      <w:r>
        <w:rPr>
          <w:snapToGrid w:val="0"/>
        </w:rPr>
        <w:tab/>
        <w:t>(3)</w:t>
      </w:r>
      <w:r>
        <w:rPr>
          <w:snapToGrid w:val="0"/>
        </w:rPr>
        <w:tab/>
        <w:t>A copy of the redevelopment scheme for the time being in force is to be kept in the offices of the Authority and is to be available for inspection by the public during office hours free of charge.</w:t>
      </w:r>
    </w:p>
    <w:p>
      <w:pPr>
        <w:pStyle w:val="Heading5"/>
        <w:rPr>
          <w:snapToGrid w:val="0"/>
        </w:rPr>
      </w:pPr>
      <w:bookmarkStart w:id="112" w:name="_Toc417978300"/>
      <w:bookmarkStart w:id="113" w:name="_Toc44994523"/>
      <w:bookmarkStart w:id="114" w:name="_Toc122837402"/>
      <w:r>
        <w:rPr>
          <w:rStyle w:val="CharSectno"/>
        </w:rPr>
        <w:t>32</w:t>
      </w:r>
      <w:r>
        <w:rPr>
          <w:snapToGrid w:val="0"/>
        </w:rPr>
        <w:t>.</w:t>
      </w:r>
      <w:r>
        <w:rPr>
          <w:snapToGrid w:val="0"/>
        </w:rPr>
        <w:tab/>
        <w:t>Contents of redevelopment scheme</w:t>
      </w:r>
      <w:bookmarkEnd w:id="112"/>
      <w:bookmarkEnd w:id="113"/>
      <w:bookmarkEnd w:id="114"/>
      <w:r>
        <w:rPr>
          <w:snapToGrid w:val="0"/>
        </w:rPr>
        <w:t xml:space="preserve"> </w:t>
      </w:r>
    </w:p>
    <w:p>
      <w:pPr>
        <w:pStyle w:val="Subsection"/>
        <w:rPr>
          <w:snapToGrid w:val="0"/>
        </w:rPr>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 a town planning scheme under the Town Planning Act.</w:t>
      </w:r>
    </w:p>
    <w:p>
      <w:pPr>
        <w:pStyle w:val="Heading3"/>
        <w:rPr>
          <w:snapToGrid w:val="0"/>
        </w:rPr>
      </w:pPr>
      <w:bookmarkStart w:id="115" w:name="_Toc92771256"/>
      <w:bookmarkStart w:id="116" w:name="_Toc114631530"/>
      <w:bookmarkStart w:id="117" w:name="_Toc122837403"/>
      <w:r>
        <w:rPr>
          <w:rStyle w:val="CharDivNo"/>
        </w:rPr>
        <w:t>Division 2</w:t>
      </w:r>
      <w:r>
        <w:rPr>
          <w:snapToGrid w:val="0"/>
        </w:rPr>
        <w:t> — </w:t>
      </w:r>
      <w:r>
        <w:rPr>
          <w:rStyle w:val="CharDivText"/>
        </w:rPr>
        <w:t>Preparation and approval of redevelopment scheme</w:t>
      </w:r>
      <w:bookmarkEnd w:id="115"/>
      <w:bookmarkEnd w:id="116"/>
      <w:bookmarkEnd w:id="117"/>
      <w:r>
        <w:rPr>
          <w:rStyle w:val="CharDivText"/>
        </w:rPr>
        <w:t xml:space="preserve"> </w:t>
      </w:r>
    </w:p>
    <w:p>
      <w:pPr>
        <w:pStyle w:val="Heading5"/>
        <w:rPr>
          <w:snapToGrid w:val="0"/>
        </w:rPr>
      </w:pPr>
      <w:bookmarkStart w:id="118" w:name="_Toc417978301"/>
      <w:bookmarkStart w:id="119" w:name="_Toc44994524"/>
      <w:bookmarkStart w:id="120" w:name="_Toc122837404"/>
      <w:r>
        <w:rPr>
          <w:rStyle w:val="CharSectno"/>
        </w:rPr>
        <w:t>33</w:t>
      </w:r>
      <w:r>
        <w:rPr>
          <w:snapToGrid w:val="0"/>
        </w:rPr>
        <w:t>.</w:t>
      </w:r>
      <w:r>
        <w:rPr>
          <w:snapToGrid w:val="0"/>
        </w:rPr>
        <w:tab/>
        <w:t>Proposed redevelopment scheme</w:t>
      </w:r>
      <w:bookmarkEnd w:id="118"/>
      <w:bookmarkEnd w:id="119"/>
      <w:bookmarkEnd w:id="120"/>
      <w:r>
        <w:rPr>
          <w:snapToGrid w:val="0"/>
        </w:rPr>
        <w:t xml:space="preserve"> </w:t>
      </w:r>
    </w:p>
    <w:p>
      <w:pPr>
        <w:pStyle w:val="Subsection"/>
        <w:rPr>
          <w:snapToGrid w:val="0"/>
        </w:rPr>
      </w:pPr>
      <w:r>
        <w:rPr>
          <w:snapToGrid w:val="0"/>
        </w:rPr>
        <w:tab/>
        <w:t>(1)</w:t>
      </w:r>
      <w:r>
        <w:rPr>
          <w:snapToGrid w:val="0"/>
        </w:rPr>
        <w:tab/>
        <w:t>The Authority is to submit a proposed redevelopment scheme to the Minister as soon as is practicable after the commencement of this Act.</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is not to be submitted to the Minister unless sections 40 and 41 have been complied with in respect of that redevelopment scheme and it was prepared — </w:t>
      </w:r>
    </w:p>
    <w:p>
      <w:pPr>
        <w:pStyle w:val="Indenta"/>
        <w:rPr>
          <w:snapToGrid w:val="0"/>
        </w:rPr>
      </w:pPr>
      <w:r>
        <w:rPr>
          <w:snapToGrid w:val="0"/>
        </w:rPr>
        <w:tab/>
        <w:t>(a)</w:t>
      </w:r>
      <w:r>
        <w:rPr>
          <w:snapToGrid w:val="0"/>
        </w:rPr>
        <w:tab/>
        <w:t>after consultation with the City of Subiaco and the Town of Cambridge and the State Planning Commission (whether that consultation occurred before or after the commencement of this Act); and</w:t>
      </w:r>
    </w:p>
    <w:p>
      <w:pPr>
        <w:pStyle w:val="Indenta"/>
        <w:rPr>
          <w:snapToGrid w:val="0"/>
        </w:rPr>
      </w:pPr>
      <w:r>
        <w:rPr>
          <w:snapToGrid w:val="0"/>
        </w:rPr>
        <w:tab/>
        <w:t>(b)</w:t>
      </w:r>
      <w:r>
        <w:rPr>
          <w:snapToGrid w:val="0"/>
        </w:rPr>
        <w:tab/>
        <w:t>having regard to the views of the local governments and the Commission.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consent or refuse to consent to the public notification of a proposed redevelopment scheme submitted under this section; or</w:t>
      </w:r>
    </w:p>
    <w:p>
      <w:pPr>
        <w:pStyle w:val="Indenta"/>
        <w:rPr>
          <w:snapToGrid w:val="0"/>
        </w:rPr>
      </w:pPr>
      <w:r>
        <w:rPr>
          <w:snapToGrid w:val="0"/>
        </w:rPr>
        <w:tab/>
        <w:t>(b)</w:t>
      </w:r>
      <w:r>
        <w:rPr>
          <w:snapToGrid w:val="0"/>
        </w:rPr>
        <w:tab/>
        <w:t>consent to such public notification subject to modifications being made to the scheme, as directed by the Minister.</w:t>
      </w:r>
    </w:p>
    <w:p>
      <w:pPr>
        <w:pStyle w:val="Subsection"/>
        <w:rPr>
          <w:snapToGrid w:val="0"/>
        </w:rPr>
      </w:pPr>
      <w:r>
        <w:rPr>
          <w:snapToGrid w:val="0"/>
        </w:rPr>
        <w:tab/>
        <w:t>(5)</w:t>
      </w:r>
      <w:r>
        <w:rPr>
          <w:snapToGrid w:val="0"/>
        </w:rP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is to comply with any direction of the Minister under subsection (4) or (5).</w:t>
      </w:r>
    </w:p>
    <w:p>
      <w:pPr>
        <w:pStyle w:val="Subsection"/>
        <w:rPr>
          <w:snapToGrid w:val="0"/>
        </w:rPr>
      </w:pPr>
      <w:r>
        <w:rPr>
          <w:snapToGrid w:val="0"/>
        </w:rPr>
        <w:tab/>
        <w:t>(7)</w:t>
      </w:r>
      <w:r>
        <w:rPr>
          <w:snapToGrid w:val="0"/>
        </w:rPr>
        <w:tab/>
        <w:t>The text of any direction given under subsection (4) or (5)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[Section 33 amended by No. 14 of 1996 s.4; No. 23 of 1996</w:t>
      </w:r>
      <w:r>
        <w:rPr>
          <w:vertAlign w:val="superscript"/>
        </w:rPr>
        <w:t xml:space="preserve"> 4</w:t>
      </w:r>
      <w:r>
        <w:t xml:space="preserve"> s.36.] </w:t>
      </w:r>
    </w:p>
    <w:p>
      <w:pPr>
        <w:pStyle w:val="Heading5"/>
        <w:rPr>
          <w:snapToGrid w:val="0"/>
        </w:rPr>
      </w:pPr>
      <w:bookmarkStart w:id="121" w:name="_Toc417978302"/>
      <w:bookmarkStart w:id="122" w:name="_Toc44994525"/>
      <w:bookmarkStart w:id="123" w:name="_Toc122837405"/>
      <w:r>
        <w:rPr>
          <w:rStyle w:val="CharSectno"/>
        </w:rPr>
        <w:t>34</w:t>
      </w:r>
      <w:r>
        <w:rPr>
          <w:snapToGrid w:val="0"/>
        </w:rPr>
        <w:t>.</w:t>
      </w:r>
      <w:r>
        <w:rPr>
          <w:snapToGrid w:val="0"/>
        </w:rPr>
        <w:tab/>
        <w:t>Proposed scheme to be publicly notified</w:t>
      </w:r>
      <w:bookmarkEnd w:id="121"/>
      <w:bookmarkEnd w:id="122"/>
      <w:bookmarkEnd w:id="123"/>
      <w:r>
        <w:rPr>
          <w:snapToGrid w:val="0"/>
        </w:rPr>
        <w:t xml:space="preserve"> </w:t>
      </w:r>
    </w:p>
    <w:p>
      <w:pPr>
        <w:pStyle w:val="Subsection"/>
        <w:rPr>
          <w:snapToGrid w:val="0"/>
        </w:rPr>
      </w:pPr>
      <w:r>
        <w:rPr>
          <w:snapToGrid w:val="0"/>
        </w:rPr>
        <w:tab/>
        <w:t>(1)</w:t>
      </w:r>
      <w:r>
        <w:rPr>
          <w:snapToGrid w:val="0"/>
        </w:rPr>
        <w:tab/>
        <w:t>Public notification of a proposed redevelopment scheme in respect of which the Minister has given consent under section 33(4) is to be given in accordance with subsection (2).</w:t>
      </w:r>
    </w:p>
    <w:p>
      <w:pPr>
        <w:pStyle w:val="Subsection"/>
        <w:rPr>
          <w:snapToGrid w:val="0"/>
        </w:rPr>
      </w:pPr>
      <w:r>
        <w:rPr>
          <w:snapToGrid w:val="0"/>
        </w:rPr>
        <w:tab/>
        <w:t>(2)</w:t>
      </w:r>
      <w:r>
        <w:rPr>
          <w:snapToGrid w:val="0"/>
        </w:rPr>
        <w:tab/>
        <w:t>The proposed redevelopment scheme is to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districts of Subiaco and Cambridge,</w:t>
      </w:r>
    </w:p>
    <w:p>
      <w:pPr>
        <w:pStyle w:val="Subsection"/>
        <w:rPr>
          <w:snapToGrid w:val="0"/>
        </w:rPr>
      </w:pPr>
      <w:r>
        <w:rPr>
          <w:snapToGrid w:val="0"/>
        </w:rPr>
        <w:tab/>
      </w:r>
      <w:r>
        <w:rPr>
          <w:snapToGrid w:val="0"/>
        </w:rPr>
        <w:tab/>
        <w:t>of a notice — </w:t>
      </w:r>
    </w:p>
    <w:p>
      <w:pPr>
        <w:pStyle w:val="Indenta"/>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35 and specifying the period referred to in that section.</w:t>
      </w:r>
    </w:p>
    <w:p>
      <w:pPr>
        <w:pStyle w:val="Subsection"/>
        <w:rPr>
          <w:snapToGrid w:val="0"/>
        </w:rPr>
      </w:pPr>
      <w:r>
        <w:rPr>
          <w:snapToGrid w:val="0"/>
        </w:rPr>
        <w:tab/>
        <w:t>(3)</w:t>
      </w:r>
      <w:r>
        <w:rPr>
          <w:snapToGrid w:val="0"/>
        </w:rPr>
        <w:tab/>
        <w:t>The Authority may fix and charge a fee for supplying copies of a proposed redevelopment scheme.</w:t>
      </w:r>
    </w:p>
    <w:p>
      <w:pPr>
        <w:pStyle w:val="Subsection"/>
        <w:rPr>
          <w:snapToGrid w:val="0"/>
        </w:rPr>
      </w:pPr>
      <w:r>
        <w:rPr>
          <w:snapToGrid w:val="0"/>
        </w:rPr>
        <w:tab/>
        <w:t>(4)</w:t>
      </w:r>
      <w:r>
        <w:rPr>
          <w:snapToGrid w:val="0"/>
        </w:rP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34 amended by No. 14 of 1996 s.4; No. 23 of 1996 s.37.] </w:t>
      </w:r>
    </w:p>
    <w:p>
      <w:pPr>
        <w:pStyle w:val="Heading5"/>
        <w:rPr>
          <w:snapToGrid w:val="0"/>
        </w:rPr>
      </w:pPr>
      <w:bookmarkStart w:id="124" w:name="_Toc417978303"/>
      <w:bookmarkStart w:id="125" w:name="_Toc44994526"/>
      <w:bookmarkStart w:id="126" w:name="_Toc122837406"/>
      <w:r>
        <w:rPr>
          <w:rStyle w:val="CharSectno"/>
        </w:rPr>
        <w:t>35</w:t>
      </w:r>
      <w:r>
        <w:rPr>
          <w:snapToGrid w:val="0"/>
        </w:rPr>
        <w:t>.</w:t>
      </w:r>
      <w:r>
        <w:rPr>
          <w:snapToGrid w:val="0"/>
        </w:rPr>
        <w:tab/>
        <w:t>Public submissions</w:t>
      </w:r>
      <w:bookmarkEnd w:id="124"/>
      <w:bookmarkEnd w:id="125"/>
      <w:bookmarkEnd w:id="126"/>
      <w:r>
        <w:rPr>
          <w:snapToGrid w:val="0"/>
        </w:rPr>
        <w:t xml:space="preserve"> </w:t>
      </w:r>
    </w:p>
    <w:p>
      <w:pPr>
        <w:pStyle w:val="Subsection"/>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that is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127" w:name="_Toc417978304"/>
      <w:bookmarkStart w:id="128" w:name="_Toc44994527"/>
      <w:bookmarkStart w:id="129" w:name="_Toc122837407"/>
      <w:r>
        <w:rPr>
          <w:rStyle w:val="CharSectno"/>
        </w:rPr>
        <w:t>36</w:t>
      </w:r>
      <w:r>
        <w:rPr>
          <w:snapToGrid w:val="0"/>
        </w:rPr>
        <w:t>.</w:t>
      </w:r>
      <w:r>
        <w:rPr>
          <w:snapToGrid w:val="0"/>
        </w:rPr>
        <w:tab/>
        <w:t>Approval by Minister</w:t>
      </w:r>
      <w:bookmarkEnd w:id="127"/>
      <w:bookmarkEnd w:id="128"/>
      <w:bookmarkEnd w:id="129"/>
      <w:r>
        <w:rPr>
          <w:snapToGrid w:val="0"/>
        </w:rPr>
        <w:t xml:space="preserve"> </w:t>
      </w:r>
    </w:p>
    <w:p>
      <w:pPr>
        <w:pStyle w:val="Subsection"/>
        <w:rPr>
          <w:snapToGrid w:val="0"/>
        </w:rPr>
      </w:pPr>
      <w:r>
        <w:rPr>
          <w:snapToGrid w:val="0"/>
        </w:rPr>
        <w:tab/>
        <w:t>(1)</w:t>
      </w:r>
      <w:r>
        <w:rPr>
          <w:snapToGrid w:val="0"/>
        </w:rPr>
        <w:tab/>
        <w:t>After sections 42 and 42A have been complied with, the Authority is to submit the proposed redevelopment scheme, with any modifications made under section 35(2), to the Minister for approval.</w:t>
      </w:r>
    </w:p>
    <w:p>
      <w:pPr>
        <w:pStyle w:val="Subsection"/>
        <w:rPr>
          <w:snapToGrid w:val="0"/>
        </w:rPr>
      </w:pPr>
      <w:r>
        <w:rPr>
          <w:snapToGrid w:val="0"/>
        </w:rPr>
        <w:tab/>
        <w:t>(2)</w:t>
      </w:r>
      <w:r>
        <w:rPr>
          <w:snapToGrid w:val="0"/>
        </w:rPr>
        <w:tab/>
        <w:t>The scheme as so submitted is to be accompanied by — </w:t>
      </w:r>
    </w:p>
    <w:p>
      <w:pPr>
        <w:pStyle w:val="Indenta"/>
        <w:rPr>
          <w:snapToGrid w:val="0"/>
        </w:rPr>
      </w:pPr>
      <w:r>
        <w:rPr>
          <w:snapToGrid w:val="0"/>
        </w:rPr>
        <w:tab/>
        <w:t>(a)</w:t>
      </w:r>
      <w:r>
        <w:rPr>
          <w:snapToGrid w:val="0"/>
        </w:rPr>
        <w:tab/>
        <w:t>a summary of all submissions made under section 35; and</w:t>
      </w:r>
    </w:p>
    <w:p>
      <w:pPr>
        <w:pStyle w:val="Indenta"/>
        <w:rPr>
          <w:snapToGrid w:val="0"/>
        </w:rPr>
      </w:pPr>
      <w:r>
        <w:rPr>
          <w:snapToGrid w:val="0"/>
        </w:rPr>
        <w:tab/>
        <w:t>(b)</w:t>
      </w:r>
      <w:r>
        <w:rPr>
          <w:snapToGrid w:val="0"/>
        </w:rPr>
        <w:tab/>
        <w:t>a report by the Authority on the merits of those submissions.</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being made to the scheme, as directed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is to give directions to the Authority as to the preparation of a further scheme to be submitted under section 33 or under subsection (1), as the Minister may specify.</w:t>
      </w:r>
    </w:p>
    <w:p>
      <w:pPr>
        <w:pStyle w:val="Subsection"/>
        <w:rPr>
          <w:snapToGrid w:val="0"/>
        </w:rPr>
      </w:pPr>
      <w:r>
        <w:rPr>
          <w:snapToGrid w:val="0"/>
        </w:rPr>
        <w:tab/>
        <w:t>(5)</w:t>
      </w:r>
      <w:r>
        <w:rPr>
          <w:snapToGrid w:val="0"/>
        </w:rPr>
        <w:tab/>
        <w:t>The Authority is to comply with any direction of the Minister under subsection (3) or (4).</w:t>
      </w:r>
    </w:p>
    <w:p>
      <w:pPr>
        <w:pStyle w:val="Subsection"/>
        <w:rPr>
          <w:snapToGrid w:val="0"/>
        </w:rPr>
      </w:pPr>
      <w:r>
        <w:rPr>
          <w:snapToGrid w:val="0"/>
        </w:rPr>
        <w:tab/>
        <w:t>(6)</w:t>
      </w:r>
      <w:r>
        <w:rPr>
          <w:snapToGrid w:val="0"/>
        </w:rPr>
        <w:tab/>
        <w:t>The text of any direction given under subsection (3) or (4)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 xml:space="preserve">[Section 36 amended by No. 23 of 1996 s.38.] </w:t>
      </w:r>
    </w:p>
    <w:p>
      <w:pPr>
        <w:pStyle w:val="Heading5"/>
        <w:rPr>
          <w:snapToGrid w:val="0"/>
        </w:rPr>
      </w:pPr>
      <w:bookmarkStart w:id="130" w:name="_Toc417978305"/>
      <w:bookmarkStart w:id="131" w:name="_Toc44994528"/>
      <w:bookmarkStart w:id="132" w:name="_Toc122837408"/>
      <w:r>
        <w:rPr>
          <w:rStyle w:val="CharSectno"/>
        </w:rPr>
        <w:t>37</w:t>
      </w:r>
      <w:r>
        <w:rPr>
          <w:snapToGrid w:val="0"/>
        </w:rPr>
        <w:t>.</w:t>
      </w:r>
      <w:r>
        <w:rPr>
          <w:snapToGrid w:val="0"/>
        </w:rPr>
        <w:tab/>
        <w:t>Notice of approval</w:t>
      </w:r>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36 is to be published by the Authority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any later day that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3"/>
        <w:rPr>
          <w:snapToGrid w:val="0"/>
        </w:rPr>
      </w:pPr>
      <w:bookmarkStart w:id="133" w:name="_Toc92771262"/>
      <w:bookmarkStart w:id="134" w:name="_Toc114631536"/>
      <w:bookmarkStart w:id="135" w:name="_Toc122837409"/>
      <w:r>
        <w:rPr>
          <w:rStyle w:val="CharDivNo"/>
        </w:rPr>
        <w:t>Division 3</w:t>
      </w:r>
      <w:r>
        <w:rPr>
          <w:snapToGrid w:val="0"/>
        </w:rPr>
        <w:t> — </w:t>
      </w:r>
      <w:r>
        <w:rPr>
          <w:rStyle w:val="CharDivText"/>
        </w:rPr>
        <w:t>Amendment of redevelopment scheme</w:t>
      </w:r>
      <w:bookmarkEnd w:id="133"/>
      <w:bookmarkEnd w:id="134"/>
      <w:bookmarkEnd w:id="135"/>
      <w:r>
        <w:rPr>
          <w:rStyle w:val="CharDivText"/>
        </w:rPr>
        <w:t xml:space="preserve"> </w:t>
      </w:r>
    </w:p>
    <w:p>
      <w:pPr>
        <w:pStyle w:val="Heading5"/>
        <w:rPr>
          <w:snapToGrid w:val="0"/>
        </w:rPr>
      </w:pPr>
      <w:bookmarkStart w:id="136" w:name="_Toc417978306"/>
      <w:bookmarkStart w:id="137" w:name="_Toc44994529"/>
      <w:bookmarkStart w:id="138" w:name="_Toc122837410"/>
      <w:r>
        <w:rPr>
          <w:rStyle w:val="CharSectno"/>
        </w:rPr>
        <w:t>38</w:t>
      </w:r>
      <w:r>
        <w:rPr>
          <w:snapToGrid w:val="0"/>
        </w:rPr>
        <w:t>.</w:t>
      </w:r>
      <w:r>
        <w:rPr>
          <w:snapToGrid w:val="0"/>
        </w:rPr>
        <w:tab/>
        <w:t>Amendment of redevelopment scheme</w:t>
      </w:r>
      <w:bookmarkEnd w:id="136"/>
      <w:bookmarkEnd w:id="137"/>
      <w:bookmarkEnd w:id="138"/>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is to submit any proposed amendment to the Minister.</w:t>
      </w:r>
    </w:p>
    <w:p>
      <w:pPr>
        <w:pStyle w:val="Subsection"/>
        <w:keepNext/>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33(3) and (4), 34 and 36, as if references in those sections to a, or the, proposed redevelopment scheme were references to the proposed amendment to the redevelopment scheme;</w:t>
      </w:r>
    </w:p>
    <w:p>
      <w:pPr>
        <w:pStyle w:val="Indenta"/>
        <w:rPr>
          <w:snapToGrid w:val="0"/>
        </w:rPr>
      </w:pPr>
      <w:r>
        <w:rPr>
          <w:snapToGrid w:val="0"/>
        </w:rPr>
        <w:tab/>
        <w:t>(b)</w:t>
      </w:r>
      <w:r>
        <w:rPr>
          <w:snapToGrid w:val="0"/>
        </w:rPr>
        <w:tab/>
        <w:t>section 33(5) and (6), as if, in section 33(5)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“is to give”;</w:t>
      </w:r>
    </w:p>
    <w:p>
      <w:pPr>
        <w:pStyle w:val="Indenta"/>
        <w:rPr>
          <w:snapToGrid w:val="0"/>
        </w:rPr>
      </w:pPr>
      <w:r>
        <w:rPr>
          <w:snapToGrid w:val="0"/>
        </w:rPr>
        <w:tab/>
        <w:t>(c)</w:t>
      </w:r>
      <w:r>
        <w:rPr>
          <w:snapToGrid w:val="0"/>
        </w:rPr>
        <w:tab/>
        <w:t>section 35,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subsection (1)(a),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37, as if references in that section to a redevelopment scheme were references to the amendment to a redevelopment scheme.</w:t>
      </w:r>
    </w:p>
    <w:p>
      <w:pPr>
        <w:pStyle w:val="Heading5"/>
        <w:rPr>
          <w:snapToGrid w:val="0"/>
        </w:rPr>
      </w:pPr>
      <w:bookmarkStart w:id="139" w:name="_Toc417978307"/>
      <w:bookmarkStart w:id="140" w:name="_Toc44994530"/>
      <w:bookmarkStart w:id="141" w:name="_Toc122837411"/>
      <w:r>
        <w:rPr>
          <w:rStyle w:val="CharSectno"/>
        </w:rPr>
        <w:t>39</w:t>
      </w:r>
      <w:r>
        <w:rPr>
          <w:snapToGrid w:val="0"/>
        </w:rPr>
        <w:t>.</w:t>
      </w:r>
      <w:r>
        <w:rPr>
          <w:snapToGrid w:val="0"/>
        </w:rPr>
        <w:tab/>
        <w:t>Saving</w:t>
      </w:r>
      <w:bookmarkEnd w:id="139"/>
      <w:bookmarkEnd w:id="140"/>
      <w:bookmarkEnd w:id="141"/>
      <w:r>
        <w:rPr>
          <w:snapToGrid w:val="0"/>
        </w:rPr>
        <w:t xml:space="preserve"> </w:t>
      </w:r>
    </w:p>
    <w:p>
      <w:pPr>
        <w:pStyle w:val="Subsection"/>
        <w:rPr>
          <w:snapToGrid w:val="0"/>
        </w:rPr>
      </w:pPr>
      <w:r>
        <w:rPr>
          <w:snapToGrid w:val="0"/>
        </w:rPr>
        <w:tab/>
      </w:r>
      <w:r>
        <w:rPr>
          <w:snapToGrid w:val="0"/>
        </w:rPr>
        <w:tab/>
        <w:t>A development in respect of which an approval under section 50 is in force immediately before an amendment to a redevelopment scheme comes into force under section 38 may be lawfully carried out as if the amendment had not been made.</w:t>
      </w:r>
    </w:p>
    <w:p>
      <w:pPr>
        <w:pStyle w:val="Heading3"/>
        <w:rPr>
          <w:snapToGrid w:val="0"/>
        </w:rPr>
      </w:pPr>
      <w:bookmarkStart w:id="142" w:name="_Toc92771265"/>
      <w:bookmarkStart w:id="143" w:name="_Toc114631539"/>
      <w:bookmarkStart w:id="144" w:name="_Toc122837412"/>
      <w:r>
        <w:rPr>
          <w:rStyle w:val="CharDivNo"/>
        </w:rPr>
        <w:t>Division 4</w:t>
      </w:r>
      <w:r>
        <w:rPr>
          <w:snapToGrid w:val="0"/>
        </w:rPr>
        <w:t> — </w:t>
      </w:r>
      <w:r>
        <w:rPr>
          <w:rStyle w:val="CharDivText"/>
        </w:rPr>
        <w:t>Role of Environmental Protection Authority in respect of redevelopment schemes, etc.</w:t>
      </w:r>
      <w:bookmarkEnd w:id="142"/>
      <w:bookmarkEnd w:id="143"/>
      <w:bookmarkEnd w:id="144"/>
      <w:r>
        <w:rPr>
          <w:rStyle w:val="CharDivText"/>
        </w:rPr>
        <w:t xml:space="preserve"> </w:t>
      </w:r>
    </w:p>
    <w:p>
      <w:pPr>
        <w:pStyle w:val="Heading5"/>
        <w:rPr>
          <w:snapToGrid w:val="0"/>
        </w:rPr>
      </w:pPr>
      <w:bookmarkStart w:id="145" w:name="_Toc417978308"/>
      <w:bookmarkStart w:id="146" w:name="_Toc44994531"/>
      <w:bookmarkStart w:id="147" w:name="_Toc122837413"/>
      <w:r>
        <w:rPr>
          <w:rStyle w:val="CharSectno"/>
        </w:rPr>
        <w:t>40</w:t>
      </w:r>
      <w:r>
        <w:rPr>
          <w:snapToGrid w:val="0"/>
        </w:rPr>
        <w:t>.</w:t>
      </w:r>
      <w:r>
        <w:rPr>
          <w:snapToGrid w:val="0"/>
        </w:rPr>
        <w:tab/>
        <w:t>Reference of proposed redevelopment schemes, and proposed amendments to redevelopment schemes, to Environmental Protection Authority</w:t>
      </w:r>
      <w:bookmarkEnd w:id="145"/>
      <w:bookmarkEnd w:id="146"/>
      <w:bookmarkEnd w:id="147"/>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[Section 40 inserted by No. 23 of 1996</w:t>
      </w:r>
      <w:r>
        <w:rPr>
          <w:i w:val="0"/>
        </w:rPr>
        <w:t xml:space="preserve"> </w:t>
      </w:r>
      <w:r>
        <w:rPr>
          <w:i w:val="0"/>
          <w:vertAlign w:val="superscript"/>
        </w:rPr>
        <w:t>4</w:t>
      </w:r>
      <w:r>
        <w:t xml:space="preserve"> s.39.] </w:t>
      </w:r>
    </w:p>
    <w:p>
      <w:pPr>
        <w:pStyle w:val="Heading5"/>
        <w:rPr>
          <w:snapToGrid w:val="0"/>
        </w:rPr>
      </w:pPr>
      <w:bookmarkStart w:id="148" w:name="_Toc417978309"/>
      <w:bookmarkStart w:id="149" w:name="_Toc44994532"/>
      <w:bookmarkStart w:id="150" w:name="_Toc122837414"/>
      <w:r>
        <w:rPr>
          <w:rStyle w:val="CharSectno"/>
        </w:rPr>
        <w:t>41</w:t>
      </w:r>
      <w:r>
        <w:rPr>
          <w:snapToGrid w:val="0"/>
        </w:rPr>
        <w:t>.</w:t>
      </w:r>
      <w:r>
        <w:rPr>
          <w:snapToGrid w:val="0"/>
        </w:rPr>
        <w:tab/>
        <w:t>Prerequisite to submission of proposed redevelopment schemes, and proposed amendments to redevelopment schemes, to Minister for approval before public notification</w:t>
      </w:r>
      <w:bookmarkEnd w:id="148"/>
      <w:bookmarkEnd w:id="149"/>
      <w:bookmarkEnd w:id="150"/>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consent to public notification under section 33, or section 38 as read with section 33,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that review has been undertaken in accordance with those instructions.</w:t>
      </w:r>
    </w:p>
    <w:p>
      <w:pPr>
        <w:pStyle w:val="Subsection"/>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is to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[Section 41 inserted by No. 23 of 1996</w:t>
      </w:r>
      <w:r>
        <w:rPr>
          <w:i w:val="0"/>
        </w:rPr>
        <w:t xml:space="preserve"> </w:t>
      </w:r>
      <w:r>
        <w:rPr>
          <w:i w:val="0"/>
          <w:vertAlign w:val="superscript"/>
        </w:rPr>
        <w:t>4</w:t>
      </w:r>
      <w:r>
        <w:t xml:space="preserve"> s.39.] </w:t>
      </w:r>
    </w:p>
    <w:p>
      <w:pPr>
        <w:pStyle w:val="Heading5"/>
        <w:rPr>
          <w:snapToGrid w:val="0"/>
        </w:rPr>
      </w:pPr>
      <w:bookmarkStart w:id="151" w:name="_Toc417978310"/>
      <w:bookmarkStart w:id="152" w:name="_Toc44994533"/>
      <w:bookmarkStart w:id="153" w:name="_Toc122837415"/>
      <w:r>
        <w:rPr>
          <w:rStyle w:val="CharSectno"/>
        </w:rPr>
        <w:t>42</w:t>
      </w:r>
      <w:r>
        <w:rPr>
          <w:snapToGrid w:val="0"/>
        </w:rPr>
        <w:t>.</w:t>
      </w:r>
      <w:r>
        <w:rPr>
          <w:snapToGrid w:val="0"/>
        </w:rPr>
        <w:tab/>
        <w:t>Role of Authority in relation to environmental submissions</w:t>
      </w:r>
      <w:bookmarkEnd w:id="151"/>
      <w:bookmarkEnd w:id="152"/>
      <w:bookmarkEnd w:id="153"/>
      <w:r>
        <w:rPr>
          <w:snapToGrid w:val="0"/>
        </w:rPr>
        <w:t xml:space="preserve"> </w:t>
      </w:r>
    </w:p>
    <w:p>
      <w:pPr>
        <w:pStyle w:val="Subsection"/>
        <w:keepNext/>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35(1)(a), or section 38 as read with section 35(1)(a), as the case requires, transmit to the EPA a copy of each submission — </w:t>
      </w:r>
    </w:p>
    <w:p>
      <w:pPr>
        <w:pStyle w:val="Indenti"/>
        <w:rPr>
          <w:snapToGrid w:val="0"/>
        </w:rPr>
      </w:pPr>
      <w:r>
        <w:rPr>
          <w:snapToGrid w:val="0"/>
        </w:rPr>
        <w:tab/>
        <w:t>(i)</w:t>
      </w:r>
      <w:r>
        <w:rPr>
          <w:snapToGrid w:val="0"/>
        </w:rPr>
        <w:tab/>
        <w:t>made under section 35, or under section 38 as read with section 35,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35(1)(a), or section 38 as read with section 35(1)(a), as the case requires, inform the EPA of its views on and response to the environmental issues raised by submissions referred to in paragraph (a) and received within that period.</w:t>
      </w:r>
    </w:p>
    <w:p>
      <w:pPr>
        <w:pStyle w:val="Footnotesection"/>
      </w:pPr>
      <w:r>
        <w:tab/>
        <w:t xml:space="preserve">[Section 42 inserted by No. 23 of 1996 </w:t>
      </w:r>
      <w:r>
        <w:rPr>
          <w:i w:val="0"/>
          <w:vertAlign w:val="superscript"/>
        </w:rPr>
        <w:t>4</w:t>
      </w:r>
      <w:r>
        <w:t xml:space="preserve"> s.39.] </w:t>
      </w:r>
    </w:p>
    <w:p>
      <w:pPr>
        <w:pStyle w:val="Heading5"/>
        <w:rPr>
          <w:snapToGrid w:val="0"/>
        </w:rPr>
      </w:pPr>
      <w:bookmarkStart w:id="154" w:name="_Toc417978311"/>
      <w:bookmarkStart w:id="155" w:name="_Toc44994534"/>
      <w:bookmarkStart w:id="156" w:name="_Toc122837416"/>
      <w:r>
        <w:rPr>
          <w:rStyle w:val="CharSectno"/>
        </w:rPr>
        <w:t>42A</w:t>
      </w:r>
      <w:r>
        <w:rPr>
          <w:snapToGrid w:val="0"/>
        </w:rPr>
        <w:t>.</w:t>
      </w:r>
      <w:r>
        <w:rPr>
          <w:snapToGrid w:val="0"/>
        </w:rPr>
        <w:tab/>
        <w:t>Prerequisite to final approval by Minister of proposed redevelopment schemes and proposed amendments to redevelopment schemes</w:t>
      </w:r>
      <w:bookmarkEnd w:id="154"/>
      <w:bookmarkEnd w:id="155"/>
      <w:bookmarkEnd w:id="156"/>
      <w:r>
        <w:rPr>
          <w:snapToGrid w:val="0"/>
        </w:rPr>
        <w:t xml:space="preserve"> </w:t>
      </w:r>
    </w:p>
    <w:p>
      <w:pPr>
        <w:pStyle w:val="Subsection"/>
        <w:rPr>
          <w:snapToGrid w:val="0"/>
        </w:rPr>
      </w:pPr>
      <w:r>
        <w:rPr>
          <w:snapToGrid w:val="0"/>
        </w:rPr>
        <w:tab/>
      </w:r>
      <w:r>
        <w:rPr>
          <w:snapToGrid w:val="0"/>
        </w:rPr>
        <w:tab/>
        <w:t>The Minister shall not approve under section 36, or section 38 as read with section 36, a proposed redevelopment scheme or amendment referred to the EPA under section 40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[Section 42A inserted by No. 23 of 1996</w:t>
      </w:r>
      <w:r>
        <w:rPr>
          <w:vertAlign w:val="superscript"/>
        </w:rPr>
        <w:t xml:space="preserve"> 4</w:t>
      </w:r>
      <w:r>
        <w:t xml:space="preserve"> s.39.] </w:t>
      </w:r>
    </w:p>
    <w:p>
      <w:pPr>
        <w:pStyle w:val="Heading2"/>
      </w:pPr>
      <w:bookmarkStart w:id="157" w:name="_Toc92771270"/>
      <w:bookmarkStart w:id="158" w:name="_Toc114631544"/>
      <w:bookmarkStart w:id="159" w:name="_Toc122837417"/>
      <w:r>
        <w:rPr>
          <w:rStyle w:val="CharPartNo"/>
        </w:rPr>
        <w:t>Part 5</w:t>
      </w:r>
      <w:r>
        <w:rPr>
          <w:rStyle w:val="CharDivNo"/>
        </w:rPr>
        <w:t> </w:t>
      </w:r>
      <w:r>
        <w:t>—</w:t>
      </w:r>
      <w:r>
        <w:rPr>
          <w:rStyle w:val="CharDivText"/>
        </w:rPr>
        <w:t> </w:t>
      </w:r>
      <w:r>
        <w:rPr>
          <w:rStyle w:val="CharPartText"/>
        </w:rPr>
        <w:t>Development control</w:t>
      </w:r>
      <w:bookmarkEnd w:id="157"/>
      <w:bookmarkEnd w:id="158"/>
      <w:bookmarkEnd w:id="159"/>
      <w:r>
        <w:rPr>
          <w:rStyle w:val="CharPartText"/>
        </w:rPr>
        <w:t xml:space="preserve"> </w:t>
      </w:r>
    </w:p>
    <w:p>
      <w:pPr>
        <w:pStyle w:val="Heading5"/>
        <w:rPr>
          <w:snapToGrid w:val="0"/>
        </w:rPr>
      </w:pPr>
      <w:bookmarkStart w:id="160" w:name="_Toc417978312"/>
      <w:bookmarkStart w:id="161" w:name="_Toc44994535"/>
      <w:bookmarkStart w:id="162" w:name="_Toc122837418"/>
      <w:r>
        <w:rPr>
          <w:rStyle w:val="CharSectno"/>
        </w:rPr>
        <w:t>43</w:t>
      </w:r>
      <w:r>
        <w:rPr>
          <w:snapToGrid w:val="0"/>
        </w:rPr>
        <w:t>.</w:t>
      </w:r>
      <w:r>
        <w:rPr>
          <w:snapToGrid w:val="0"/>
        </w:rPr>
        <w:tab/>
        <w:t>Definition</w:t>
      </w:r>
      <w:bookmarkEnd w:id="160"/>
      <w:bookmarkEnd w:id="161"/>
      <w:bookmarkEnd w:id="162"/>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37(2).</w:t>
      </w:r>
    </w:p>
    <w:p>
      <w:pPr>
        <w:pStyle w:val="Heading5"/>
        <w:rPr>
          <w:snapToGrid w:val="0"/>
        </w:rPr>
      </w:pPr>
      <w:bookmarkStart w:id="163" w:name="_Toc417978313"/>
      <w:bookmarkStart w:id="164" w:name="_Toc44994536"/>
      <w:bookmarkStart w:id="165" w:name="_Toc122837419"/>
      <w:r>
        <w:rPr>
          <w:rStyle w:val="CharSectno"/>
        </w:rPr>
        <w:t>44</w:t>
      </w:r>
      <w:r>
        <w:rPr>
          <w:snapToGrid w:val="0"/>
        </w:rPr>
        <w:t>.</w:t>
      </w:r>
      <w:r>
        <w:rPr>
          <w:snapToGrid w:val="0"/>
        </w:rPr>
        <w:tab/>
        <w:t>Crown bound</w:t>
      </w:r>
      <w:bookmarkEnd w:id="163"/>
      <w:bookmarkEnd w:id="164"/>
      <w:bookmarkEnd w:id="165"/>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166" w:name="_Toc417978314"/>
      <w:bookmarkStart w:id="167" w:name="_Toc44994537"/>
      <w:bookmarkStart w:id="168" w:name="_Toc122837420"/>
      <w:r>
        <w:rPr>
          <w:rStyle w:val="CharSectno"/>
        </w:rPr>
        <w:t>45</w:t>
      </w:r>
      <w:r>
        <w:rPr>
          <w:snapToGrid w:val="0"/>
        </w:rPr>
        <w:t>.</w:t>
      </w:r>
      <w:r>
        <w:rPr>
          <w:snapToGrid w:val="0"/>
        </w:rPr>
        <w:tab/>
        <w:t>Certain planning schemes cease to apply</w:t>
      </w:r>
      <w:bookmarkEnd w:id="166"/>
      <w:bookmarkEnd w:id="167"/>
      <w:bookmarkEnd w:id="168"/>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commences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any town planning scheme under the Town Planning Act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Heading5"/>
        <w:rPr>
          <w:snapToGrid w:val="0"/>
        </w:rPr>
      </w:pPr>
      <w:bookmarkStart w:id="169" w:name="_Toc417978315"/>
      <w:bookmarkStart w:id="170" w:name="_Toc44994538"/>
      <w:bookmarkStart w:id="171" w:name="_Toc122837421"/>
      <w:r>
        <w:rPr>
          <w:rStyle w:val="CharSectno"/>
        </w:rPr>
        <w:t>46</w:t>
      </w:r>
      <w:r>
        <w:rPr>
          <w:snapToGrid w:val="0"/>
        </w:rPr>
        <w:t>.</w:t>
      </w:r>
      <w:r>
        <w:rPr>
          <w:snapToGrid w:val="0"/>
        </w:rPr>
        <w:tab/>
        <w:t>Saving</w:t>
      </w:r>
      <w:bookmarkEnd w:id="169"/>
      <w:bookmarkEnd w:id="170"/>
      <w:bookmarkEnd w:id="171"/>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45(3)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is to be governed by those schemes despite section 45(1).</w:t>
      </w:r>
    </w:p>
    <w:p>
      <w:pPr>
        <w:pStyle w:val="Heading5"/>
        <w:rPr>
          <w:snapToGrid w:val="0"/>
        </w:rPr>
      </w:pPr>
      <w:bookmarkStart w:id="172" w:name="_Toc417978316"/>
      <w:bookmarkStart w:id="173" w:name="_Toc44994539"/>
      <w:bookmarkStart w:id="174" w:name="_Toc122837422"/>
      <w:r>
        <w:rPr>
          <w:rStyle w:val="CharSectno"/>
        </w:rPr>
        <w:t>47</w:t>
      </w:r>
      <w:r>
        <w:rPr>
          <w:snapToGrid w:val="0"/>
        </w:rPr>
        <w:t>.</w:t>
      </w:r>
      <w:r>
        <w:rPr>
          <w:snapToGrid w:val="0"/>
        </w:rPr>
        <w:tab/>
        <w:t>Development to be approved</w:t>
      </w:r>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Heading5"/>
        <w:rPr>
          <w:snapToGrid w:val="0"/>
        </w:rPr>
      </w:pPr>
      <w:bookmarkStart w:id="175" w:name="_Toc417978317"/>
      <w:bookmarkStart w:id="176" w:name="_Toc44994540"/>
      <w:bookmarkStart w:id="177" w:name="_Toc122837423"/>
      <w:r>
        <w:rPr>
          <w:rStyle w:val="CharSectno"/>
        </w:rPr>
        <w:t>48</w:t>
      </w:r>
      <w:r>
        <w:rPr>
          <w:snapToGrid w:val="0"/>
        </w:rPr>
        <w:t>.</w:t>
      </w:r>
      <w:r>
        <w:rPr>
          <w:snapToGrid w:val="0"/>
        </w:rPr>
        <w:tab/>
        <w:t>Applications for approval</w:t>
      </w:r>
      <w:bookmarkEnd w:id="175"/>
      <w:bookmarkEnd w:id="176"/>
      <w:bookmarkEnd w:id="177"/>
      <w:r>
        <w:rPr>
          <w:snapToGrid w:val="0"/>
        </w:rPr>
        <w:t xml:space="preserve"> </w:t>
      </w:r>
    </w:p>
    <w:p>
      <w:pPr>
        <w:pStyle w:val="Subsection"/>
        <w:spacing w:before="120"/>
        <w:rPr>
          <w:snapToGrid w:val="0"/>
        </w:rPr>
      </w:pPr>
      <w:r>
        <w:rPr>
          <w:snapToGrid w:val="0"/>
        </w:rPr>
        <w:tab/>
        <w:t>(1)</w:t>
      </w:r>
      <w:r>
        <w:rPr>
          <w:snapToGrid w:val="0"/>
        </w:rPr>
        <w:tab/>
        <w:t>An application for approval under section 47 is to be made to the Authority in the prescribed form with the prescribed fee.</w:t>
      </w:r>
    </w:p>
    <w:p>
      <w:pPr>
        <w:pStyle w:val="Subsection"/>
        <w:spacing w:before="120"/>
        <w:rPr>
          <w:snapToGrid w:val="0"/>
        </w:rPr>
      </w:pPr>
      <w:r>
        <w:rPr>
          <w:snapToGrid w:val="0"/>
        </w:rPr>
        <w:tab/>
        <w:t>(2)</w:t>
      </w:r>
      <w:r>
        <w:rPr>
          <w:snapToGrid w:val="0"/>
        </w:rP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rPr>
          <w:snapToGrid w:val="0"/>
        </w:rPr>
      </w:pPr>
      <w:bookmarkStart w:id="178" w:name="_Toc417978318"/>
      <w:bookmarkStart w:id="179" w:name="_Toc44994541"/>
      <w:bookmarkStart w:id="180" w:name="_Toc122837424"/>
      <w:r>
        <w:rPr>
          <w:rStyle w:val="CharSectno"/>
        </w:rPr>
        <w:t>49</w:t>
      </w:r>
      <w:r>
        <w:rPr>
          <w:snapToGrid w:val="0"/>
        </w:rPr>
        <w:t>.</w:t>
      </w:r>
      <w:r>
        <w:rPr>
          <w:snapToGrid w:val="0"/>
        </w:rPr>
        <w:tab/>
        <w:t>Consultation with other authorities</w:t>
      </w:r>
      <w:bookmarkEnd w:id="178"/>
      <w:bookmarkEnd w:id="179"/>
      <w:bookmarkEnd w:id="180"/>
      <w:r>
        <w:rPr>
          <w:snapToGrid w:val="0"/>
        </w:rPr>
        <w:t xml:space="preserve"> </w:t>
      </w:r>
    </w:p>
    <w:p>
      <w:pPr>
        <w:pStyle w:val="Subsection"/>
        <w:spacing w:before="120"/>
        <w:rPr>
          <w:snapToGrid w:val="0"/>
        </w:rPr>
      </w:pPr>
      <w:r>
        <w:rPr>
          <w:snapToGrid w:val="0"/>
        </w:rPr>
        <w:tab/>
        <w:t>(1)</w:t>
      </w:r>
      <w:r>
        <w:rPr>
          <w:snapToGrid w:val="0"/>
        </w:rPr>
        <w:tab/>
        <w:t>The Authority is to refer, by notice in writing, particulars of the proposed development — </w:t>
      </w:r>
    </w:p>
    <w:p>
      <w:pPr>
        <w:pStyle w:val="Indenta"/>
        <w:rPr>
          <w:snapToGrid w:val="0"/>
        </w:rPr>
      </w:pPr>
      <w:r>
        <w:rPr>
          <w:snapToGrid w:val="0"/>
        </w:rPr>
        <w:tab/>
        <w:t>(a)</w:t>
      </w:r>
      <w:r>
        <w:rPr>
          <w:snapToGrid w:val="0"/>
        </w:rPr>
        <w:tab/>
        <w:t>to 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Subiaco and the Town of Cambridge.</w:t>
      </w:r>
    </w:p>
    <w:p>
      <w:pPr>
        <w:pStyle w:val="Subsection"/>
        <w:spacing w:before="120"/>
        <w:rPr>
          <w:snapToGrid w:val="0"/>
        </w:rPr>
      </w:pPr>
      <w:r>
        <w:rPr>
          <w:snapToGrid w:val="0"/>
        </w:rPr>
        <w:tab/>
        <w:t>(2)</w:t>
      </w:r>
      <w:r>
        <w:rPr>
          <w:snapToGrid w:val="0"/>
        </w:rPr>
        <w:tab/>
        <w:t>The City of Subiaco and the Town of Cambridge and a public authority to which particulars are referred under subsection (1) may make submissions on the proposed development to the Authority.</w:t>
      </w:r>
    </w:p>
    <w:p>
      <w:pPr>
        <w:pStyle w:val="Subsection"/>
        <w:spacing w:before="120"/>
        <w:rPr>
          <w:snapToGrid w:val="0"/>
        </w:rPr>
      </w:pPr>
      <w:r>
        <w:rPr>
          <w:snapToGrid w:val="0"/>
        </w:rPr>
        <w:tab/>
        <w:t>(3)</w:t>
      </w:r>
      <w:r>
        <w:rPr>
          <w:snapToGrid w:val="0"/>
        </w:rPr>
        <w:tab/>
        <w:t>The Authority is not to make a decision under section 50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spacing w:before="120"/>
        <w:rPr>
          <w:snapToGrid w:val="0"/>
        </w:rPr>
      </w:pPr>
      <w:r>
        <w:rPr>
          <w:snapToGrid w:val="0"/>
        </w:rPr>
        <w:tab/>
      </w:r>
      <w:r>
        <w:rPr>
          <w:snapToGrid w:val="0"/>
        </w:rPr>
        <w:tab/>
        <w:t>whichever is the sooner.</w:t>
      </w:r>
    </w:p>
    <w:p>
      <w:pPr>
        <w:pStyle w:val="Footnotesection"/>
      </w:pPr>
      <w:r>
        <w:tab/>
        <w:t xml:space="preserve">[Section 49 amended by No. 14 of 1996 s.4.] </w:t>
      </w:r>
    </w:p>
    <w:p>
      <w:pPr>
        <w:pStyle w:val="Heading5"/>
        <w:rPr>
          <w:snapToGrid w:val="0"/>
        </w:rPr>
      </w:pPr>
      <w:bookmarkStart w:id="181" w:name="_Toc417978319"/>
      <w:bookmarkStart w:id="182" w:name="_Toc44994542"/>
      <w:bookmarkStart w:id="183" w:name="_Toc122837425"/>
      <w:r>
        <w:rPr>
          <w:rStyle w:val="CharSectno"/>
        </w:rPr>
        <w:t>50</w:t>
      </w:r>
      <w:r>
        <w:rPr>
          <w:snapToGrid w:val="0"/>
        </w:rPr>
        <w:t>.</w:t>
      </w:r>
      <w:r>
        <w:rPr>
          <w:snapToGrid w:val="0"/>
        </w:rPr>
        <w:tab/>
        <w:t>Authority’s decision</w:t>
      </w:r>
      <w:bookmarkEnd w:id="181"/>
      <w:bookmarkEnd w:id="182"/>
      <w:bookmarkEnd w:id="183"/>
      <w:r>
        <w:rPr>
          <w:snapToGrid w:val="0"/>
        </w:rPr>
        <w:t xml:space="preserve"> </w:t>
      </w:r>
    </w:p>
    <w:p>
      <w:pPr>
        <w:pStyle w:val="Subsection"/>
        <w:spacing w:before="120"/>
        <w:rPr>
          <w:snapToGrid w:val="0"/>
        </w:rPr>
      </w:pPr>
      <w:r>
        <w:rPr>
          <w:snapToGrid w:val="0"/>
        </w:rPr>
        <w:tab/>
        <w:t>(1)</w:t>
      </w:r>
      <w:r>
        <w:rPr>
          <w:snapToGrid w:val="0"/>
        </w:rPr>
        <w:tab/>
        <w:t>The Authority may grant or refuse to grant approval of the proposed development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49;</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spacing w:before="120"/>
        <w:rPr>
          <w:snapToGrid w:val="0"/>
        </w:rPr>
      </w:pPr>
      <w:r>
        <w:rPr>
          <w:snapToGrid w:val="0"/>
        </w:rPr>
        <w:tab/>
        <w:t>(2)</w:t>
      </w:r>
      <w:r>
        <w:rPr>
          <w:snapToGrid w:val="0"/>
        </w:rPr>
        <w:tab/>
        <w:t>The Authority may attach to an approval any condition that is within the objects of this Act.</w:t>
      </w:r>
    </w:p>
    <w:p>
      <w:pPr>
        <w:pStyle w:val="Subsection"/>
        <w:spacing w:before="120"/>
        <w:rPr>
          <w:snapToGrid w:val="0"/>
        </w:rPr>
      </w:pPr>
      <w:r>
        <w:rPr>
          <w:snapToGrid w:val="0"/>
        </w:rPr>
        <w:tab/>
        <w:t>(3)</w:t>
      </w:r>
      <w:r>
        <w:rPr>
          <w:snapToGrid w:val="0"/>
        </w:rPr>
        <w:tab/>
        <w:t>The Authority may limit the time for which an approval remains in force.</w:t>
      </w:r>
    </w:p>
    <w:p>
      <w:pPr>
        <w:pStyle w:val="Subsection"/>
        <w:spacing w:before="120"/>
        <w:rPr>
          <w:snapToGrid w:val="0"/>
        </w:rPr>
      </w:pPr>
      <w:r>
        <w:rPr>
          <w:snapToGrid w:val="0"/>
        </w:rPr>
        <w:tab/>
        <w:t>(4)</w:t>
      </w:r>
      <w:r>
        <w:rPr>
          <w:snapToGrid w:val="0"/>
        </w:rPr>
        <w:tab/>
        <w:t>An approval under this section is in addition to, and does not derogate from, the requirements of any other written law.</w:t>
      </w:r>
    </w:p>
    <w:p>
      <w:pPr>
        <w:pStyle w:val="Subsection"/>
        <w:spacing w:before="120"/>
        <w:rPr>
          <w:snapToGrid w:val="0"/>
        </w:rPr>
      </w:pPr>
      <w:r>
        <w:rPr>
          <w:snapToGrid w:val="0"/>
        </w:rPr>
        <w:tab/>
        <w:t>(5)</w:t>
      </w:r>
      <w:r>
        <w:rPr>
          <w:snapToGrid w:val="0"/>
        </w:rPr>
        <w:tab/>
        <w:t>The Authority is to cause notice in writing of its decision to be given to the applicant, the City of Subiaco and the Town of Cambridge and each public authority to which notice was given under section 49(1)(a).</w:t>
      </w:r>
    </w:p>
    <w:p>
      <w:pPr>
        <w:pStyle w:val="Footnotesection"/>
      </w:pPr>
      <w:r>
        <w:tab/>
        <w:t xml:space="preserve">[Section 50 amended by No. 14 of 1996 s.4.] </w:t>
      </w:r>
    </w:p>
    <w:p>
      <w:pPr>
        <w:pStyle w:val="Heading5"/>
        <w:spacing w:before="180"/>
        <w:rPr>
          <w:snapToGrid w:val="0"/>
        </w:rPr>
      </w:pPr>
      <w:bookmarkStart w:id="184" w:name="_Toc417978320"/>
      <w:bookmarkStart w:id="185" w:name="_Toc44994543"/>
      <w:bookmarkStart w:id="186" w:name="_Toc122837426"/>
      <w:r>
        <w:rPr>
          <w:rStyle w:val="CharSectno"/>
        </w:rPr>
        <w:t>51</w:t>
      </w:r>
      <w:r>
        <w:rPr>
          <w:snapToGrid w:val="0"/>
        </w:rPr>
        <w:t>.</w:t>
      </w:r>
      <w:r>
        <w:rPr>
          <w:snapToGrid w:val="0"/>
        </w:rPr>
        <w:tab/>
        <w:t>Referral of certain applications to Minister</w:t>
      </w:r>
      <w:bookmarkEnd w:id="184"/>
      <w:bookmarkEnd w:id="185"/>
      <w:bookmarkEnd w:id="186"/>
      <w:r>
        <w:rPr>
          <w:snapToGrid w:val="0"/>
        </w:rPr>
        <w:t xml:space="preserve"> </w:t>
      </w:r>
    </w:p>
    <w:p>
      <w:pPr>
        <w:pStyle w:val="Subsection"/>
        <w:spacing w:before="120"/>
        <w:rPr>
          <w:snapToGrid w:val="0"/>
        </w:rPr>
      </w:pPr>
      <w:r>
        <w:rPr>
          <w:snapToGrid w:val="0"/>
        </w:rPr>
        <w:tab/>
        <w:t>(1)</w:t>
      </w:r>
      <w:r>
        <w:rPr>
          <w:snapToGrid w:val="0"/>
        </w:rPr>
        <w:tab/>
        <w:t>If the Authority is the applicant, or has a financial interest in the subject</w:t>
      </w:r>
      <w:r>
        <w:rPr>
          <w:snapToGrid w:val="0"/>
        </w:rPr>
        <w:noBreakHyphen/>
        <w:t>matter of an application by reason of its participation in a business arrangement, within the meaning in section 21(8), the Authority is to consider the application in accordance with section 50(1) and refer the application and all relevant information to the Minister with a recommendation as to the decision to be made.</w:t>
      </w:r>
    </w:p>
    <w:p>
      <w:pPr>
        <w:pStyle w:val="Subsection"/>
        <w:spacing w:before="120"/>
        <w:rPr>
          <w:snapToGrid w:val="0"/>
          <w:spacing w:val="-4"/>
        </w:rPr>
      </w:pPr>
      <w:r>
        <w:rPr>
          <w:snapToGrid w:val="0"/>
          <w:spacing w:val="-4"/>
        </w:rPr>
        <w:tab/>
        <w:t>(2)</w:t>
      </w:r>
      <w:r>
        <w:rPr>
          <w:snapToGrid w:val="0"/>
          <w:spacing w:val="-4"/>
        </w:rPr>
        <w:tab/>
        <w:t>If an application is referred to the Minister under subsection (1) — </w:t>
      </w:r>
    </w:p>
    <w:p>
      <w:pPr>
        <w:pStyle w:val="Indenta"/>
        <w:rPr>
          <w:snapToGrid w:val="0"/>
        </w:rPr>
      </w:pPr>
      <w:r>
        <w:rPr>
          <w:snapToGrid w:val="0"/>
        </w:rPr>
        <w:tab/>
        <w:t>(a)</w:t>
      </w:r>
      <w:r>
        <w:rPr>
          <w:snapToGrid w:val="0"/>
        </w:rPr>
        <w:tab/>
        <w:t>the Minister is to perform the functions of the Authority under section 50; and</w:t>
      </w:r>
    </w:p>
    <w:p>
      <w:pPr>
        <w:pStyle w:val="Indenta"/>
        <w:rPr>
          <w:snapToGrid w:val="0"/>
        </w:rPr>
      </w:pPr>
      <w:r>
        <w:rPr>
          <w:snapToGrid w:val="0"/>
        </w:rPr>
        <w:tab/>
        <w:t>(b)</w:t>
      </w:r>
      <w:r>
        <w:rPr>
          <w:snapToGrid w:val="0"/>
        </w:rPr>
        <w:tab/>
        <w:t>for the purpose of that section and sections 41(9), 42, 47 and 52, references to the Authority are to be read as references to the Minister.</w:t>
      </w:r>
    </w:p>
    <w:p>
      <w:pPr>
        <w:pStyle w:val="Heading5"/>
        <w:spacing w:before="180"/>
        <w:rPr>
          <w:snapToGrid w:val="0"/>
        </w:rPr>
      </w:pPr>
      <w:bookmarkStart w:id="187" w:name="_Toc417978321"/>
      <w:bookmarkStart w:id="188" w:name="_Toc44994544"/>
      <w:bookmarkStart w:id="189" w:name="_Toc122837427"/>
      <w:r>
        <w:rPr>
          <w:rStyle w:val="CharSectno"/>
        </w:rPr>
        <w:t>52</w:t>
      </w:r>
      <w:r>
        <w:rPr>
          <w:snapToGrid w:val="0"/>
        </w:rPr>
        <w:t>.</w:t>
      </w:r>
      <w:r>
        <w:rPr>
          <w:snapToGrid w:val="0"/>
        </w:rPr>
        <w:tab/>
        <w:t>Appeal</w:t>
      </w:r>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An applicant may apply to the State Administrative Tribunal for a review, in accordance with Part V of the Town Planning Act, of a decision of the Authority under section 50 in respect of the applicant’s application.</w:t>
      </w:r>
    </w:p>
    <w:p>
      <w:pPr>
        <w:pStyle w:val="Ednotesubsection"/>
        <w:ind w:left="0" w:firstLine="0"/>
      </w:pPr>
      <w:bookmarkStart w:id="190" w:name="_Toc417978322"/>
      <w:bookmarkStart w:id="191" w:name="_Toc44994545"/>
      <w:r>
        <w:tab/>
        <w:t>[(2)</w:t>
      </w:r>
      <w:r>
        <w:tab/>
        <w:t>repealed]</w:t>
      </w:r>
    </w:p>
    <w:p>
      <w:pPr>
        <w:pStyle w:val="Footnotesection"/>
      </w:pPr>
      <w:r>
        <w:tab/>
        <w:t xml:space="preserve">[Section 52 amended by No. 55 of 2003 s. 1160.] </w:t>
      </w:r>
    </w:p>
    <w:p>
      <w:pPr>
        <w:pStyle w:val="Heading5"/>
        <w:spacing w:before="180"/>
        <w:rPr>
          <w:snapToGrid w:val="0"/>
        </w:rPr>
      </w:pPr>
      <w:bookmarkStart w:id="192" w:name="_Toc122837428"/>
      <w:r>
        <w:rPr>
          <w:rStyle w:val="CharSectno"/>
        </w:rPr>
        <w:t>53</w:t>
      </w:r>
      <w:r>
        <w:rPr>
          <w:snapToGrid w:val="0"/>
        </w:rPr>
        <w:t>.</w:t>
      </w:r>
      <w:r>
        <w:rPr>
          <w:snapToGrid w:val="0"/>
        </w:rPr>
        <w:tab/>
        <w:t>Liability of officers for offence committed by body corporate</w:t>
      </w:r>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If a body corporate is guilty of an offence against section 47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spacing w:val="-4"/>
        </w:rPr>
      </w:pPr>
      <w:r>
        <w:rPr>
          <w:snapToGrid w:val="0"/>
          <w:spacing w:val="-4"/>
        </w:rPr>
        <w:tab/>
        <w:t>(b)</w:t>
      </w:r>
      <w:r>
        <w:rPr>
          <w:snapToGrid w:val="0"/>
          <w:spacing w:val="-4"/>
        </w:rP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spacing w:before="120"/>
        <w:rPr>
          <w:snapToGrid w:val="0"/>
        </w:rPr>
      </w:pPr>
      <w:r>
        <w:rPr>
          <w:snapToGrid w:val="0"/>
        </w:rPr>
        <w:tab/>
      </w:r>
      <w:r>
        <w:rPr>
          <w:snapToGrid w:val="0"/>
        </w:rPr>
        <w:tab/>
        <w:t>the officer commits the offence.</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in relation to a body corporate, means — </w:t>
      </w:r>
    </w:p>
    <w:p>
      <w:pPr>
        <w:pStyle w:val="Indenta"/>
        <w:rPr>
          <w:snapToGrid w:val="0"/>
        </w:rPr>
      </w:pPr>
      <w:r>
        <w:rPr>
          <w:snapToGrid w:val="0"/>
        </w:rPr>
        <w:tab/>
        <w:t>(a)</w:t>
      </w:r>
      <w:r>
        <w:rPr>
          <w:snapToGrid w:val="0"/>
        </w:rPr>
        <w:tab/>
        <w:t>a director, secretary or executive officer of the body corporate;</w:t>
      </w:r>
    </w:p>
    <w:p>
      <w:pPr>
        <w:pStyle w:val="Indenta"/>
        <w:rPr>
          <w:snapToGrid w:val="0"/>
        </w:rPr>
      </w:pPr>
      <w:r>
        <w:rPr>
          <w:snapToGrid w:val="0"/>
        </w:rPr>
        <w:tab/>
        <w:t>(b)</w:t>
      </w:r>
      <w:r>
        <w:rPr>
          <w:snapToGrid w:val="0"/>
        </w:rPr>
        <w:tab/>
        <w:t>a receiver, or receiver and manager, of property of the body corporate, or any other authorized person who enters into possession or assumes control of property of the body corporate for the purpose of enforcing any charge;</w:t>
      </w:r>
    </w:p>
    <w:p>
      <w:pPr>
        <w:pStyle w:val="Indenta"/>
        <w:rPr>
          <w:snapToGrid w:val="0"/>
        </w:rPr>
      </w:pPr>
      <w:r>
        <w:rPr>
          <w:snapToGrid w:val="0"/>
        </w:rPr>
        <w:tab/>
        <w:t>(c)</w:t>
      </w:r>
      <w:r>
        <w:rPr>
          <w:snapToGrid w:val="0"/>
        </w:rPr>
        <w:tab/>
        <w:t>an official manager or a deputy official manager of the body corporate;</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Heading5"/>
        <w:rPr>
          <w:snapToGrid w:val="0"/>
        </w:rPr>
      </w:pPr>
      <w:bookmarkStart w:id="193" w:name="_Toc417978323"/>
      <w:bookmarkStart w:id="194" w:name="_Toc44994546"/>
      <w:bookmarkStart w:id="195" w:name="_Toc122837429"/>
      <w:r>
        <w:rPr>
          <w:rStyle w:val="CharSectno"/>
        </w:rPr>
        <w:t>54</w:t>
      </w:r>
      <w:r>
        <w:rPr>
          <w:snapToGrid w:val="0"/>
        </w:rPr>
        <w:t>.</w:t>
      </w:r>
      <w:r>
        <w:rPr>
          <w:snapToGrid w:val="0"/>
        </w:rPr>
        <w:tab/>
        <w:t>Power to direct cessation or removal of unlawful development</w:t>
      </w:r>
      <w:bookmarkEnd w:id="193"/>
      <w:bookmarkEnd w:id="194"/>
      <w:bookmarkEnd w:id="195"/>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47, direct the person to stop doing so immediately;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 Part V of the Town Planning Act,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w:t>
      </w:r>
    </w:p>
    <w:p>
      <w:pPr>
        <w:pStyle w:val="Subsection"/>
        <w:rPr>
          <w:snapToGrid w:val="0"/>
        </w:rPr>
      </w:pPr>
      <w:r>
        <w:rPr>
          <w:snapToGrid w:val="0"/>
        </w:rPr>
        <w:tab/>
        <w:t>(4)</w:t>
      </w:r>
      <w:r>
        <w:rPr>
          <w:snapToGrid w:val="0"/>
        </w:rPr>
        <w:tab/>
        <w:t xml:space="preserve">If the </w:t>
      </w:r>
      <w:r>
        <w:t>State Administrative Tribunal confirms or varies the direction, it</w:t>
      </w:r>
      <w:r>
        <w:rPr>
          <w:snapToGrid w:val="0"/>
        </w:rPr>
        <w:t xml:space="preserve"> may, by notice in writing served on the person, direct the person to comply with the direction as so confirmed or varied, within a period not less than 21 days after the service of the notice, as is specified in the notice.</w:t>
      </w:r>
    </w:p>
    <w:p>
      <w:pPr>
        <w:pStyle w:val="Subsection"/>
        <w:rPr>
          <w:snapToGrid w:val="0"/>
        </w:rPr>
      </w:pPr>
      <w:r>
        <w:rPr>
          <w:snapToGrid w:val="0"/>
        </w:rPr>
        <w:tab/>
        <w:t>(5)</w:t>
      </w:r>
      <w:r>
        <w:rPr>
          <w:snapToGrid w:val="0"/>
        </w:rPr>
        <w:tab/>
        <w:t>A person must comply with a notice given to the person under this section.</w:t>
      </w:r>
    </w:p>
    <w:p>
      <w:pPr>
        <w:pStyle w:val="Penstart"/>
        <w:rPr>
          <w:snapToGrid w:val="0"/>
        </w:rPr>
      </w:pPr>
      <w:r>
        <w:rPr>
          <w:snapToGrid w:val="0"/>
        </w:rPr>
        <w:tab/>
        <w:t>Penalty: $50 000, and a daily penalty of $5 000.</w:t>
      </w:r>
    </w:p>
    <w:p>
      <w:pPr>
        <w:pStyle w:val="Subsection"/>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54 amended by No. 24 of 2002 s. 29; No. 55 of 2004 s. 1161.]</w:t>
      </w:r>
    </w:p>
    <w:p>
      <w:pPr>
        <w:pStyle w:val="Heading5"/>
        <w:rPr>
          <w:snapToGrid w:val="0"/>
        </w:rPr>
      </w:pPr>
      <w:bookmarkStart w:id="196" w:name="_Toc417978324"/>
      <w:bookmarkStart w:id="197" w:name="_Toc44994547"/>
      <w:bookmarkStart w:id="198" w:name="_Toc122837430"/>
      <w:r>
        <w:rPr>
          <w:rStyle w:val="CharSectno"/>
        </w:rPr>
        <w:t>54A</w:t>
      </w:r>
      <w:r>
        <w:rPr>
          <w:snapToGrid w:val="0"/>
        </w:rPr>
        <w:t>.</w:t>
      </w:r>
      <w:r>
        <w:rPr>
          <w:snapToGrid w:val="0"/>
        </w:rPr>
        <w:tab/>
        <w:t>Powers of Minister to ensure that environmental conditions are met</w:t>
      </w:r>
      <w:bookmarkEnd w:id="196"/>
      <w:bookmarkEnd w:id="197"/>
      <w:bookmarkEnd w:id="19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bookmarkStart w:id="199" w:name="endcomma"/>
      <w:bookmarkEnd w:id="199"/>
      <w:r>
        <w:rPr>
          <w:b/>
        </w:rPr>
        <w:t>”</w:t>
      </w:r>
      <w:r>
        <w:t xml:space="preserve"> </w:t>
      </w:r>
      <w:bookmarkStart w:id="200" w:name="comma"/>
      <w:bookmarkEnd w:id="200"/>
      <w:r>
        <w:t>means a condition agreed under section 48F of the EP Act or decided under section 48J of the EP Act.</w:t>
      </w:r>
    </w:p>
    <w:p>
      <w:pPr>
        <w:pStyle w:val="Subsection"/>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54A inserted by No. 23 of 1996 s.40; amended by No. 54 of 2003 s. 68(7).] </w:t>
      </w:r>
    </w:p>
    <w:p>
      <w:pPr>
        <w:pStyle w:val="Heading5"/>
        <w:rPr>
          <w:snapToGrid w:val="0"/>
        </w:rPr>
      </w:pPr>
      <w:bookmarkStart w:id="201" w:name="_Toc417978325"/>
      <w:bookmarkStart w:id="202" w:name="_Toc44994548"/>
      <w:bookmarkStart w:id="203" w:name="_Toc122837431"/>
      <w:r>
        <w:rPr>
          <w:rStyle w:val="CharSectno"/>
        </w:rPr>
        <w:t>55</w:t>
      </w:r>
      <w:r>
        <w:rPr>
          <w:snapToGrid w:val="0"/>
        </w:rPr>
        <w:t>.</w:t>
      </w:r>
      <w:r>
        <w:rPr>
          <w:snapToGrid w:val="0"/>
        </w:rPr>
        <w:tab/>
        <w:t>Compensation</w:t>
      </w:r>
      <w:bookmarkEnd w:id="201"/>
      <w:bookmarkEnd w:id="202"/>
      <w:bookmarkEnd w:id="203"/>
      <w:r>
        <w:rPr>
          <w:snapToGrid w:val="0"/>
        </w:rPr>
        <w:t xml:space="preserve"> </w:t>
      </w:r>
    </w:p>
    <w:p>
      <w:pPr>
        <w:pStyle w:val="Subsection"/>
        <w:rPr>
          <w:snapToGrid w:val="0"/>
        </w:rPr>
      </w:pPr>
      <w:r>
        <w:rPr>
          <w:snapToGrid w:val="0"/>
        </w:rPr>
        <w:tab/>
        <w:t>(1)</w:t>
      </w:r>
      <w:r>
        <w:rPr>
          <w:snapToGrid w:val="0"/>
        </w:rPr>
        <w:tab/>
        <w:t>Sections 11(1), (3) and (4) and 12 of the Town Planning Act apply with all necessary changes to land in the redevelopment area as if — </w:t>
      </w:r>
    </w:p>
    <w:p>
      <w:pPr>
        <w:pStyle w:val="Indenta"/>
        <w:rPr>
          <w:snapToGrid w:val="0"/>
        </w:rPr>
      </w:pPr>
      <w:r>
        <w:rPr>
          <w:snapToGrid w:val="0"/>
        </w:rPr>
        <w:tab/>
        <w:t>(a)</w:t>
      </w:r>
      <w:r>
        <w:rPr>
          <w:snapToGrid w:val="0"/>
        </w:rPr>
        <w:tab/>
        <w:t>the redevelopment scheme were a town planning scheme under that Act;</w:t>
      </w:r>
    </w:p>
    <w:p>
      <w:pPr>
        <w:pStyle w:val="Indenta"/>
        <w:rPr>
          <w:snapToGrid w:val="0"/>
        </w:rPr>
      </w:pPr>
      <w:r>
        <w:rPr>
          <w:snapToGrid w:val="0"/>
        </w:rPr>
        <w:tab/>
        <w:t>(b)</w:t>
      </w:r>
      <w:r>
        <w:rPr>
          <w:snapToGrid w:val="0"/>
        </w:rPr>
        <w:tab/>
        <w:t>the Authority were a local government or a responsible authority under that Act; and</w:t>
      </w:r>
    </w:p>
    <w:p>
      <w:pPr>
        <w:pStyle w:val="Indenta"/>
        <w:rPr>
          <w:snapToGrid w:val="0"/>
        </w:rPr>
      </w:pPr>
      <w:r>
        <w:rPr>
          <w:snapToGrid w:val="0"/>
        </w:rPr>
        <w:tab/>
        <w:t>(c)</w:t>
      </w:r>
      <w:r>
        <w:rPr>
          <w:snapToGrid w:val="0"/>
        </w:rPr>
        <w:tab/>
        <w:t>in section 11(3) of that Act, the word “amended” were substituted for “altered or revoked by an order of the Minister under this Act”.</w:t>
      </w:r>
    </w:p>
    <w:p>
      <w:pPr>
        <w:pStyle w:val="Subsection"/>
        <w:keepNext/>
        <w:rPr>
          <w:snapToGrid w:val="0"/>
        </w:rPr>
      </w:pPr>
      <w:r>
        <w:rPr>
          <w:snapToGrid w:val="0"/>
        </w:rPr>
        <w:tab/>
        <w:t>(2)</w:t>
      </w:r>
      <w:r>
        <w:rPr>
          <w:snapToGrid w:val="0"/>
        </w:rPr>
        <w:tab/>
        <w:t>If under the redevelopment scheme any land is reserved, zoned or classified for a public purpose, Part V (other than sections 36A, 37 and 37A) of the Metropolitan Scheme Act applies with all necessary changes as if — </w:t>
      </w:r>
    </w:p>
    <w:p>
      <w:pPr>
        <w:pStyle w:val="Indenta"/>
        <w:rPr>
          <w:snapToGrid w:val="0"/>
        </w:rPr>
      </w:pPr>
      <w:r>
        <w:rPr>
          <w:snapToGrid w:val="0"/>
        </w:rPr>
        <w:tab/>
        <w:t>(a)</w:t>
      </w:r>
      <w:r>
        <w:rPr>
          <w:snapToGrid w:val="0"/>
        </w:rPr>
        <w:tab/>
        <w:t>the land were reserved for a public purpose under the Metropolitan Region Scheme;</w:t>
      </w:r>
    </w:p>
    <w:p>
      <w:pPr>
        <w:pStyle w:val="Indenta"/>
        <w:rPr>
          <w:snapToGrid w:val="0"/>
        </w:rPr>
      </w:pPr>
      <w:r>
        <w:rPr>
          <w:snapToGrid w:val="0"/>
        </w:rPr>
        <w:tab/>
        <w:t>(b)</w:t>
      </w:r>
      <w:r>
        <w:rPr>
          <w:snapToGrid w:val="0"/>
        </w:rPr>
        <w:tab/>
        <w:t>references in that Part to the Commission and the Scheme were references to the Authority and to the redevelopment scheme respectively; and</w:t>
      </w:r>
    </w:p>
    <w:p>
      <w:pPr>
        <w:pStyle w:val="Indenta"/>
        <w:rPr>
          <w:snapToGrid w:val="0"/>
        </w:rPr>
      </w:pPr>
      <w:r>
        <w:rPr>
          <w:snapToGrid w:val="0"/>
        </w:rPr>
        <w:tab/>
        <w:t>(c)</w:t>
      </w:r>
      <w:r>
        <w:rPr>
          <w:snapToGrid w:val="0"/>
        </w:rPr>
        <w:tab/>
        <w:t>in section 36(1)(b) of that Act, “amended” were substituted for “varied, amplified or revoked by the Commission”.</w:t>
      </w:r>
    </w:p>
    <w:p>
      <w:pPr>
        <w:pStyle w:val="Subsection"/>
        <w:rPr>
          <w:snapToGrid w:val="0"/>
        </w:rPr>
      </w:pPr>
      <w:r>
        <w:rPr>
          <w:snapToGrid w:val="0"/>
        </w:rPr>
        <w:tab/>
        <w:t>(3)</w:t>
      </w:r>
      <w:r>
        <w:rPr>
          <w:snapToGrid w:val="0"/>
        </w:rPr>
        <w:tab/>
        <w:t>Compensation is not payable under an Act as applied by subsection (1) or (2)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55 amended by No. 14 of 1996 s.4.] </w:t>
      </w:r>
    </w:p>
    <w:p>
      <w:pPr>
        <w:pStyle w:val="Heading2"/>
      </w:pPr>
      <w:bookmarkStart w:id="204" w:name="_Toc92771285"/>
      <w:bookmarkStart w:id="205" w:name="_Toc114631559"/>
      <w:bookmarkStart w:id="206" w:name="_Toc122837432"/>
      <w:r>
        <w:rPr>
          <w:rStyle w:val="CharPartNo"/>
        </w:rPr>
        <w:t>Part 6</w:t>
      </w:r>
      <w:r>
        <w:rPr>
          <w:rStyle w:val="CharDivNo"/>
        </w:rPr>
        <w:t> </w:t>
      </w:r>
      <w:r>
        <w:t>—</w:t>
      </w:r>
      <w:r>
        <w:rPr>
          <w:rStyle w:val="CharDivText"/>
        </w:rPr>
        <w:t> </w:t>
      </w:r>
      <w:r>
        <w:rPr>
          <w:rStyle w:val="CharPartText"/>
        </w:rPr>
        <w:t>Financial provisions</w:t>
      </w:r>
      <w:bookmarkEnd w:id="204"/>
      <w:bookmarkEnd w:id="205"/>
      <w:bookmarkEnd w:id="206"/>
      <w:r>
        <w:rPr>
          <w:rStyle w:val="CharPartText"/>
        </w:rPr>
        <w:t xml:space="preserve"> </w:t>
      </w:r>
    </w:p>
    <w:p>
      <w:pPr>
        <w:pStyle w:val="Heading5"/>
        <w:rPr>
          <w:snapToGrid w:val="0"/>
        </w:rPr>
      </w:pPr>
      <w:bookmarkStart w:id="207" w:name="_Toc417978326"/>
      <w:bookmarkStart w:id="208" w:name="_Toc44994549"/>
      <w:bookmarkStart w:id="209" w:name="_Toc122837433"/>
      <w:r>
        <w:rPr>
          <w:rStyle w:val="CharSectno"/>
        </w:rPr>
        <w:t>56</w:t>
      </w:r>
      <w:r>
        <w:rPr>
          <w:snapToGrid w:val="0"/>
        </w:rPr>
        <w:t>.</w:t>
      </w:r>
      <w:r>
        <w:rPr>
          <w:snapToGrid w:val="0"/>
        </w:rPr>
        <w:tab/>
        <w:t>Funds of Authority</w:t>
      </w:r>
      <w:bookmarkEnd w:id="207"/>
      <w:bookmarkEnd w:id="208"/>
      <w:bookmarkEnd w:id="209"/>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58 or 59;</w:t>
      </w:r>
    </w:p>
    <w:p>
      <w:pPr>
        <w:pStyle w:val="Indenta"/>
        <w:rPr>
          <w:snapToGrid w:val="0"/>
        </w:rPr>
      </w:pPr>
      <w:r>
        <w:rPr>
          <w:snapToGrid w:val="0"/>
        </w:rPr>
        <w:tab/>
        <w:t>(d)</w:t>
      </w:r>
      <w:r>
        <w:rPr>
          <w:snapToGrid w:val="0"/>
        </w:rPr>
        <w:tab/>
        <w:t>the proceeds of disposals of land by the Authority;</w:t>
      </w:r>
    </w:p>
    <w:p>
      <w:pPr>
        <w:pStyle w:val="Indenta"/>
        <w:rPr>
          <w:snapToGrid w:val="0"/>
        </w:rPr>
      </w:pPr>
      <w:r>
        <w:rPr>
          <w:snapToGrid w:val="0"/>
        </w:rPr>
        <w:tab/>
        <w:t>(e)</w:t>
      </w:r>
      <w:r>
        <w:rPr>
          <w:snapToGrid w:val="0"/>
        </w:rPr>
        <w:tab/>
        <w:t>rents derived from land leased by the Authority;</w:t>
      </w:r>
    </w:p>
    <w:p>
      <w:pPr>
        <w:pStyle w:val="Indenta"/>
        <w:rPr>
          <w:snapToGrid w:val="0"/>
        </w:rPr>
      </w:pPr>
      <w:r>
        <w:rPr>
          <w:snapToGrid w:val="0"/>
        </w:rPr>
        <w:tab/>
        <w:t>(f)</w:t>
      </w:r>
      <w:r>
        <w:rPr>
          <w:snapToGrid w:val="0"/>
        </w:rPr>
        <w:tab/>
        <w:t>income derived from the investment under section 57 of moneys standing to the credit of the Account; and</w:t>
      </w:r>
    </w:p>
    <w:p>
      <w:pPr>
        <w:pStyle w:val="Indenta"/>
        <w:rPr>
          <w:snapToGrid w:val="0"/>
        </w:rPr>
      </w:pPr>
      <w:r>
        <w:rPr>
          <w:snapToGrid w:val="0"/>
        </w:rPr>
        <w:tab/>
        <w:t>(g)</w:t>
      </w:r>
      <w:r>
        <w:rPr>
          <w:snapToGrid w:val="0"/>
        </w:rPr>
        <w:tab/>
        <w:t>any moneys otherwise lawfully received by, made available to or payable to the Authority.</w:t>
      </w:r>
    </w:p>
    <w:p>
      <w:pPr>
        <w:pStyle w:val="Subsection"/>
        <w:rPr>
          <w:snapToGrid w:val="0"/>
        </w:rPr>
      </w:pPr>
      <w:r>
        <w:rPr>
          <w:snapToGrid w:val="0"/>
        </w:rPr>
        <w:tab/>
        <w:t>(2)</w:t>
      </w:r>
      <w:r>
        <w:rPr>
          <w:snapToGrid w:val="0"/>
        </w:rPr>
        <w:tab/>
        <w:t>The funds referred to in subsection (1) are to be credited to an account at a bank approved by the Treasurer to be called the “Subiaco Redevelopment Authority Account”.</w:t>
      </w:r>
    </w:p>
    <w:p>
      <w:pPr>
        <w:pStyle w:val="Subsection"/>
        <w:rPr>
          <w:snapToGrid w:val="0"/>
        </w:rPr>
      </w:pPr>
      <w:r>
        <w:rPr>
          <w:snapToGrid w:val="0"/>
        </w:rPr>
        <w:tab/>
        <w:t>(3)</w:t>
      </w:r>
      <w:r>
        <w:rPr>
          <w:snapToGrid w:val="0"/>
        </w:rPr>
        <w:tab/>
        <w:t>There are to be charged against the moneys from time to time in the Account — </w:t>
      </w:r>
    </w:p>
    <w:p>
      <w:pPr>
        <w:pStyle w:val="Indenta"/>
        <w:rPr>
          <w:snapToGrid w:val="0"/>
        </w:rPr>
      </w:pPr>
      <w:r>
        <w:rPr>
          <w:snapToGrid w:val="0"/>
        </w:rPr>
        <w:tab/>
        <w:t>(a)</w:t>
      </w:r>
      <w:r>
        <w:rPr>
          <w:snapToGrid w:val="0"/>
        </w:rPr>
        <w:tab/>
        <w:t>interest on, fees payable in respect of and repayments of moneys borrowed by or advanced to the Authority under section 58 or 59;</w:t>
      </w:r>
    </w:p>
    <w:p>
      <w:pPr>
        <w:pStyle w:val="Indenta"/>
        <w:rPr>
          <w:snapToGrid w:val="0"/>
        </w:rPr>
      </w:pPr>
      <w:r>
        <w:rPr>
          <w:snapToGrid w:val="0"/>
        </w:rPr>
        <w:tab/>
        <w:t>(b)</w:t>
      </w:r>
      <w:r>
        <w:rPr>
          <w:snapToGrid w:val="0"/>
        </w:rPr>
        <w:tab/>
        <w:t>the remuneration and travelling and other allowances payable to members and to the chief executive officer;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210" w:name="_Toc417978327"/>
      <w:bookmarkStart w:id="211" w:name="_Toc44994550"/>
      <w:bookmarkStart w:id="212" w:name="_Toc122837434"/>
      <w:r>
        <w:rPr>
          <w:rStyle w:val="CharSectno"/>
        </w:rPr>
        <w:t>57</w:t>
      </w:r>
      <w:r>
        <w:rPr>
          <w:snapToGrid w:val="0"/>
        </w:rPr>
        <w:t>.</w:t>
      </w:r>
      <w:r>
        <w:rPr>
          <w:snapToGrid w:val="0"/>
        </w:rPr>
        <w:tab/>
        <w:t>Investment</w:t>
      </w:r>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this Act, be temporarily invested as the Treasurer directs in any securities in which moneys standing to the credit of the Public Bank Account, as constituted under the </w:t>
      </w:r>
      <w:r>
        <w:rPr>
          <w:i/>
          <w:snapToGrid w:val="0"/>
        </w:rPr>
        <w:t>Financial Administration and Audit Act 1985</w:t>
      </w:r>
      <w:r>
        <w:rPr>
          <w:snapToGrid w:val="0"/>
        </w:rPr>
        <w:t>, may lawfully be invested.</w:t>
      </w:r>
    </w:p>
    <w:p>
      <w:pPr>
        <w:pStyle w:val="Subsection"/>
        <w:rPr>
          <w:snapToGrid w:val="0"/>
        </w:rPr>
      </w:pPr>
      <w:r>
        <w:rPr>
          <w:snapToGrid w:val="0"/>
        </w:rPr>
        <w:tab/>
        <w:t>(2)</w:t>
      </w:r>
      <w:r>
        <w:rPr>
          <w:snapToGrid w:val="0"/>
        </w:rPr>
        <w:tab/>
        <w:t>Income derived from any such investment is to be credited to the Account.</w:t>
      </w:r>
    </w:p>
    <w:p>
      <w:pPr>
        <w:pStyle w:val="Heading5"/>
        <w:rPr>
          <w:snapToGrid w:val="0"/>
        </w:rPr>
      </w:pPr>
      <w:bookmarkStart w:id="213" w:name="_Toc417978328"/>
      <w:bookmarkStart w:id="214" w:name="_Toc44994551"/>
      <w:bookmarkStart w:id="215" w:name="_Toc122837435"/>
      <w:r>
        <w:rPr>
          <w:rStyle w:val="CharSectno"/>
        </w:rPr>
        <w:t>58</w:t>
      </w:r>
      <w:r>
        <w:rPr>
          <w:snapToGrid w:val="0"/>
        </w:rPr>
        <w:t>.</w:t>
      </w:r>
      <w:r>
        <w:rPr>
          <w:snapToGrid w:val="0"/>
        </w:rPr>
        <w:tab/>
        <w:t>Borrowing by Authority from Treasurer</w:t>
      </w:r>
      <w:bookmarkEnd w:id="213"/>
      <w:bookmarkEnd w:id="214"/>
      <w:bookmarkEnd w:id="215"/>
      <w:r>
        <w:rPr>
          <w:snapToGrid w:val="0"/>
        </w:rPr>
        <w:t xml:space="preserve"> </w:t>
      </w:r>
    </w:p>
    <w:p>
      <w:pPr>
        <w:pStyle w:val="Subsection"/>
        <w:rPr>
          <w:snapToGrid w:val="0"/>
        </w:rPr>
      </w:pPr>
      <w:r>
        <w:rPr>
          <w:snapToGrid w:val="0"/>
        </w:rPr>
        <w:tab/>
        <w:t>(1)</w:t>
      </w:r>
      <w:r>
        <w:rPr>
          <w:snapToGrid w:val="0"/>
        </w:rPr>
        <w:tab/>
        <w:t>The Authority may borrow from the Treasurer the amounts that the Treasurer approves on the conditions relating to repayment and payment of interest that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16" w:name="_Toc417978329"/>
      <w:bookmarkStart w:id="217" w:name="_Toc44994552"/>
      <w:bookmarkStart w:id="218" w:name="_Toc122837436"/>
      <w:r>
        <w:rPr>
          <w:rStyle w:val="CharSectno"/>
        </w:rPr>
        <w:t>59</w:t>
      </w:r>
      <w:r>
        <w:rPr>
          <w:snapToGrid w:val="0"/>
        </w:rPr>
        <w:t>.</w:t>
      </w:r>
      <w:r>
        <w:rPr>
          <w:snapToGrid w:val="0"/>
        </w:rPr>
        <w:tab/>
        <w:t>Borrowing by Authority generally</w:t>
      </w:r>
      <w:bookmarkEnd w:id="216"/>
      <w:bookmarkEnd w:id="217"/>
      <w:bookmarkEnd w:id="218"/>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58.</w:t>
      </w:r>
    </w:p>
    <w:p>
      <w:pPr>
        <w:pStyle w:val="Subsection"/>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the terms and conditions that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60.</w:t>
      </w:r>
    </w:p>
    <w:p>
      <w:pPr>
        <w:pStyle w:val="Subsection"/>
        <w:rPr>
          <w:snapToGrid w:val="0"/>
        </w:rPr>
      </w:pPr>
      <w:r>
        <w:rPr>
          <w:snapToGrid w:val="0"/>
        </w:rPr>
        <w:tab/>
        <w:t>(3)</w:t>
      </w:r>
      <w:r>
        <w:rPr>
          <w:snapToGrid w:val="0"/>
        </w:rP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rPr>
          <w:snapToGrid w:val="0"/>
        </w:rPr>
      </w:pPr>
      <w:bookmarkStart w:id="219" w:name="_Toc417978330"/>
      <w:bookmarkStart w:id="220" w:name="_Toc44994553"/>
      <w:bookmarkStart w:id="221" w:name="_Toc122837437"/>
      <w:r>
        <w:rPr>
          <w:rStyle w:val="CharSectno"/>
        </w:rPr>
        <w:t>60</w:t>
      </w:r>
      <w:r>
        <w:rPr>
          <w:snapToGrid w:val="0"/>
        </w:rPr>
        <w:t>.</w:t>
      </w:r>
      <w:r>
        <w:rPr>
          <w:snapToGrid w:val="0"/>
        </w:rPr>
        <w:tab/>
        <w:t>Guarantee by Treasurer</w:t>
      </w:r>
      <w:bookmarkEnd w:id="219"/>
      <w:bookmarkEnd w:id="220"/>
      <w:bookmarkEnd w:id="221"/>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59.</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rPr>
          <w:snapToGrid w:val="0"/>
        </w:rPr>
      </w:pPr>
      <w:r>
        <w:rPr>
          <w:snapToGrid w:val="0"/>
        </w:rPr>
        <w:tab/>
        <w:t>(4)</w:t>
      </w:r>
      <w:r>
        <w:rPr>
          <w:snapToGrid w:val="0"/>
        </w:rPr>
        <w:tab/>
        <w:t>The Treasurer is to cause any amounts received or recovered from the Authority or otherwise in respect of any payment made by the Treasurer under a guarantee given under subsection (1) to be credited to the Consolidated Fund.</w:t>
      </w:r>
    </w:p>
    <w:p>
      <w:pPr>
        <w:pStyle w:val="Subsection"/>
        <w:rPr>
          <w:snapToGrid w:val="0"/>
        </w:rPr>
      </w:pPr>
      <w:r>
        <w:rPr>
          <w:snapToGrid w:val="0"/>
        </w:rPr>
        <w:tab/>
        <w:t>(5)</w:t>
      </w:r>
      <w:r>
        <w:rPr>
          <w:snapToGrid w:val="0"/>
        </w:rPr>
        <w:tab/>
        <w:t>Before a guarantee is given by the Treasurer under subsection (1), the Authority is to give to the Treasurer the security that the Treasurer requires and is to execute all instruments that are necessary for the purpose.</w:t>
      </w:r>
    </w:p>
    <w:p>
      <w:pPr>
        <w:pStyle w:val="Subsection"/>
        <w:rPr>
          <w:snapToGrid w:val="0"/>
        </w:rPr>
      </w:pPr>
      <w:r>
        <w:rPr>
          <w:snapToGrid w:val="0"/>
        </w:rPr>
        <w:tab/>
        <w:t>(6)</w:t>
      </w:r>
      <w:r>
        <w:rPr>
          <w:snapToGrid w:val="0"/>
        </w:rPr>
        <w:tab/>
        <w:t xml:space="preserve">If a guarantee is given by the Treasurer under subsection (1), the Treasurer is to cause the text of the guarantee to be published in the </w:t>
      </w:r>
      <w:r>
        <w:rPr>
          <w:i/>
          <w:snapToGrid w:val="0"/>
        </w:rPr>
        <w:t>Gazette</w:t>
      </w:r>
      <w:r>
        <w:rPr>
          <w:snapToGrid w:val="0"/>
        </w:rPr>
        <w:t xml:space="preserve"> within 28 days and laid before each House within 14 sitting days of being published.</w:t>
      </w:r>
    </w:p>
    <w:p>
      <w:pPr>
        <w:pStyle w:val="Heading5"/>
        <w:rPr>
          <w:snapToGrid w:val="0"/>
        </w:rPr>
      </w:pPr>
      <w:bookmarkStart w:id="222" w:name="_Toc417978331"/>
      <w:bookmarkStart w:id="223" w:name="_Toc44994554"/>
      <w:bookmarkStart w:id="224" w:name="_Toc122837438"/>
      <w:r>
        <w:rPr>
          <w:rStyle w:val="CharSectno"/>
        </w:rPr>
        <w:t>61</w:t>
      </w:r>
      <w:r>
        <w:rPr>
          <w:snapToGrid w:val="0"/>
        </w:rPr>
        <w:t>.</w:t>
      </w:r>
      <w:r>
        <w:rPr>
          <w:snapToGrid w:val="0"/>
        </w:rPr>
        <w:tab/>
        <w:t xml:space="preserve">Application of </w:t>
      </w:r>
      <w:r>
        <w:rPr>
          <w:i/>
          <w:snapToGrid w:val="0"/>
        </w:rPr>
        <w:t>Financial Administration and Audit Act 1985</w:t>
      </w:r>
      <w:bookmarkEnd w:id="222"/>
      <w:bookmarkEnd w:id="223"/>
      <w:bookmarkEnd w:id="22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5"/>
        <w:rPr>
          <w:snapToGrid w:val="0"/>
        </w:rPr>
      </w:pPr>
      <w:bookmarkStart w:id="225" w:name="_Toc417978332"/>
      <w:bookmarkStart w:id="226" w:name="_Toc44994555"/>
      <w:bookmarkStart w:id="227" w:name="_Toc122837439"/>
      <w:r>
        <w:rPr>
          <w:rStyle w:val="CharSectno"/>
        </w:rPr>
        <w:t>62</w:t>
      </w:r>
      <w:r>
        <w:rPr>
          <w:snapToGrid w:val="0"/>
        </w:rPr>
        <w:t>.</w:t>
      </w:r>
      <w:r>
        <w:rPr>
          <w:snapToGrid w:val="0"/>
        </w:rPr>
        <w:tab/>
        <w:t>Surplus</w:t>
      </w:r>
      <w:bookmarkEnd w:id="225"/>
      <w:bookmarkEnd w:id="226"/>
      <w:bookmarkEnd w:id="227"/>
      <w:r>
        <w:rPr>
          <w:snapToGrid w:val="0"/>
        </w:rPr>
        <w:t xml:space="preserve"> </w:t>
      </w:r>
    </w:p>
    <w:p>
      <w:pPr>
        <w:pStyle w:val="Subsection"/>
        <w:rPr>
          <w:snapToGrid w:val="0"/>
        </w:rPr>
      </w:pPr>
      <w:r>
        <w:rPr>
          <w:snapToGrid w:val="0"/>
        </w:rPr>
        <w:tab/>
      </w:r>
      <w:r>
        <w:rPr>
          <w:snapToGrid w:val="0"/>
        </w:rPr>
        <w:tab/>
        <w:t>Any surplus in the Account at the end of any financial year that is not reasonably required by the Authority for the purposes of this Act is to be paid by the Authority, in whole or in part as the Treasurer directs, to the credit of the Consolidated Fund.</w:t>
      </w:r>
    </w:p>
    <w:p>
      <w:pPr>
        <w:pStyle w:val="Heading2"/>
      </w:pPr>
      <w:bookmarkStart w:id="228" w:name="_Toc92771293"/>
      <w:bookmarkStart w:id="229" w:name="_Toc114631567"/>
      <w:bookmarkStart w:id="230" w:name="_Toc122837440"/>
      <w:r>
        <w:rPr>
          <w:rStyle w:val="CharPartNo"/>
        </w:rPr>
        <w:t>Part 7</w:t>
      </w:r>
      <w:r>
        <w:rPr>
          <w:rStyle w:val="CharDivNo"/>
        </w:rPr>
        <w:t> </w:t>
      </w:r>
      <w:r>
        <w:t>—</w:t>
      </w:r>
      <w:r>
        <w:rPr>
          <w:rStyle w:val="CharDivText"/>
        </w:rPr>
        <w:t> </w:t>
      </w:r>
      <w:r>
        <w:rPr>
          <w:rStyle w:val="CharPartText"/>
        </w:rPr>
        <w:t>General</w:t>
      </w:r>
      <w:bookmarkEnd w:id="228"/>
      <w:bookmarkEnd w:id="229"/>
      <w:bookmarkEnd w:id="230"/>
      <w:r>
        <w:rPr>
          <w:rStyle w:val="CharPartText"/>
        </w:rPr>
        <w:t xml:space="preserve"> </w:t>
      </w:r>
    </w:p>
    <w:p>
      <w:pPr>
        <w:pStyle w:val="Heading5"/>
        <w:rPr>
          <w:snapToGrid w:val="0"/>
        </w:rPr>
      </w:pPr>
      <w:bookmarkStart w:id="231" w:name="_Toc417978333"/>
      <w:bookmarkStart w:id="232" w:name="_Toc44994556"/>
      <w:bookmarkStart w:id="233" w:name="_Toc122837441"/>
      <w:r>
        <w:rPr>
          <w:rStyle w:val="CharSectno"/>
        </w:rPr>
        <w:t>63</w:t>
      </w:r>
      <w:r>
        <w:rPr>
          <w:snapToGrid w:val="0"/>
        </w:rPr>
        <w:t>.</w:t>
      </w:r>
      <w:r>
        <w:rPr>
          <w:snapToGrid w:val="0"/>
        </w:rPr>
        <w:tab/>
        <w:t>Modification of other laws</w:t>
      </w:r>
      <w:bookmarkEnd w:id="231"/>
      <w:bookmarkEnd w:id="232"/>
      <w:bookmarkEnd w:id="233"/>
      <w:r>
        <w:rPr>
          <w:snapToGrid w:val="0"/>
        </w:rPr>
        <w:t xml:space="preserve"> </w:t>
      </w:r>
    </w:p>
    <w:p>
      <w:pPr>
        <w:pStyle w:val="Subsection"/>
        <w:rPr>
          <w:snapToGrid w:val="0"/>
        </w:rPr>
      </w:pPr>
      <w:r>
        <w:rPr>
          <w:snapToGrid w:val="0"/>
        </w:rPr>
        <w:tab/>
      </w:r>
      <w:r>
        <w:rPr>
          <w:snapToGrid w:val="0"/>
        </w:rPr>
        <w:tab/>
        <w:t>Section 33 of the Town Planning Act applies with all necessary modifications for the purposes of carrying out a redevelopment scheme as if the reference in that section — </w:t>
      </w:r>
    </w:p>
    <w:p>
      <w:pPr>
        <w:pStyle w:val="Indenta"/>
        <w:rPr>
          <w:snapToGrid w:val="0"/>
        </w:rPr>
      </w:pPr>
      <w:r>
        <w:rPr>
          <w:snapToGrid w:val="0"/>
        </w:rPr>
        <w:tab/>
        <w:t>(a)</w:t>
      </w:r>
      <w:r>
        <w:rPr>
          <w:snapToGrid w:val="0"/>
        </w:rPr>
        <w:tab/>
        <w:t>to an approved scheme were a reference to that redevelopment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Heading5"/>
        <w:rPr>
          <w:snapToGrid w:val="0"/>
        </w:rPr>
      </w:pPr>
      <w:bookmarkStart w:id="234" w:name="_Toc417978334"/>
      <w:bookmarkStart w:id="235" w:name="_Toc44994557"/>
      <w:bookmarkStart w:id="236" w:name="_Toc122837442"/>
      <w:r>
        <w:rPr>
          <w:rStyle w:val="CharSectno"/>
        </w:rPr>
        <w:t>64</w:t>
      </w:r>
      <w:r>
        <w:rPr>
          <w:snapToGrid w:val="0"/>
        </w:rPr>
        <w:t>.</w:t>
      </w:r>
      <w:r>
        <w:rPr>
          <w:snapToGrid w:val="0"/>
        </w:rPr>
        <w:tab/>
        <w:t>Execution of documents by Authority</w:t>
      </w:r>
      <w:bookmarkEnd w:id="234"/>
      <w:bookmarkEnd w:id="235"/>
      <w:bookmarkEnd w:id="236"/>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(3) and (4); or</w:t>
      </w:r>
    </w:p>
    <w:p>
      <w:pPr>
        <w:pStyle w:val="Indenta"/>
        <w:rPr>
          <w:snapToGrid w:val="0"/>
        </w:rPr>
      </w:pPr>
      <w:r>
        <w:rPr>
          <w:snapToGrid w:val="0"/>
        </w:rPr>
        <w:tab/>
        <w:t>(b)</w:t>
      </w:r>
      <w:r>
        <w:rPr>
          <w:snapToGrid w:val="0"/>
        </w:rPr>
        <w:tab/>
        <w:t>it is signed on behalf of the Authority by persons authorized by the Authority to do so.</w:t>
      </w:r>
    </w:p>
    <w:p>
      <w:pPr>
        <w:pStyle w:val="Subsection"/>
        <w:rPr>
          <w:snapToGrid w:val="0"/>
        </w:rPr>
      </w:pPr>
      <w:r>
        <w:rPr>
          <w:snapToGrid w:val="0"/>
        </w:rPr>
        <w:tab/>
        <w:t>(2)</w:t>
      </w:r>
      <w:r>
        <w:rPr>
          <w:snapToGrid w:val="0"/>
        </w:rPr>
        <w:tab/>
        <w:t>The common seal of the Authority is not to be affixed to any document except as authorized by the Authority.</w:t>
      </w:r>
    </w:p>
    <w:p>
      <w:pPr>
        <w:pStyle w:val="Subsection"/>
        <w:rPr>
          <w:snapToGrid w:val="0"/>
        </w:rPr>
      </w:pPr>
      <w:r>
        <w:rPr>
          <w:snapToGrid w:val="0"/>
        </w:rPr>
        <w:tab/>
        <w:t>(3)</w:t>
      </w:r>
      <w:r>
        <w:rPr>
          <w:snapToGrid w:val="0"/>
        </w:rP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rPr>
          <w:snapToGrid w:val="0"/>
        </w:rPr>
      </w:pPr>
      <w:r>
        <w:rPr>
          <w:snapToGrid w:val="0"/>
        </w:rPr>
        <w:tab/>
        <w:t>(4)</w:t>
      </w:r>
      <w:r>
        <w:rPr>
          <w:snapToGrid w:val="0"/>
        </w:rPr>
        <w:tab/>
        <w:t>At least one of the persons referred to in subsection (3) is to be a member of the Authority.</w:t>
      </w:r>
    </w:p>
    <w:p>
      <w:pPr>
        <w:pStyle w:val="Subsection"/>
        <w:rPr>
          <w:snapToGrid w:val="0"/>
        </w:rPr>
      </w:pPr>
      <w:r>
        <w:rPr>
          <w:snapToGrid w:val="0"/>
        </w:rPr>
        <w:tab/>
        <w:t>(5)</w:t>
      </w:r>
      <w:r>
        <w:rPr>
          <w:snapToGrid w:val="0"/>
        </w:rPr>
        <w:tab/>
        <w:t>A person authorized under subsection (1)(b), or determined under subsection (3), is to be a member or the chief executive officer of the Authority, or a member of the board of directors or an officer of the Western Australian Land Authority.</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Subsection"/>
        <w:rPr>
          <w:snapToGrid w:val="0"/>
        </w:rPr>
      </w:pPr>
      <w:r>
        <w:rPr>
          <w:snapToGrid w:val="0"/>
        </w:rPr>
        <w:tab/>
        <w:t>(8)</w:t>
      </w:r>
      <w:r>
        <w:rPr>
          <w:snapToGrid w:val="0"/>
        </w:rPr>
        <w:tab/>
        <w:t>All courts and persons acting judicially are to take notice of the common seal of the Authority.</w:t>
      </w:r>
    </w:p>
    <w:p>
      <w:pPr>
        <w:pStyle w:val="Heading5"/>
        <w:rPr>
          <w:snapToGrid w:val="0"/>
        </w:rPr>
      </w:pPr>
      <w:bookmarkStart w:id="237" w:name="_Toc417978335"/>
      <w:bookmarkStart w:id="238" w:name="_Toc44994558"/>
      <w:bookmarkStart w:id="239" w:name="_Toc122837443"/>
      <w:r>
        <w:rPr>
          <w:rStyle w:val="CharSectno"/>
        </w:rPr>
        <w:t>65</w:t>
      </w:r>
      <w:r>
        <w:rPr>
          <w:snapToGrid w:val="0"/>
        </w:rPr>
        <w:t>.</w:t>
      </w:r>
      <w:r>
        <w:rPr>
          <w:snapToGrid w:val="0"/>
        </w:rPr>
        <w:tab/>
        <w:t>Regulations</w:t>
      </w:r>
      <w:bookmarkEnd w:id="237"/>
      <w:bookmarkEnd w:id="238"/>
      <w:bookmarkEnd w:id="23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those applications.</w:t>
      </w:r>
    </w:p>
    <w:p>
      <w:pPr>
        <w:pStyle w:val="Heading5"/>
        <w:rPr>
          <w:snapToGrid w:val="0"/>
        </w:rPr>
      </w:pPr>
      <w:bookmarkStart w:id="240" w:name="_Toc417978336"/>
      <w:bookmarkStart w:id="241" w:name="_Toc44994559"/>
      <w:bookmarkStart w:id="242" w:name="_Toc122837444"/>
      <w:r>
        <w:rPr>
          <w:rStyle w:val="CharSectno"/>
        </w:rPr>
        <w:t>66</w:t>
      </w:r>
      <w:r>
        <w:rPr>
          <w:snapToGrid w:val="0"/>
        </w:rPr>
        <w:t>.</w:t>
      </w:r>
      <w:r>
        <w:rPr>
          <w:snapToGrid w:val="0"/>
        </w:rPr>
        <w:tab/>
        <w:t>Review of Act</w:t>
      </w:r>
      <w:bookmarkEnd w:id="240"/>
      <w:bookmarkEnd w:id="241"/>
      <w:bookmarkEnd w:id="24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243" w:name="_Toc417978337"/>
      <w:bookmarkStart w:id="244" w:name="_Toc44994560"/>
      <w:bookmarkStart w:id="245" w:name="_Toc122837445"/>
      <w:r>
        <w:rPr>
          <w:rStyle w:val="CharSectno"/>
        </w:rPr>
        <w:t>67</w:t>
      </w:r>
      <w:r>
        <w:rPr>
          <w:snapToGrid w:val="0"/>
        </w:rPr>
        <w:t>.</w:t>
      </w:r>
      <w:r>
        <w:rPr>
          <w:snapToGrid w:val="0"/>
        </w:rPr>
        <w:tab/>
        <w:t>Consequential amendments</w:t>
      </w:r>
      <w:bookmarkEnd w:id="243"/>
      <w:bookmarkEnd w:id="244"/>
      <w:bookmarkEnd w:id="245"/>
      <w:r>
        <w:rPr>
          <w:snapToGrid w:val="0"/>
        </w:rPr>
        <w:t xml:space="preserve"> </w:t>
      </w:r>
    </w:p>
    <w:p>
      <w:pPr>
        <w:pStyle w:val="Subsection"/>
        <w:rPr>
          <w:snapToGrid w:val="0"/>
        </w:rPr>
      </w:pPr>
      <w:r>
        <w:rPr>
          <w:snapToGrid w:val="0"/>
        </w:rPr>
        <w:tab/>
      </w:r>
      <w:r>
        <w:rPr>
          <w:snapToGrid w:val="0"/>
        </w:rPr>
        <w:tab/>
      </w:r>
      <w:r>
        <w:rPr>
          <w:i/>
          <w:snapToGrid w:val="0"/>
        </w:rPr>
        <w:t>[Omitted under the Reprints Act 1984 s.7(4)(e).]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46" w:name="_Toc122837446"/>
      <w:r>
        <w:rPr>
          <w:rStyle w:val="CharSchNo"/>
        </w:rPr>
        <w:t>Schedule 1</w:t>
      </w:r>
      <w:bookmarkEnd w:id="246"/>
      <w:r>
        <w:rPr>
          <w:rStyle w:val="CharSchText"/>
        </w:rPr>
        <w:t xml:space="preserve"> </w:t>
      </w:r>
    </w:p>
    <w:p>
      <w:pPr>
        <w:pStyle w:val="yShoulderClause"/>
      </w:pPr>
      <w:r>
        <w:t>[Section 4]</w:t>
      </w:r>
    </w:p>
    <w:p>
      <w:pPr>
        <w:pStyle w:val="yHeading3"/>
      </w:pPr>
      <w:bookmarkStart w:id="247" w:name="_Toc122837447"/>
      <w:r>
        <w:t>Redevelopment Area</w:t>
      </w:r>
      <w:bookmarkEnd w:id="247"/>
    </w:p>
    <w:p>
      <w:pPr>
        <w:pStyle w:val="yMiscellaneousBody"/>
      </w:pPr>
      <w:r>
        <w:t>All of the land outlined by a broken black and white line on Plan No. 3.1786/1 held at the office of the Authority.  For guidance, the redevelopment area is indicated in the following representation of Plan No. 3.1786/1 — </w:t>
      </w:r>
    </w:p>
    <w:p>
      <w:pPr>
        <w:pStyle w:val="Graphics"/>
      </w:pPr>
      <w:r>
        <w:rPr>
          <w:lang w:eastAsia="en-AU"/>
        </w:rPr>
        <w:drawing>
          <wp:inline distT="0" distB="0" distL="0" distR="0">
            <wp:extent cx="4314825" cy="523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14825" cy="5238750"/>
                    </a:xfrm>
                    <a:prstGeom prst="rect">
                      <a:avLst/>
                    </a:prstGeom>
                    <a:noFill/>
                    <a:ln>
                      <a:noFill/>
                    </a:ln>
                  </pic:spPr>
                </pic:pic>
              </a:graphicData>
            </a:graphic>
          </wp:inline>
        </w:drawing>
      </w:r>
    </w:p>
    <w:p>
      <w:pPr>
        <w:pStyle w:val="yFootnotesection"/>
      </w:pPr>
      <w:r>
        <w:tab/>
        <w:t>[Schedule 1 inserted in Gazette 16 Sep 2005 p. 4318-19.]</w:t>
      </w:r>
    </w:p>
    <w:p>
      <w:pPr>
        <w:pStyle w:val="yScheduleHeading"/>
      </w:pPr>
      <w:bookmarkStart w:id="248" w:name="_Toc122837448"/>
      <w:r>
        <w:rPr>
          <w:rStyle w:val="CharSchNo"/>
        </w:rPr>
        <w:t>Schedule 2</w:t>
      </w:r>
      <w:bookmarkEnd w:id="248"/>
    </w:p>
    <w:p>
      <w:pPr>
        <w:pStyle w:val="yShoulderClause"/>
        <w:rPr>
          <w:snapToGrid w:val="0"/>
        </w:rPr>
      </w:pPr>
      <w:r>
        <w:rPr>
          <w:snapToGrid w:val="0"/>
        </w:rPr>
        <w:t>[Section 9]</w:t>
      </w:r>
    </w:p>
    <w:p>
      <w:pPr>
        <w:pStyle w:val="MiscellaneousHeading"/>
        <w:rPr>
          <w:b/>
          <w:snapToGrid w:val="0"/>
          <w:sz w:val="22"/>
        </w:rPr>
      </w:pPr>
      <w:r>
        <w:rPr>
          <w:b/>
          <w:snapToGrid w:val="0"/>
          <w:sz w:val="22"/>
        </w:rPr>
        <w:t>Provisions as to constitution and proceedings of the Authority</w:t>
      </w:r>
    </w:p>
    <w:p>
      <w:pPr>
        <w:pStyle w:val="yHeading5"/>
        <w:outlineLvl w:val="9"/>
        <w:rPr>
          <w:snapToGrid w:val="0"/>
        </w:rPr>
      </w:pPr>
      <w:bookmarkStart w:id="249" w:name="_Toc44994561"/>
      <w:bookmarkStart w:id="250" w:name="_Toc122837449"/>
      <w:r>
        <w:rPr>
          <w:snapToGrid w:val="0"/>
        </w:rPr>
        <w:t>1.</w:t>
      </w:r>
      <w:r>
        <w:rPr>
          <w:snapToGrid w:val="0"/>
        </w:rPr>
        <w:tab/>
        <w:t>Term of office</w:t>
      </w:r>
      <w:bookmarkEnd w:id="249"/>
      <w:bookmarkEnd w:id="250"/>
    </w:p>
    <w:p>
      <w:pPr>
        <w:pStyle w:val="ySubsection"/>
        <w:rPr>
          <w:snapToGrid w:val="0"/>
        </w:rPr>
      </w:pPr>
      <w:r>
        <w:rPr>
          <w:snapToGrid w:val="0"/>
        </w:rPr>
        <w:tab/>
        <w:t>(1)</w:t>
      </w:r>
      <w:r>
        <w:rPr>
          <w:snapToGrid w:val="0"/>
        </w:rPr>
        <w:tab/>
        <w:t>Except as otherwise provided by this Act, a member holds office for the term, not exceeding 3 years, that is specified in the instrument of his or her appointment, but may from time to time be reappointed.</w:t>
      </w:r>
    </w:p>
    <w:p>
      <w:pPr>
        <w:pStyle w:val="ySubsection"/>
        <w:rPr>
          <w:snapToGrid w:val="0"/>
        </w:rPr>
      </w:pPr>
      <w:r>
        <w:rPr>
          <w:snapToGrid w:val="0"/>
        </w:rPr>
        <w:tab/>
        <w:t>(2)</w:t>
      </w:r>
      <w:r>
        <w:rPr>
          <w:snapToGrid w:val="0"/>
        </w:rPr>
        <w:tab/>
        <w:t>Unless — </w:t>
      </w:r>
    </w:p>
    <w:p>
      <w:pPr>
        <w:pStyle w:val="yIndenta"/>
        <w:rPr>
          <w:snapToGrid w:val="0"/>
        </w:rPr>
      </w:pPr>
      <w:r>
        <w:rPr>
          <w:snapToGrid w:val="0"/>
        </w:rPr>
        <w:tab/>
        <w:t>(a)</w:t>
      </w:r>
      <w:r>
        <w:rPr>
          <w:snapToGrid w:val="0"/>
        </w:rPr>
        <w:tab/>
        <w:t>he or she sooner resigns;</w:t>
      </w:r>
    </w:p>
    <w:p>
      <w:pPr>
        <w:pStyle w:val="yIndenta"/>
        <w:rPr>
          <w:snapToGrid w:val="0"/>
        </w:rPr>
      </w:pPr>
      <w:r>
        <w:rPr>
          <w:snapToGrid w:val="0"/>
        </w:rPr>
        <w:tab/>
        <w:t>(b)</w:t>
      </w:r>
      <w:r>
        <w:rPr>
          <w:snapToGrid w:val="0"/>
        </w:rPr>
        <w:tab/>
        <w:t>he or she is removed from office; or</w:t>
      </w:r>
    </w:p>
    <w:p>
      <w:pPr>
        <w:pStyle w:val="yIndenta"/>
        <w:rPr>
          <w:snapToGrid w:val="0"/>
        </w:rPr>
      </w:pPr>
      <w:r>
        <w:rPr>
          <w:snapToGrid w:val="0"/>
        </w:rPr>
        <w:tab/>
        <w:t>(c)</w:t>
      </w:r>
      <w:r>
        <w:rPr>
          <w:snapToGrid w:val="0"/>
        </w:rPr>
        <w:tab/>
        <w:t>his or her office becomes vacant under clause 2(b),</w:t>
      </w:r>
    </w:p>
    <w:p>
      <w:pPr>
        <w:pStyle w:val="ySubsection"/>
        <w:rPr>
          <w:snapToGrid w:val="0"/>
        </w:rPr>
      </w:pPr>
      <w:r>
        <w:rPr>
          <w:snapToGrid w:val="0"/>
        </w:rPr>
        <w:tab/>
      </w:r>
      <w:r>
        <w:rPr>
          <w:snapToGrid w:val="0"/>
        </w:rPr>
        <w:tab/>
        <w:t>a member continues in office until his or her successor comes into office, despite the term for which the member was appointed having expired.</w:t>
      </w:r>
    </w:p>
    <w:p>
      <w:pPr>
        <w:pStyle w:val="yHeading5"/>
        <w:outlineLvl w:val="9"/>
        <w:rPr>
          <w:snapToGrid w:val="0"/>
        </w:rPr>
      </w:pPr>
      <w:bookmarkStart w:id="251" w:name="_Toc44994562"/>
      <w:bookmarkStart w:id="252" w:name="_Toc122837450"/>
      <w:r>
        <w:rPr>
          <w:snapToGrid w:val="0"/>
        </w:rPr>
        <w:t>2.</w:t>
      </w:r>
      <w:r>
        <w:rPr>
          <w:snapToGrid w:val="0"/>
        </w:rPr>
        <w:tab/>
        <w:t>Resignation, removal, etc.</w:t>
      </w:r>
      <w:bookmarkEnd w:id="251"/>
      <w:bookmarkEnd w:id="252"/>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functions and proved to the satisfaction of the Governor;</w:t>
      </w:r>
    </w:p>
    <w:p>
      <w:pPr>
        <w:pStyle w:val="yIndenta"/>
        <w:rPr>
          <w:snapToGrid w:val="0"/>
        </w:rPr>
      </w:pPr>
      <w:r>
        <w:rPr>
          <w:snapToGrid w:val="0"/>
        </w:rPr>
        <w:tab/>
        <w:t>(d)</w:t>
      </w:r>
      <w:r>
        <w:rPr>
          <w:snapToGrid w:val="0"/>
        </w:rPr>
        <w:tab/>
        <w:t>in the case of a member appointed under section 7(1)(b), ceases to be a member of the council or an employee of the City of Subiaco, as the case may be; or</w:t>
      </w:r>
    </w:p>
    <w:p>
      <w:pPr>
        <w:pStyle w:val="yIndenta"/>
        <w:rPr>
          <w:snapToGrid w:val="0"/>
        </w:rPr>
      </w:pPr>
      <w:r>
        <w:rPr>
          <w:snapToGrid w:val="0"/>
        </w:rPr>
        <w:tab/>
        <w:t>(e)</w:t>
      </w:r>
      <w:r>
        <w:rPr>
          <w:snapToGrid w:val="0"/>
        </w:rPr>
        <w:tab/>
        <w:t>in the case of a member appointed under section 7(1)(c), ceases to be a member of the board of directors of the Western Australian Land Authority.</w:t>
      </w:r>
    </w:p>
    <w:p>
      <w:pPr>
        <w:pStyle w:val="yHeading5"/>
        <w:outlineLvl w:val="9"/>
        <w:rPr>
          <w:snapToGrid w:val="0"/>
        </w:rPr>
      </w:pPr>
      <w:bookmarkStart w:id="253" w:name="_Toc44994563"/>
      <w:bookmarkStart w:id="254" w:name="_Toc122837451"/>
      <w:r>
        <w:rPr>
          <w:snapToGrid w:val="0"/>
        </w:rPr>
        <w:t>3.</w:t>
      </w:r>
      <w:r>
        <w:rPr>
          <w:snapToGrid w:val="0"/>
        </w:rPr>
        <w:tab/>
        <w:t>Temporary members</w:t>
      </w:r>
      <w:bookmarkEnd w:id="253"/>
      <w:bookmarkEnd w:id="254"/>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outlineLvl w:val="9"/>
        <w:rPr>
          <w:snapToGrid w:val="0"/>
        </w:rPr>
      </w:pPr>
      <w:bookmarkStart w:id="255" w:name="_Toc44994564"/>
      <w:bookmarkStart w:id="256" w:name="_Toc122837452"/>
      <w:r>
        <w:rPr>
          <w:snapToGrid w:val="0"/>
        </w:rPr>
        <w:t>4.</w:t>
      </w:r>
      <w:r>
        <w:rPr>
          <w:snapToGrid w:val="0"/>
        </w:rPr>
        <w:tab/>
        <w:t>Resignation, etc., of deputy chairperson</w:t>
      </w:r>
      <w:bookmarkEnd w:id="255"/>
      <w:bookmarkEnd w:id="256"/>
    </w:p>
    <w:p>
      <w:pPr>
        <w:pStyle w:val="ySubsection"/>
        <w:rPr>
          <w:snapToGrid w:val="0"/>
        </w:rPr>
      </w:pPr>
      <w:r>
        <w:rPr>
          <w:snapToGrid w:val="0"/>
        </w:rPr>
        <w:tab/>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Heading5"/>
        <w:outlineLvl w:val="9"/>
        <w:rPr>
          <w:snapToGrid w:val="0"/>
        </w:rPr>
      </w:pPr>
      <w:bookmarkStart w:id="257" w:name="_Toc44994565"/>
      <w:bookmarkStart w:id="258" w:name="_Toc122837453"/>
      <w:r>
        <w:rPr>
          <w:snapToGrid w:val="0"/>
        </w:rPr>
        <w:t>5.</w:t>
      </w:r>
      <w:r>
        <w:rPr>
          <w:snapToGrid w:val="0"/>
        </w:rPr>
        <w:tab/>
        <w:t>Function of deputy chairperson</w:t>
      </w:r>
      <w:bookmarkEnd w:id="257"/>
      <w:bookmarkEnd w:id="258"/>
    </w:p>
    <w:p>
      <w:pPr>
        <w:pStyle w:val="ySubsection"/>
        <w:rPr>
          <w:snapToGrid w:val="0"/>
        </w:rPr>
      </w:pPr>
      <w:r>
        <w:rPr>
          <w:snapToGrid w:val="0"/>
        </w:rPr>
        <w:tab/>
        <w:t>(1)</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(2)</w:t>
      </w:r>
      <w:r>
        <w:rPr>
          <w:snapToGrid w:val="0"/>
        </w:rPr>
        <w:tab/>
        <w:t>No act or omission of the deputy chairperson acting as the chairperson is to be questioned on the ground that the occasion for his or her so acting had not arisen or had ceased.</w:t>
      </w:r>
    </w:p>
    <w:p>
      <w:pPr>
        <w:pStyle w:val="yHeading5"/>
        <w:outlineLvl w:val="9"/>
        <w:rPr>
          <w:snapToGrid w:val="0"/>
        </w:rPr>
      </w:pPr>
      <w:bookmarkStart w:id="259" w:name="_Toc44994566"/>
      <w:bookmarkStart w:id="260" w:name="_Toc122837454"/>
      <w:r>
        <w:rPr>
          <w:snapToGrid w:val="0"/>
        </w:rPr>
        <w:t>6.</w:t>
      </w:r>
      <w:r>
        <w:rPr>
          <w:snapToGrid w:val="0"/>
        </w:rPr>
        <w:tab/>
        <w:t>Meetings</w:t>
      </w:r>
      <w:bookmarkEnd w:id="259"/>
      <w:bookmarkEnd w:id="260"/>
    </w:p>
    <w:p>
      <w:pPr>
        <w:pStyle w:val="ySubsection"/>
        <w:rPr>
          <w:snapToGrid w:val="0"/>
        </w:rPr>
      </w:pPr>
      <w:r>
        <w:rPr>
          <w:snapToGrid w:val="0"/>
        </w:rPr>
        <w:tab/>
        <w:t>(1)</w:t>
      </w:r>
      <w:r>
        <w:rPr>
          <w:snapToGrid w:val="0"/>
        </w:rPr>
        <w:tab/>
        <w:t>The first meeting of the Authority is to be convened by the chairperson and subsequently, subject to subclause (2), meetings are to be held at the times and places that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is to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Authority is 3 members.</w:t>
      </w:r>
    </w:p>
    <w:p>
      <w:pPr>
        <w:pStyle w:val="ySubsection"/>
        <w:rPr>
          <w:snapToGrid w:val="0"/>
        </w:rPr>
      </w:pPr>
      <w:r>
        <w:rPr>
          <w:snapToGrid w:val="0"/>
        </w:rPr>
        <w:tab/>
        <w:t>(6)</w:t>
      </w:r>
      <w:r>
        <w:rPr>
          <w:snapToGrid w:val="0"/>
        </w:rPr>
        <w:tab/>
        <w:t>At any meeting of the Authority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Authority is to cause accurate minutes to be kept of the proceedings at its meetings.</w:t>
      </w:r>
    </w:p>
    <w:p>
      <w:pPr>
        <w:pStyle w:val="yHeading5"/>
        <w:outlineLvl w:val="9"/>
        <w:rPr>
          <w:snapToGrid w:val="0"/>
        </w:rPr>
      </w:pPr>
      <w:bookmarkStart w:id="261" w:name="_Toc44994567"/>
      <w:bookmarkStart w:id="262" w:name="_Toc122837455"/>
      <w:r>
        <w:rPr>
          <w:snapToGrid w:val="0"/>
        </w:rPr>
        <w:t>7.</w:t>
      </w:r>
      <w:r>
        <w:rPr>
          <w:snapToGrid w:val="0"/>
        </w:rPr>
        <w:tab/>
        <w:t>Committees</w:t>
      </w:r>
      <w:bookmarkEnd w:id="261"/>
      <w:bookmarkEnd w:id="262"/>
    </w:p>
    <w:p>
      <w:pPr>
        <w:pStyle w:val="ySubsection"/>
        <w:rPr>
          <w:snapToGrid w:val="0"/>
        </w:rPr>
      </w:pPr>
      <w:r>
        <w:rPr>
          <w:snapToGrid w:val="0"/>
        </w:rPr>
        <w:tab/>
        <w:t>(1)</w:t>
      </w:r>
      <w:r>
        <w:rPr>
          <w:snapToGrid w:val="0"/>
        </w:rPr>
        <w:tab/>
        <w:t>The Authority may from time to time appoint committees of those members, or those members and other persons, that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28, each committee may determine its own procedures.</w:t>
      </w:r>
    </w:p>
    <w:p>
      <w:pPr>
        <w:pStyle w:val="yHeading5"/>
        <w:outlineLvl w:val="9"/>
        <w:rPr>
          <w:snapToGrid w:val="0"/>
        </w:rPr>
      </w:pPr>
      <w:bookmarkStart w:id="263" w:name="_Toc44994568"/>
      <w:bookmarkStart w:id="264" w:name="_Toc122837456"/>
      <w:r>
        <w:rPr>
          <w:snapToGrid w:val="0"/>
        </w:rPr>
        <w:t>8.</w:t>
      </w:r>
      <w:r>
        <w:rPr>
          <w:snapToGrid w:val="0"/>
        </w:rPr>
        <w:tab/>
        <w:t>Resolution may be passed without meeting</w:t>
      </w:r>
      <w:bookmarkEnd w:id="263"/>
      <w:bookmarkEnd w:id="264"/>
    </w:p>
    <w:p>
      <w:pPr>
        <w:pStyle w:val="ySubsection"/>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Authority.</w:t>
      </w:r>
    </w:p>
    <w:p>
      <w:pPr>
        <w:pStyle w:val="yHeading5"/>
        <w:outlineLvl w:val="9"/>
        <w:rPr>
          <w:snapToGrid w:val="0"/>
        </w:rPr>
      </w:pPr>
      <w:bookmarkStart w:id="265" w:name="_Toc44994569"/>
      <w:bookmarkStart w:id="266" w:name="_Toc122837457"/>
      <w:r>
        <w:rPr>
          <w:snapToGrid w:val="0"/>
        </w:rPr>
        <w:t>9.</w:t>
      </w:r>
      <w:r>
        <w:rPr>
          <w:snapToGrid w:val="0"/>
        </w:rPr>
        <w:tab/>
        <w:t>Leave of absence</w:t>
      </w:r>
      <w:bookmarkEnd w:id="265"/>
      <w:bookmarkEnd w:id="266"/>
    </w:p>
    <w:p>
      <w:pPr>
        <w:pStyle w:val="ySubsection"/>
        <w:rPr>
          <w:snapToGrid w:val="0"/>
        </w:rPr>
      </w:pPr>
      <w:r>
        <w:rPr>
          <w:snapToGrid w:val="0"/>
        </w:rPr>
        <w:tab/>
      </w:r>
      <w:r>
        <w:rPr>
          <w:snapToGrid w:val="0"/>
        </w:rPr>
        <w:tab/>
        <w:t>The Authority may grant leave of absence to a member on the terms and conditions that the Authority thinks fit.</w:t>
      </w:r>
    </w:p>
    <w:p>
      <w:pPr>
        <w:pStyle w:val="yHeading5"/>
        <w:outlineLvl w:val="9"/>
        <w:rPr>
          <w:snapToGrid w:val="0"/>
        </w:rPr>
      </w:pPr>
      <w:bookmarkStart w:id="267" w:name="_Toc44994570"/>
      <w:bookmarkStart w:id="268" w:name="_Toc122837458"/>
      <w:r>
        <w:rPr>
          <w:snapToGrid w:val="0"/>
        </w:rPr>
        <w:t>10.</w:t>
      </w:r>
      <w:r>
        <w:rPr>
          <w:snapToGrid w:val="0"/>
        </w:rPr>
        <w:tab/>
        <w:t>Authority to determine own procedures</w:t>
      </w:r>
      <w:bookmarkEnd w:id="267"/>
      <w:bookmarkEnd w:id="268"/>
    </w:p>
    <w:p>
      <w:pPr>
        <w:pStyle w:val="ySubsection"/>
        <w:rPr>
          <w:snapToGrid w:val="0"/>
        </w:rPr>
      </w:pPr>
      <w:r>
        <w:rPr>
          <w:snapToGrid w:val="0"/>
        </w:rPr>
        <w:tab/>
      </w:r>
      <w:r>
        <w:rPr>
          <w:snapToGrid w:val="0"/>
        </w:rPr>
        <w:tab/>
        <w:t>Subject to this Act, the Authority is to determine its own procedures.</w:t>
      </w:r>
    </w:p>
    <w:p>
      <w:pPr>
        <w:pStyle w:val="yFootnotesection"/>
      </w:pPr>
      <w:r>
        <w:tab/>
        <w:t>[Schedule 2 amended by No. 14 of 1996 s.4.]</w:t>
      </w:r>
    </w:p>
    <w:p>
      <w:pPr>
        <w:pStyle w:val="yEdnoteschedule"/>
      </w:pPr>
      <w:bookmarkStart w:id="269" w:name="_Toc92771311"/>
      <w:r>
        <w:t>[Schedule 3 omitted under the Reprints Act 1984 s.7(4)(e).]</w:t>
      </w:r>
      <w:bookmarkEnd w:id="269"/>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70" w:name="_Toc92771312"/>
      <w:bookmarkStart w:id="271" w:name="_Toc114631586"/>
      <w:bookmarkStart w:id="272" w:name="_Toc122837459"/>
      <w:r>
        <w:t>Notes</w:t>
      </w:r>
      <w:bookmarkEnd w:id="270"/>
      <w:bookmarkEnd w:id="271"/>
      <w:bookmarkEnd w:id="272"/>
    </w:p>
    <w:p>
      <w:pPr>
        <w:pStyle w:val="nSubsection"/>
      </w:pPr>
      <w:r>
        <w:rPr>
          <w:snapToGrid w:val="0"/>
          <w:vertAlign w:val="superscript"/>
        </w:rPr>
        <w:t>1</w:t>
      </w:r>
      <w:r>
        <w:rPr>
          <w:snapToGrid w:val="0"/>
        </w:rPr>
        <w:tab/>
      </w:r>
      <w:r>
        <w:t xml:space="preserve">This is a compilation of the </w:t>
      </w:r>
      <w:r>
        <w:rPr>
          <w:i/>
          <w:noProof/>
          <w:snapToGrid w:val="0"/>
        </w:rPr>
        <w:t>Subiaco Redevelopment Act 1994</w:t>
      </w:r>
      <w:r>
        <w:rPr>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73" w:name="_Toc122837460"/>
      <w:r>
        <w:rPr>
          <w:snapToGrid w:val="0"/>
        </w:rPr>
        <w:t>Compilation table</w:t>
      </w:r>
      <w:bookmarkEnd w:id="2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Subiaco Redevelopment Act 1994</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Pt. 5</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5</w:t>
            </w:r>
            <w:r>
              <w:rPr>
                <w:sz w:val="19"/>
                <w:vertAlign w:val="superscript"/>
              </w:rPr>
              <w:t> 4</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57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116</w:t>
            </w:r>
            <w:r>
              <w:rPr>
                <w:sz w:val="19"/>
                <w:vertAlign w:val="superscript"/>
              </w:rPr>
              <w:t> 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w:t>
            </w:r>
          </w:p>
        </w:tc>
      </w:tr>
      <w:tr>
        <w:trPr>
          <w:cantSplit/>
        </w:trPr>
        <w:tc>
          <w:tcPr>
            <w:tcW w:w="2268" w:type="dxa"/>
          </w:tcPr>
          <w:p>
            <w:pPr>
              <w:pStyle w:val="nTable"/>
              <w:spacing w:after="40"/>
              <w:ind w:right="113"/>
              <w:rPr>
                <w:sz w:val="19"/>
              </w:rPr>
            </w:pPr>
            <w:r>
              <w:rPr>
                <w:i/>
                <w:sz w:val="19"/>
              </w:rPr>
              <w:t>Planning Appeals Amendment Act 2002</w:t>
            </w:r>
            <w:r>
              <w:rPr>
                <w:sz w:val="19"/>
              </w:rPr>
              <w:t xml:space="preserve"> s. 29</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ind w:right="113"/>
              <w:rPr>
                <w:sz w:val="19"/>
              </w:rPr>
            </w:pPr>
            <w:r>
              <w:rPr>
                <w:i/>
                <w:sz w:val="19"/>
              </w:rPr>
              <w:t>Public Transport Authority Act 2003</w:t>
            </w:r>
            <w:r>
              <w:rPr>
                <w:sz w:val="19"/>
              </w:rPr>
              <w:t xml:space="preserve"> s. 154</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Environmental Protection Amendment Act 2003</w:t>
            </w:r>
            <w:r>
              <w:rPr>
                <w:sz w:val="19"/>
              </w:rPr>
              <w:t xml:space="preserve"> </w:t>
            </w:r>
            <w:bookmarkStart w:id="274" w:name="UpToHere"/>
            <w:bookmarkEnd w:id="274"/>
            <w:r>
              <w:rPr>
                <w:sz w:val="19"/>
              </w:rPr>
              <w:t>s. 68(7)</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122</w:t>
            </w:r>
            <w:r>
              <w:rPr>
                <w:iCs/>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4536" w:type="dxa"/>
            <w:gridSpan w:val="3"/>
            <w:tcBorders>
              <w:bottom w:val="single" w:sz="8" w:space="0" w:color="auto"/>
            </w:tcBorders>
          </w:tcPr>
          <w:p>
            <w:pPr>
              <w:pStyle w:val="nTable"/>
              <w:spacing w:after="40"/>
              <w:rPr>
                <w:sz w:val="19"/>
              </w:rPr>
            </w:pPr>
            <w:r>
              <w:rPr>
                <w:i/>
                <w:iCs/>
                <w:sz w:val="19"/>
              </w:rPr>
              <w:t>Subiaco Redevelopment (Subtracted Area) Regulations 2005</w:t>
            </w:r>
            <w:r>
              <w:rPr>
                <w:sz w:val="19"/>
              </w:rPr>
              <w:t xml:space="preserve"> r. 3 (published in </w:t>
            </w:r>
            <w:r>
              <w:rPr>
                <w:i/>
                <w:iCs/>
                <w:sz w:val="19"/>
              </w:rPr>
              <w:t>Gazette</w:t>
            </w:r>
            <w:r>
              <w:rPr>
                <w:sz w:val="19"/>
              </w:rPr>
              <w:t xml:space="preserve"> 16 Sep 2005 p. 4318</w:t>
            </w:r>
            <w:r>
              <w:rPr>
                <w:sz w:val="19"/>
              </w:rPr>
              <w:noBreakHyphen/>
              <w:t>19)</w:t>
            </w:r>
          </w:p>
        </w:tc>
        <w:tc>
          <w:tcPr>
            <w:tcW w:w="2551" w:type="dxa"/>
            <w:tcBorders>
              <w:bottom w:val="single" w:sz="8" w:space="0" w:color="auto"/>
            </w:tcBorders>
          </w:tcPr>
          <w:p>
            <w:pPr>
              <w:pStyle w:val="nTable"/>
              <w:spacing w:after="40"/>
              <w:rPr>
                <w:sz w:val="19"/>
              </w:rPr>
            </w:pPr>
            <w:r>
              <w:rPr>
                <w:sz w:val="19"/>
              </w:rPr>
              <w:t xml:space="preserve">17 Sep 2005 (see r. 3(2) and </w:t>
            </w:r>
            <w:r>
              <w:rPr>
                <w:i/>
                <w:iCs/>
                <w:sz w:val="19"/>
              </w:rPr>
              <w:t>Gazette</w:t>
            </w:r>
            <w:r>
              <w:rPr>
                <w:sz w:val="19"/>
              </w:rPr>
              <w:t xml:space="preserve"> 16 Sep 2005 p. 4322-3)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5" w:name="_Toc534778309"/>
      <w:bookmarkStart w:id="276" w:name="_Toc7405063"/>
      <w:bookmarkStart w:id="277" w:name="_Toc117408453"/>
      <w:bookmarkStart w:id="278" w:name="_Toc122837461"/>
      <w:r>
        <w:rPr>
          <w:snapToGrid w:val="0"/>
        </w:rPr>
        <w:t>Provisions that have not come into operation</w:t>
      </w:r>
      <w:bookmarkEnd w:id="275"/>
      <w:bookmarkEnd w:id="276"/>
      <w:bookmarkEnd w:id="277"/>
      <w:bookmarkEnd w:id="27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6</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 </w:t>
      </w:r>
      <w:r>
        <w:rPr>
          <w:i/>
          <w:snapToGrid w:val="0"/>
        </w:rPr>
        <w:t>Public Sector Management Act 1994</w:t>
      </w:r>
      <w:r>
        <w:rPr>
          <w:snapToGrid w:val="0"/>
        </w:rPr>
        <w:t xml:space="preserve"> (No. 31 of 1994).</w:t>
      </w:r>
    </w:p>
    <w:p>
      <w:pPr>
        <w:pStyle w:val="nSubsection"/>
      </w:pPr>
      <w:r>
        <w:rPr>
          <w:vertAlign w:val="superscript"/>
        </w:rPr>
        <w:t>3</w:t>
      </w:r>
      <w:r>
        <w:tab/>
        <w:t xml:space="preserve">Section 116(2) of the </w:t>
      </w:r>
      <w:r>
        <w:rPr>
          <w:i/>
        </w:rPr>
        <w:t>Statutes (Repeals and Minor Amendments) Act 1997</w:t>
      </w:r>
      <w:r>
        <w:t xml:space="preserve"> (No. 57 of 1997) reads as follows —</w:t>
      </w:r>
    </w:p>
    <w:p>
      <w:pPr>
        <w:pStyle w:val="MiscOpen"/>
      </w:pPr>
      <w:r>
        <w:t>“</w:t>
      </w:r>
    </w:p>
    <w:p>
      <w:pPr>
        <w:pStyle w:val="nzSubsection"/>
      </w:pPr>
      <w:r>
        <w:tab/>
        <w:t>(2)</w:t>
      </w:r>
      <w:r>
        <w:tab/>
        <w:t>The person appointed and holding office under section 7(1)(c) as a member of the Subiaco Redevelopment Authority immediately before the commencement of this section continues to hold office after that commencement as if appointed as a member of the Subiaco Redevelopment Authority under section 7(1)(a).</w:t>
      </w:r>
    </w:p>
    <w:p>
      <w:pPr>
        <w:pStyle w:val="MiscClose"/>
      </w:pPr>
      <w:r>
        <w:t>”.</w:t>
      </w:r>
    </w:p>
    <w:p>
      <w:pPr>
        <w:pStyle w:val="nSubsection"/>
        <w:rPr>
          <w:snapToGrid w:val="0"/>
        </w:rPr>
      </w:pPr>
      <w:r>
        <w:rPr>
          <w:snapToGrid w:val="0"/>
          <w:vertAlign w:val="superscript"/>
        </w:rPr>
        <w:t>4</w:t>
      </w:r>
      <w:r>
        <w:rPr>
          <w:snapToGrid w:val="0"/>
        </w:rPr>
        <w:tab/>
        <w:t xml:space="preserve">Section 39(2), (3) and (4) of the </w:t>
      </w:r>
      <w:r>
        <w:rPr>
          <w:i/>
          <w:snapToGrid w:val="0"/>
        </w:rPr>
        <w:t>Planning Legislation Amendment Act 1996</w:t>
      </w:r>
      <w:r>
        <w:rPr>
          <w:snapToGrid w:val="0"/>
        </w:rPr>
        <w:t xml:space="preserve"> (No. 23 of 1996)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40, 41, 42 and 42A of the principal Act do not apply to or in relation to a redevelopment scheme, or an amendment to a redevelopment scheme, which the Authority has resolved to prepare for submission to the Minister under section 33(1), or section 38 as read with section 33(1),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33(4), or section 38 as read with section 33(4), of the principal Act in respect of a proposed redevelopment scheme, or a proposed amendment to a redevelopment scheme, referred to in subsection (2), direct the Authority to ensure compliance with sections 40 and 41 of the principal Act and the Authority must comply with that direction before resubmitting that redevelopment scheme or amendment to the Minister under section 33(1), or section 38 as read with section 33(1), of the principal Act.</w:t>
      </w:r>
    </w:p>
    <w:p>
      <w:pPr>
        <w:pStyle w:val="nzSubsection"/>
        <w:rPr>
          <w:snapToGrid w:val="0"/>
        </w:rPr>
      </w:pPr>
      <w:r>
        <w:rPr>
          <w:snapToGrid w:val="0"/>
        </w:rPr>
        <w:tab/>
        <w:t>(4)</w:t>
      </w:r>
      <w:r>
        <w:rPr>
          <w:snapToGrid w:val="0"/>
        </w:rPr>
        <w:tab/>
        <w:t xml:space="preserve">If a redevelopment scheme or amendment in respect of which a direction given under subsection (3) has been complied with is subsequently approved, with or without amendments, under section 33(4), or section 38 as read with section 33(4), of the principal Act, the Authority shall, if it wishes to proceed with that redevelopment scheme or amendment, ensure that sections 42 and 42A of the principal Act are complied with in respect of that redevelopment scheme or amendment. </w:t>
      </w:r>
    </w:p>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279" w:name="_Toc476631191"/>
      <w:bookmarkStart w:id="280" w:name="_Toc477066412"/>
      <w:bookmarkStart w:id="281" w:name="_Toc497301942"/>
      <w:bookmarkStart w:id="282" w:name="_Toc83657956"/>
      <w:bookmarkStart w:id="283" w:name="_Toc122243710"/>
      <w:bookmarkStart w:id="284" w:name="_Toc122425166"/>
      <w:r>
        <w:rPr>
          <w:rStyle w:val="CharSectno"/>
        </w:rPr>
        <w:t>15</w:t>
      </w:r>
      <w:r>
        <w:t>.</w:t>
      </w:r>
      <w:r>
        <w:tab/>
        <w:t>Acts in Schedule 2 amended</w:t>
      </w:r>
      <w:bookmarkEnd w:id="279"/>
      <w:bookmarkEnd w:id="280"/>
      <w:bookmarkEnd w:id="281"/>
      <w:bookmarkEnd w:id="282"/>
      <w:bookmarkEnd w:id="283"/>
      <w:bookmarkEnd w:id="284"/>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64 reads as follows:</w:t>
      </w:r>
    </w:p>
    <w:p>
      <w:pPr>
        <w:pStyle w:val="MiscOpen"/>
      </w:pPr>
      <w:r>
        <w:t>“</w:t>
      </w:r>
    </w:p>
    <w:p>
      <w:pPr>
        <w:pStyle w:val="nzHeading2"/>
      </w:pPr>
      <w:bookmarkStart w:id="285" w:name="_Toc122243734"/>
      <w:bookmarkStart w:id="286" w:name="_Toc122425190"/>
      <w:r>
        <w:rPr>
          <w:rStyle w:val="CharSchNo"/>
        </w:rPr>
        <w:t>Schedule 2</w:t>
      </w:r>
      <w:r>
        <w:rPr>
          <w:rStyle w:val="CharSDivNo"/>
        </w:rPr>
        <w:t> </w:t>
      </w:r>
      <w:r>
        <w:t>—</w:t>
      </w:r>
      <w:r>
        <w:rPr>
          <w:rStyle w:val="CharSDivText"/>
        </w:rPr>
        <w:t> </w:t>
      </w:r>
      <w:r>
        <w:rPr>
          <w:rStyle w:val="CharSchText"/>
        </w:rPr>
        <w:t>Consequential amendments</w:t>
      </w:r>
      <w:bookmarkEnd w:id="285"/>
      <w:bookmarkEnd w:id="286"/>
    </w:p>
    <w:p>
      <w:pPr>
        <w:pStyle w:val="nzMiscellaneousBody"/>
        <w:jc w:val="right"/>
      </w:pPr>
      <w:r>
        <w:t>[s.</w:t>
      </w:r>
      <w:bookmarkStart w:id="287" w:name="_Hlt485012328"/>
      <w:r>
        <w:t> 15</w:t>
      </w:r>
      <w:bookmarkEnd w:id="287"/>
      <w:r>
        <w:t>]</w:t>
      </w:r>
    </w:p>
    <w:p>
      <w:pPr>
        <w:pStyle w:val="nzHeading5"/>
      </w:pPr>
      <w:bookmarkStart w:id="288" w:name="_Toc476631259"/>
      <w:bookmarkStart w:id="289" w:name="_Toc477066479"/>
      <w:bookmarkStart w:id="290" w:name="_Toc497302007"/>
      <w:bookmarkStart w:id="291" w:name="_Toc83658073"/>
      <w:bookmarkStart w:id="292" w:name="_Toc122243798"/>
      <w:bookmarkStart w:id="293" w:name="_Toc122425254"/>
      <w:r>
        <w:rPr>
          <w:rStyle w:val="CharSClsNo"/>
        </w:rPr>
        <w:t>64</w:t>
      </w:r>
      <w:r>
        <w:t>.</w:t>
      </w:r>
      <w:r>
        <w:tab/>
      </w:r>
      <w:r>
        <w:rPr>
          <w:i/>
        </w:rPr>
        <w:t>Subiaco Redevelopment Act 1994</w:t>
      </w:r>
      <w:bookmarkEnd w:id="288"/>
      <w:bookmarkEnd w:id="289"/>
      <w:bookmarkEnd w:id="290"/>
      <w:bookmarkEnd w:id="291"/>
      <w:bookmarkEnd w:id="292"/>
      <w:bookmarkEnd w:id="293"/>
    </w:p>
    <w:p>
      <w:pPr>
        <w:pStyle w:val="nzSubsection"/>
      </w:pPr>
      <w:r>
        <w:tab/>
        <w:t>(1)</w:t>
      </w:r>
      <w:r>
        <w:tab/>
        <w:t>Section 3 is amended as follows:</w:t>
      </w:r>
    </w:p>
    <w:p>
      <w:pPr>
        <w:pStyle w:val="nzIndenta"/>
      </w:pPr>
      <w:r>
        <w:tab/>
        <w:t>(a)</w:t>
      </w:r>
      <w:r>
        <w:tab/>
        <w:t xml:space="preserve">in the definition of “development” by deleting “Town Planning Act” and inserting instead — </w:t>
      </w:r>
    </w:p>
    <w:p>
      <w:pPr>
        <w:pStyle w:val="nzIndenta"/>
      </w:pPr>
      <w:r>
        <w:tab/>
      </w:r>
      <w:r>
        <w:tab/>
        <w:t xml:space="preserve">“    </w:t>
      </w:r>
      <w:r>
        <w:rPr>
          <w:i/>
        </w:rPr>
        <w:t>Planning and Development Act 2005</w:t>
      </w:r>
      <w:r>
        <w:t xml:space="preserve">    ”;</w:t>
      </w:r>
    </w:p>
    <w:p>
      <w:pPr>
        <w:pStyle w:val="nzIndenta"/>
      </w:pPr>
      <w:r>
        <w:tab/>
        <w:t>(b)</w:t>
      </w:r>
      <w:r>
        <w:tab/>
        <w:t xml:space="preserve">in the definition of “Metropolitan Region Scheme” by deleting “Metropolitan Scheme Act” and inserting instead — </w:t>
      </w:r>
    </w:p>
    <w:p>
      <w:pPr>
        <w:pStyle w:val="nzIndenta"/>
      </w:pPr>
      <w:r>
        <w:tab/>
      </w:r>
      <w:r>
        <w:tab/>
        <w:t xml:space="preserve">“    </w:t>
      </w:r>
      <w:r>
        <w:rPr>
          <w:i/>
        </w:rPr>
        <w:t>Planning and Development Act 2005</w:t>
      </w:r>
      <w:r>
        <w:t xml:space="preserve">    ”;</w:t>
      </w:r>
    </w:p>
    <w:p>
      <w:pPr>
        <w:pStyle w:val="nzIndenta"/>
      </w:pPr>
      <w:r>
        <w:tab/>
        <w:t>(c)</w:t>
      </w:r>
      <w:r>
        <w:tab/>
        <w:t>by deleting the definitions of “Metropolitan Scheme Act” and “Town Planning Act”.</w:t>
      </w:r>
    </w:p>
    <w:p>
      <w:pPr>
        <w:pStyle w:val="nzSubsection"/>
      </w:pPr>
      <w:r>
        <w:tab/>
        <w:t>(2)</w:t>
      </w:r>
      <w:r>
        <w:tab/>
        <w:t xml:space="preserve">Section 5(4)(a) is amended by deleting “town” and inserting instead — </w:t>
      </w:r>
    </w:p>
    <w:p>
      <w:pPr>
        <w:pStyle w:val="nzSubsection"/>
      </w:pPr>
      <w:r>
        <w:tab/>
      </w:r>
      <w:r>
        <w:tab/>
        <w:t>“    local    ”.</w:t>
      </w:r>
    </w:p>
    <w:p>
      <w:pPr>
        <w:pStyle w:val="nzSubsection"/>
      </w:pPr>
      <w:r>
        <w:tab/>
        <w:t>(3)</w:t>
      </w:r>
      <w:r>
        <w:tab/>
        <w:t>Section 21(7) is amended as follows:</w:t>
      </w:r>
    </w:p>
    <w:p>
      <w:pPr>
        <w:pStyle w:val="nzIndenta"/>
      </w:pPr>
      <w:r>
        <w:tab/>
        <w:t>(a)</w:t>
      </w:r>
      <w:r>
        <w:tab/>
        <w:t xml:space="preserve">by deleting “section 20 of the Town Planning Act” and inserting instead — </w:t>
      </w:r>
    </w:p>
    <w:p>
      <w:pPr>
        <w:pStyle w:val="MiscOpen"/>
        <w:ind w:left="880"/>
      </w:pPr>
      <w:r>
        <w:t xml:space="preserve">“    </w:t>
      </w:r>
    </w:p>
    <w:p>
      <w:pPr>
        <w:pStyle w:val="nzSubsection"/>
      </w:pPr>
      <w:r>
        <w:tab/>
      </w:r>
      <w:r>
        <w:tab/>
        <w:t xml:space="preserve">sections 135 and 136 of the </w:t>
      </w:r>
      <w:r>
        <w:rPr>
          <w:i/>
        </w:rPr>
        <w:t>Planning and Development Act 2005</w:t>
      </w:r>
    </w:p>
    <w:p>
      <w:pPr>
        <w:pStyle w:val="MiscClose"/>
        <w:rPr>
          <w:sz w:val="22"/>
        </w:rPr>
      </w:pPr>
      <w:r>
        <w:rPr>
          <w:sz w:val="22"/>
        </w:rPr>
        <w:t xml:space="preserve">    ”;</w:t>
      </w:r>
    </w:p>
    <w:p>
      <w:pPr>
        <w:pStyle w:val="nzIndenta"/>
      </w:pPr>
      <w:r>
        <w:tab/>
        <w:t>(b)</w:t>
      </w:r>
      <w:r>
        <w:tab/>
        <w:t xml:space="preserve">in paragraphs (a) and (b) by deleting “State Planning Commission” in both places where it occurs and inserting instead — </w:t>
      </w:r>
    </w:p>
    <w:p>
      <w:pPr>
        <w:pStyle w:val="nzIndenta"/>
      </w:pPr>
      <w:r>
        <w:tab/>
      </w:r>
      <w:r>
        <w:tab/>
        <w:t>“    Western Australian Planning Commission    ”;</w:t>
      </w:r>
    </w:p>
    <w:p>
      <w:pPr>
        <w:pStyle w:val="nzIndenta"/>
      </w:pPr>
      <w:r>
        <w:tab/>
        <w:t>(c)</w:t>
      </w:r>
      <w:r>
        <w:tab/>
        <w:t xml:space="preserve">in paragraph (c) by deleting “section 21 of the Town Planning Act” and inserting instead — </w:t>
      </w:r>
    </w:p>
    <w:p>
      <w:pPr>
        <w:pStyle w:val="MiscOpen"/>
        <w:ind w:left="1616"/>
        <w:rPr>
          <w:sz w:val="22"/>
        </w:rPr>
      </w:pPr>
      <w:r>
        <w:rPr>
          <w:sz w:val="22"/>
        </w:rPr>
        <w:t xml:space="preserve">“    </w:t>
      </w:r>
    </w:p>
    <w:p>
      <w:pPr>
        <w:pStyle w:val="nzIndenta"/>
      </w:pPr>
      <w:r>
        <w:tab/>
      </w:r>
      <w:r>
        <w:tab/>
        <w:t xml:space="preserve">section 147 of the </w:t>
      </w:r>
      <w:r>
        <w:rPr>
          <w:i/>
        </w:rPr>
        <w:t>Planning and Development Act 2005</w:t>
      </w:r>
    </w:p>
    <w:p>
      <w:pPr>
        <w:pStyle w:val="MiscClose"/>
        <w:rPr>
          <w:sz w:val="22"/>
        </w:rPr>
      </w:pPr>
      <w:r>
        <w:rPr>
          <w:sz w:val="22"/>
        </w:rPr>
        <w:t xml:space="preserve">    ”.</w:t>
      </w:r>
    </w:p>
    <w:p>
      <w:pPr>
        <w:pStyle w:val="nzSubsection"/>
      </w:pPr>
      <w:r>
        <w:tab/>
        <w:t>(4)</w:t>
      </w:r>
      <w:r>
        <w:tab/>
        <w:t xml:space="preserve">Section 28(2)(c) is amended by deleting “Town Planning Act” and inserting instead — </w:t>
      </w:r>
    </w:p>
    <w:p>
      <w:pPr>
        <w:pStyle w:val="nzSubsection"/>
      </w:pPr>
      <w:r>
        <w:tab/>
      </w:r>
      <w:r>
        <w:tab/>
        <w:t xml:space="preserve">“    </w:t>
      </w:r>
      <w:r>
        <w:rPr>
          <w:i/>
        </w:rPr>
        <w:t>Planning and Development Act 2005</w:t>
      </w:r>
      <w:r>
        <w:t xml:space="preserve">    ”.</w:t>
      </w:r>
    </w:p>
    <w:p>
      <w:pPr>
        <w:pStyle w:val="nzSubsection"/>
      </w:pPr>
      <w:r>
        <w:tab/>
        <w:t>(5)</w:t>
      </w:r>
      <w:r>
        <w:tab/>
        <w:t xml:space="preserve">Section 32 is amended by deleting “a town planning scheme under the Town Planning Act” and inserting instead — </w:t>
      </w:r>
    </w:p>
    <w:p>
      <w:pPr>
        <w:pStyle w:val="MiscOpen"/>
        <w:ind w:left="879"/>
        <w:rPr>
          <w:sz w:val="22"/>
        </w:rPr>
      </w:pPr>
      <w:r>
        <w:rPr>
          <w:sz w:val="22"/>
        </w:rPr>
        <w:t xml:space="preserve">“    </w:t>
      </w:r>
    </w:p>
    <w:p>
      <w:pPr>
        <w:pStyle w:val="nzSubsection"/>
      </w:pPr>
      <w:r>
        <w:tab/>
      </w:r>
      <w:r>
        <w:tab/>
        <w:t xml:space="preserve">a local planning scheme under the </w:t>
      </w:r>
      <w:r>
        <w:rPr>
          <w:i/>
        </w:rPr>
        <w:t>Planning and Development Act 2005</w:t>
      </w:r>
    </w:p>
    <w:p>
      <w:pPr>
        <w:pStyle w:val="MiscClose"/>
        <w:rPr>
          <w:sz w:val="22"/>
        </w:rPr>
      </w:pPr>
      <w:r>
        <w:rPr>
          <w:sz w:val="22"/>
        </w:rPr>
        <w:t xml:space="preserve">    ”.</w:t>
      </w:r>
    </w:p>
    <w:p>
      <w:pPr>
        <w:pStyle w:val="nzSubsection"/>
      </w:pPr>
      <w:r>
        <w:tab/>
        <w:t>(6)</w:t>
      </w:r>
      <w:r>
        <w:tab/>
        <w:t xml:space="preserve">Section 33(3)(a) is amended by deleting “State Planning Commission” and inserting instead — </w:t>
      </w:r>
    </w:p>
    <w:p>
      <w:pPr>
        <w:pStyle w:val="nzSubsection"/>
      </w:pPr>
      <w:r>
        <w:tab/>
      </w:r>
      <w:r>
        <w:tab/>
        <w:t>“    Western Australian Planning Commission    ”.</w:t>
      </w:r>
    </w:p>
    <w:p>
      <w:pPr>
        <w:pStyle w:val="nzSubsection"/>
      </w:pPr>
      <w:r>
        <w:tab/>
        <w:t>(7)</w:t>
      </w:r>
      <w:r>
        <w:tab/>
        <w:t>Section 45(3)(a) is amended as follows:</w:t>
      </w:r>
    </w:p>
    <w:p>
      <w:pPr>
        <w:pStyle w:val="nzIndenta"/>
      </w:pPr>
      <w:r>
        <w:tab/>
        <w:t>(a)</w:t>
      </w:r>
      <w:r>
        <w:tab/>
        <w:t>by deleting “and” after paragraph (a);</w:t>
      </w:r>
    </w:p>
    <w:p>
      <w:pPr>
        <w:pStyle w:val="nzIndenta"/>
      </w:pPr>
      <w:r>
        <w:tab/>
        <w:t>(b)</w:t>
      </w:r>
      <w:r>
        <w:tab/>
        <w:t xml:space="preserve">by inserting after paragraph (a) — </w:t>
      </w:r>
    </w:p>
    <w:p>
      <w:pPr>
        <w:pStyle w:val="MiscOpen"/>
        <w:ind w:left="1340"/>
        <w:rPr>
          <w:sz w:val="22"/>
        </w:rPr>
      </w:pPr>
      <w:r>
        <w:rPr>
          <w:sz w:val="22"/>
        </w:rPr>
        <w:t xml:space="preserve">“    </w:t>
      </w:r>
    </w:p>
    <w:p>
      <w:pPr>
        <w:pStyle w:val="nz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MiscClose"/>
        <w:rPr>
          <w:sz w:val="22"/>
        </w:rPr>
      </w:pPr>
      <w:r>
        <w:rPr>
          <w:sz w:val="22"/>
        </w:rPr>
        <w:t xml:space="preserve">    ”.</w:t>
      </w:r>
    </w:p>
    <w:p>
      <w:pPr>
        <w:pStyle w:val="nzSubsection"/>
      </w:pPr>
      <w:r>
        <w:tab/>
        <w:t>(8)</w:t>
      </w:r>
      <w:r>
        <w:tab/>
        <w:t xml:space="preserve">Section 52(1) is amended by deleting “Part V of the Town Planning Act” and inserting instead — </w:t>
      </w:r>
    </w:p>
    <w:p>
      <w:pPr>
        <w:pStyle w:val="nzSubsection"/>
      </w:pPr>
      <w:r>
        <w:tab/>
      </w:r>
      <w:r>
        <w:tab/>
        <w:t xml:space="preserve">“    Part 14 of the </w:t>
      </w:r>
      <w:r>
        <w:rPr>
          <w:i/>
        </w:rPr>
        <w:t>Planning and Development Act 2005</w:t>
      </w:r>
      <w:r>
        <w:t xml:space="preserve">    ”.</w:t>
      </w:r>
    </w:p>
    <w:p>
      <w:pPr>
        <w:pStyle w:val="nzSubsection"/>
      </w:pPr>
      <w:r>
        <w:tab/>
        <w:t>(9)</w:t>
      </w:r>
      <w:r>
        <w:tab/>
        <w:t xml:space="preserve">Section 54(2) is amended by deleting “Part V of the Town Planning Act” and inserting instead — </w:t>
      </w:r>
    </w:p>
    <w:p>
      <w:pPr>
        <w:pStyle w:val="nzSubsection"/>
      </w:pPr>
      <w:r>
        <w:tab/>
      </w:r>
      <w:r>
        <w:tab/>
        <w:t xml:space="preserve">“    Part 14 of the </w:t>
      </w:r>
      <w:r>
        <w:rPr>
          <w:i/>
        </w:rPr>
        <w:t>Planning and Development Act 2005</w:t>
      </w:r>
      <w:r>
        <w:t xml:space="preserve">    ”.</w:t>
      </w:r>
    </w:p>
    <w:p>
      <w:pPr>
        <w:pStyle w:val="nzSubsection"/>
      </w:pPr>
      <w:r>
        <w:tab/>
        <w:t>(10)</w:t>
      </w:r>
      <w:r>
        <w:tab/>
        <w:t xml:space="preserve">Section 55(1) and (2) are repealed and the following subsection is inserted instead — </w:t>
      </w:r>
    </w:p>
    <w:p>
      <w:pPr>
        <w:pStyle w:val="MiscOpen"/>
        <w:ind w:left="595"/>
        <w:rPr>
          <w:sz w:val="22"/>
        </w:rPr>
      </w:pPr>
      <w:r>
        <w:rPr>
          <w:sz w:val="22"/>
        </w:rPr>
        <w:t xml:space="preserve">“    </w:t>
      </w:r>
    </w:p>
    <w:p>
      <w:pPr>
        <w:pStyle w:val="nz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nzIndenta"/>
      </w:pPr>
      <w:r>
        <w:tab/>
        <w:t>(a)</w:t>
      </w:r>
      <w:r>
        <w:tab/>
        <w:t>the redevelopment scheme were a planning scheme under that Act;</w:t>
      </w:r>
    </w:p>
    <w:p>
      <w:pPr>
        <w:pStyle w:val="nzIndenta"/>
      </w:pPr>
      <w:r>
        <w:tab/>
        <w:t>(b)</w:t>
      </w:r>
      <w:r>
        <w:tab/>
        <w:t>the Authority were a responsible authority under that Act; and</w:t>
      </w:r>
    </w:p>
    <w:p>
      <w:pPr>
        <w:pStyle w:val="nzIndenta"/>
      </w:pPr>
      <w:r>
        <w:tab/>
        <w:t>(c)</w:t>
      </w:r>
      <w:r>
        <w:tab/>
        <w:t>in the case of land reserved, zoned or classified under the redevelopment scheme for a public purpose, the land were reserved for a public purpose under a planning scheme.</w:t>
      </w:r>
    </w:p>
    <w:p>
      <w:pPr>
        <w:pStyle w:val="MiscClose"/>
        <w:rPr>
          <w:sz w:val="22"/>
        </w:rPr>
      </w:pPr>
      <w:r>
        <w:rPr>
          <w:sz w:val="22"/>
        </w:rPr>
        <w:t xml:space="preserve">    ”.</w:t>
      </w:r>
    </w:p>
    <w:p>
      <w:pPr>
        <w:pStyle w:val="nzSubsection"/>
      </w:pPr>
      <w:r>
        <w:tab/>
        <w:t>(11)</w:t>
      </w:r>
      <w:r>
        <w:tab/>
        <w:t xml:space="preserve">Section 55(3) is amended by deleting “an Act as applied by subsection (1) or (2)” and inserting instead — </w:t>
      </w:r>
    </w:p>
    <w:p>
      <w:pPr>
        <w:pStyle w:val="MiscOpen"/>
        <w:ind w:left="879"/>
        <w:rPr>
          <w:sz w:val="22"/>
        </w:rPr>
      </w:pPr>
      <w:r>
        <w:rPr>
          <w:sz w:val="22"/>
        </w:rPr>
        <w:t xml:space="preserve">“    </w:t>
      </w:r>
    </w:p>
    <w:p>
      <w:pPr>
        <w:pStyle w:val="nzSubsection"/>
      </w:pPr>
      <w:r>
        <w:tab/>
      </w:r>
      <w:r>
        <w:tab/>
        <w:t xml:space="preserve">the </w:t>
      </w:r>
      <w:r>
        <w:rPr>
          <w:i/>
        </w:rPr>
        <w:t xml:space="preserve">Planning and Development Act 2005 </w:t>
      </w:r>
      <w:r>
        <w:t>as applied by subsection (1)</w:t>
      </w:r>
    </w:p>
    <w:p>
      <w:pPr>
        <w:pStyle w:val="MiscClose"/>
        <w:rPr>
          <w:sz w:val="22"/>
        </w:rPr>
      </w:pPr>
      <w:r>
        <w:rPr>
          <w:sz w:val="22"/>
        </w:rPr>
        <w:t xml:space="preserve">    ”.</w:t>
      </w:r>
    </w:p>
    <w:p>
      <w:pPr>
        <w:pStyle w:val="nzSubsection"/>
      </w:pPr>
      <w:r>
        <w:tab/>
        <w:t>(12)</w:t>
      </w:r>
      <w:r>
        <w:tab/>
        <w:t>Section 63 is amended as follows:</w:t>
      </w:r>
    </w:p>
    <w:p>
      <w:pPr>
        <w:pStyle w:val="nzIndenta"/>
      </w:pPr>
      <w:r>
        <w:tab/>
        <w:t>(a)</w:t>
      </w:r>
      <w:r>
        <w:tab/>
        <w:t xml:space="preserve">by deleting “Section 33 of the Town Planning Act” and inserting instead — </w:t>
      </w:r>
    </w:p>
    <w:p>
      <w:pPr>
        <w:pStyle w:val="MiscOpen"/>
        <w:ind w:left="879"/>
        <w:rPr>
          <w:sz w:val="22"/>
        </w:rPr>
      </w:pPr>
      <w:r>
        <w:rPr>
          <w:sz w:val="22"/>
        </w:rPr>
        <w:t xml:space="preserve">“    </w:t>
      </w:r>
    </w:p>
    <w:p>
      <w:pPr>
        <w:pStyle w:val="nzSubsection"/>
      </w:pPr>
      <w:r>
        <w:rPr>
          <w:sz w:val="22"/>
        </w:rPr>
        <w:tab/>
      </w:r>
      <w:r>
        <w:rPr>
          <w:sz w:val="22"/>
        </w:rPr>
        <w:tab/>
      </w:r>
      <w:r>
        <w:t xml:space="preserve">Section 132 of the </w:t>
      </w:r>
      <w:r>
        <w:rPr>
          <w:i/>
        </w:rPr>
        <w:t>Planning and Development Act 2005</w:t>
      </w:r>
    </w:p>
    <w:p>
      <w:pPr>
        <w:pStyle w:val="MiscClose"/>
        <w:rPr>
          <w:sz w:val="22"/>
        </w:rPr>
      </w:pPr>
      <w:r>
        <w:rPr>
          <w:sz w:val="22"/>
        </w:rPr>
        <w:t xml:space="preserve">    ”;</w:t>
      </w:r>
    </w:p>
    <w:p>
      <w:pPr>
        <w:pStyle w:val="nzIndenta"/>
      </w:pPr>
      <w:r>
        <w:tab/>
        <w:t>(b)</w:t>
      </w:r>
      <w:r>
        <w:tab/>
        <w:t xml:space="preserve">in paragraph (a) by deleting “an approved scheme” and inserting instead — </w:t>
      </w:r>
    </w:p>
    <w:p>
      <w:pPr>
        <w:pStyle w:val="nzIndenta"/>
      </w:pPr>
      <w:r>
        <w:tab/>
      </w:r>
      <w:r>
        <w:tab/>
        <w:t>“    a planning scheme    ”.</w:t>
      </w:r>
    </w:p>
    <w:p>
      <w:pPr>
        <w:pStyle w:val="MiscClose"/>
        <w:rPr>
          <w:sz w:val="22"/>
        </w:rPr>
      </w:pPr>
      <w:r>
        <w:rPr>
          <w:sz w:val="22"/>
        </w:rPr>
        <w:t xml:space="preserve">    ”;</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Subiaco Redevelopment Authority</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Establishment of Authority</w:t>
            </w:r>
          </w:fldSimple>
        </w:p>
      </w:tc>
    </w:tr>
    <w:tr>
      <w:trPr>
        <w:cantSplit/>
      </w:trPr>
      <w:tc>
        <w:tcPr>
          <w:tcW w:w="7263" w:type="dxa"/>
          <w:gridSpan w:val="2"/>
        </w:tcPr>
        <w:p>
          <w:pPr>
            <w:pStyle w:val="HeaderSectionLeft"/>
          </w:pPr>
          <w:r>
            <w:t xml:space="preserve">s.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F4B5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20A30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7022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963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5E81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BAB9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7CE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442D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0412E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C207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D56E2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64C50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8C4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7B21E4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116"/>
    <w:docVar w:name="WAFER_20151211092116" w:val="RemoveTrackChanges"/>
    <w:docVar w:name="WAFER_20151211092116_GUID" w:val="9aad002e-7fb5-4a30-a4b2-ca51a8cb06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13666</Words>
  <Characters>66145</Characters>
  <Application>Microsoft Office Word</Application>
  <DocSecurity>0</DocSecurity>
  <Lines>1787</Lines>
  <Paragraphs>1023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Act 1994 - 01-f0-04</dc:title>
  <dc:subject/>
  <dc:creator/>
  <cp:keywords/>
  <dc:description/>
  <cp:lastModifiedBy>svcMRProcess</cp:lastModifiedBy>
  <cp:revision>4</cp:revision>
  <cp:lastPrinted>2000-02-25T06:30:00Z</cp:lastPrinted>
  <dcterms:created xsi:type="dcterms:W3CDTF">2020-02-19T23:15:00Z</dcterms:created>
  <dcterms:modified xsi:type="dcterms:W3CDTF">2020-02-19T23:15:00Z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1994</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799</vt:i4>
  </property>
  <property fmtid="{D5CDD505-2E9C-101B-9397-08002B2CF9AE}" pid="6" name="AsAtDate">
    <vt:lpwstr>12 Dec 2005</vt:lpwstr>
  </property>
  <property fmtid="{D5CDD505-2E9C-101B-9397-08002B2CF9AE}" pid="7" name="Suffix">
    <vt:lpwstr>01-f0-04</vt:lpwstr>
  </property>
</Properties>
</file>