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Sunday Entertainments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Sunday Entertainments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_Toc434855459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_Toc434855460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 entertainments on Sundays, Christmas Day and Good Friday restricted</w:t>
      </w:r>
      <w:r>
        <w:tab/>
      </w:r>
      <w:r>
        <w:fldChar w:fldCharType="begin"/>
      </w:r>
      <w:r>
        <w:instrText xml:space="preserve"> PAGEREF _Toc434855461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_Toc434855463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Sunday Entertainments Act 1979 </w:t>
      </w:r>
    </w:p>
    <w:p>
      <w:pPr>
        <w:pStyle w:val="LongTitle"/>
        <w:rPr>
          <w:snapToGrid w:val="0"/>
        </w:rPr>
      </w:pPr>
      <w:r>
        <w:rPr>
          <w:snapToGrid w:val="0"/>
        </w:rPr>
        <w:t xml:space="preserve">An Act to restrict the keeping, opening or use of places for public entertainment or amusement on Sundays and on Christmas Day and Good Friday, and to provide for purposes connected therewith. </w:t>
      </w:r>
    </w:p>
    <w:p>
      <w:pPr>
        <w:pStyle w:val="Footnotelongtitle"/>
      </w:pPr>
      <w:r>
        <w:tab/>
        <w:t>[Long title amended: No. 70 of 2004 s. 82.]</w:t>
      </w:r>
    </w:p>
    <w:p>
      <w:pPr>
        <w:pStyle w:val="Heading5"/>
        <w:rPr>
          <w:snapToGrid w:val="0"/>
        </w:rPr>
      </w:pPr>
      <w:bookmarkStart w:id="3" w:name="_Toc379203103"/>
      <w:bookmarkStart w:id="4" w:name="_Toc379203210"/>
      <w:bookmarkStart w:id="5" w:name="_Toc434855459"/>
      <w:r>
        <w:rPr>
          <w:rStyle w:val="CharSectno"/>
        </w:rPr>
        <w:t>1</w:t>
      </w:r>
      <w:r>
        <w:rPr>
          <w:snapToGrid w:val="0"/>
        </w:rPr>
        <w:t>.</w:t>
      </w:r>
      <w:r>
        <w:rPr>
          <w:snapToGrid w:val="0"/>
        </w:rPr>
        <w:tab/>
        <w:t>Short title and commencement</w:t>
      </w:r>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Sunday Entertainments Act 1979</w:t>
      </w:r>
      <w:r>
        <w:rPr>
          <w:rFonts w:ascii="Times" w:hAnsi="Times"/>
          <w:iCs/>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rFonts w:ascii="Times" w:hAnsi="Times"/>
          <w:iCs/>
          <w:snapToGrid w:val="0"/>
          <w:vertAlign w:val="superscript"/>
        </w:rPr>
        <w:t> 1</w:t>
      </w:r>
      <w:r>
        <w:rPr>
          <w:snapToGrid w:val="0"/>
        </w:rPr>
        <w:t>.</w:t>
      </w:r>
    </w:p>
    <w:p>
      <w:pPr>
        <w:pStyle w:val="Heading5"/>
        <w:rPr>
          <w:snapToGrid w:val="0"/>
        </w:rPr>
      </w:pPr>
      <w:bookmarkStart w:id="6" w:name="_Toc379203104"/>
      <w:bookmarkStart w:id="7" w:name="_Toc379203211"/>
      <w:bookmarkStart w:id="8" w:name="_Toc434855460"/>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owner</w:t>
      </w:r>
      <w:r>
        <w:t>, in relation to a place, means lessor, landlord or owner of the place;</w:t>
      </w:r>
    </w:p>
    <w:p>
      <w:pPr>
        <w:pStyle w:val="Defstart"/>
      </w:pPr>
      <w:r>
        <w:rPr>
          <w:b/>
        </w:rPr>
        <w:tab/>
      </w:r>
      <w:r>
        <w:rPr>
          <w:rStyle w:val="CharDefText"/>
        </w:rPr>
        <w:t>place</w:t>
      </w:r>
      <w:r>
        <w:t xml:space="preserve"> means any place whatsoever within the State and includes any building, structure, vehicle, aircraft, hovercraft, surface or underwater vessel or floating platform or other man</w:t>
      </w:r>
      <w:r>
        <w:noBreakHyphen/>
        <w:t>made object within the State;</w:t>
      </w:r>
    </w:p>
    <w:p>
      <w:pPr>
        <w:pStyle w:val="Defstart"/>
      </w:pPr>
      <w:r>
        <w:rPr>
          <w:b/>
        </w:rPr>
        <w:tab/>
      </w:r>
      <w:r>
        <w:rPr>
          <w:rStyle w:val="CharDefText"/>
        </w:rPr>
        <w:t>public entertainment or amusement</w:t>
      </w:r>
      <w:r>
        <w:t xml:space="preserve"> does not include address, discussion or lecture on, or exhibition concerned with, art, ethics, literature, science, social duties or any matter of public interest.</w:t>
      </w:r>
    </w:p>
    <w:p>
      <w:pPr>
        <w:pStyle w:val="Heading5"/>
        <w:rPr>
          <w:snapToGrid w:val="0"/>
        </w:rPr>
      </w:pPr>
      <w:bookmarkStart w:id="9" w:name="_Toc379203105"/>
      <w:bookmarkStart w:id="10" w:name="_Toc379203212"/>
      <w:bookmarkStart w:id="11" w:name="_Toc434855461"/>
      <w:r>
        <w:rPr>
          <w:rStyle w:val="CharSectno"/>
        </w:rPr>
        <w:t>3</w:t>
      </w:r>
      <w:r>
        <w:rPr>
          <w:snapToGrid w:val="0"/>
        </w:rPr>
        <w:t>.</w:t>
      </w:r>
      <w:r>
        <w:rPr>
          <w:snapToGrid w:val="0"/>
        </w:rPr>
        <w:tab/>
        <w:t>Public entertainments on Sundays, Christmas Day and Good Friday restricted</w:t>
      </w:r>
      <w:bookmarkEnd w:id="9"/>
      <w:bookmarkEnd w:id="10"/>
      <w:bookmarkEnd w:id="11"/>
      <w:r>
        <w:rPr>
          <w:snapToGrid w:val="0"/>
        </w:rPr>
        <w:t xml:space="preserve"> </w:t>
      </w:r>
    </w:p>
    <w:p>
      <w:pPr>
        <w:pStyle w:val="Subsection"/>
        <w:keepNext/>
        <w:rPr>
          <w:snapToGrid w:val="0"/>
        </w:rPr>
      </w:pPr>
      <w:r>
        <w:rPr>
          <w:snapToGrid w:val="0"/>
        </w:rPr>
        <w:tab/>
        <w:t>(1)</w:t>
      </w:r>
      <w:r>
        <w:rPr>
          <w:snapToGrid w:val="0"/>
        </w:rPr>
        <w:tab/>
        <w:t>Subject to this section, a person who, except with statutory authority — </w:t>
      </w:r>
    </w:p>
    <w:p>
      <w:pPr>
        <w:pStyle w:val="Indenta"/>
        <w:rPr>
          <w:snapToGrid w:val="0"/>
        </w:rPr>
      </w:pPr>
      <w:r>
        <w:rPr>
          <w:snapToGrid w:val="0"/>
        </w:rPr>
        <w:tab/>
        <w:t>(a)</w:t>
      </w:r>
      <w:r>
        <w:rPr>
          <w:snapToGrid w:val="0"/>
        </w:rPr>
        <w:tab/>
        <w:t>knowingly keeps, opens or uses any place or any part thereof for public entertainment or amusement on any Sunday or on Christmas Day or Good Friday in any year and to which persons are admitted by payment of money, or by tickets, programmes, objects or tokens sold for money, or in which, or in respect of which, a charge is made for seats, or a collection of money is made; or</w:t>
      </w:r>
    </w:p>
    <w:p>
      <w:pPr>
        <w:pStyle w:val="Indenta"/>
        <w:rPr>
          <w:snapToGrid w:val="0"/>
        </w:rPr>
      </w:pPr>
      <w:r>
        <w:rPr>
          <w:snapToGrid w:val="0"/>
        </w:rPr>
        <w:tab/>
        <w:t>(b)</w:t>
      </w:r>
      <w:r>
        <w:rPr>
          <w:snapToGrid w:val="0"/>
        </w:rPr>
        <w:tab/>
        <w:t>being the owner of any place, or the agent of such owner, knowingly hires, lets or causes or allows to be kept, opened or used that place or any part thereof for the purpose referred to in paragraph (a),</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On summary conviction, $500.</w:t>
      </w:r>
    </w:p>
    <w:p>
      <w:pPr>
        <w:pStyle w:val="Subsection"/>
        <w:keepNext/>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that the provisions of subsection (1) do not apply to or in relation to specified persons or classes of persons in respect of the keeping, opening or use of specified places or classes of places for specified public entertainment or amusement or classes of public entertainment or amusement on any Sunday; or</w:t>
      </w:r>
    </w:p>
    <w:p>
      <w:pPr>
        <w:pStyle w:val="Indenta"/>
        <w:rPr>
          <w:snapToGrid w:val="0"/>
        </w:rPr>
      </w:pPr>
      <w:r>
        <w:rPr>
          <w:snapToGrid w:val="0"/>
        </w:rPr>
        <w:tab/>
        <w:t>(b)</w:t>
      </w:r>
      <w:r>
        <w:rPr>
          <w:snapToGrid w:val="0"/>
        </w:rPr>
        <w:tab/>
        <w:t>notwithstanding the provisions of subsection (1), in writing permit a specified person or persons to keep, open or use a specified place for specified public entertainment or amusement on any specified Sunday or on Christmas Day or Good Friday in any specified year,</w:t>
      </w:r>
    </w:p>
    <w:p>
      <w:pPr>
        <w:pStyle w:val="Subsection"/>
        <w:rPr>
          <w:snapToGrid w:val="0"/>
        </w:rPr>
      </w:pPr>
      <w:r>
        <w:rPr>
          <w:snapToGrid w:val="0"/>
        </w:rPr>
        <w:tab/>
      </w:r>
      <w:r>
        <w:rPr>
          <w:snapToGrid w:val="0"/>
        </w:rPr>
        <w:tab/>
        <w:t>subject to such conditions, limitations or restrictions as are specified.</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vary or cancel any declaration; or</w:t>
      </w:r>
    </w:p>
    <w:p>
      <w:pPr>
        <w:pStyle w:val="Indenta"/>
        <w:rPr>
          <w:snapToGrid w:val="0"/>
        </w:rPr>
      </w:pPr>
      <w:r>
        <w:rPr>
          <w:snapToGrid w:val="0"/>
        </w:rPr>
        <w:tab/>
        <w:t>(b)</w:t>
      </w:r>
      <w:r>
        <w:rPr>
          <w:snapToGrid w:val="0"/>
        </w:rPr>
        <w:tab/>
        <w:t>in writing vary or cancel any permit,</w:t>
      </w:r>
    </w:p>
    <w:p>
      <w:pPr>
        <w:pStyle w:val="Subsection"/>
        <w:rPr>
          <w:snapToGrid w:val="0"/>
        </w:rPr>
      </w:pPr>
      <w:r>
        <w:rPr>
          <w:snapToGrid w:val="0"/>
        </w:rPr>
        <w:tab/>
      </w:r>
      <w:r>
        <w:rPr>
          <w:snapToGrid w:val="0"/>
        </w:rPr>
        <w:tab/>
        <w:t>made or issued under subsection (2).</w:t>
      </w:r>
    </w:p>
    <w:p>
      <w:pPr>
        <w:pStyle w:val="Subsection"/>
        <w:keepNext/>
        <w:rPr>
          <w:snapToGrid w:val="0"/>
        </w:rPr>
      </w:pPr>
      <w:r>
        <w:rPr>
          <w:snapToGrid w:val="0"/>
        </w:rPr>
        <w:tab/>
        <w:t>(4)</w:t>
      </w:r>
      <w:r>
        <w:rPr>
          <w:snapToGrid w:val="0"/>
        </w:rPr>
        <w:tab/>
        <w:t>In subsection (2) — </w:t>
      </w:r>
    </w:p>
    <w:p>
      <w:pPr>
        <w:pStyle w:val="Defstart"/>
      </w:pPr>
      <w:r>
        <w:rPr>
          <w:b/>
        </w:rPr>
        <w:tab/>
      </w:r>
      <w:r>
        <w:rPr>
          <w:rStyle w:val="CharDefText"/>
        </w:rPr>
        <w:t>specified</w:t>
      </w:r>
      <w:r>
        <w:t xml:space="preserve"> means specified in the relevant declaration or permit, as the case may require.</w:t>
      </w:r>
    </w:p>
    <w:p>
      <w:pPr>
        <w:pStyle w:val="Footnotesection"/>
      </w:pPr>
      <w:r>
        <w:tab/>
        <w:t xml:space="preserve">[Section 3 amended: No. 51 of 1992 s. 16(1); No. 50 of 2003 s. 97(2).] </w:t>
      </w:r>
    </w:p>
    <w:p>
      <w:pPr>
        <w:pStyle w:val="Ednotesection"/>
      </w:pPr>
      <w:r>
        <w:t>[</w:t>
      </w:r>
      <w:r>
        <w:rPr>
          <w:b/>
          <w:bCs/>
        </w:rPr>
        <w:t>4.</w:t>
      </w:r>
      <w:r>
        <w:tab/>
        <w:t>Deleted: No. 70 of 2004 s. 82]</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379203106"/>
      <w:bookmarkStart w:id="13" w:name="_Toc379203208"/>
      <w:bookmarkStart w:id="14" w:name="_Toc379203213"/>
      <w:bookmarkStart w:id="15" w:name="_Toc424548834"/>
      <w:bookmarkStart w:id="16" w:name="_Toc434855462"/>
      <w:r>
        <w:t>Notes</w:t>
      </w:r>
      <w:bookmarkEnd w:id="12"/>
      <w:bookmarkEnd w:id="13"/>
      <w:bookmarkEnd w:id="14"/>
      <w:bookmarkEnd w:id="15"/>
      <w:bookmarkEnd w:id="16"/>
    </w:p>
    <w:p>
      <w:pPr>
        <w:pStyle w:val="nSubsection"/>
        <w:rPr>
          <w:snapToGrid w:val="0"/>
        </w:rPr>
      </w:pPr>
      <w:r>
        <w:rPr>
          <w:snapToGrid w:val="0"/>
          <w:vertAlign w:val="superscript"/>
        </w:rPr>
        <w:t>1</w:t>
      </w:r>
      <w:r>
        <w:rPr>
          <w:snapToGrid w:val="0"/>
        </w:rPr>
        <w:tab/>
        <w:t xml:space="preserve">This is a compilation as of the </w:t>
      </w:r>
      <w:r>
        <w:rPr>
          <w:i/>
          <w:noProof/>
          <w:snapToGrid w:val="0"/>
        </w:rPr>
        <w:t>Sunday Entertainments Act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 w:name="_Toc379203107"/>
      <w:bookmarkStart w:id="18" w:name="_Toc379203214"/>
      <w:bookmarkStart w:id="19" w:name="_Toc434855463"/>
      <w:r>
        <w:rPr>
          <w:snapToGrid w:val="0"/>
        </w:rPr>
        <w:t>Compilation table</w:t>
      </w:r>
      <w:bookmarkEnd w:id="17"/>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Sunday Entertainments Act 1979</w:t>
            </w:r>
          </w:p>
        </w:tc>
        <w:tc>
          <w:tcPr>
            <w:tcW w:w="1134" w:type="dxa"/>
            <w:tcBorders>
              <w:top w:val="single" w:sz="8" w:space="0" w:color="auto"/>
            </w:tcBorders>
          </w:tcPr>
          <w:p>
            <w:pPr>
              <w:pStyle w:val="nTable"/>
              <w:spacing w:after="40"/>
            </w:pPr>
            <w:r>
              <w:t>17 of 1979</w:t>
            </w:r>
          </w:p>
        </w:tc>
        <w:tc>
          <w:tcPr>
            <w:tcW w:w="1134" w:type="dxa"/>
            <w:tcBorders>
              <w:top w:val="single" w:sz="8" w:space="0" w:color="auto"/>
            </w:tcBorders>
          </w:tcPr>
          <w:p>
            <w:pPr>
              <w:pStyle w:val="nTable"/>
              <w:spacing w:after="40"/>
            </w:pPr>
            <w:r>
              <w:t>30 Aug 1979</w:t>
            </w:r>
          </w:p>
        </w:tc>
        <w:tc>
          <w:tcPr>
            <w:tcW w:w="2552" w:type="dxa"/>
            <w:tcBorders>
              <w:top w:val="single" w:sz="8" w:space="0" w:color="auto"/>
            </w:tcBorders>
          </w:tcPr>
          <w:p>
            <w:pPr>
              <w:pStyle w:val="nTable"/>
              <w:spacing w:after="40"/>
            </w:pPr>
            <w:r>
              <w:t xml:space="preserve">8 Feb 1980 (see s. 1(2) and </w:t>
            </w:r>
            <w:r>
              <w:rPr>
                <w:i/>
              </w:rPr>
              <w:t>Gazette</w:t>
            </w:r>
            <w:r>
              <w:t xml:space="preserve"> 1 Feb 1980 p. 283)</w:t>
            </w:r>
          </w:p>
        </w:tc>
      </w:tr>
      <w:tr>
        <w:tc>
          <w:tcPr>
            <w:tcW w:w="2268" w:type="dxa"/>
          </w:tcPr>
          <w:p>
            <w:pPr>
              <w:pStyle w:val="nTable"/>
              <w:spacing w:after="40"/>
            </w:pPr>
            <w:r>
              <w:rPr>
                <w:i/>
              </w:rPr>
              <w:t>Criminal Law Amendment Act (No. 2) 1992</w:t>
            </w:r>
            <w:r>
              <w:t xml:space="preserve"> s. 16(1)</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c>
          <w:tcPr>
            <w:tcW w:w="2268" w:type="dxa"/>
          </w:tcPr>
          <w:p>
            <w:pPr>
              <w:pStyle w:val="nTable"/>
              <w:spacing w:after="40"/>
              <w:rPr>
                <w:i/>
              </w:rPr>
            </w:pPr>
            <w:r>
              <w:rPr>
                <w:i/>
              </w:rPr>
              <w:t>Sentencing Legislation Amendment and Repeal Act 2003</w:t>
            </w:r>
            <w:r>
              <w:t xml:space="preserve"> s. 97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rPr>
          <w:cantSplit/>
        </w:trPr>
        <w:tc>
          <w:tcPr>
            <w:tcW w:w="7088" w:type="dxa"/>
            <w:gridSpan w:val="4"/>
          </w:tcPr>
          <w:p>
            <w:pPr>
              <w:pStyle w:val="nTable"/>
              <w:spacing w:after="40"/>
              <w:rPr>
                <w:iCs/>
              </w:rPr>
            </w:pPr>
            <w:r>
              <w:rPr>
                <w:b/>
                <w:bCs/>
              </w:rPr>
              <w:t xml:space="preserve">Reprint 1: The </w:t>
            </w:r>
            <w:r>
              <w:rPr>
                <w:b/>
                <w:bCs/>
                <w:i/>
              </w:rPr>
              <w:t>Sunday Entertainments Act 1979</w:t>
            </w:r>
            <w:r>
              <w:rPr>
                <w:b/>
                <w:bCs/>
                <w:iCs/>
              </w:rPr>
              <w:t xml:space="preserve"> as at 6 Aug 2004</w:t>
            </w:r>
            <w:r>
              <w:rPr>
                <w:iCs/>
              </w:rPr>
              <w:t xml:space="preserve"> (includes amendments listed above)</w:t>
            </w:r>
          </w:p>
        </w:tc>
      </w:tr>
      <w:tr>
        <w:tc>
          <w:tcPr>
            <w:tcW w:w="2268" w:type="dxa"/>
            <w:tcBorders>
              <w:bottom w:val="single" w:sz="4" w:space="0" w:color="auto"/>
            </w:tcBorders>
          </w:tcPr>
          <w:p>
            <w:pPr>
              <w:pStyle w:val="nTable"/>
              <w:spacing w:after="40"/>
              <w:rPr>
                <w:i/>
              </w:rPr>
            </w:pPr>
            <w:r>
              <w:rPr>
                <w:i/>
                <w:iCs/>
                <w:snapToGrid w:val="0"/>
              </w:rPr>
              <w:t xml:space="preserve">Criminal Law Amendment (Simple Offences) Act 2004 </w:t>
            </w:r>
            <w:r>
              <w:rPr>
                <w:iCs/>
                <w:snapToGrid w:val="0"/>
              </w:rPr>
              <w:t>s. 82</w:t>
            </w:r>
          </w:p>
        </w:tc>
        <w:tc>
          <w:tcPr>
            <w:tcW w:w="1134" w:type="dxa"/>
            <w:tcBorders>
              <w:bottom w:val="single" w:sz="4" w:space="0" w:color="auto"/>
            </w:tcBorders>
          </w:tcPr>
          <w:p>
            <w:pPr>
              <w:pStyle w:val="nTable"/>
              <w:spacing w:after="40"/>
            </w:pPr>
            <w:r>
              <w:rPr>
                <w:snapToGrid w:val="0"/>
              </w:rPr>
              <w:t>70 of 2004</w:t>
            </w:r>
          </w:p>
        </w:tc>
        <w:tc>
          <w:tcPr>
            <w:tcW w:w="1134" w:type="dxa"/>
            <w:tcBorders>
              <w:bottom w:val="single" w:sz="4" w:space="0" w:color="auto"/>
            </w:tcBorders>
          </w:tcPr>
          <w:p>
            <w:pPr>
              <w:pStyle w:val="nTable"/>
              <w:spacing w:after="40"/>
            </w:pPr>
            <w:r>
              <w:rPr>
                <w:snapToGrid w:val="0"/>
              </w:rPr>
              <w:t>8 Dec 2004</w:t>
            </w:r>
          </w:p>
        </w:tc>
        <w:tc>
          <w:tcPr>
            <w:tcW w:w="2552" w:type="dxa"/>
            <w:tcBorders>
              <w:bottom w:val="single" w:sz="4" w:space="0" w:color="auto"/>
            </w:tcBorders>
          </w:tcPr>
          <w:p>
            <w:pPr>
              <w:pStyle w:val="nTable"/>
              <w:spacing w:after="40"/>
            </w:pPr>
            <w:r>
              <w:rPr>
                <w:snapToGrid w:val="0"/>
              </w:rPr>
              <w:t xml:space="preserve">31 May 2005 (see s. 2 and </w:t>
            </w:r>
            <w:r>
              <w:rPr>
                <w:i/>
                <w:iCs/>
                <w:snapToGrid w:val="0"/>
              </w:rPr>
              <w:t>Gazette</w:t>
            </w:r>
            <w:r>
              <w:rPr>
                <w:snapToGrid w:val="0"/>
              </w:rPr>
              <w:t xml:space="preserve"> 14 Jan 2005 p. 163)</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1" w:name="_Toc434855464"/>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owner</w:t>
      </w:r>
      <w:r>
        <w:tab/>
        <w:t>2</w:t>
      </w:r>
    </w:p>
    <w:p>
      <w:pPr>
        <w:pStyle w:val="DefinedTerms"/>
      </w:pPr>
      <w:r>
        <w:t>place</w:t>
      </w:r>
      <w:r>
        <w:tab/>
        <w:t>2</w:t>
      </w:r>
    </w:p>
    <w:p>
      <w:pPr>
        <w:pStyle w:val="DefinedTerms"/>
      </w:pPr>
      <w:r>
        <w:t>public entertainment or amusement</w:t>
      </w:r>
      <w:r>
        <w:tab/>
        <w:t>2</w:t>
      </w:r>
    </w:p>
    <w:p>
      <w:pPr>
        <w:pStyle w:val="DefinedTerms"/>
      </w:pPr>
      <w:r>
        <w:t>specified</w:t>
      </w:r>
      <w:r>
        <w:tab/>
        <w:t>3(4)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Sunday Entertainments Act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Sunday Entertainments Act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Sunday Entertainments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Sunday Entertainments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Sunday Entertainments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Sunday Entertainments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Sunday Entertainments Act 1979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Sunday Entertainments Act 1979</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629"/>
    <w:docVar w:name="WAFER_20140203143737" w:val="RemoveTocBookmarks,RemoveUnusedBookmarks,RemoveLanguageTags,UsedStyles,ResetPageSize,UpdateArrangement"/>
    <w:docVar w:name="WAFER_20140203143737_GUID" w:val="46e8278d-8313-430b-a64d-0a16cc7d81d0"/>
    <w:docVar w:name="WAFER_20140203145012" w:val="RemoveTocBookmarks,RunningHeaders"/>
    <w:docVar w:name="WAFER_20140203145012_GUID" w:val="b7a4a4c2-8c81-4cad-b9b8-f53fe3295208"/>
    <w:docVar w:name="WAFER_20150713103849" w:val="ResetPageSize,UpdateArrangement,UpdateNTable"/>
    <w:docVar w:name="WAFER_20150713103849_GUID" w:val="8a2b5178-2ac2-46ab-aa7a-6d4549a29511"/>
    <w:docVar w:name="WAFER_20151109175109" w:val="UpdateStyles,UsedStyles"/>
    <w:docVar w:name="WAFER_20151109175109_GUID" w:val="c22d308e-9414-46e0-aa8e-1a31c151f181"/>
    <w:docVar w:name="WAFER_20151201122629" w:val="RemoveTrackChanges"/>
    <w:docVar w:name="WAFER_20151201122629_GUID" w:val="5acd702b-bc1d-491a-8163-6e7bde069f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830</Words>
  <Characters>4010</Characters>
  <Application>Microsoft Office Word</Application>
  <DocSecurity>0</DocSecurity>
  <Lines>148</Lines>
  <Paragraphs>96</Paragraphs>
  <ScaleCrop>false</ScaleCrop>
  <HeadingPairs>
    <vt:vector size="2" baseType="variant">
      <vt:variant>
        <vt:lpstr>Title</vt:lpstr>
      </vt:variant>
      <vt:variant>
        <vt:i4>1</vt:i4>
      </vt:variant>
    </vt:vector>
  </HeadingPairs>
  <TitlesOfParts>
    <vt:vector size="1" baseType="lpstr">
      <vt:lpstr>Sunday Entertainments Act 1979</vt:lpstr>
    </vt:vector>
  </TitlesOfParts>
  <Manager/>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Entertainments Act 1979 - 01-b0-12</dc:title>
  <dc:subject/>
  <dc:creator/>
  <cp:keywords/>
  <dc:description/>
  <cp:lastModifiedBy>svcMRProcess</cp:lastModifiedBy>
  <cp:revision>4</cp:revision>
  <cp:lastPrinted>2004-06-30T05:00:00Z</cp:lastPrinted>
  <dcterms:created xsi:type="dcterms:W3CDTF">2019-01-23T06:37:00Z</dcterms:created>
  <dcterms:modified xsi:type="dcterms:W3CDTF">2019-01-23T06:37:00Z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1979</vt:lpwstr>
  </property>
  <property fmtid="{D5CDD505-2E9C-101B-9397-08002B2CF9AE}" pid="3" name="CommencementDate">
    <vt:lpwstr>20050531</vt:lpwstr>
  </property>
  <property fmtid="{D5CDD505-2E9C-101B-9397-08002B2CF9AE}" pid="4" name="DocumentType">
    <vt:lpwstr>Act</vt:lpwstr>
  </property>
  <property fmtid="{D5CDD505-2E9C-101B-9397-08002B2CF9AE}" pid="5" name="OwlsUID">
    <vt:i4>801</vt:i4>
  </property>
  <property fmtid="{D5CDD505-2E9C-101B-9397-08002B2CF9AE}" pid="6" name="AsAtDate">
    <vt:lpwstr>31 May 2005</vt:lpwstr>
  </property>
  <property fmtid="{D5CDD505-2E9C-101B-9397-08002B2CF9AE}" pid="7" name="Suffix">
    <vt:lpwstr>01-b0-12</vt:lpwstr>
  </property>
</Properties>
</file>