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Builders’ Registration Act 1939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Building Disputes Committee Regulations 1992</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Building Services (Complaint Resolution and Administration) Act 2011</w:t>
      </w:r>
      <w:r>
        <w:rPr>
          <w:color w:val="000000"/>
          <w:sz w:val="22"/>
          <w:szCs w:val="22"/>
        </w:rPr>
        <w:t xml:space="preserve"> s. 131 as at 29 Aug 2011 (see s. 2(b) and </w:t>
      </w:r>
      <w:r>
        <w:rPr>
          <w:i/>
          <w:color w:val="000000"/>
          <w:sz w:val="22"/>
          <w:szCs w:val="22"/>
        </w:rPr>
        <w:t>Gazette</w:t>
      </w:r>
      <w:r>
        <w:rPr>
          <w:color w:val="000000"/>
          <w:sz w:val="22"/>
          <w:szCs w:val="22"/>
        </w:rPr>
        <w:t xml:space="preserve"> 26 Aug 2011 p. 3475).</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Disputes Committee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_Toc425430703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Jurisdiction that may be given to registrar</w:t>
      </w:r>
      <w:r>
        <w:tab/>
      </w:r>
      <w:r>
        <w:fldChar w:fldCharType="begin"/>
      </w:r>
      <w:r>
        <w:instrText xml:space="preserve"> PAGEREF _Toc425430704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_Toc425430706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Builders’ Registration Act 1939</w:t>
      </w:r>
    </w:p>
    <w:p>
      <w:pPr>
        <w:pStyle w:val="NameofActReg"/>
      </w:pPr>
      <w:r>
        <w:t>Building Disputes Committee Regulations 1992</w:t>
      </w:r>
    </w:p>
    <w:p>
      <w:pPr>
        <w:pStyle w:val="Heading5"/>
        <w:rPr>
          <w:snapToGrid w:val="0"/>
        </w:rPr>
      </w:pPr>
      <w:bookmarkStart w:id="3" w:name="_Toc378064534"/>
      <w:bookmarkStart w:id="4" w:name="_Toc42543070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Disputes Committee Regulations 1992</w:t>
      </w:r>
      <w:r>
        <w:rPr>
          <w:snapToGrid w:val="0"/>
        </w:rPr>
        <w:t> </w:t>
      </w:r>
      <w:r>
        <w:rPr>
          <w:snapToGrid w:val="0"/>
          <w:vertAlign w:val="superscript"/>
        </w:rPr>
        <w:t>1</w:t>
      </w:r>
      <w:r>
        <w:rPr>
          <w:snapToGrid w:val="0"/>
        </w:rPr>
        <w:t>.</w:t>
      </w:r>
    </w:p>
    <w:p>
      <w:pPr>
        <w:pStyle w:val="Heading5"/>
        <w:rPr>
          <w:snapToGrid w:val="0"/>
        </w:rPr>
      </w:pPr>
      <w:bookmarkStart w:id="5" w:name="_Toc378064535"/>
      <w:bookmarkStart w:id="6" w:name="_Toc425430704"/>
      <w:r>
        <w:rPr>
          <w:rStyle w:val="CharSectno"/>
        </w:rPr>
        <w:t>2</w:t>
      </w:r>
      <w:r>
        <w:rPr>
          <w:snapToGrid w:val="0"/>
        </w:rPr>
        <w:t>.</w:t>
      </w:r>
      <w:r>
        <w:rPr>
          <w:snapToGrid w:val="0"/>
        </w:rPr>
        <w:tab/>
        <w:t>Jurisdiction that may be given to registrar</w:t>
      </w:r>
      <w:bookmarkEnd w:id="5"/>
      <w:bookmarkEnd w:id="6"/>
      <w:r>
        <w:rPr>
          <w:snapToGrid w:val="0"/>
        </w:rPr>
        <w:t xml:space="preserve"> </w:t>
      </w:r>
    </w:p>
    <w:p>
      <w:pPr>
        <w:pStyle w:val="Subsection"/>
        <w:rPr>
          <w:snapToGrid w:val="0"/>
        </w:rPr>
      </w:pPr>
      <w:r>
        <w:rPr>
          <w:snapToGrid w:val="0"/>
        </w:rPr>
        <w:tab/>
      </w:r>
      <w:r>
        <w:rPr>
          <w:snapToGrid w:val="0"/>
        </w:rPr>
        <w:tab/>
        <w:t>The jurisdiction set out in the Table to this regulation is prescribed, for the purposes of section 33(2) of the Act, as jurisdiction that the registrar may exercise with the written approval of the Disputes Committee or the chairperson of that Committee.</w:t>
      </w:r>
    </w:p>
    <w:p>
      <w:pPr>
        <w:pStyle w:val="MiscellaneousHeading"/>
        <w:rPr>
          <w:b/>
          <w:snapToGrid w:val="0"/>
        </w:rPr>
      </w:pPr>
      <w:r>
        <w:rPr>
          <w:b/>
          <w:snapToGrid w:val="0"/>
        </w:rP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5387"/>
      </w:tblGrid>
      <w:tr>
        <w:tc>
          <w:tcPr>
            <w:tcW w:w="992" w:type="dxa"/>
          </w:tcPr>
          <w:p>
            <w:pPr>
              <w:pStyle w:val="MiscellaneousBody"/>
              <w:rPr>
                <w:snapToGrid w:val="0"/>
              </w:rPr>
            </w:pPr>
            <w:r>
              <w:rPr>
                <w:snapToGrid w:val="0"/>
              </w:rPr>
              <w:t>A.</w:t>
            </w:r>
          </w:p>
        </w:tc>
        <w:tc>
          <w:tcPr>
            <w:tcW w:w="5387" w:type="dxa"/>
          </w:tcPr>
          <w:p>
            <w:pPr>
              <w:pStyle w:val="MiscellaneousBody"/>
              <w:rPr>
                <w:snapToGrid w:val="0"/>
              </w:rPr>
            </w:pPr>
            <w:r>
              <w:rPr>
                <w:snapToGrid w:val="0"/>
              </w:rPr>
              <w:t>The hearing of a complaint under section 12A of the Act and the determination of the complaint by the making of one of the following orders — </w:t>
            </w:r>
          </w:p>
        </w:tc>
      </w:tr>
      <w:tr>
        <w:tc>
          <w:tcPr>
            <w:tcW w:w="992" w:type="dxa"/>
          </w:tcPr>
          <w:p>
            <w:pPr>
              <w:pStyle w:val="MiscellaneousBody"/>
              <w:rPr>
                <w:snapToGrid w:val="0"/>
              </w:rPr>
            </w:pPr>
          </w:p>
        </w:tc>
        <w:tc>
          <w:tcPr>
            <w:tcW w:w="5387" w:type="dxa"/>
          </w:tcPr>
          <w:p>
            <w:pPr>
              <w:pStyle w:val="MiscellaneousBody"/>
              <w:tabs>
                <w:tab w:val="left" w:pos="317"/>
                <w:tab w:val="left" w:pos="884"/>
              </w:tabs>
              <w:ind w:left="884" w:hanging="884"/>
              <w:rPr>
                <w:snapToGrid w:val="0"/>
              </w:rPr>
            </w:pPr>
            <w:r>
              <w:rPr>
                <w:snapToGrid w:val="0"/>
              </w:rPr>
              <w:tab/>
              <w:t>(a)</w:t>
            </w:r>
            <w:r>
              <w:rPr>
                <w:snapToGrid w:val="0"/>
              </w:rPr>
              <w:tab/>
              <w:t>an order under subsection (1)(a) or (1a)(a) of that section to remedy building work; or</w:t>
            </w:r>
          </w:p>
        </w:tc>
      </w:tr>
      <w:tr>
        <w:tc>
          <w:tcPr>
            <w:tcW w:w="992" w:type="dxa"/>
          </w:tcPr>
          <w:p>
            <w:pPr>
              <w:pStyle w:val="MiscellaneousBody"/>
              <w:keepNext/>
              <w:keepLines/>
              <w:rPr>
                <w:snapToGrid w:val="0"/>
              </w:rPr>
            </w:pPr>
          </w:p>
        </w:tc>
        <w:tc>
          <w:tcPr>
            <w:tcW w:w="5387" w:type="dxa"/>
          </w:tcPr>
          <w:p>
            <w:pPr>
              <w:pStyle w:val="MiscellaneousBody"/>
              <w:keepNext/>
              <w:keepLines/>
              <w:tabs>
                <w:tab w:val="left" w:pos="317"/>
                <w:tab w:val="left" w:pos="884"/>
              </w:tabs>
              <w:ind w:left="884" w:hanging="884"/>
              <w:rPr>
                <w:snapToGrid w:val="0"/>
              </w:rPr>
            </w:pPr>
            <w:r>
              <w:rPr>
                <w:snapToGrid w:val="0"/>
              </w:rPr>
              <w:tab/>
              <w:t>(b)</w:t>
            </w:r>
            <w:r>
              <w:rPr>
                <w:snapToGrid w:val="0"/>
              </w:rPr>
              <w:tab/>
              <w:t>an order under subsection (1)(b) or (1a)(b) of that section for the payment of costs or compensation but not exceeding an amount of $5 000.</w:t>
            </w:r>
          </w:p>
        </w:tc>
      </w:tr>
      <w:tr>
        <w:tc>
          <w:tcPr>
            <w:tcW w:w="992" w:type="dxa"/>
          </w:tcPr>
          <w:p>
            <w:pPr>
              <w:pStyle w:val="MiscellaneousBody"/>
              <w:rPr>
                <w:snapToGrid w:val="0"/>
              </w:rPr>
            </w:pPr>
            <w:r>
              <w:rPr>
                <w:snapToGrid w:val="0"/>
              </w:rPr>
              <w:t>B.</w:t>
            </w:r>
          </w:p>
        </w:tc>
        <w:tc>
          <w:tcPr>
            <w:tcW w:w="5387" w:type="dxa"/>
          </w:tcPr>
          <w:p>
            <w:pPr>
              <w:pStyle w:val="MiscellaneousBody"/>
              <w:rPr>
                <w:snapToGrid w:val="0"/>
              </w:rPr>
            </w:pPr>
            <w:r>
              <w:rPr>
                <w:snapToGrid w:val="0"/>
              </w:rPr>
              <w:t xml:space="preserve">The hearing of an application under subsection (1) of section 17 of the </w:t>
            </w:r>
            <w:r>
              <w:rPr>
                <w:i/>
                <w:snapToGrid w:val="0"/>
              </w:rPr>
              <w:t>Home Building Contracts Act 1991</w:t>
            </w:r>
            <w:r>
              <w:rPr>
                <w:snapToGrid w:val="0"/>
              </w:rPr>
              <w:t xml:space="preserve"> and the determination of the application by making an order under subsection (4)(a) of that section.</w:t>
            </w:r>
          </w:p>
        </w:tc>
      </w:tr>
      <w:tr>
        <w:tc>
          <w:tcPr>
            <w:tcW w:w="992" w:type="dxa"/>
          </w:tcPr>
          <w:p>
            <w:pPr>
              <w:pStyle w:val="MiscellaneousBody"/>
              <w:rPr>
                <w:snapToGrid w:val="0"/>
              </w:rPr>
            </w:pPr>
            <w:r>
              <w:rPr>
                <w:snapToGrid w:val="0"/>
              </w:rPr>
              <w:t>C.</w:t>
            </w:r>
          </w:p>
        </w:tc>
        <w:tc>
          <w:tcPr>
            <w:tcW w:w="5387" w:type="dxa"/>
          </w:tcPr>
          <w:p>
            <w:pPr>
              <w:pStyle w:val="MiscellaneousBody"/>
              <w:rPr>
                <w:snapToGrid w:val="0"/>
              </w:rPr>
            </w:pPr>
            <w:r>
              <w:rPr>
                <w:snapToGrid w:val="0"/>
              </w:rPr>
              <w:t xml:space="preserve">The hearing of an application under subsection (1) of section 18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and the making of an order under that subsection.</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8064536"/>
      <w:bookmarkStart w:id="8" w:name="_Toc425430667"/>
      <w:bookmarkStart w:id="9" w:name="_Toc425430705"/>
      <w:r>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Disputes Committee Regulations 1992</w:t>
      </w:r>
      <w:r>
        <w:rPr>
          <w:snapToGrid w:val="0"/>
        </w:rPr>
        <w:t>.  The following table contains information about these regulations and any reprint.</w:t>
      </w:r>
    </w:p>
    <w:p>
      <w:pPr>
        <w:pStyle w:val="nHeading3"/>
        <w:rPr>
          <w:snapToGrid w:val="0"/>
        </w:rPr>
      </w:pPr>
      <w:bookmarkStart w:id="10" w:name="_Toc378064537"/>
      <w:bookmarkStart w:id="11" w:name="_Toc425430706"/>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Building Disputes Committee Regulations 1992</w:t>
            </w:r>
          </w:p>
        </w:tc>
        <w:tc>
          <w:tcPr>
            <w:tcW w:w="1276" w:type="dxa"/>
          </w:tcPr>
          <w:p>
            <w:pPr>
              <w:pStyle w:val="nTable"/>
            </w:pPr>
            <w:r>
              <w:t>10 Jul 1992 p. 3199</w:t>
            </w:r>
          </w:p>
        </w:tc>
        <w:tc>
          <w:tcPr>
            <w:tcW w:w="2693" w:type="dxa"/>
          </w:tcPr>
          <w:p>
            <w:pPr>
              <w:pStyle w:val="nTable"/>
            </w:pPr>
            <w:r>
              <w:t>10 Jul 1992</w:t>
            </w:r>
          </w:p>
        </w:tc>
      </w:tr>
      <w:tr>
        <w:trPr>
          <w:cantSplit/>
        </w:trPr>
        <w:tc>
          <w:tcPr>
            <w:tcW w:w="7087" w:type="dxa"/>
            <w:gridSpan w:val="3"/>
          </w:tcPr>
          <w:p>
            <w:pPr>
              <w:pStyle w:val="nTable"/>
              <w:spacing w:after="40"/>
            </w:pPr>
            <w:r>
              <w:rPr>
                <w:b/>
              </w:rPr>
              <w:t>Reprint 1:  The</w:t>
            </w:r>
            <w:r>
              <w:rPr>
                <w:b/>
                <w:i/>
              </w:rPr>
              <w:t xml:space="preserve"> Building Disputes Committee Regulations 1992 </w:t>
            </w:r>
            <w:r>
              <w:rPr>
                <w:b/>
              </w:rPr>
              <w:t xml:space="preserve">as at 13 Feb 2004 </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color w:val="FF0000"/>
              </w:rPr>
              <w:t xml:space="preserve">Building Services (Complaint Resolution and Administration) Act 2011 </w:t>
            </w:r>
            <w:r>
              <w:rPr>
                <w:b/>
                <w:color w:val="FF0000"/>
              </w:rPr>
              <w:t xml:space="preserve">s. 131 as at 29 Aug 2011 (see s. 2(b) and </w:t>
            </w:r>
            <w:r>
              <w:rPr>
                <w:b/>
                <w:i/>
                <w:color w:val="FF0000"/>
              </w:rPr>
              <w:t>Gazette</w:t>
            </w:r>
            <w:r>
              <w:rPr>
                <w:b/>
                <w:color w:val="FF0000"/>
              </w:rPr>
              <w:t xml:space="preserve"> 26 Aug 2011 p. 3475)</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140"/>
    <w:docVar w:name="WAFER_20140121104118" w:val="RemoveTocBookmarks,RemoveUnusedBookmarks,RemoveLanguageTags,UsedStyles,ResetPageSize,UpdateArrangement"/>
    <w:docVar w:name="WAFER_20140121104118_GUID" w:val="25cc60f4-650b-40ac-a235-7ee65f651b79"/>
    <w:docVar w:name="WAFER_20140121104403" w:val="RemoveTocBookmarks,RunningHeaders"/>
    <w:docVar w:name="WAFER_20140121104403_GUID" w:val="fa03a7e3-79e1-42e9-aaf7-ed74f123bd34"/>
    <w:docVar w:name="WAFER_20150723153927" w:val="ResetPageSize,UpdateArrangement,UpdateNTable"/>
    <w:docVar w:name="WAFER_20150723153927_GUID" w:val="5b96c54d-4286-4f9f-9948-3835c21b237c"/>
    <w:docVar w:name="WAFER_20151117092140" w:val="UpdateStyles,UsedStyles"/>
    <w:docVar w:name="WAFER_20151117092140_GUID" w:val="111b8ba5-ae9c-4f03-b031-73d81ad9e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Words>
  <Characters>2329</Characters>
  <Application>Microsoft Office Word</Application>
  <DocSecurity>0</DocSecurity>
  <Lines>89</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Disputes Committee Regulations 1992 - 01-c0-04</dc:title>
  <dc:subject/>
  <dc:creator/>
  <cp:keywords/>
  <dc:description/>
  <cp:lastModifiedBy>svcMRProcess</cp:lastModifiedBy>
  <cp:revision>4</cp:revision>
  <cp:lastPrinted>2011-08-26T01:24:00Z</cp:lastPrinted>
  <dcterms:created xsi:type="dcterms:W3CDTF">2015-11-17T01:30:00Z</dcterms:created>
  <dcterms:modified xsi:type="dcterms:W3CDTF">2015-11-17T01:30:00Z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10-Jul-1992 p.3199 </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4305</vt:i4>
  </property>
  <property fmtid="{D5CDD505-2E9C-101B-9397-08002B2CF9AE}" pid="6" name="AsAtDate">
    <vt:lpwstr>29 Aug 2011</vt:lpwstr>
  </property>
  <property fmtid="{D5CDD505-2E9C-101B-9397-08002B2CF9AE}" pid="7" name="Suffix">
    <vt:lpwstr>01-c0-04</vt:lpwstr>
  </property>
  <property fmtid="{D5CDD505-2E9C-101B-9397-08002B2CF9AE}" pid="8" name="Status">
    <vt:lpwstr>NIF</vt:lpwstr>
  </property>
</Properties>
</file>