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Food Act 2008</w:t>
      </w:r>
    </w:p>
    <w:p>
      <w:pPr>
        <w:pStyle w:val="NameofActRegPage1"/>
        <w:spacing w:before="1800" w:after="4200"/>
      </w:pPr>
      <w:r>
        <w:fldChar w:fldCharType="begin"/>
      </w:r>
      <w:r>
        <w:instrText xml:space="preserve"> STYLEREF "Name Of Act/Reg"</w:instrText>
      </w:r>
      <w:r>
        <w:fldChar w:fldCharType="separate"/>
      </w:r>
      <w:r>
        <w:rPr>
          <w:noProof/>
        </w:rPr>
        <w:t>Food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_Toc313432984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_Toc313432985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_Toc313432986 \h </w:instrText>
      </w:r>
      <w:r>
        <w:fldChar w:fldCharType="separate"/>
      </w:r>
      <w:r>
        <w:t>1</w:t>
      </w:r>
      <w:r>
        <w:fldChar w:fldCharType="end"/>
      </w:r>
    </w:p>
    <w:p>
      <w:pPr>
        <w:pStyle w:val="TOC8"/>
        <w:rPr>
          <w:sz w:val="24"/>
          <w:szCs w:val="24"/>
          <w:lang w:val="en-US"/>
        </w:rPr>
      </w:pPr>
      <w:r>
        <w:t>4.</w:t>
      </w:r>
      <w:r>
        <w:tab/>
        <w:t>Appropriate enforcement agency: CEO (s. 8)</w:t>
      </w:r>
      <w:r>
        <w:tab/>
      </w:r>
      <w:r>
        <w:fldChar w:fldCharType="begin"/>
      </w:r>
      <w:r>
        <w:instrText xml:space="preserve"> PAGEREF _Toc313432987 \h </w:instrText>
      </w:r>
      <w:r>
        <w:fldChar w:fldCharType="separate"/>
      </w:r>
      <w:r>
        <w:t>2</w:t>
      </w:r>
      <w:r>
        <w:fldChar w:fldCharType="end"/>
      </w:r>
    </w:p>
    <w:p>
      <w:pPr>
        <w:pStyle w:val="TOC8"/>
        <w:rPr>
          <w:sz w:val="24"/>
          <w:szCs w:val="24"/>
          <w:lang w:val="en-US"/>
        </w:rPr>
      </w:pPr>
      <w:r>
        <w:t>5.</w:t>
      </w:r>
      <w:r>
        <w:tab/>
        <w:t>Appropriate enforcement agency: local government (s. 8)</w:t>
      </w:r>
      <w:r>
        <w:tab/>
      </w:r>
      <w:r>
        <w:fldChar w:fldCharType="begin"/>
      </w:r>
      <w:r>
        <w:instrText xml:space="preserve"> PAGEREF _Toc313432988 \h </w:instrText>
      </w:r>
      <w:r>
        <w:fldChar w:fldCharType="separate"/>
      </w:r>
      <w:r>
        <w:t>3</w:t>
      </w:r>
      <w:r>
        <w:fldChar w:fldCharType="end"/>
      </w:r>
    </w:p>
    <w:p>
      <w:pPr>
        <w:pStyle w:val="TOC8"/>
        <w:rPr>
          <w:sz w:val="24"/>
          <w:szCs w:val="24"/>
          <w:lang w:val="en-US"/>
        </w:rPr>
      </w:pPr>
      <w:r>
        <w:t>6.</w:t>
      </w:r>
      <w:r>
        <w:tab/>
        <w:t>Food production activities that are not primary food production (s. 11(2))</w:t>
      </w:r>
      <w:r>
        <w:tab/>
      </w:r>
      <w:r>
        <w:fldChar w:fldCharType="begin"/>
      </w:r>
      <w:r>
        <w:instrText xml:space="preserve"> PAGEREF _Toc313432989 \h </w:instrText>
      </w:r>
      <w:r>
        <w:fldChar w:fldCharType="separate"/>
      </w:r>
      <w:r>
        <w:t>3</w:t>
      </w:r>
      <w:r>
        <w:fldChar w:fldCharType="end"/>
      </w:r>
    </w:p>
    <w:p>
      <w:pPr>
        <w:pStyle w:val="TOC2"/>
        <w:tabs>
          <w:tab w:val="right" w:pos="7076"/>
        </w:tabs>
        <w:rPr>
          <w:b w:val="0"/>
          <w:sz w:val="24"/>
          <w:szCs w:val="24"/>
          <w:lang w:val="en-US"/>
        </w:rPr>
      </w:pPr>
      <w:r>
        <w:t>Part 2 — Adoption of Food Standards Code</w:t>
      </w:r>
    </w:p>
    <w:p>
      <w:pPr>
        <w:pStyle w:val="TOC8"/>
        <w:rPr>
          <w:sz w:val="24"/>
          <w:szCs w:val="24"/>
          <w:lang w:val="en-US"/>
        </w:rPr>
      </w:pPr>
      <w:r>
        <w:t>7.</w:t>
      </w:r>
      <w:r>
        <w:tab/>
        <w:t>Adoption of Food Standards Code (s. 144(7))</w:t>
      </w:r>
      <w:r>
        <w:tab/>
      </w:r>
      <w:r>
        <w:fldChar w:fldCharType="begin"/>
      </w:r>
      <w:r>
        <w:instrText xml:space="preserve"> PAGEREF _Toc313432991 \h </w:instrText>
      </w:r>
      <w:r>
        <w:fldChar w:fldCharType="separate"/>
      </w:r>
      <w:r>
        <w:t>4</w:t>
      </w:r>
      <w:r>
        <w:fldChar w:fldCharType="end"/>
      </w:r>
    </w:p>
    <w:p>
      <w:pPr>
        <w:pStyle w:val="TOC8"/>
        <w:rPr>
          <w:sz w:val="24"/>
          <w:szCs w:val="24"/>
          <w:lang w:val="en-US"/>
        </w:rPr>
      </w:pPr>
      <w:r>
        <w:t>8.</w:t>
      </w:r>
      <w:r>
        <w:tab/>
        <w:t>FSC standard 4.2.4 clause 15: express provision for goat's milk</w:t>
      </w:r>
      <w:r>
        <w:tab/>
      </w:r>
      <w:r>
        <w:fldChar w:fldCharType="begin"/>
      </w:r>
      <w:r>
        <w:instrText xml:space="preserve"> PAGEREF _Toc313432992 \h </w:instrText>
      </w:r>
      <w:r>
        <w:fldChar w:fldCharType="separate"/>
      </w:r>
      <w:r>
        <w:t>4</w:t>
      </w:r>
      <w:r>
        <w:fldChar w:fldCharType="end"/>
      </w:r>
    </w:p>
    <w:p>
      <w:pPr>
        <w:pStyle w:val="TOC2"/>
        <w:tabs>
          <w:tab w:val="right" w:pos="7076"/>
        </w:tabs>
        <w:rPr>
          <w:b w:val="0"/>
          <w:sz w:val="24"/>
          <w:szCs w:val="24"/>
          <w:lang w:val="en-US"/>
        </w:rPr>
      </w:pPr>
      <w:r>
        <w:t>Part 3 — Exempted food businesses</w:t>
      </w:r>
    </w:p>
    <w:p>
      <w:pPr>
        <w:pStyle w:val="TOC8"/>
        <w:rPr>
          <w:sz w:val="24"/>
          <w:szCs w:val="24"/>
          <w:lang w:val="en-US"/>
        </w:rPr>
      </w:pPr>
      <w:r>
        <w:t>9.</w:t>
      </w:r>
      <w:r>
        <w:tab/>
        <w:t>Term used: potentially hazardous food</w:t>
      </w:r>
      <w:r>
        <w:tab/>
      </w:r>
      <w:r>
        <w:fldChar w:fldCharType="begin"/>
      </w:r>
      <w:r>
        <w:instrText xml:space="preserve"> PAGEREF _Toc313432994 \h </w:instrText>
      </w:r>
      <w:r>
        <w:fldChar w:fldCharType="separate"/>
      </w:r>
      <w:r>
        <w:t>5</w:t>
      </w:r>
      <w:r>
        <w:fldChar w:fldCharType="end"/>
      </w:r>
    </w:p>
    <w:p>
      <w:pPr>
        <w:pStyle w:val="TOC8"/>
        <w:rPr>
          <w:sz w:val="24"/>
          <w:szCs w:val="24"/>
          <w:lang w:val="en-US"/>
        </w:rPr>
      </w:pPr>
      <w:r>
        <w:t>10.</w:t>
      </w:r>
      <w:r>
        <w:tab/>
        <w:t>Food businesses conducted as fundraising events (s. 109)</w:t>
      </w:r>
      <w:r>
        <w:tab/>
      </w:r>
      <w:r>
        <w:fldChar w:fldCharType="begin"/>
      </w:r>
      <w:r>
        <w:instrText xml:space="preserve"> PAGEREF _Toc313432995 \h </w:instrText>
      </w:r>
      <w:r>
        <w:fldChar w:fldCharType="separate"/>
      </w:r>
      <w:r>
        <w:t>5</w:t>
      </w:r>
      <w:r>
        <w:fldChar w:fldCharType="end"/>
      </w:r>
    </w:p>
    <w:p>
      <w:pPr>
        <w:pStyle w:val="TOC8"/>
        <w:rPr>
          <w:sz w:val="24"/>
          <w:szCs w:val="24"/>
          <w:lang w:val="en-US"/>
        </w:rPr>
      </w:pPr>
      <w:r>
        <w:t>11.</w:t>
      </w:r>
      <w:r>
        <w:tab/>
        <w:t>Food businesses that sell certain packaged food (s. 109)</w:t>
      </w:r>
      <w:r>
        <w:tab/>
      </w:r>
      <w:r>
        <w:fldChar w:fldCharType="begin"/>
      </w:r>
      <w:r>
        <w:instrText xml:space="preserve"> PAGEREF _Toc313432996 \h </w:instrText>
      </w:r>
      <w:r>
        <w:fldChar w:fldCharType="separate"/>
      </w:r>
      <w:r>
        <w:t>5</w:t>
      </w:r>
      <w:r>
        <w:fldChar w:fldCharType="end"/>
      </w:r>
    </w:p>
    <w:p>
      <w:pPr>
        <w:pStyle w:val="TOC8"/>
        <w:rPr>
          <w:sz w:val="24"/>
          <w:szCs w:val="24"/>
          <w:lang w:val="en-US"/>
        </w:rPr>
      </w:pPr>
      <w:r>
        <w:t>12.</w:t>
      </w:r>
      <w:r>
        <w:tab/>
        <w:t>Food businesses that provide complimentary drinks in conjunction with another kind of business (s. 109)</w:t>
      </w:r>
      <w:r>
        <w:tab/>
      </w:r>
      <w:r>
        <w:fldChar w:fldCharType="begin"/>
      </w:r>
      <w:r>
        <w:instrText xml:space="preserve"> PAGEREF _Toc313432997 \h </w:instrText>
      </w:r>
      <w:r>
        <w:fldChar w:fldCharType="separate"/>
      </w:r>
      <w:r>
        <w:t>6</w:t>
      </w:r>
      <w:r>
        <w:fldChar w:fldCharType="end"/>
      </w:r>
    </w:p>
    <w:p>
      <w:pPr>
        <w:pStyle w:val="TOC8"/>
        <w:rPr>
          <w:sz w:val="24"/>
          <w:szCs w:val="24"/>
          <w:lang w:val="en-US"/>
        </w:rPr>
      </w:pPr>
      <w:r>
        <w:t>13.</w:t>
      </w:r>
      <w:r>
        <w:tab/>
        <w:t>Food businesses conducted at registered establishments (s. 109)</w:t>
      </w:r>
      <w:r>
        <w:tab/>
      </w:r>
      <w:r>
        <w:fldChar w:fldCharType="begin"/>
      </w:r>
      <w:r>
        <w:instrText xml:space="preserve"> PAGEREF _Toc313432998 \h </w:instrText>
      </w:r>
      <w:r>
        <w:fldChar w:fldCharType="separate"/>
      </w:r>
      <w:r>
        <w:t>6</w:t>
      </w:r>
      <w:r>
        <w:fldChar w:fldCharType="end"/>
      </w:r>
    </w:p>
    <w:p>
      <w:pPr>
        <w:pStyle w:val="TOC2"/>
        <w:tabs>
          <w:tab w:val="right" w:pos="7076"/>
        </w:tabs>
        <w:rPr>
          <w:b w:val="0"/>
          <w:sz w:val="24"/>
          <w:szCs w:val="24"/>
          <w:lang w:val="en-US"/>
        </w:rPr>
      </w:pPr>
      <w:r>
        <w:t>Part 4 — Control of pathogens</w:t>
      </w:r>
    </w:p>
    <w:p>
      <w:pPr>
        <w:pStyle w:val="TOC8"/>
        <w:rPr>
          <w:sz w:val="24"/>
          <w:szCs w:val="24"/>
          <w:lang w:val="en-US"/>
        </w:rPr>
      </w:pPr>
      <w:r>
        <w:t>14.</w:t>
      </w:r>
      <w:r>
        <w:tab/>
        <w:t>Term used: pathogen</w:t>
      </w:r>
      <w:r>
        <w:tab/>
      </w:r>
      <w:r>
        <w:fldChar w:fldCharType="begin"/>
      </w:r>
      <w:r>
        <w:instrText xml:space="preserve"> PAGEREF _Toc313433000 \h </w:instrText>
      </w:r>
      <w:r>
        <w:fldChar w:fldCharType="separate"/>
      </w:r>
      <w:r>
        <w:t>7</w:t>
      </w:r>
      <w:r>
        <w:fldChar w:fldCharType="end"/>
      </w:r>
    </w:p>
    <w:p>
      <w:pPr>
        <w:pStyle w:val="TOC8"/>
        <w:rPr>
          <w:sz w:val="24"/>
          <w:szCs w:val="24"/>
          <w:lang w:val="en-US"/>
        </w:rPr>
      </w:pPr>
      <w:r>
        <w:t>15.</w:t>
      </w:r>
      <w:r>
        <w:tab/>
        <w:t>CEO to be informed of isolation of pathogens associated with food businesses</w:t>
      </w:r>
      <w:r>
        <w:tab/>
      </w:r>
      <w:r>
        <w:fldChar w:fldCharType="begin"/>
      </w:r>
      <w:r>
        <w:instrText xml:space="preserve"> PAGEREF _Toc313433001 \h </w:instrText>
      </w:r>
      <w:r>
        <w:fldChar w:fldCharType="separate"/>
      </w:r>
      <w:r>
        <w:t>7</w:t>
      </w:r>
      <w:r>
        <w:fldChar w:fldCharType="end"/>
      </w:r>
    </w:p>
    <w:p>
      <w:pPr>
        <w:pStyle w:val="TOC8"/>
        <w:rPr>
          <w:sz w:val="24"/>
          <w:szCs w:val="24"/>
          <w:lang w:val="en-US"/>
        </w:rPr>
      </w:pPr>
      <w:r>
        <w:t>16.</w:t>
      </w:r>
      <w:r>
        <w:tab/>
        <w:t>CEO may give directions</w:t>
      </w:r>
      <w:r>
        <w:tab/>
      </w:r>
      <w:r>
        <w:fldChar w:fldCharType="begin"/>
      </w:r>
      <w:r>
        <w:instrText xml:space="preserve"> PAGEREF _Toc313433002 \h </w:instrText>
      </w:r>
      <w:r>
        <w:fldChar w:fldCharType="separate"/>
      </w:r>
      <w:r>
        <w:t>8</w:t>
      </w:r>
      <w:r>
        <w:fldChar w:fldCharType="end"/>
      </w:r>
    </w:p>
    <w:p>
      <w:pPr>
        <w:pStyle w:val="TOC2"/>
        <w:tabs>
          <w:tab w:val="right" w:pos="7076"/>
        </w:tabs>
        <w:rPr>
          <w:b w:val="0"/>
          <w:sz w:val="24"/>
          <w:szCs w:val="24"/>
          <w:lang w:val="en-US"/>
        </w:rPr>
      </w:pPr>
      <w:r>
        <w:t>Part 5 — Meat hygiene</w:t>
      </w:r>
    </w:p>
    <w:p>
      <w:pPr>
        <w:pStyle w:val="TOC4"/>
        <w:tabs>
          <w:tab w:val="right" w:pos="707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_Toc313433005 \h </w:instrText>
      </w:r>
      <w:r>
        <w:fldChar w:fldCharType="separate"/>
      </w:r>
      <w:r>
        <w:t>9</w:t>
      </w:r>
      <w:r>
        <w:fldChar w:fldCharType="end"/>
      </w:r>
    </w:p>
    <w:p>
      <w:pPr>
        <w:pStyle w:val="TOC4"/>
        <w:tabs>
          <w:tab w:val="right" w:pos="7076"/>
        </w:tabs>
        <w:rPr>
          <w:b w:val="0"/>
          <w:sz w:val="24"/>
          <w:szCs w:val="24"/>
          <w:lang w:val="en-US"/>
        </w:rPr>
      </w:pPr>
      <w:r>
        <w:t>Division 2 — Adoption of certain Australian Standards</w:t>
      </w:r>
    </w:p>
    <w:p>
      <w:pPr>
        <w:pStyle w:val="TOC8"/>
        <w:rPr>
          <w:sz w:val="24"/>
          <w:szCs w:val="24"/>
          <w:lang w:val="en-US"/>
        </w:rPr>
      </w:pPr>
      <w:r>
        <w:t>18.</w:t>
      </w:r>
      <w:r>
        <w:tab/>
        <w:t>Adoption of certain Australian Standards (s. 144(6))</w:t>
      </w:r>
      <w:r>
        <w:tab/>
      </w:r>
      <w:r>
        <w:fldChar w:fldCharType="begin"/>
      </w:r>
      <w:r>
        <w:instrText xml:space="preserve"> PAGEREF _Toc313433007 \h </w:instrText>
      </w:r>
      <w:r>
        <w:fldChar w:fldCharType="separate"/>
      </w:r>
      <w:r>
        <w:t>11</w:t>
      </w:r>
      <w:r>
        <w:fldChar w:fldCharType="end"/>
      </w:r>
    </w:p>
    <w:p>
      <w:pPr>
        <w:pStyle w:val="TOC8"/>
        <w:rPr>
          <w:sz w:val="24"/>
          <w:szCs w:val="24"/>
          <w:lang w:val="en-US"/>
        </w:rPr>
      </w:pPr>
      <w:r>
        <w:t>19.</w:t>
      </w:r>
      <w:r>
        <w:tab/>
        <w:t>Modification of adopted standards</w:t>
      </w:r>
      <w:r>
        <w:tab/>
      </w:r>
      <w:r>
        <w:fldChar w:fldCharType="begin"/>
      </w:r>
      <w:r>
        <w:instrText xml:space="preserve"> PAGEREF _Toc313433008 \h </w:instrText>
      </w:r>
      <w:r>
        <w:fldChar w:fldCharType="separate"/>
      </w:r>
      <w:r>
        <w:t>12</w:t>
      </w:r>
      <w:r>
        <w:fldChar w:fldCharType="end"/>
      </w:r>
    </w:p>
    <w:p>
      <w:pPr>
        <w:pStyle w:val="TOC4"/>
        <w:tabs>
          <w:tab w:val="right" w:pos="7076"/>
        </w:tabs>
        <w:rPr>
          <w:b w:val="0"/>
          <w:sz w:val="24"/>
          <w:szCs w:val="24"/>
          <w:lang w:val="en-US"/>
        </w:rPr>
      </w:pPr>
      <w:r>
        <w:t>Division 3 — Inspection and branding</w:t>
      </w:r>
    </w:p>
    <w:p>
      <w:pPr>
        <w:pStyle w:val="TOC8"/>
        <w:rPr>
          <w:sz w:val="24"/>
          <w:szCs w:val="24"/>
          <w:lang w:val="en-US"/>
        </w:rPr>
      </w:pPr>
      <w:r>
        <w:t>20.</w:t>
      </w:r>
      <w:r>
        <w:tab/>
        <w:t>Application of Division to primary producers</w:t>
      </w:r>
      <w:r>
        <w:tab/>
      </w:r>
      <w:r>
        <w:fldChar w:fldCharType="begin"/>
      </w:r>
      <w:r>
        <w:instrText xml:space="preserve"> PAGEREF _Toc313433010 \h </w:instrText>
      </w:r>
      <w:r>
        <w:fldChar w:fldCharType="separate"/>
      </w:r>
      <w:r>
        <w:t>12</w:t>
      </w:r>
      <w:r>
        <w:fldChar w:fldCharType="end"/>
      </w:r>
    </w:p>
    <w:p>
      <w:pPr>
        <w:pStyle w:val="TOC8"/>
        <w:rPr>
          <w:sz w:val="24"/>
          <w:szCs w:val="24"/>
          <w:lang w:val="en-US"/>
        </w:rPr>
      </w:pPr>
      <w:r>
        <w:t>21.</w:t>
      </w:r>
      <w:r>
        <w:tab/>
        <w:t>Inspection of animals and carcases at abattoirs</w:t>
      </w:r>
      <w:r>
        <w:tab/>
      </w:r>
      <w:r>
        <w:fldChar w:fldCharType="begin"/>
      </w:r>
      <w:r>
        <w:instrText xml:space="preserve"> PAGEREF _Toc313433011 \h </w:instrText>
      </w:r>
      <w:r>
        <w:fldChar w:fldCharType="separate"/>
      </w:r>
      <w:r>
        <w:t>13</w:t>
      </w:r>
      <w:r>
        <w:fldChar w:fldCharType="end"/>
      </w:r>
    </w:p>
    <w:p>
      <w:pPr>
        <w:pStyle w:val="TOC8"/>
        <w:rPr>
          <w:sz w:val="24"/>
          <w:szCs w:val="24"/>
          <w:lang w:val="en-US"/>
        </w:rPr>
      </w:pPr>
      <w:r>
        <w:t>22.</w:t>
      </w:r>
      <w:r>
        <w:tab/>
        <w:t>Branding carcases if fit for human consumption</w:t>
      </w:r>
      <w:r>
        <w:tab/>
      </w:r>
      <w:r>
        <w:fldChar w:fldCharType="begin"/>
      </w:r>
      <w:r>
        <w:instrText xml:space="preserve"> PAGEREF _Toc313433012 \h </w:instrText>
      </w:r>
      <w:r>
        <w:fldChar w:fldCharType="separate"/>
      </w:r>
      <w:r>
        <w:t>13</w:t>
      </w:r>
      <w:r>
        <w:fldChar w:fldCharType="end"/>
      </w:r>
    </w:p>
    <w:p>
      <w:pPr>
        <w:pStyle w:val="TOC8"/>
        <w:rPr>
          <w:sz w:val="24"/>
          <w:szCs w:val="24"/>
          <w:lang w:val="en-US"/>
        </w:rPr>
      </w:pPr>
      <w:r>
        <w:t>23.</w:t>
      </w:r>
      <w:r>
        <w:tab/>
        <w:t>Branding carcases if fit for consumption by animals</w:t>
      </w:r>
      <w:r>
        <w:tab/>
      </w:r>
      <w:r>
        <w:fldChar w:fldCharType="begin"/>
      </w:r>
      <w:r>
        <w:instrText xml:space="preserve"> PAGEREF _Toc313433013 \h </w:instrText>
      </w:r>
      <w:r>
        <w:fldChar w:fldCharType="separate"/>
      </w:r>
      <w:r>
        <w:t>14</w:t>
      </w:r>
      <w:r>
        <w:fldChar w:fldCharType="end"/>
      </w:r>
    </w:p>
    <w:p>
      <w:pPr>
        <w:pStyle w:val="TOC8"/>
        <w:rPr>
          <w:sz w:val="24"/>
          <w:szCs w:val="24"/>
          <w:lang w:val="en-US"/>
        </w:rPr>
      </w:pPr>
      <w:r>
        <w:t>24.</w:t>
      </w:r>
      <w:r>
        <w:tab/>
        <w:t>How carcases are to be branded</w:t>
      </w:r>
      <w:r>
        <w:tab/>
      </w:r>
      <w:r>
        <w:fldChar w:fldCharType="begin"/>
      </w:r>
      <w:r>
        <w:instrText xml:space="preserve"> PAGEREF _Toc313433014 \h </w:instrText>
      </w:r>
      <w:r>
        <w:fldChar w:fldCharType="separate"/>
      </w:r>
      <w:r>
        <w:t>14</w:t>
      </w:r>
      <w:r>
        <w:fldChar w:fldCharType="end"/>
      </w:r>
    </w:p>
    <w:p>
      <w:pPr>
        <w:pStyle w:val="TOC8"/>
        <w:rPr>
          <w:sz w:val="24"/>
          <w:szCs w:val="24"/>
          <w:lang w:val="en-US"/>
        </w:rPr>
      </w:pPr>
      <w:r>
        <w:t>25.</w:t>
      </w:r>
      <w:r>
        <w:tab/>
        <w:t>Branding carcases if unfit for human consumption or unfit for consumption by animals</w:t>
      </w:r>
      <w:r>
        <w:tab/>
      </w:r>
      <w:r>
        <w:fldChar w:fldCharType="begin"/>
      </w:r>
      <w:r>
        <w:instrText xml:space="preserve"> PAGEREF _Toc313433015 \h </w:instrText>
      </w:r>
      <w:r>
        <w:fldChar w:fldCharType="separate"/>
      </w:r>
      <w:r>
        <w:t>15</w:t>
      </w:r>
      <w:r>
        <w:fldChar w:fldCharType="end"/>
      </w:r>
    </w:p>
    <w:p>
      <w:pPr>
        <w:pStyle w:val="TOC8"/>
        <w:rPr>
          <w:sz w:val="24"/>
          <w:szCs w:val="24"/>
          <w:lang w:val="en-US"/>
        </w:rPr>
      </w:pPr>
      <w:r>
        <w:t>26.</w:t>
      </w:r>
      <w:r>
        <w:tab/>
        <w:t>Offences relating to brands</w:t>
      </w:r>
      <w:r>
        <w:tab/>
      </w:r>
      <w:r>
        <w:fldChar w:fldCharType="begin"/>
      </w:r>
      <w:r>
        <w:instrText xml:space="preserve"> PAGEREF _Toc313433016 \h </w:instrText>
      </w:r>
      <w:r>
        <w:fldChar w:fldCharType="separate"/>
      </w:r>
      <w:r>
        <w:t>16</w:t>
      </w:r>
      <w:r>
        <w:fldChar w:fldCharType="end"/>
      </w:r>
    </w:p>
    <w:p>
      <w:pPr>
        <w:pStyle w:val="TOC8"/>
        <w:rPr>
          <w:sz w:val="24"/>
          <w:szCs w:val="24"/>
          <w:lang w:val="en-US"/>
        </w:rPr>
      </w:pPr>
      <w:r>
        <w:t>27.</w:t>
      </w:r>
      <w:r>
        <w:tab/>
        <w:t>Restrictions on sale of carcases</w:t>
      </w:r>
      <w:r>
        <w:tab/>
      </w:r>
      <w:r>
        <w:fldChar w:fldCharType="begin"/>
      </w:r>
      <w:r>
        <w:instrText xml:space="preserve"> PAGEREF _Toc313433017 \h </w:instrText>
      </w:r>
      <w:r>
        <w:fldChar w:fldCharType="separate"/>
      </w:r>
      <w:r>
        <w:t>17</w:t>
      </w:r>
      <w:r>
        <w:fldChar w:fldCharType="end"/>
      </w:r>
    </w:p>
    <w:p>
      <w:pPr>
        <w:pStyle w:val="TOC4"/>
        <w:tabs>
          <w:tab w:val="right" w:pos="7076"/>
        </w:tabs>
        <w:rPr>
          <w:b w:val="0"/>
          <w:sz w:val="24"/>
          <w:szCs w:val="24"/>
          <w:lang w:val="en-US"/>
        </w:rPr>
      </w:pPr>
      <w:r>
        <w:t>Division 4 — Pet meat</w:t>
      </w:r>
    </w:p>
    <w:p>
      <w:pPr>
        <w:pStyle w:val="TOC6"/>
        <w:tabs>
          <w:tab w:val="right" w:pos="7076"/>
        </w:tabs>
        <w:rPr>
          <w:b w:val="0"/>
          <w:sz w:val="24"/>
          <w:szCs w:val="24"/>
          <w:lang w:val="en-US"/>
        </w:rPr>
      </w:pPr>
      <w:r>
        <w:t>Subdivision 1 — Preliminary</w:t>
      </w:r>
    </w:p>
    <w:p>
      <w:pPr>
        <w:pStyle w:val="TOC8"/>
        <w:rPr>
          <w:sz w:val="24"/>
          <w:szCs w:val="24"/>
          <w:lang w:val="en-US"/>
        </w:rPr>
      </w:pPr>
      <w:r>
        <w:t>28.</w:t>
      </w:r>
      <w:r>
        <w:tab/>
        <w:t>Term used: proprietor</w:t>
      </w:r>
      <w:r>
        <w:tab/>
      </w:r>
      <w:r>
        <w:fldChar w:fldCharType="begin"/>
      </w:r>
      <w:r>
        <w:instrText xml:space="preserve"> PAGEREF _Toc313433020 \h </w:instrText>
      </w:r>
      <w:r>
        <w:fldChar w:fldCharType="separate"/>
      </w:r>
      <w:r>
        <w:t>17</w:t>
      </w:r>
      <w:r>
        <w:fldChar w:fldCharType="end"/>
      </w:r>
    </w:p>
    <w:p>
      <w:pPr>
        <w:pStyle w:val="TOC6"/>
        <w:tabs>
          <w:tab w:val="right" w:pos="7076"/>
        </w:tabs>
        <w:rPr>
          <w:b w:val="0"/>
          <w:sz w:val="24"/>
          <w:szCs w:val="24"/>
          <w:lang w:val="en-US"/>
        </w:rPr>
      </w:pPr>
      <w:r>
        <w:t>Subdivision 2 — Staining of pet meat</w:t>
      </w:r>
    </w:p>
    <w:p>
      <w:pPr>
        <w:pStyle w:val="TOC8"/>
        <w:rPr>
          <w:sz w:val="24"/>
          <w:szCs w:val="24"/>
          <w:lang w:val="en-US"/>
        </w:rPr>
      </w:pPr>
      <w:r>
        <w:t>29.</w:t>
      </w:r>
      <w:r>
        <w:tab/>
        <w:t>Term used: dressing</w:t>
      </w:r>
      <w:r>
        <w:tab/>
      </w:r>
      <w:r>
        <w:fldChar w:fldCharType="begin"/>
      </w:r>
      <w:r>
        <w:instrText xml:space="preserve"> PAGEREF _Toc313433022 \h </w:instrText>
      </w:r>
      <w:r>
        <w:fldChar w:fldCharType="separate"/>
      </w:r>
      <w:r>
        <w:t>17</w:t>
      </w:r>
      <w:r>
        <w:fldChar w:fldCharType="end"/>
      </w:r>
    </w:p>
    <w:p>
      <w:pPr>
        <w:pStyle w:val="TOC8"/>
        <w:rPr>
          <w:sz w:val="24"/>
          <w:szCs w:val="24"/>
          <w:lang w:val="en-US"/>
        </w:rPr>
      </w:pPr>
      <w:r>
        <w:t>30.</w:t>
      </w:r>
      <w:r>
        <w:tab/>
        <w:t>Requirement for pet meat to be stained</w:t>
      </w:r>
      <w:r>
        <w:tab/>
      </w:r>
      <w:r>
        <w:fldChar w:fldCharType="begin"/>
      </w:r>
      <w:r>
        <w:instrText xml:space="preserve"> PAGEREF _Toc313433023 \h </w:instrText>
      </w:r>
      <w:r>
        <w:fldChar w:fldCharType="separate"/>
      </w:r>
      <w:r>
        <w:t>18</w:t>
      </w:r>
      <w:r>
        <w:fldChar w:fldCharType="end"/>
      </w:r>
    </w:p>
    <w:p>
      <w:pPr>
        <w:pStyle w:val="TOC8"/>
        <w:rPr>
          <w:sz w:val="24"/>
          <w:szCs w:val="24"/>
          <w:lang w:val="en-US"/>
        </w:rPr>
      </w:pPr>
      <w:r>
        <w:t>31.</w:t>
      </w:r>
      <w:r>
        <w:tab/>
        <w:t>How pet meat is to be stained</w:t>
      </w:r>
      <w:r>
        <w:tab/>
      </w:r>
      <w:r>
        <w:fldChar w:fldCharType="begin"/>
      </w:r>
      <w:r>
        <w:instrText xml:space="preserve"> PAGEREF _Toc313433024 \h </w:instrText>
      </w:r>
      <w:r>
        <w:fldChar w:fldCharType="separate"/>
      </w:r>
      <w:r>
        <w:t>18</w:t>
      </w:r>
      <w:r>
        <w:fldChar w:fldCharType="end"/>
      </w:r>
    </w:p>
    <w:p>
      <w:pPr>
        <w:pStyle w:val="TOC8"/>
        <w:rPr>
          <w:sz w:val="24"/>
          <w:szCs w:val="24"/>
          <w:lang w:val="en-US"/>
        </w:rPr>
      </w:pPr>
      <w:r>
        <w:t>32.</w:t>
      </w:r>
      <w:r>
        <w:tab/>
        <w:t>Removal of stain from pet meat prohibited</w:t>
      </w:r>
      <w:r>
        <w:tab/>
      </w:r>
      <w:r>
        <w:fldChar w:fldCharType="begin"/>
      </w:r>
      <w:r>
        <w:instrText xml:space="preserve"> PAGEREF _Toc313433025 \h </w:instrText>
      </w:r>
      <w:r>
        <w:fldChar w:fldCharType="separate"/>
      </w:r>
      <w:r>
        <w:t>18</w:t>
      </w:r>
      <w:r>
        <w:fldChar w:fldCharType="end"/>
      </w:r>
    </w:p>
    <w:p>
      <w:pPr>
        <w:pStyle w:val="TOC6"/>
        <w:tabs>
          <w:tab w:val="right" w:pos="7076"/>
        </w:tabs>
        <w:rPr>
          <w:b w:val="0"/>
          <w:sz w:val="24"/>
          <w:szCs w:val="24"/>
          <w:lang w:val="en-US"/>
        </w:rPr>
      </w:pPr>
      <w:r>
        <w:t>Subdivision 3 — Requirements relating to packaged and unpackaged pet meat</w:t>
      </w:r>
    </w:p>
    <w:p>
      <w:pPr>
        <w:pStyle w:val="TOC8"/>
        <w:rPr>
          <w:sz w:val="24"/>
          <w:szCs w:val="24"/>
          <w:lang w:val="en-US"/>
        </w:rPr>
      </w:pPr>
      <w:r>
        <w:t>33.</w:t>
      </w:r>
      <w:r>
        <w:tab/>
        <w:t>Pet meat sold by food businesses to be packaged</w:t>
      </w:r>
      <w:r>
        <w:tab/>
      </w:r>
      <w:r>
        <w:fldChar w:fldCharType="begin"/>
      </w:r>
      <w:r>
        <w:instrText xml:space="preserve"> PAGEREF _Toc313433027 \h </w:instrText>
      </w:r>
      <w:r>
        <w:fldChar w:fldCharType="separate"/>
      </w:r>
      <w:r>
        <w:t>19</w:t>
      </w:r>
      <w:r>
        <w:fldChar w:fldCharType="end"/>
      </w:r>
    </w:p>
    <w:p>
      <w:pPr>
        <w:pStyle w:val="TOC8"/>
        <w:rPr>
          <w:sz w:val="24"/>
          <w:szCs w:val="24"/>
          <w:lang w:val="en-US"/>
        </w:rPr>
      </w:pPr>
      <w:r>
        <w:t>34.</w:t>
      </w:r>
      <w:r>
        <w:tab/>
        <w:t>Unpackaged pet meat to be sold only at animal food processing premises or retail pet meat shops</w:t>
      </w:r>
      <w:r>
        <w:tab/>
      </w:r>
      <w:r>
        <w:fldChar w:fldCharType="begin"/>
      </w:r>
      <w:r>
        <w:instrText xml:space="preserve"> PAGEREF _Toc313433028 \h </w:instrText>
      </w:r>
      <w:r>
        <w:fldChar w:fldCharType="separate"/>
      </w:r>
      <w:r>
        <w:t>19</w:t>
      </w:r>
      <w:r>
        <w:fldChar w:fldCharType="end"/>
      </w:r>
    </w:p>
    <w:p>
      <w:pPr>
        <w:pStyle w:val="TOC8"/>
        <w:rPr>
          <w:sz w:val="24"/>
          <w:szCs w:val="24"/>
          <w:lang w:val="en-US"/>
        </w:rPr>
      </w:pPr>
      <w:r>
        <w:t>35.</w:t>
      </w:r>
      <w:r>
        <w:tab/>
        <w:t>Unpackaged pet meat to be stored at animal food processing premises and retail pet meat shops in marked containers</w:t>
      </w:r>
      <w:r>
        <w:tab/>
      </w:r>
      <w:r>
        <w:fldChar w:fldCharType="begin"/>
      </w:r>
      <w:r>
        <w:instrText xml:space="preserve"> PAGEREF _Toc313433029 \h </w:instrText>
      </w:r>
      <w:r>
        <w:fldChar w:fldCharType="separate"/>
      </w:r>
      <w:r>
        <w:t>20</w:t>
      </w:r>
      <w:r>
        <w:fldChar w:fldCharType="end"/>
      </w:r>
    </w:p>
    <w:p>
      <w:pPr>
        <w:pStyle w:val="TOC8"/>
        <w:rPr>
          <w:sz w:val="24"/>
          <w:szCs w:val="24"/>
          <w:lang w:val="en-US"/>
        </w:rPr>
      </w:pPr>
      <w:r>
        <w:t>36.</w:t>
      </w:r>
      <w:r>
        <w:tab/>
        <w:t>Unpackaged pet meat and food not to be processed, handled or sold at same food business premises</w:t>
      </w:r>
      <w:r>
        <w:tab/>
      </w:r>
      <w:r>
        <w:fldChar w:fldCharType="begin"/>
      </w:r>
      <w:r>
        <w:instrText xml:space="preserve"> PAGEREF _Toc313433030 \h </w:instrText>
      </w:r>
      <w:r>
        <w:fldChar w:fldCharType="separate"/>
      </w:r>
      <w:r>
        <w:t>20</w:t>
      </w:r>
      <w:r>
        <w:fldChar w:fldCharType="end"/>
      </w:r>
    </w:p>
    <w:p>
      <w:pPr>
        <w:pStyle w:val="TOC6"/>
        <w:tabs>
          <w:tab w:val="right" w:pos="7076"/>
        </w:tabs>
        <w:rPr>
          <w:b w:val="0"/>
          <w:sz w:val="24"/>
          <w:szCs w:val="24"/>
          <w:lang w:val="en-US"/>
        </w:rPr>
      </w:pPr>
      <w:r>
        <w:t>Subdivision 4 — Other requirements</w:t>
      </w:r>
    </w:p>
    <w:p>
      <w:pPr>
        <w:pStyle w:val="TOC8"/>
        <w:rPr>
          <w:sz w:val="24"/>
          <w:szCs w:val="24"/>
          <w:lang w:val="en-US"/>
        </w:rPr>
      </w:pPr>
      <w:r>
        <w:t>37.</w:t>
      </w:r>
      <w:r>
        <w:tab/>
        <w:t>Proprietor of animal food processing premises to establish and maintain system for tracing pet meat</w:t>
      </w:r>
      <w:r>
        <w:tab/>
      </w:r>
      <w:r>
        <w:fldChar w:fldCharType="begin"/>
      </w:r>
      <w:r>
        <w:instrText xml:space="preserve"> PAGEREF _Toc313433032 \h </w:instrText>
      </w:r>
      <w:r>
        <w:fldChar w:fldCharType="separate"/>
      </w:r>
      <w:r>
        <w:t>21</w:t>
      </w:r>
      <w:r>
        <w:fldChar w:fldCharType="end"/>
      </w:r>
    </w:p>
    <w:p>
      <w:pPr>
        <w:pStyle w:val="TOC8"/>
        <w:rPr>
          <w:sz w:val="24"/>
          <w:szCs w:val="24"/>
          <w:lang w:val="en-US"/>
        </w:rPr>
      </w:pPr>
      <w:r>
        <w:t>38.</w:t>
      </w:r>
      <w:r>
        <w:tab/>
        <w:t>Meat and game meat for human consumption not to be stored in animal food processing premises</w:t>
      </w:r>
      <w:r>
        <w:tab/>
      </w:r>
      <w:r>
        <w:fldChar w:fldCharType="begin"/>
      </w:r>
      <w:r>
        <w:instrText xml:space="preserve"> PAGEREF _Toc313433033 \h </w:instrText>
      </w:r>
      <w:r>
        <w:fldChar w:fldCharType="separate"/>
      </w:r>
      <w:r>
        <w:t>21</w:t>
      </w:r>
      <w:r>
        <w:fldChar w:fldCharType="end"/>
      </w:r>
    </w:p>
    <w:p>
      <w:pPr>
        <w:pStyle w:val="TOC8"/>
        <w:rPr>
          <w:sz w:val="24"/>
          <w:szCs w:val="24"/>
          <w:lang w:val="en-US"/>
        </w:rPr>
      </w:pPr>
      <w:r>
        <w:t>39.</w:t>
      </w:r>
      <w:r>
        <w:tab/>
        <w:t>Pet meat not to be sold as food</w:t>
      </w:r>
      <w:r>
        <w:tab/>
      </w:r>
      <w:r>
        <w:fldChar w:fldCharType="begin"/>
      </w:r>
      <w:r>
        <w:instrText xml:space="preserve"> PAGEREF _Toc313433034 \h </w:instrText>
      </w:r>
      <w:r>
        <w:fldChar w:fldCharType="separate"/>
      </w:r>
      <w:r>
        <w:t>21</w:t>
      </w:r>
      <w:r>
        <w:fldChar w:fldCharType="end"/>
      </w:r>
    </w:p>
    <w:p>
      <w:pPr>
        <w:pStyle w:val="TOC6"/>
        <w:tabs>
          <w:tab w:val="right" w:pos="7076"/>
        </w:tabs>
        <w:rPr>
          <w:b w:val="0"/>
          <w:sz w:val="24"/>
          <w:szCs w:val="24"/>
          <w:lang w:val="en-US"/>
        </w:rPr>
      </w:pPr>
      <w:r>
        <w:t>Subdivision 5 — Notification of conduct of business at animal food processing premises and retail pet meat shops</w:t>
      </w:r>
    </w:p>
    <w:p>
      <w:pPr>
        <w:pStyle w:val="TOC8"/>
        <w:rPr>
          <w:sz w:val="24"/>
          <w:szCs w:val="24"/>
          <w:lang w:val="en-US"/>
        </w:rPr>
      </w:pPr>
      <w:r>
        <w:t>40.</w:t>
      </w:r>
      <w:r>
        <w:tab/>
        <w:t>Notification of conduct of business at animal food processing premises and retail pet meat shops</w:t>
      </w:r>
      <w:r>
        <w:tab/>
      </w:r>
      <w:r>
        <w:fldChar w:fldCharType="begin"/>
      </w:r>
      <w:r>
        <w:instrText xml:space="preserve"> PAGEREF _Toc313433036 \h </w:instrText>
      </w:r>
      <w:r>
        <w:fldChar w:fldCharType="separate"/>
      </w:r>
      <w:r>
        <w:t>22</w:t>
      </w:r>
      <w:r>
        <w:fldChar w:fldCharType="end"/>
      </w:r>
    </w:p>
    <w:p>
      <w:pPr>
        <w:pStyle w:val="TOC4"/>
        <w:tabs>
          <w:tab w:val="right" w:pos="7076"/>
        </w:tabs>
        <w:rPr>
          <w:b w:val="0"/>
          <w:sz w:val="24"/>
          <w:szCs w:val="24"/>
          <w:lang w:val="en-US"/>
        </w:rPr>
      </w:pPr>
      <w:r>
        <w:t>Division 5 — Statements and inspection fees</w:t>
      </w:r>
    </w:p>
    <w:p>
      <w:pPr>
        <w:pStyle w:val="TOC8"/>
        <w:rPr>
          <w:sz w:val="24"/>
          <w:szCs w:val="24"/>
          <w:lang w:val="en-US"/>
        </w:rPr>
      </w:pPr>
      <w:r>
        <w:t>41.</w:t>
      </w:r>
      <w:r>
        <w:tab/>
        <w:t>Statements and inspection fees</w:t>
      </w:r>
      <w:r>
        <w:tab/>
      </w:r>
      <w:r>
        <w:fldChar w:fldCharType="begin"/>
      </w:r>
      <w:r>
        <w:instrText xml:space="preserve"> PAGEREF _Toc313433038 \h </w:instrText>
      </w:r>
      <w:r>
        <w:fldChar w:fldCharType="separate"/>
      </w:r>
      <w:r>
        <w:t>22</w:t>
      </w:r>
      <w:r>
        <w:fldChar w:fldCharType="end"/>
      </w:r>
    </w:p>
    <w:p>
      <w:pPr>
        <w:pStyle w:val="TOC8"/>
        <w:rPr>
          <w:sz w:val="24"/>
          <w:szCs w:val="24"/>
          <w:lang w:val="en-US"/>
        </w:rPr>
      </w:pPr>
      <w:r>
        <w:t>42.</w:t>
      </w:r>
      <w:r>
        <w:tab/>
        <w:t>Application of inspection fees</w:t>
      </w:r>
      <w:r>
        <w:tab/>
      </w:r>
      <w:r>
        <w:fldChar w:fldCharType="begin"/>
      </w:r>
      <w:r>
        <w:instrText xml:space="preserve"> PAGEREF _Toc313433039 \h </w:instrText>
      </w:r>
      <w:r>
        <w:fldChar w:fldCharType="separate"/>
      </w:r>
      <w:r>
        <w:t>23</w:t>
      </w:r>
      <w:r>
        <w:fldChar w:fldCharType="end"/>
      </w:r>
    </w:p>
    <w:p>
      <w:pPr>
        <w:pStyle w:val="TOC8"/>
        <w:rPr>
          <w:sz w:val="24"/>
          <w:szCs w:val="24"/>
          <w:lang w:val="en-US"/>
        </w:rPr>
      </w:pPr>
      <w:r>
        <w:t>43.</w:t>
      </w:r>
      <w:r>
        <w:tab/>
        <w:t>Local governments may require security</w:t>
      </w:r>
      <w:r>
        <w:tab/>
      </w:r>
      <w:r>
        <w:fldChar w:fldCharType="begin"/>
      </w:r>
      <w:r>
        <w:instrText xml:space="preserve"> PAGEREF _Toc313433040 \h </w:instrText>
      </w:r>
      <w:r>
        <w:fldChar w:fldCharType="separate"/>
      </w:r>
      <w:r>
        <w:t>24</w:t>
      </w:r>
      <w:r>
        <w:fldChar w:fldCharType="end"/>
      </w:r>
    </w:p>
    <w:p>
      <w:pPr>
        <w:pStyle w:val="TOC8"/>
        <w:rPr>
          <w:sz w:val="24"/>
          <w:szCs w:val="24"/>
          <w:lang w:val="en-US"/>
        </w:rPr>
      </w:pPr>
      <w:r>
        <w:t>44.</w:t>
      </w:r>
      <w:r>
        <w:tab/>
        <w:t>Application of security to recover unpaid fees</w:t>
      </w:r>
      <w:r>
        <w:tab/>
      </w:r>
      <w:r>
        <w:fldChar w:fldCharType="begin"/>
      </w:r>
      <w:r>
        <w:instrText xml:space="preserve"> PAGEREF _Toc313433041 \h </w:instrText>
      </w:r>
      <w:r>
        <w:fldChar w:fldCharType="separate"/>
      </w:r>
      <w:r>
        <w:t>24</w:t>
      </w:r>
      <w:r>
        <w:fldChar w:fldCharType="end"/>
      </w:r>
    </w:p>
    <w:p>
      <w:pPr>
        <w:pStyle w:val="TOC8"/>
        <w:rPr>
          <w:sz w:val="24"/>
          <w:szCs w:val="24"/>
          <w:lang w:val="en-US"/>
        </w:rPr>
      </w:pPr>
      <w:r>
        <w:t>45.</w:t>
      </w:r>
      <w:r>
        <w:tab/>
        <w:t>Withdrawal of inspection services</w:t>
      </w:r>
      <w:r>
        <w:tab/>
      </w:r>
      <w:r>
        <w:fldChar w:fldCharType="begin"/>
      </w:r>
      <w:r>
        <w:instrText xml:space="preserve"> PAGEREF _Toc313433042 \h </w:instrText>
      </w:r>
      <w:r>
        <w:fldChar w:fldCharType="separate"/>
      </w:r>
      <w:r>
        <w:t>25</w:t>
      </w:r>
      <w:r>
        <w:fldChar w:fldCharType="end"/>
      </w:r>
    </w:p>
    <w:p>
      <w:pPr>
        <w:pStyle w:val="TOC4"/>
        <w:tabs>
          <w:tab w:val="right" w:pos="7076"/>
        </w:tabs>
        <w:rPr>
          <w:b w:val="0"/>
          <w:sz w:val="24"/>
          <w:szCs w:val="24"/>
          <w:lang w:val="en-US"/>
        </w:rPr>
      </w:pPr>
      <w:r>
        <w:t>Division 6 — Premises used in meat production</w:t>
      </w:r>
    </w:p>
    <w:p>
      <w:pPr>
        <w:pStyle w:val="TOC8"/>
        <w:rPr>
          <w:sz w:val="24"/>
          <w:szCs w:val="24"/>
          <w:lang w:val="en-US"/>
        </w:rPr>
      </w:pPr>
      <w:r>
        <w:t>46.</w:t>
      </w:r>
      <w:r>
        <w:tab/>
        <w:t>Abattoirs and processing premises to comply with requirements of adopted standards</w:t>
      </w:r>
      <w:r>
        <w:tab/>
      </w:r>
      <w:r>
        <w:fldChar w:fldCharType="begin"/>
      </w:r>
      <w:r>
        <w:instrText xml:space="preserve"> PAGEREF _Toc313433044 \h </w:instrText>
      </w:r>
      <w:r>
        <w:fldChar w:fldCharType="separate"/>
      </w:r>
      <w:r>
        <w:t>25</w:t>
      </w:r>
      <w:r>
        <w:fldChar w:fldCharType="end"/>
      </w:r>
    </w:p>
    <w:p>
      <w:pPr>
        <w:pStyle w:val="TOC8"/>
        <w:rPr>
          <w:sz w:val="24"/>
          <w:szCs w:val="24"/>
          <w:lang w:val="en-US"/>
        </w:rPr>
      </w:pPr>
      <w:r>
        <w:t>47.</w:t>
      </w:r>
      <w:r>
        <w:tab/>
        <w:t>Slaughtering and processing to comply with requirements of adopted standards</w:t>
      </w:r>
      <w:r>
        <w:tab/>
      </w:r>
      <w:r>
        <w:fldChar w:fldCharType="begin"/>
      </w:r>
      <w:r>
        <w:instrText xml:space="preserve"> PAGEREF _Toc313433045 \h </w:instrText>
      </w:r>
      <w:r>
        <w:fldChar w:fldCharType="separate"/>
      </w:r>
      <w:r>
        <w:t>26</w:t>
      </w:r>
      <w:r>
        <w:fldChar w:fldCharType="end"/>
      </w:r>
    </w:p>
    <w:p>
      <w:pPr>
        <w:pStyle w:val="TOC4"/>
        <w:tabs>
          <w:tab w:val="right" w:pos="7076"/>
        </w:tabs>
        <w:rPr>
          <w:b w:val="0"/>
          <w:sz w:val="24"/>
          <w:szCs w:val="24"/>
          <w:lang w:val="en-US"/>
        </w:rPr>
      </w:pPr>
      <w:r>
        <w:t>Division 7 — Premises used in game meat production</w:t>
      </w:r>
    </w:p>
    <w:p>
      <w:pPr>
        <w:pStyle w:val="TOC8"/>
        <w:rPr>
          <w:sz w:val="24"/>
          <w:szCs w:val="24"/>
          <w:lang w:val="en-US"/>
        </w:rPr>
      </w:pPr>
      <w:r>
        <w:t>48.</w:t>
      </w:r>
      <w:r>
        <w:tab/>
        <w:t>Field depots to comply with requirements of wild game standard</w:t>
      </w:r>
      <w:r>
        <w:tab/>
      </w:r>
      <w:r>
        <w:fldChar w:fldCharType="begin"/>
      </w:r>
      <w:r>
        <w:instrText xml:space="preserve"> PAGEREF _Toc313433047 \h </w:instrText>
      </w:r>
      <w:r>
        <w:fldChar w:fldCharType="separate"/>
      </w:r>
      <w:r>
        <w:t>26</w:t>
      </w:r>
      <w:r>
        <w:fldChar w:fldCharType="end"/>
      </w:r>
    </w:p>
    <w:p>
      <w:pPr>
        <w:pStyle w:val="TOC8"/>
        <w:rPr>
          <w:sz w:val="24"/>
          <w:szCs w:val="24"/>
          <w:lang w:val="en-US"/>
        </w:rPr>
      </w:pPr>
      <w:r>
        <w:t>49.</w:t>
      </w:r>
      <w:r>
        <w:tab/>
        <w:t>Wild game meat processing establishments to comply with requirements of wild game standard</w:t>
      </w:r>
      <w:r>
        <w:tab/>
      </w:r>
      <w:r>
        <w:fldChar w:fldCharType="begin"/>
      </w:r>
      <w:r>
        <w:instrText xml:space="preserve"> PAGEREF _Toc313433048 \h </w:instrText>
      </w:r>
      <w:r>
        <w:fldChar w:fldCharType="separate"/>
      </w:r>
      <w:r>
        <w:t>27</w:t>
      </w:r>
      <w:r>
        <w:fldChar w:fldCharType="end"/>
      </w:r>
    </w:p>
    <w:p>
      <w:pPr>
        <w:pStyle w:val="TOC4"/>
        <w:tabs>
          <w:tab w:val="right" w:pos="7076"/>
        </w:tabs>
        <w:rPr>
          <w:b w:val="0"/>
          <w:sz w:val="24"/>
          <w:szCs w:val="24"/>
          <w:lang w:val="en-US"/>
        </w:rPr>
      </w:pPr>
      <w:r>
        <w:t>Division 8 — Transporting meat and game meat</w:t>
      </w:r>
    </w:p>
    <w:p>
      <w:pPr>
        <w:pStyle w:val="TOC8"/>
        <w:rPr>
          <w:sz w:val="24"/>
          <w:szCs w:val="24"/>
          <w:lang w:val="en-US"/>
        </w:rPr>
      </w:pPr>
      <w:r>
        <w:t>50.</w:t>
      </w:r>
      <w:r>
        <w:tab/>
        <w:t>Vehicles transporting meat or game meat</w:t>
      </w:r>
      <w:r>
        <w:tab/>
      </w:r>
      <w:r>
        <w:fldChar w:fldCharType="begin"/>
      </w:r>
      <w:r>
        <w:instrText xml:space="preserve"> PAGEREF _Toc313433050 \h </w:instrText>
      </w:r>
      <w:r>
        <w:fldChar w:fldCharType="separate"/>
      </w:r>
      <w:r>
        <w:t>27</w:t>
      </w:r>
      <w:r>
        <w:fldChar w:fldCharType="end"/>
      </w:r>
    </w:p>
    <w:p>
      <w:pPr>
        <w:pStyle w:val="TOC2"/>
        <w:tabs>
          <w:tab w:val="right" w:pos="7076"/>
        </w:tabs>
        <w:rPr>
          <w:b w:val="0"/>
          <w:sz w:val="24"/>
          <w:szCs w:val="24"/>
          <w:lang w:val="en-US"/>
        </w:rPr>
      </w:pPr>
      <w:r>
        <w:t>Part 6 — Miscellaneous</w:t>
      </w:r>
    </w:p>
    <w:p>
      <w:pPr>
        <w:pStyle w:val="TOC8"/>
        <w:rPr>
          <w:sz w:val="24"/>
          <w:szCs w:val="24"/>
          <w:lang w:val="en-US"/>
        </w:rPr>
      </w:pPr>
      <w:r>
        <w:t>51.</w:t>
      </w:r>
      <w:r>
        <w:tab/>
        <w:t>Enforcement agency may make list of food businesses publicly available</w:t>
      </w:r>
      <w:r>
        <w:tab/>
      </w:r>
      <w:r>
        <w:fldChar w:fldCharType="begin"/>
      </w:r>
      <w:r>
        <w:instrText xml:space="preserve"> PAGEREF _Toc313433052 \h </w:instrText>
      </w:r>
      <w:r>
        <w:fldChar w:fldCharType="separate"/>
      </w:r>
      <w:r>
        <w:t>28</w:t>
      </w:r>
      <w:r>
        <w:fldChar w:fldCharType="end"/>
      </w:r>
    </w:p>
    <w:p>
      <w:pPr>
        <w:pStyle w:val="TOC8"/>
        <w:rPr>
          <w:sz w:val="24"/>
          <w:szCs w:val="24"/>
          <w:lang w:val="en-US"/>
        </w:rPr>
      </w:pPr>
      <w:r>
        <w:t>52.</w:t>
      </w:r>
      <w:r>
        <w:tab/>
        <w:t>Prescribed fees</w:t>
      </w:r>
      <w:r>
        <w:tab/>
      </w:r>
      <w:r>
        <w:fldChar w:fldCharType="begin"/>
      </w:r>
      <w:r>
        <w:instrText xml:space="preserve"> PAGEREF _Toc313433053 \h </w:instrText>
      </w:r>
      <w:r>
        <w:fldChar w:fldCharType="separate"/>
      </w:r>
      <w:r>
        <w:t>28</w:t>
      </w:r>
      <w:r>
        <w:fldChar w:fldCharType="end"/>
      </w:r>
    </w:p>
    <w:p>
      <w:pPr>
        <w:pStyle w:val="TOC8"/>
        <w:rPr>
          <w:sz w:val="24"/>
          <w:szCs w:val="24"/>
          <w:lang w:val="en-US"/>
        </w:rPr>
      </w:pPr>
      <w:r>
        <w:t>53.</w:t>
      </w:r>
      <w:r>
        <w:tab/>
        <w:t>Prescribed offences and modified penalties (s. 126)</w:t>
      </w:r>
      <w:r>
        <w:tab/>
      </w:r>
      <w:r>
        <w:fldChar w:fldCharType="begin"/>
      </w:r>
      <w:r>
        <w:instrText xml:space="preserve"> PAGEREF _Toc313433054 \h </w:instrText>
      </w:r>
      <w:r>
        <w:fldChar w:fldCharType="separate"/>
      </w:r>
      <w:r>
        <w:t>28</w:t>
      </w:r>
      <w:r>
        <w:fldChar w:fldCharType="end"/>
      </w:r>
    </w:p>
    <w:p>
      <w:pPr>
        <w:pStyle w:val="TOC8"/>
        <w:rPr>
          <w:sz w:val="24"/>
          <w:szCs w:val="24"/>
          <w:lang w:val="en-US"/>
        </w:rPr>
      </w:pPr>
      <w:r>
        <w:t>54.</w:t>
      </w:r>
      <w:r>
        <w:tab/>
        <w:t>Prescribed forms (s. 126(3) and (7))</w:t>
      </w:r>
      <w:r>
        <w:tab/>
      </w:r>
      <w:r>
        <w:fldChar w:fldCharType="begin"/>
      </w:r>
      <w:r>
        <w:instrText xml:space="preserve"> PAGEREF _Toc313433055 \h </w:instrText>
      </w:r>
      <w:r>
        <w:fldChar w:fldCharType="separate"/>
      </w:r>
      <w:r>
        <w:t>28</w:t>
      </w:r>
      <w:r>
        <w:fldChar w:fldCharType="end"/>
      </w:r>
    </w:p>
    <w:p>
      <w:pPr>
        <w:pStyle w:val="TOC2"/>
        <w:tabs>
          <w:tab w:val="right" w:pos="7076"/>
        </w:tabs>
        <w:rPr>
          <w:b w:val="0"/>
          <w:sz w:val="24"/>
          <w:szCs w:val="24"/>
          <w:lang w:val="en-US"/>
        </w:rPr>
      </w:pPr>
      <w:r>
        <w:t>Part 7 — Transitional provisions</w:t>
      </w:r>
    </w:p>
    <w:p>
      <w:pPr>
        <w:pStyle w:val="TOC8"/>
        <w:rPr>
          <w:sz w:val="24"/>
          <w:szCs w:val="24"/>
          <w:lang w:val="en-US"/>
        </w:rPr>
      </w:pPr>
      <w:r>
        <w:t>55.</w:t>
      </w:r>
      <w:r>
        <w:tab/>
        <w:t>Terms used</w:t>
      </w:r>
      <w:r>
        <w:tab/>
      </w:r>
      <w:r>
        <w:fldChar w:fldCharType="begin"/>
      </w:r>
      <w:r>
        <w:instrText xml:space="preserve"> PAGEREF _Toc313433057 \h </w:instrText>
      </w:r>
      <w:r>
        <w:fldChar w:fldCharType="separate"/>
      </w:r>
      <w:r>
        <w:t>29</w:t>
      </w:r>
      <w:r>
        <w:fldChar w:fldCharType="end"/>
      </w:r>
    </w:p>
    <w:p>
      <w:pPr>
        <w:pStyle w:val="TOC8"/>
        <w:rPr>
          <w:sz w:val="24"/>
          <w:szCs w:val="24"/>
          <w:lang w:val="en-US"/>
        </w:rPr>
      </w:pPr>
      <w:r>
        <w:t>56.</w:t>
      </w:r>
      <w:r>
        <w:tab/>
        <w:t>Environmental health officers</w:t>
      </w:r>
      <w:r>
        <w:tab/>
      </w:r>
      <w:r>
        <w:fldChar w:fldCharType="begin"/>
      </w:r>
      <w:r>
        <w:instrText xml:space="preserve"> PAGEREF _Toc313433058 \h </w:instrText>
      </w:r>
      <w:r>
        <w:fldChar w:fldCharType="separate"/>
      </w:r>
      <w:r>
        <w:t>29</w:t>
      </w:r>
      <w:r>
        <w:fldChar w:fldCharType="end"/>
      </w:r>
    </w:p>
    <w:p>
      <w:pPr>
        <w:pStyle w:val="TOC8"/>
        <w:rPr>
          <w:sz w:val="24"/>
          <w:szCs w:val="24"/>
          <w:lang w:val="en-US"/>
        </w:rPr>
      </w:pPr>
      <w:r>
        <w:t>57.</w:t>
      </w:r>
      <w:r>
        <w:tab/>
        <w:t>Certificates of authority</w:t>
      </w:r>
      <w:r>
        <w:tab/>
      </w:r>
      <w:r>
        <w:fldChar w:fldCharType="begin"/>
      </w:r>
      <w:r>
        <w:instrText xml:space="preserve"> PAGEREF _Toc313433059 \h </w:instrText>
      </w:r>
      <w:r>
        <w:fldChar w:fldCharType="separate"/>
      </w:r>
      <w:r>
        <w:t>30</w:t>
      </w:r>
      <w:r>
        <w:fldChar w:fldCharType="end"/>
      </w:r>
    </w:p>
    <w:p>
      <w:pPr>
        <w:pStyle w:val="TOC8"/>
        <w:rPr>
          <w:sz w:val="24"/>
          <w:szCs w:val="24"/>
          <w:lang w:val="en-US"/>
        </w:rPr>
      </w:pPr>
      <w:r>
        <w:t>58.</w:t>
      </w:r>
      <w:r>
        <w:tab/>
        <w:t>Eating-houses</w:t>
      </w:r>
      <w:r>
        <w:tab/>
      </w:r>
      <w:r>
        <w:fldChar w:fldCharType="begin"/>
      </w:r>
      <w:r>
        <w:instrText xml:space="preserve"> PAGEREF _Toc313433060 \h </w:instrText>
      </w:r>
      <w:r>
        <w:fldChar w:fldCharType="separate"/>
      </w:r>
      <w:r>
        <w:t>30</w:t>
      </w:r>
      <w:r>
        <w:fldChar w:fldCharType="end"/>
      </w:r>
    </w:p>
    <w:p>
      <w:pPr>
        <w:pStyle w:val="TOC8"/>
        <w:rPr>
          <w:sz w:val="24"/>
          <w:szCs w:val="24"/>
          <w:lang w:val="en-US"/>
        </w:rPr>
      </w:pPr>
      <w:r>
        <w:t>59.</w:t>
      </w:r>
      <w:r>
        <w:tab/>
        <w:t>Premises where smallgoods are manufactured</w:t>
      </w:r>
      <w:r>
        <w:tab/>
      </w:r>
      <w:r>
        <w:fldChar w:fldCharType="begin"/>
      </w:r>
      <w:r>
        <w:instrText xml:space="preserve"> PAGEREF _Toc313433061 \h </w:instrText>
      </w:r>
      <w:r>
        <w:fldChar w:fldCharType="separate"/>
      </w:r>
      <w:r>
        <w:t>31</w:t>
      </w:r>
      <w:r>
        <w:fldChar w:fldCharType="end"/>
      </w:r>
    </w:p>
    <w:p>
      <w:pPr>
        <w:pStyle w:val="TOC8"/>
        <w:rPr>
          <w:sz w:val="24"/>
          <w:szCs w:val="24"/>
          <w:lang w:val="en-US"/>
        </w:rPr>
      </w:pPr>
      <w:r>
        <w:t>60.</w:t>
      </w:r>
      <w:r>
        <w:tab/>
        <w:t>Other food businesses</w:t>
      </w:r>
      <w:r>
        <w:tab/>
      </w:r>
      <w:r>
        <w:fldChar w:fldCharType="begin"/>
      </w:r>
      <w:r>
        <w:instrText xml:space="preserve"> PAGEREF _Toc313433062 \h </w:instrText>
      </w:r>
      <w:r>
        <w:fldChar w:fldCharType="separate"/>
      </w:r>
      <w:r>
        <w:t>32</w:t>
      </w:r>
      <w:r>
        <w:fldChar w:fldCharType="end"/>
      </w:r>
    </w:p>
    <w:p>
      <w:pPr>
        <w:pStyle w:val="TOC8"/>
        <w:rPr>
          <w:sz w:val="24"/>
          <w:szCs w:val="24"/>
          <w:lang w:val="en-US"/>
        </w:rPr>
      </w:pPr>
      <w:r>
        <w:t>61.</w:t>
      </w:r>
      <w:r>
        <w:tab/>
        <w:t>Pet meat premises</w:t>
      </w:r>
      <w:r>
        <w:tab/>
      </w:r>
      <w:r>
        <w:fldChar w:fldCharType="begin"/>
      </w:r>
      <w:r>
        <w:instrText xml:space="preserve"> PAGEREF _Toc313433063 \h </w:instrText>
      </w:r>
      <w:r>
        <w:fldChar w:fldCharType="separate"/>
      </w:r>
      <w:r>
        <w:t>32</w:t>
      </w:r>
      <w:r>
        <w:fldChar w:fldCharType="end"/>
      </w:r>
    </w:p>
    <w:p>
      <w:pPr>
        <w:pStyle w:val="TOC8"/>
        <w:rPr>
          <w:sz w:val="24"/>
          <w:szCs w:val="24"/>
          <w:lang w:val="en-US"/>
        </w:rPr>
      </w:pPr>
      <w:r>
        <w:t>62.</w:t>
      </w:r>
      <w:r>
        <w:tab/>
        <w:t>Approved laboratories</w:t>
      </w:r>
      <w:r>
        <w:tab/>
      </w:r>
      <w:r>
        <w:fldChar w:fldCharType="begin"/>
      </w:r>
      <w:r>
        <w:instrText xml:space="preserve"> PAGEREF _Toc313433064 \h </w:instrText>
      </w:r>
      <w:r>
        <w:fldChar w:fldCharType="separate"/>
      </w:r>
      <w:r>
        <w:t>33</w:t>
      </w:r>
      <w:r>
        <w:fldChar w:fldCharType="end"/>
      </w:r>
    </w:p>
    <w:p>
      <w:pPr>
        <w:pStyle w:val="TOC8"/>
        <w:rPr>
          <w:sz w:val="24"/>
          <w:szCs w:val="24"/>
          <w:lang w:val="en-US"/>
        </w:rPr>
      </w:pPr>
      <w:r>
        <w:t>63.</w:t>
      </w:r>
      <w:r>
        <w:tab/>
        <w:t>Approved analysts</w:t>
      </w:r>
      <w:r>
        <w:tab/>
      </w:r>
      <w:r>
        <w:fldChar w:fldCharType="begin"/>
      </w:r>
      <w:r>
        <w:instrText xml:space="preserve"> PAGEREF _Toc313433065 \h </w:instrText>
      </w:r>
      <w:r>
        <w:fldChar w:fldCharType="separate"/>
      </w:r>
      <w:r>
        <w:t>33</w:t>
      </w:r>
      <w:r>
        <w:fldChar w:fldCharType="end"/>
      </w:r>
    </w:p>
    <w:p>
      <w:pPr>
        <w:pStyle w:val="TOC2"/>
        <w:tabs>
          <w:tab w:val="right" w:pos="7076"/>
        </w:tabs>
        <w:rPr>
          <w:b w:val="0"/>
          <w:sz w:val="24"/>
          <w:szCs w:val="24"/>
          <w:lang w:val="en-US"/>
        </w:rPr>
      </w:pPr>
      <w:r>
        <w:t>Schedule 1 — Inspection fees</w:t>
      </w:r>
    </w:p>
    <w:p>
      <w:pPr>
        <w:pStyle w:val="TOC2"/>
        <w:tabs>
          <w:tab w:val="right" w:pos="7076"/>
        </w:tabs>
        <w:rPr>
          <w:b w:val="0"/>
          <w:sz w:val="24"/>
          <w:szCs w:val="24"/>
          <w:lang w:val="en-US"/>
        </w:rPr>
      </w:pPr>
      <w:r>
        <w:t>Schedule 2 — Prescribed fees</w:t>
      </w:r>
    </w:p>
    <w:p>
      <w:pPr>
        <w:pStyle w:val="TOC2"/>
        <w:tabs>
          <w:tab w:val="right" w:pos="7076"/>
        </w:tabs>
        <w:rPr>
          <w:b w:val="0"/>
          <w:sz w:val="24"/>
          <w:szCs w:val="24"/>
          <w:lang w:val="en-US"/>
        </w:rPr>
      </w:pPr>
      <w:r>
        <w:t>Schedule 3 — Prescribed offences and modified penalties</w:t>
      </w:r>
    </w:p>
    <w:p>
      <w:pPr>
        <w:pStyle w:val="TOC2"/>
        <w:tabs>
          <w:tab w:val="right" w:pos="7076"/>
        </w:tabs>
        <w:rPr>
          <w:b w:val="0"/>
          <w:sz w:val="24"/>
          <w:szCs w:val="24"/>
          <w:lang w:val="en-US"/>
        </w:rPr>
      </w:pPr>
      <w:r>
        <w:t>Schedule 4 — Infringement notice</w:t>
      </w:r>
    </w:p>
    <w:p>
      <w:pPr>
        <w:pStyle w:val="TOC2"/>
        <w:tabs>
          <w:tab w:val="right" w:pos="7076"/>
        </w:tabs>
        <w:rPr>
          <w:b w:val="0"/>
          <w:sz w:val="24"/>
          <w:szCs w:val="24"/>
          <w:lang w:val="en-US"/>
        </w:rPr>
      </w:pPr>
      <w:r>
        <w:t>Schedule 5 — Notice to withdraw infringement notice</w:t>
      </w:r>
    </w:p>
    <w:p>
      <w:pPr>
        <w:pStyle w:val="TOC2"/>
        <w:tabs>
          <w:tab w:val="right" w:pos="707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_Toc313433072 \h </w:instrText>
      </w:r>
      <w:r>
        <w:fldChar w:fldCharType="separate"/>
      </w:r>
      <w:r>
        <w:t>42</w:t>
      </w:r>
      <w:r>
        <w:fldChar w:fldCharType="end"/>
      </w:r>
    </w:p>
    <w:p>
      <w:pPr>
        <w:pStyle w:val="TOC2"/>
        <w:tabs>
          <w:tab w:val="righ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04212836"/>
      <w:bookmarkStart w:id="3" w:name="_Toc304281804"/>
      <w:bookmarkStart w:id="4" w:name="_Toc313432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304281805"/>
      <w:bookmarkStart w:id="6" w:name="_Toc31343298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8" w:name="_Toc304281806"/>
      <w:bookmarkStart w:id="9" w:name="_Toc31343298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0" w:name="_Toc304281807"/>
      <w:bookmarkStart w:id="11" w:name="_Toc313432986"/>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2" w:name="_Toc304281808"/>
      <w:bookmarkStart w:id="13" w:name="_Toc313432987"/>
      <w:r>
        <w:rPr>
          <w:rStyle w:val="CharSectno"/>
        </w:rPr>
        <w:t>4</w:t>
      </w:r>
      <w:r>
        <w:t>.</w:t>
      </w:r>
      <w:r>
        <w:tab/>
        <w:t>Appropriate enforcement agency: CEO (s. 8)</w:t>
      </w:r>
      <w:bookmarkEnd w:id="12"/>
      <w:bookmarkEnd w:id="13"/>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14" w:name="_Toc304281809"/>
      <w:bookmarkStart w:id="15" w:name="_Toc313432988"/>
      <w:r>
        <w:rPr>
          <w:rStyle w:val="CharSectno"/>
        </w:rPr>
        <w:t>5</w:t>
      </w:r>
      <w:r>
        <w:t>.</w:t>
      </w:r>
      <w:r>
        <w:tab/>
        <w:t>Appropriate enforcement agency: local government (s. 8)</w:t>
      </w:r>
      <w:bookmarkEnd w:id="14"/>
      <w:bookmarkEnd w:id="15"/>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6" w:name="_Toc304281810"/>
      <w:bookmarkStart w:id="17" w:name="_Toc313432989"/>
      <w:r>
        <w:rPr>
          <w:rStyle w:val="CharSectno"/>
        </w:rPr>
        <w:t>6</w:t>
      </w:r>
      <w:r>
        <w:t>.</w:t>
      </w:r>
      <w:r>
        <w:tab/>
        <w:t>Food production activities that are not primary food production (s. 11(2))</w:t>
      </w:r>
      <w:bookmarkEnd w:id="16"/>
      <w:bookmarkEnd w:id="17"/>
    </w:p>
    <w:p>
      <w:pPr>
        <w:pStyle w:val="Subsection"/>
      </w:pPr>
      <w:r>
        <w:tab/>
      </w:r>
      <w:r>
        <w:tab/>
        <w:t>For section 11(2) of the Act, any food production activity to which a standard in Chapter 4 of the Food Standards Code applies is prescribed.</w:t>
      </w:r>
    </w:p>
    <w:p>
      <w:pPr>
        <w:pStyle w:val="Heading2"/>
      </w:pPr>
      <w:bookmarkStart w:id="18" w:name="_Toc243968944"/>
      <w:bookmarkStart w:id="19" w:name="_Toc304212843"/>
      <w:bookmarkStart w:id="20" w:name="_Toc304281811"/>
      <w:bookmarkStart w:id="21" w:name="_Toc313432990"/>
      <w:r>
        <w:rPr>
          <w:rStyle w:val="CharPartNo"/>
        </w:rPr>
        <w:t>Part 2</w:t>
      </w:r>
      <w:r>
        <w:rPr>
          <w:rStyle w:val="CharDivNo"/>
        </w:rPr>
        <w:t> </w:t>
      </w:r>
      <w:r>
        <w:t>—</w:t>
      </w:r>
      <w:r>
        <w:rPr>
          <w:rStyle w:val="CharDivText"/>
        </w:rPr>
        <w:t> </w:t>
      </w:r>
      <w:r>
        <w:rPr>
          <w:rStyle w:val="CharPartText"/>
        </w:rPr>
        <w:t>Adoption of Food Standards Code</w:t>
      </w:r>
      <w:bookmarkEnd w:id="18"/>
      <w:bookmarkEnd w:id="19"/>
      <w:bookmarkEnd w:id="20"/>
      <w:bookmarkEnd w:id="21"/>
    </w:p>
    <w:p>
      <w:pPr>
        <w:pStyle w:val="Heading5"/>
      </w:pPr>
      <w:bookmarkStart w:id="22" w:name="_Toc304281812"/>
      <w:bookmarkStart w:id="23" w:name="_Toc313432991"/>
      <w:r>
        <w:rPr>
          <w:rStyle w:val="CharSectno"/>
        </w:rPr>
        <w:t>7</w:t>
      </w:r>
      <w:r>
        <w:t>.</w:t>
      </w:r>
      <w:r>
        <w:tab/>
        <w:t>Adoption of Food Standards Code (s. 144(7))</w:t>
      </w:r>
      <w:bookmarkEnd w:id="22"/>
      <w:bookmarkEnd w:id="23"/>
    </w:p>
    <w:p>
      <w:pPr>
        <w:pStyle w:val="Subsection"/>
      </w:pPr>
      <w:r>
        <w:tab/>
      </w:r>
      <w:r>
        <w:tab/>
        <w:t>Under section 144(7) of the Act, the Food Standards Code is adopted as in force from time to time.</w:t>
      </w:r>
    </w:p>
    <w:p>
      <w:pPr>
        <w:pStyle w:val="Heading5"/>
      </w:pPr>
      <w:bookmarkStart w:id="24" w:name="_Toc304281813"/>
      <w:bookmarkStart w:id="25" w:name="_Toc313432992"/>
      <w:r>
        <w:rPr>
          <w:rStyle w:val="CharSectno"/>
        </w:rPr>
        <w:t>8</w:t>
      </w:r>
      <w:r>
        <w:t>.</w:t>
      </w:r>
      <w:r>
        <w:tab/>
        <w:t>FSC standard 4.2.4 clause 15: express provision for goat's milk</w:t>
      </w:r>
      <w:bookmarkEnd w:id="24"/>
      <w:bookmarkEnd w:id="25"/>
    </w:p>
    <w:p>
      <w:pPr>
        <w:pStyle w:val="Subsection"/>
      </w:pPr>
      <w:r>
        <w:tab/>
      </w:r>
      <w:r>
        <w:tab/>
        <w:t>Clause 15 of FSC standard 4.2.4 does not apply to goat’s milk.</w:t>
      </w:r>
    </w:p>
    <w:p>
      <w:pPr>
        <w:pStyle w:val="Heading2"/>
      </w:pPr>
      <w:bookmarkStart w:id="26" w:name="_Toc243968947"/>
      <w:bookmarkStart w:id="27" w:name="_Toc304212846"/>
      <w:bookmarkStart w:id="28" w:name="_Toc304281814"/>
      <w:bookmarkStart w:id="29" w:name="_Toc313432993"/>
      <w:r>
        <w:rPr>
          <w:rStyle w:val="CharPartNo"/>
        </w:rPr>
        <w:t>Part 3</w:t>
      </w:r>
      <w:r>
        <w:rPr>
          <w:rStyle w:val="CharDivNo"/>
        </w:rPr>
        <w:t> </w:t>
      </w:r>
      <w:r>
        <w:t>—</w:t>
      </w:r>
      <w:r>
        <w:rPr>
          <w:rStyle w:val="CharDivText"/>
        </w:rPr>
        <w:t> </w:t>
      </w:r>
      <w:r>
        <w:rPr>
          <w:rStyle w:val="CharPartText"/>
        </w:rPr>
        <w:t>Exempted food businesses</w:t>
      </w:r>
      <w:bookmarkEnd w:id="26"/>
      <w:bookmarkEnd w:id="27"/>
      <w:bookmarkEnd w:id="28"/>
      <w:bookmarkEnd w:id="29"/>
    </w:p>
    <w:p>
      <w:pPr>
        <w:pStyle w:val="Heading5"/>
      </w:pPr>
      <w:bookmarkStart w:id="30" w:name="_Toc304281815"/>
      <w:bookmarkStart w:id="31" w:name="_Toc313432994"/>
      <w:r>
        <w:rPr>
          <w:rStyle w:val="CharSectno"/>
        </w:rPr>
        <w:t>9</w:t>
      </w:r>
      <w:r>
        <w:t>.</w:t>
      </w:r>
      <w:r>
        <w:tab/>
        <w:t>Term used: potentially hazardous food</w:t>
      </w:r>
      <w:bookmarkEnd w:id="30"/>
      <w:bookmarkEnd w:id="31"/>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2" w:name="_Toc304281816"/>
      <w:bookmarkStart w:id="33" w:name="_Toc313432995"/>
      <w:r>
        <w:rPr>
          <w:rStyle w:val="CharSectno"/>
        </w:rPr>
        <w:t>10</w:t>
      </w:r>
      <w:r>
        <w:t>.</w:t>
      </w:r>
      <w:r>
        <w:tab/>
        <w:t>Food businesses conducted as fundraising events (s. 109)</w:t>
      </w:r>
      <w:bookmarkEnd w:id="32"/>
      <w:bookmarkEnd w:id="33"/>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34" w:name="_Toc304281817"/>
      <w:bookmarkStart w:id="35" w:name="_Toc313432996"/>
      <w:r>
        <w:rPr>
          <w:rStyle w:val="CharSectno"/>
        </w:rPr>
        <w:t>11</w:t>
      </w:r>
      <w:r>
        <w:t>.</w:t>
      </w:r>
      <w:r>
        <w:tab/>
        <w:t>Food businesses that sell certain packaged food (s. 109)</w:t>
      </w:r>
      <w:bookmarkEnd w:id="34"/>
      <w:bookmarkEnd w:id="3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6" w:name="_Toc304281818"/>
      <w:bookmarkStart w:id="37" w:name="_Toc313432997"/>
      <w:r>
        <w:rPr>
          <w:rStyle w:val="CharSectno"/>
        </w:rPr>
        <w:t>12</w:t>
      </w:r>
      <w:r>
        <w:t>.</w:t>
      </w:r>
      <w:r>
        <w:tab/>
        <w:t>Food businesses that provide complimentary drinks in conjunction with another kind of business (s. 109)</w:t>
      </w:r>
      <w:bookmarkEnd w:id="36"/>
      <w:bookmarkEnd w:id="3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8" w:name="_Toc304281819"/>
      <w:bookmarkStart w:id="39" w:name="_Toc313432998"/>
      <w:r>
        <w:rPr>
          <w:rStyle w:val="CharSectno"/>
        </w:rPr>
        <w:t>13</w:t>
      </w:r>
      <w:r>
        <w:t>.</w:t>
      </w:r>
      <w:r>
        <w:tab/>
        <w:t>Food businesses conducted at registered establishments (s. 109)</w:t>
      </w:r>
      <w:bookmarkEnd w:id="38"/>
      <w:bookmarkEnd w:id="3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0" w:name="_Toc243968953"/>
      <w:bookmarkStart w:id="41" w:name="_Toc304212852"/>
      <w:bookmarkStart w:id="42" w:name="_Toc304281820"/>
      <w:bookmarkStart w:id="43" w:name="_Toc313432999"/>
      <w:r>
        <w:rPr>
          <w:rStyle w:val="CharPartNo"/>
        </w:rPr>
        <w:t>Part 4</w:t>
      </w:r>
      <w:r>
        <w:rPr>
          <w:rStyle w:val="CharDivNo"/>
        </w:rPr>
        <w:t> </w:t>
      </w:r>
      <w:r>
        <w:t>—</w:t>
      </w:r>
      <w:r>
        <w:rPr>
          <w:rStyle w:val="CharDivText"/>
        </w:rPr>
        <w:t> </w:t>
      </w:r>
      <w:r>
        <w:rPr>
          <w:rStyle w:val="CharPartText"/>
        </w:rPr>
        <w:t>Control of pathogens</w:t>
      </w:r>
      <w:bookmarkEnd w:id="40"/>
      <w:bookmarkEnd w:id="41"/>
      <w:bookmarkEnd w:id="42"/>
      <w:bookmarkEnd w:id="43"/>
    </w:p>
    <w:p>
      <w:pPr>
        <w:pStyle w:val="Heading5"/>
      </w:pPr>
      <w:bookmarkStart w:id="44" w:name="_Toc304281821"/>
      <w:bookmarkStart w:id="45" w:name="_Toc313433000"/>
      <w:r>
        <w:rPr>
          <w:rStyle w:val="CharSectno"/>
        </w:rPr>
        <w:t>14</w:t>
      </w:r>
      <w:r>
        <w:t>.</w:t>
      </w:r>
      <w:r>
        <w:tab/>
        <w:t>Term used: pathogen</w:t>
      </w:r>
      <w:bookmarkEnd w:id="44"/>
      <w:bookmarkEnd w:id="4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46" w:name="_Toc304281822"/>
      <w:bookmarkStart w:id="47" w:name="_Toc313433001"/>
      <w:r>
        <w:rPr>
          <w:rStyle w:val="CharSectno"/>
        </w:rPr>
        <w:t>15</w:t>
      </w:r>
      <w:r>
        <w:t>.</w:t>
      </w:r>
      <w:r>
        <w:tab/>
        <w:t>CEO to be informed of isolation of pathogens associated with food businesses</w:t>
      </w:r>
      <w:bookmarkEnd w:id="46"/>
      <w:bookmarkEnd w:id="47"/>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48" w:name="_Toc304281823"/>
      <w:bookmarkStart w:id="49" w:name="_Toc313433002"/>
      <w:r>
        <w:rPr>
          <w:rStyle w:val="CharSectno"/>
        </w:rPr>
        <w:t>16</w:t>
      </w:r>
      <w:r>
        <w:t>.</w:t>
      </w:r>
      <w:r>
        <w:tab/>
        <w:t>CEO may give directions</w:t>
      </w:r>
      <w:bookmarkEnd w:id="48"/>
      <w:bookmarkEnd w:id="4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0" w:name="_Toc243968957"/>
      <w:bookmarkStart w:id="51" w:name="_Toc304212856"/>
      <w:bookmarkStart w:id="52" w:name="_Toc304281824"/>
      <w:bookmarkStart w:id="53" w:name="_Toc313433003"/>
      <w:r>
        <w:rPr>
          <w:rStyle w:val="CharPartNo"/>
        </w:rPr>
        <w:t>Part 5</w:t>
      </w:r>
      <w:r>
        <w:t> — </w:t>
      </w:r>
      <w:r>
        <w:rPr>
          <w:rStyle w:val="CharPartText"/>
        </w:rPr>
        <w:t>Meat hygiene</w:t>
      </w:r>
      <w:bookmarkEnd w:id="50"/>
      <w:bookmarkEnd w:id="51"/>
      <w:bookmarkEnd w:id="52"/>
      <w:bookmarkEnd w:id="53"/>
    </w:p>
    <w:p>
      <w:pPr>
        <w:pStyle w:val="Heading3"/>
      </w:pPr>
      <w:bookmarkStart w:id="54" w:name="_Toc243968958"/>
      <w:bookmarkStart w:id="55" w:name="_Toc304212857"/>
      <w:bookmarkStart w:id="56" w:name="_Toc304281825"/>
      <w:bookmarkStart w:id="57" w:name="_Toc313433004"/>
      <w:r>
        <w:rPr>
          <w:rStyle w:val="CharDivNo"/>
        </w:rPr>
        <w:t>Division 1</w:t>
      </w:r>
      <w:r>
        <w:t> — </w:t>
      </w:r>
      <w:r>
        <w:rPr>
          <w:rStyle w:val="CharDivText"/>
        </w:rPr>
        <w:t>Preliminary</w:t>
      </w:r>
      <w:bookmarkEnd w:id="54"/>
      <w:bookmarkEnd w:id="55"/>
      <w:bookmarkEnd w:id="56"/>
      <w:bookmarkEnd w:id="57"/>
    </w:p>
    <w:p>
      <w:pPr>
        <w:pStyle w:val="Heading5"/>
      </w:pPr>
      <w:bookmarkStart w:id="58" w:name="_Toc304281826"/>
      <w:bookmarkStart w:id="59" w:name="_Toc313433005"/>
      <w:r>
        <w:rPr>
          <w:rStyle w:val="CharSectno"/>
        </w:rPr>
        <w:t>17</w:t>
      </w:r>
      <w:r>
        <w:t>.</w:t>
      </w:r>
      <w:r>
        <w:tab/>
        <w:t>Terms used</w:t>
      </w:r>
      <w:bookmarkEnd w:id="58"/>
      <w:bookmarkEnd w:id="59"/>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60" w:name="_Toc243968960"/>
      <w:bookmarkStart w:id="61" w:name="_Toc304212859"/>
      <w:bookmarkStart w:id="62" w:name="_Toc304281827"/>
      <w:bookmarkStart w:id="63" w:name="_Toc313433006"/>
      <w:r>
        <w:rPr>
          <w:rStyle w:val="CharDivNo"/>
        </w:rPr>
        <w:t>Division 2</w:t>
      </w:r>
      <w:r>
        <w:t> — </w:t>
      </w:r>
      <w:r>
        <w:rPr>
          <w:rStyle w:val="CharDivText"/>
        </w:rPr>
        <w:t>Adoption of certain Australian Standards</w:t>
      </w:r>
      <w:bookmarkEnd w:id="60"/>
      <w:bookmarkEnd w:id="61"/>
      <w:bookmarkEnd w:id="62"/>
      <w:bookmarkEnd w:id="63"/>
    </w:p>
    <w:p>
      <w:pPr>
        <w:pStyle w:val="Heading5"/>
      </w:pPr>
      <w:bookmarkStart w:id="64" w:name="_Toc304281828"/>
      <w:bookmarkStart w:id="65" w:name="_Toc313433007"/>
      <w:r>
        <w:rPr>
          <w:rStyle w:val="CharSectno"/>
        </w:rPr>
        <w:t>18</w:t>
      </w:r>
      <w:r>
        <w:t>.</w:t>
      </w:r>
      <w:r>
        <w:tab/>
        <w:t>Adoption of certain Australian Standards (s. 144(6))</w:t>
      </w:r>
      <w:bookmarkEnd w:id="64"/>
      <w:bookmarkEnd w:id="6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66" w:name="_Toc304281829"/>
      <w:bookmarkStart w:id="67" w:name="_Toc313433008"/>
      <w:r>
        <w:rPr>
          <w:rStyle w:val="CharSectno"/>
        </w:rPr>
        <w:t>19</w:t>
      </w:r>
      <w:r>
        <w:t>.</w:t>
      </w:r>
      <w:r>
        <w:tab/>
        <w:t>Modification of adopted standards</w:t>
      </w:r>
      <w:bookmarkEnd w:id="66"/>
      <w:bookmarkEnd w:id="67"/>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68" w:name="_Toc243968963"/>
      <w:bookmarkStart w:id="69" w:name="_Toc304212862"/>
      <w:bookmarkStart w:id="70" w:name="_Toc304281830"/>
      <w:bookmarkStart w:id="71" w:name="_Toc313433009"/>
      <w:r>
        <w:rPr>
          <w:rStyle w:val="CharDivNo"/>
        </w:rPr>
        <w:t>Division 3</w:t>
      </w:r>
      <w:r>
        <w:t> — </w:t>
      </w:r>
      <w:r>
        <w:rPr>
          <w:rStyle w:val="CharDivText"/>
        </w:rPr>
        <w:t>Inspection and branding</w:t>
      </w:r>
      <w:bookmarkEnd w:id="68"/>
      <w:bookmarkEnd w:id="69"/>
      <w:bookmarkEnd w:id="70"/>
      <w:bookmarkEnd w:id="71"/>
    </w:p>
    <w:p>
      <w:pPr>
        <w:pStyle w:val="Heading5"/>
      </w:pPr>
      <w:bookmarkStart w:id="72" w:name="_Toc304281831"/>
      <w:bookmarkStart w:id="73" w:name="_Toc313433010"/>
      <w:r>
        <w:rPr>
          <w:rStyle w:val="CharSectno"/>
        </w:rPr>
        <w:t>20</w:t>
      </w:r>
      <w:r>
        <w:t>.</w:t>
      </w:r>
      <w:r>
        <w:tab/>
        <w:t>Application of Division to primary producers</w:t>
      </w:r>
      <w:bookmarkEnd w:id="72"/>
      <w:bookmarkEnd w:id="73"/>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74" w:name="_Toc304281832"/>
      <w:bookmarkStart w:id="75" w:name="_Toc313433011"/>
      <w:r>
        <w:rPr>
          <w:rStyle w:val="CharSectno"/>
        </w:rPr>
        <w:t>21</w:t>
      </w:r>
      <w:r>
        <w:t>.</w:t>
      </w:r>
      <w:r>
        <w:tab/>
        <w:t>Inspection of animals and carcases at abattoirs</w:t>
      </w:r>
      <w:bookmarkEnd w:id="74"/>
      <w:bookmarkEnd w:id="75"/>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76" w:name="_Toc304281833"/>
      <w:bookmarkStart w:id="77" w:name="_Toc313433012"/>
      <w:r>
        <w:rPr>
          <w:rStyle w:val="CharSectno"/>
        </w:rPr>
        <w:t>22</w:t>
      </w:r>
      <w:r>
        <w:t>.</w:t>
      </w:r>
      <w:r>
        <w:tab/>
        <w:t>Branding carcases if fit for human consumption</w:t>
      </w:r>
      <w:bookmarkEnd w:id="76"/>
      <w:bookmarkEnd w:id="77"/>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78" w:name="_Toc304281834"/>
      <w:bookmarkStart w:id="79" w:name="_Toc313433013"/>
      <w:r>
        <w:rPr>
          <w:rStyle w:val="CharSectno"/>
        </w:rPr>
        <w:t>23</w:t>
      </w:r>
      <w:r>
        <w:t>.</w:t>
      </w:r>
      <w:r>
        <w:tab/>
        <w:t>Branding carcases if fit for consumption by animals</w:t>
      </w:r>
      <w:bookmarkEnd w:id="78"/>
      <w:bookmarkEnd w:id="79"/>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80" w:name="_Toc304281835"/>
      <w:bookmarkStart w:id="81" w:name="_Toc313433014"/>
      <w:r>
        <w:rPr>
          <w:rStyle w:val="CharSectno"/>
        </w:rPr>
        <w:t>24</w:t>
      </w:r>
      <w:r>
        <w:t>.</w:t>
      </w:r>
      <w:r>
        <w:tab/>
        <w:t>How carcases are to be branded</w:t>
      </w:r>
      <w:bookmarkEnd w:id="80"/>
      <w:bookmarkEnd w:id="81"/>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82" w:name="_Toc304281836"/>
      <w:bookmarkStart w:id="83" w:name="_Toc313433015"/>
      <w:r>
        <w:rPr>
          <w:rStyle w:val="CharSectno"/>
        </w:rPr>
        <w:t>25</w:t>
      </w:r>
      <w:r>
        <w:t>.</w:t>
      </w:r>
      <w:r>
        <w:tab/>
        <w:t>Branding carcases if unfit for human consumption or unfit for consumption by animals</w:t>
      </w:r>
      <w:bookmarkEnd w:id="82"/>
      <w:bookmarkEnd w:id="83"/>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84" w:name="_Toc304281837"/>
      <w:bookmarkStart w:id="85" w:name="_Toc313433016"/>
      <w:r>
        <w:rPr>
          <w:rStyle w:val="CharSectno"/>
        </w:rPr>
        <w:t>26</w:t>
      </w:r>
      <w:r>
        <w:t>.</w:t>
      </w:r>
      <w:r>
        <w:tab/>
        <w:t>Offences relating to brands</w:t>
      </w:r>
      <w:bookmarkEnd w:id="84"/>
      <w:bookmarkEnd w:id="85"/>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86" w:name="_Toc304281838"/>
      <w:bookmarkStart w:id="87" w:name="_Toc313433017"/>
      <w:r>
        <w:rPr>
          <w:rStyle w:val="CharSectno"/>
        </w:rPr>
        <w:t>27</w:t>
      </w:r>
      <w:r>
        <w:t>.</w:t>
      </w:r>
      <w:r>
        <w:tab/>
        <w:t>Restrictions on sale of carcases</w:t>
      </w:r>
      <w:bookmarkEnd w:id="86"/>
      <w:bookmarkEnd w:id="87"/>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88" w:name="_Toc243968972"/>
      <w:bookmarkStart w:id="89" w:name="_Toc304212871"/>
      <w:bookmarkStart w:id="90" w:name="_Toc304281839"/>
      <w:bookmarkStart w:id="91" w:name="_Toc313433018"/>
      <w:r>
        <w:rPr>
          <w:rStyle w:val="CharDivNo"/>
        </w:rPr>
        <w:t>Division 4</w:t>
      </w:r>
      <w:r>
        <w:t> — </w:t>
      </w:r>
      <w:r>
        <w:rPr>
          <w:rStyle w:val="CharDivText"/>
        </w:rPr>
        <w:t>Pet meat</w:t>
      </w:r>
      <w:bookmarkEnd w:id="88"/>
      <w:bookmarkEnd w:id="89"/>
      <w:bookmarkEnd w:id="90"/>
      <w:bookmarkEnd w:id="91"/>
    </w:p>
    <w:p>
      <w:pPr>
        <w:pStyle w:val="Heading4"/>
      </w:pPr>
      <w:bookmarkStart w:id="92" w:name="_Toc243968973"/>
      <w:bookmarkStart w:id="93" w:name="_Toc304212872"/>
      <w:bookmarkStart w:id="94" w:name="_Toc304281840"/>
      <w:bookmarkStart w:id="95" w:name="_Toc313433019"/>
      <w:r>
        <w:t>Subdivision 1 — Preliminary</w:t>
      </w:r>
      <w:bookmarkEnd w:id="92"/>
      <w:bookmarkEnd w:id="93"/>
      <w:bookmarkEnd w:id="94"/>
      <w:bookmarkEnd w:id="95"/>
    </w:p>
    <w:p>
      <w:pPr>
        <w:pStyle w:val="Heading5"/>
      </w:pPr>
      <w:bookmarkStart w:id="96" w:name="_Toc304281841"/>
      <w:bookmarkStart w:id="97" w:name="_Toc313433020"/>
      <w:r>
        <w:rPr>
          <w:rStyle w:val="CharSectno"/>
        </w:rPr>
        <w:t>28</w:t>
      </w:r>
      <w:r>
        <w:t>.</w:t>
      </w:r>
      <w:r>
        <w:tab/>
        <w:t>Term used: proprietor</w:t>
      </w:r>
      <w:bookmarkEnd w:id="96"/>
      <w:bookmarkEnd w:id="97"/>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98" w:name="_Toc243968975"/>
      <w:bookmarkStart w:id="99" w:name="_Toc304212874"/>
      <w:bookmarkStart w:id="100" w:name="_Toc304281842"/>
      <w:bookmarkStart w:id="101" w:name="_Toc313433021"/>
      <w:r>
        <w:t>Subdivision 2 — Staining of pet meat</w:t>
      </w:r>
      <w:bookmarkEnd w:id="98"/>
      <w:bookmarkEnd w:id="99"/>
      <w:bookmarkEnd w:id="100"/>
      <w:bookmarkEnd w:id="101"/>
    </w:p>
    <w:p>
      <w:pPr>
        <w:pStyle w:val="Heading5"/>
      </w:pPr>
      <w:bookmarkStart w:id="102" w:name="_Toc304281843"/>
      <w:bookmarkStart w:id="103" w:name="_Toc313433022"/>
      <w:r>
        <w:rPr>
          <w:rStyle w:val="CharSectno"/>
        </w:rPr>
        <w:t>29</w:t>
      </w:r>
      <w:r>
        <w:t>.</w:t>
      </w:r>
      <w:r>
        <w:tab/>
        <w:t>Term used: dressing</w:t>
      </w:r>
      <w:bookmarkEnd w:id="102"/>
      <w:bookmarkEnd w:id="103"/>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04" w:name="_Toc304281844"/>
      <w:bookmarkStart w:id="105" w:name="_Toc313433023"/>
      <w:r>
        <w:rPr>
          <w:rStyle w:val="CharSectno"/>
        </w:rPr>
        <w:t>30</w:t>
      </w:r>
      <w:r>
        <w:t>.</w:t>
      </w:r>
      <w:r>
        <w:tab/>
        <w:t>Requirement for pet meat to be stained</w:t>
      </w:r>
      <w:bookmarkEnd w:id="104"/>
      <w:bookmarkEnd w:id="10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06" w:name="_Toc304281845"/>
      <w:bookmarkStart w:id="107" w:name="_Toc313433024"/>
      <w:r>
        <w:rPr>
          <w:rStyle w:val="CharSectno"/>
        </w:rPr>
        <w:t>31</w:t>
      </w:r>
      <w:r>
        <w:t>.</w:t>
      </w:r>
      <w:r>
        <w:tab/>
        <w:t>How pet meat is to be stained</w:t>
      </w:r>
      <w:bookmarkEnd w:id="106"/>
      <w:bookmarkEnd w:id="10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08" w:name="_Toc304281846"/>
      <w:bookmarkStart w:id="109" w:name="_Toc313433025"/>
      <w:r>
        <w:rPr>
          <w:rStyle w:val="CharSectno"/>
        </w:rPr>
        <w:t>32</w:t>
      </w:r>
      <w:r>
        <w:t>.</w:t>
      </w:r>
      <w:r>
        <w:tab/>
        <w:t>Removal of stain from pet meat prohibited</w:t>
      </w:r>
      <w:bookmarkEnd w:id="108"/>
      <w:bookmarkEnd w:id="109"/>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10" w:name="_Toc243968980"/>
      <w:bookmarkStart w:id="111" w:name="_Toc304212879"/>
      <w:bookmarkStart w:id="112" w:name="_Toc304281847"/>
      <w:bookmarkStart w:id="113" w:name="_Toc313433026"/>
      <w:r>
        <w:t>Subdivision 3 — Requirements relating to packaged and unpackaged pet meat</w:t>
      </w:r>
      <w:bookmarkEnd w:id="110"/>
      <w:bookmarkEnd w:id="111"/>
      <w:bookmarkEnd w:id="112"/>
      <w:bookmarkEnd w:id="113"/>
    </w:p>
    <w:p>
      <w:pPr>
        <w:pStyle w:val="Heading5"/>
      </w:pPr>
      <w:bookmarkStart w:id="114" w:name="_Toc304281848"/>
      <w:bookmarkStart w:id="115" w:name="_Toc313433027"/>
      <w:r>
        <w:rPr>
          <w:rStyle w:val="CharSectno"/>
        </w:rPr>
        <w:t>33</w:t>
      </w:r>
      <w:r>
        <w:t>.</w:t>
      </w:r>
      <w:r>
        <w:tab/>
        <w:t>Pet meat sold by food businesses to be packaged</w:t>
      </w:r>
      <w:bookmarkEnd w:id="114"/>
      <w:bookmarkEnd w:id="115"/>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16" w:name="_Toc304281849"/>
      <w:bookmarkStart w:id="117" w:name="_Toc313433028"/>
      <w:r>
        <w:rPr>
          <w:rStyle w:val="CharSectno"/>
        </w:rPr>
        <w:t>34</w:t>
      </w:r>
      <w:r>
        <w:t>.</w:t>
      </w:r>
      <w:r>
        <w:tab/>
        <w:t>Unpackaged pet meat to be sold only at animal food processing premises or retail pet meat shops</w:t>
      </w:r>
      <w:bookmarkEnd w:id="116"/>
      <w:bookmarkEnd w:id="117"/>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18" w:name="_Toc304281850"/>
      <w:bookmarkStart w:id="119" w:name="_Toc313433029"/>
      <w:r>
        <w:rPr>
          <w:rStyle w:val="CharSectno"/>
        </w:rPr>
        <w:t>35</w:t>
      </w:r>
      <w:r>
        <w:t>.</w:t>
      </w:r>
      <w:r>
        <w:tab/>
        <w:t>Unpackaged pet meat to be stored at animal food processing premises and retail pet meat shops in marked containers</w:t>
      </w:r>
      <w:bookmarkEnd w:id="118"/>
      <w:bookmarkEnd w:id="119"/>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20" w:name="_Toc304281851"/>
      <w:bookmarkStart w:id="121" w:name="_Toc313433030"/>
      <w:r>
        <w:rPr>
          <w:rStyle w:val="CharSectno"/>
        </w:rPr>
        <w:t>36</w:t>
      </w:r>
      <w:r>
        <w:t>.</w:t>
      </w:r>
      <w:r>
        <w:tab/>
        <w:t>Unpackaged pet meat and food not to be processed, handled or sold at same food business premises</w:t>
      </w:r>
      <w:bookmarkEnd w:id="120"/>
      <w:bookmarkEnd w:id="121"/>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Heading4"/>
      </w:pPr>
      <w:bookmarkStart w:id="122" w:name="_Toc243968985"/>
      <w:bookmarkStart w:id="123" w:name="_Toc304212884"/>
      <w:bookmarkStart w:id="124" w:name="_Toc304281852"/>
      <w:bookmarkStart w:id="125" w:name="_Toc313433031"/>
      <w:r>
        <w:t>Subdivision 4 — Other requirements</w:t>
      </w:r>
      <w:bookmarkEnd w:id="122"/>
      <w:bookmarkEnd w:id="123"/>
      <w:bookmarkEnd w:id="124"/>
      <w:bookmarkEnd w:id="125"/>
    </w:p>
    <w:p>
      <w:pPr>
        <w:pStyle w:val="Heading5"/>
      </w:pPr>
      <w:bookmarkStart w:id="126" w:name="_Toc304281853"/>
      <w:bookmarkStart w:id="127" w:name="_Toc313433032"/>
      <w:r>
        <w:rPr>
          <w:rStyle w:val="CharSectno"/>
        </w:rPr>
        <w:t>37</w:t>
      </w:r>
      <w:r>
        <w:t>.</w:t>
      </w:r>
      <w:r>
        <w:tab/>
        <w:t>Proprietor of animal food processing premises to establish and maintain system for tracing pet meat</w:t>
      </w:r>
      <w:bookmarkEnd w:id="126"/>
      <w:bookmarkEnd w:id="127"/>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28" w:name="_Toc304281854"/>
      <w:bookmarkStart w:id="129" w:name="_Toc313433033"/>
      <w:r>
        <w:rPr>
          <w:rStyle w:val="CharSectno"/>
        </w:rPr>
        <w:t>38</w:t>
      </w:r>
      <w:r>
        <w:t>.</w:t>
      </w:r>
      <w:r>
        <w:tab/>
        <w:t>Meat and game meat for human consumption not to be stored in animal food processing premises</w:t>
      </w:r>
      <w:bookmarkEnd w:id="128"/>
      <w:bookmarkEnd w:id="129"/>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30" w:name="_Toc304281855"/>
      <w:bookmarkStart w:id="131" w:name="_Toc313433034"/>
      <w:r>
        <w:rPr>
          <w:rStyle w:val="CharSectno"/>
        </w:rPr>
        <w:t>39</w:t>
      </w:r>
      <w:r>
        <w:t>.</w:t>
      </w:r>
      <w:r>
        <w:tab/>
        <w:t>Pet meat not to be sold as food</w:t>
      </w:r>
      <w:bookmarkEnd w:id="130"/>
      <w:bookmarkEnd w:id="131"/>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32" w:name="_Toc243968989"/>
      <w:bookmarkStart w:id="133" w:name="_Toc304212888"/>
      <w:bookmarkStart w:id="134" w:name="_Toc304281856"/>
      <w:bookmarkStart w:id="135" w:name="_Toc313433035"/>
      <w:r>
        <w:t>Subdivision 5 — Notification of conduct of business at animal food processing premises and retail pet meat shops</w:t>
      </w:r>
      <w:bookmarkEnd w:id="132"/>
      <w:bookmarkEnd w:id="133"/>
      <w:bookmarkEnd w:id="134"/>
      <w:bookmarkEnd w:id="135"/>
    </w:p>
    <w:p>
      <w:pPr>
        <w:pStyle w:val="Heading5"/>
      </w:pPr>
      <w:bookmarkStart w:id="136" w:name="_Toc304281857"/>
      <w:bookmarkStart w:id="137" w:name="_Toc313433036"/>
      <w:r>
        <w:rPr>
          <w:rStyle w:val="CharSectno"/>
        </w:rPr>
        <w:t>40</w:t>
      </w:r>
      <w:r>
        <w:t>.</w:t>
      </w:r>
      <w:r>
        <w:tab/>
        <w:t>Notification of conduct of business at animal food processing premises and retail pet meat shops</w:t>
      </w:r>
      <w:bookmarkEnd w:id="136"/>
      <w:bookmarkEnd w:id="13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38" w:name="_Toc243968991"/>
      <w:bookmarkStart w:id="139" w:name="_Toc304212890"/>
      <w:bookmarkStart w:id="140" w:name="_Toc304281858"/>
      <w:bookmarkStart w:id="141" w:name="_Toc313433037"/>
      <w:r>
        <w:rPr>
          <w:rStyle w:val="CharDivNo"/>
        </w:rPr>
        <w:t>Division 5</w:t>
      </w:r>
      <w:r>
        <w:t> — </w:t>
      </w:r>
      <w:r>
        <w:rPr>
          <w:rStyle w:val="CharDivText"/>
        </w:rPr>
        <w:t>Statements and inspection fees</w:t>
      </w:r>
      <w:bookmarkEnd w:id="138"/>
      <w:bookmarkEnd w:id="139"/>
      <w:bookmarkEnd w:id="140"/>
      <w:bookmarkEnd w:id="141"/>
    </w:p>
    <w:p>
      <w:pPr>
        <w:pStyle w:val="Heading5"/>
      </w:pPr>
      <w:bookmarkStart w:id="142" w:name="_Toc304281859"/>
      <w:bookmarkStart w:id="143" w:name="_Toc313433038"/>
      <w:r>
        <w:rPr>
          <w:rStyle w:val="CharSectno"/>
        </w:rPr>
        <w:t>41</w:t>
      </w:r>
      <w:r>
        <w:t>.</w:t>
      </w:r>
      <w:r>
        <w:tab/>
        <w:t>Statements and inspection fees</w:t>
      </w:r>
      <w:bookmarkEnd w:id="142"/>
      <w:bookmarkEnd w:id="143"/>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44" w:name="_Toc304281860"/>
      <w:bookmarkStart w:id="145" w:name="_Toc313433039"/>
      <w:r>
        <w:rPr>
          <w:rStyle w:val="CharSectno"/>
        </w:rPr>
        <w:t>42</w:t>
      </w:r>
      <w:r>
        <w:t>.</w:t>
      </w:r>
      <w:r>
        <w:tab/>
        <w:t>Application of inspection fees</w:t>
      </w:r>
      <w:bookmarkEnd w:id="144"/>
      <w:bookmarkEnd w:id="14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146" w:name="_Toc304281861"/>
      <w:bookmarkStart w:id="147" w:name="_Toc313433040"/>
      <w:r>
        <w:rPr>
          <w:rStyle w:val="CharSectno"/>
        </w:rPr>
        <w:t>43</w:t>
      </w:r>
      <w:r>
        <w:t>.</w:t>
      </w:r>
      <w:r>
        <w:tab/>
        <w:t>Local governments may require security</w:t>
      </w:r>
      <w:bookmarkEnd w:id="146"/>
      <w:bookmarkEnd w:id="147"/>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48" w:name="_Toc304281862"/>
      <w:bookmarkStart w:id="149" w:name="_Toc313433041"/>
      <w:r>
        <w:rPr>
          <w:rStyle w:val="CharSectno"/>
        </w:rPr>
        <w:t>44</w:t>
      </w:r>
      <w:r>
        <w:t>.</w:t>
      </w:r>
      <w:r>
        <w:tab/>
        <w:t>Application of security to recover unpaid fees</w:t>
      </w:r>
      <w:bookmarkEnd w:id="148"/>
      <w:bookmarkEnd w:id="149"/>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50" w:name="_Toc304281863"/>
      <w:bookmarkStart w:id="151" w:name="_Toc313433042"/>
      <w:r>
        <w:rPr>
          <w:rStyle w:val="CharSectno"/>
        </w:rPr>
        <w:t>45</w:t>
      </w:r>
      <w:r>
        <w:t>.</w:t>
      </w:r>
      <w:r>
        <w:tab/>
        <w:t>Withdrawal of inspection services</w:t>
      </w:r>
      <w:bookmarkEnd w:id="150"/>
      <w:bookmarkEnd w:id="151"/>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52" w:name="_Toc243968997"/>
      <w:bookmarkStart w:id="153" w:name="_Toc304212896"/>
      <w:bookmarkStart w:id="154" w:name="_Toc304281864"/>
      <w:bookmarkStart w:id="155" w:name="_Toc313433043"/>
      <w:r>
        <w:rPr>
          <w:rStyle w:val="CharDivNo"/>
        </w:rPr>
        <w:t>Division 6</w:t>
      </w:r>
      <w:r>
        <w:t> — </w:t>
      </w:r>
      <w:r>
        <w:rPr>
          <w:rStyle w:val="CharDivText"/>
        </w:rPr>
        <w:t>Premises used in meat production</w:t>
      </w:r>
      <w:bookmarkEnd w:id="152"/>
      <w:bookmarkEnd w:id="153"/>
      <w:bookmarkEnd w:id="154"/>
      <w:bookmarkEnd w:id="155"/>
    </w:p>
    <w:p>
      <w:pPr>
        <w:pStyle w:val="Heading5"/>
      </w:pPr>
      <w:bookmarkStart w:id="156" w:name="_Toc304281865"/>
      <w:bookmarkStart w:id="157" w:name="_Toc313433044"/>
      <w:r>
        <w:rPr>
          <w:rStyle w:val="CharSectno"/>
        </w:rPr>
        <w:t>46</w:t>
      </w:r>
      <w:r>
        <w:t>.</w:t>
      </w:r>
      <w:r>
        <w:tab/>
        <w:t>Abattoirs and processing premises to comply with requirements of adopted standards</w:t>
      </w:r>
      <w:bookmarkEnd w:id="156"/>
      <w:bookmarkEnd w:id="15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58" w:name="_Toc304281866"/>
      <w:bookmarkStart w:id="159" w:name="_Toc313433045"/>
      <w:r>
        <w:rPr>
          <w:rStyle w:val="CharSectno"/>
        </w:rPr>
        <w:t>47</w:t>
      </w:r>
      <w:r>
        <w:t>.</w:t>
      </w:r>
      <w:r>
        <w:tab/>
        <w:t>Slaughtering and processing to comply with requirements of adopted standards</w:t>
      </w:r>
      <w:bookmarkEnd w:id="158"/>
      <w:bookmarkEnd w:id="159"/>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60" w:name="_Toc243969000"/>
      <w:bookmarkStart w:id="161" w:name="_Toc304212899"/>
      <w:bookmarkStart w:id="162" w:name="_Toc304281867"/>
      <w:bookmarkStart w:id="163" w:name="_Toc313433046"/>
      <w:r>
        <w:rPr>
          <w:rStyle w:val="CharDivNo"/>
        </w:rPr>
        <w:t>Division 7</w:t>
      </w:r>
      <w:r>
        <w:t> — </w:t>
      </w:r>
      <w:r>
        <w:rPr>
          <w:rStyle w:val="CharDivText"/>
        </w:rPr>
        <w:t>Premises used in game meat production</w:t>
      </w:r>
      <w:bookmarkEnd w:id="160"/>
      <w:bookmarkEnd w:id="161"/>
      <w:bookmarkEnd w:id="162"/>
      <w:bookmarkEnd w:id="163"/>
    </w:p>
    <w:p>
      <w:pPr>
        <w:pStyle w:val="Heading5"/>
      </w:pPr>
      <w:bookmarkStart w:id="164" w:name="_Toc304281868"/>
      <w:bookmarkStart w:id="165" w:name="_Toc313433047"/>
      <w:r>
        <w:rPr>
          <w:rStyle w:val="CharSectno"/>
        </w:rPr>
        <w:t>48</w:t>
      </w:r>
      <w:r>
        <w:t>.</w:t>
      </w:r>
      <w:r>
        <w:tab/>
        <w:t>Field depots to comply with requirements of wild game standard</w:t>
      </w:r>
      <w:bookmarkEnd w:id="164"/>
      <w:bookmarkEnd w:id="16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66" w:name="_Toc304281869"/>
      <w:bookmarkStart w:id="167" w:name="_Toc313433048"/>
      <w:r>
        <w:rPr>
          <w:rStyle w:val="CharSectno"/>
        </w:rPr>
        <w:t>49</w:t>
      </w:r>
      <w:r>
        <w:t>.</w:t>
      </w:r>
      <w:r>
        <w:tab/>
        <w:t>Wild game meat processing establishments to comply with requirements of wild game standard</w:t>
      </w:r>
      <w:bookmarkEnd w:id="166"/>
      <w:bookmarkEnd w:id="16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68" w:name="_Toc243969003"/>
      <w:bookmarkStart w:id="169" w:name="_Toc304212902"/>
      <w:bookmarkStart w:id="170" w:name="_Toc304281870"/>
      <w:bookmarkStart w:id="171" w:name="_Toc313433049"/>
      <w:r>
        <w:rPr>
          <w:rStyle w:val="CharDivNo"/>
        </w:rPr>
        <w:t>Division 8</w:t>
      </w:r>
      <w:r>
        <w:t> — </w:t>
      </w:r>
      <w:r>
        <w:rPr>
          <w:rStyle w:val="CharDivText"/>
        </w:rPr>
        <w:t>Transporting meat and game meat</w:t>
      </w:r>
      <w:bookmarkEnd w:id="168"/>
      <w:bookmarkEnd w:id="169"/>
      <w:bookmarkEnd w:id="170"/>
      <w:bookmarkEnd w:id="171"/>
    </w:p>
    <w:p>
      <w:pPr>
        <w:pStyle w:val="Heading5"/>
      </w:pPr>
      <w:bookmarkStart w:id="172" w:name="_Toc304281871"/>
      <w:bookmarkStart w:id="173" w:name="_Toc313433050"/>
      <w:r>
        <w:rPr>
          <w:rStyle w:val="CharSectno"/>
        </w:rPr>
        <w:t>50</w:t>
      </w:r>
      <w:r>
        <w:t>.</w:t>
      </w:r>
      <w:r>
        <w:tab/>
        <w:t>Vehicles transporting meat or game meat</w:t>
      </w:r>
      <w:bookmarkEnd w:id="172"/>
      <w:bookmarkEnd w:id="173"/>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74" w:name="_Toc243969005"/>
      <w:bookmarkStart w:id="175" w:name="_Toc304212904"/>
      <w:bookmarkStart w:id="176" w:name="_Toc304281872"/>
      <w:bookmarkStart w:id="177" w:name="_Toc313433051"/>
      <w:r>
        <w:rPr>
          <w:rStyle w:val="CharPartNo"/>
        </w:rPr>
        <w:t>Part 6</w:t>
      </w:r>
      <w:r>
        <w:rPr>
          <w:rStyle w:val="CharDivNo"/>
        </w:rPr>
        <w:t> </w:t>
      </w:r>
      <w:r>
        <w:t>—</w:t>
      </w:r>
      <w:r>
        <w:rPr>
          <w:rStyle w:val="CharDivText"/>
        </w:rPr>
        <w:t> </w:t>
      </w:r>
      <w:r>
        <w:rPr>
          <w:rStyle w:val="CharPartText"/>
        </w:rPr>
        <w:t>Miscellaneous</w:t>
      </w:r>
      <w:bookmarkEnd w:id="174"/>
      <w:bookmarkEnd w:id="175"/>
      <w:bookmarkEnd w:id="176"/>
      <w:bookmarkEnd w:id="177"/>
    </w:p>
    <w:p>
      <w:pPr>
        <w:pStyle w:val="Heading5"/>
      </w:pPr>
      <w:bookmarkStart w:id="178" w:name="_Toc304281873"/>
      <w:bookmarkStart w:id="179" w:name="_Toc313433052"/>
      <w:r>
        <w:rPr>
          <w:rStyle w:val="CharSectno"/>
        </w:rPr>
        <w:t>51</w:t>
      </w:r>
      <w:r>
        <w:t>.</w:t>
      </w:r>
      <w:r>
        <w:tab/>
        <w:t>Enforcement agency may make list of food businesses publicly available</w:t>
      </w:r>
      <w:bookmarkEnd w:id="178"/>
      <w:bookmarkEnd w:id="17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80" w:name="_Toc304281874"/>
      <w:bookmarkStart w:id="181" w:name="_Toc313433053"/>
      <w:r>
        <w:rPr>
          <w:rStyle w:val="CharSectno"/>
        </w:rPr>
        <w:t>52</w:t>
      </w:r>
      <w:r>
        <w:t>.</w:t>
      </w:r>
      <w:r>
        <w:tab/>
        <w:t>Prescribed fees</w:t>
      </w:r>
      <w:bookmarkEnd w:id="180"/>
      <w:bookmarkEnd w:id="181"/>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82" w:name="_Toc304281875"/>
      <w:bookmarkStart w:id="183" w:name="_Toc313433054"/>
      <w:r>
        <w:rPr>
          <w:rStyle w:val="CharSectno"/>
        </w:rPr>
        <w:t>53</w:t>
      </w:r>
      <w:r>
        <w:t>.</w:t>
      </w:r>
      <w:r>
        <w:tab/>
        <w:t>Prescribed offences and modified penalties (s. 126)</w:t>
      </w:r>
      <w:bookmarkEnd w:id="182"/>
      <w:bookmarkEnd w:id="18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84" w:name="_Toc304281876"/>
      <w:bookmarkStart w:id="185" w:name="_Toc313433055"/>
      <w:r>
        <w:rPr>
          <w:rStyle w:val="CharSectno"/>
        </w:rPr>
        <w:t>54</w:t>
      </w:r>
      <w:r>
        <w:t>.</w:t>
      </w:r>
      <w:r>
        <w:tab/>
        <w:t>Prescribed forms (s. 126(3) and (7))</w:t>
      </w:r>
      <w:bookmarkEnd w:id="184"/>
      <w:bookmarkEnd w:id="18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Heading2"/>
      </w:pPr>
      <w:bookmarkStart w:id="186" w:name="_Toc243969010"/>
      <w:bookmarkStart w:id="187" w:name="_Toc304212909"/>
      <w:bookmarkStart w:id="188" w:name="_Toc304281877"/>
      <w:bookmarkStart w:id="189" w:name="_Toc313433056"/>
      <w:r>
        <w:rPr>
          <w:rStyle w:val="CharPartNo"/>
        </w:rPr>
        <w:t>Part 7</w:t>
      </w:r>
      <w:r>
        <w:rPr>
          <w:rStyle w:val="CharDivNo"/>
        </w:rPr>
        <w:t> </w:t>
      </w:r>
      <w:r>
        <w:t>—</w:t>
      </w:r>
      <w:r>
        <w:rPr>
          <w:rStyle w:val="CharDivText"/>
        </w:rPr>
        <w:t> </w:t>
      </w:r>
      <w:r>
        <w:rPr>
          <w:rStyle w:val="CharPartText"/>
        </w:rPr>
        <w:t>Transitional provisions</w:t>
      </w:r>
      <w:bookmarkEnd w:id="186"/>
      <w:bookmarkEnd w:id="187"/>
      <w:bookmarkEnd w:id="188"/>
      <w:bookmarkEnd w:id="189"/>
    </w:p>
    <w:p>
      <w:pPr>
        <w:pStyle w:val="Heading5"/>
      </w:pPr>
      <w:bookmarkStart w:id="190" w:name="_Toc304281878"/>
      <w:bookmarkStart w:id="191" w:name="_Toc313433057"/>
      <w:r>
        <w:rPr>
          <w:rStyle w:val="CharSectno"/>
        </w:rPr>
        <w:t>55</w:t>
      </w:r>
      <w:r>
        <w:t>.</w:t>
      </w:r>
      <w:r>
        <w:tab/>
        <w:t>Terms used</w:t>
      </w:r>
      <w:bookmarkEnd w:id="190"/>
      <w:bookmarkEnd w:id="191"/>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Health Act</w:t>
      </w:r>
      <w:r>
        <w:t xml:space="preserve"> means the </w:t>
      </w:r>
      <w:r>
        <w:rPr>
          <w:i/>
          <w:iCs/>
        </w:rPr>
        <w:t>Health Act 1911</w:t>
      </w:r>
      <w:r>
        <w:t xml:space="preserve"> as in force immediately before the commencement day.</w:t>
      </w:r>
    </w:p>
    <w:p>
      <w:pPr>
        <w:pStyle w:val="Heading5"/>
      </w:pPr>
      <w:bookmarkStart w:id="192" w:name="_Toc304281879"/>
      <w:bookmarkStart w:id="193" w:name="_Toc313433058"/>
      <w:r>
        <w:rPr>
          <w:rStyle w:val="CharSectno"/>
        </w:rPr>
        <w:t>56</w:t>
      </w:r>
      <w:r>
        <w:t>.</w:t>
      </w:r>
      <w:r>
        <w:tab/>
        <w:t>Environmental health officers</w:t>
      </w:r>
      <w:bookmarkEnd w:id="192"/>
      <w:bookmarkEnd w:id="193"/>
    </w:p>
    <w:p>
      <w:pPr>
        <w:pStyle w:val="Subsection"/>
      </w:pPr>
      <w:r>
        <w:tab/>
        <w:t>(1)</w:t>
      </w:r>
      <w:r>
        <w:tab/>
        <w:t xml:space="preserve">In this regulation — </w:t>
      </w:r>
    </w:p>
    <w:p>
      <w:pPr>
        <w:pStyle w:val="Defstart"/>
      </w:pPr>
      <w:r>
        <w:tab/>
      </w:r>
      <w:r>
        <w:rPr>
          <w:rStyle w:val="CharDefText"/>
        </w:rPr>
        <w:t>environmental health officer</w:t>
      </w:r>
      <w:r>
        <w:t xml:space="preserve"> means a person who holds office as an environmental health officer — </w:t>
      </w:r>
    </w:p>
    <w:p>
      <w:pPr>
        <w:pStyle w:val="Defpara"/>
      </w:pPr>
      <w:r>
        <w:tab/>
        <w:t>(a)</w:t>
      </w:r>
      <w:r>
        <w:tab/>
        <w:t>having been appointed as an environmental health officer by a local government for the purposes of the Health Act; or</w:t>
      </w:r>
    </w:p>
    <w:p>
      <w:pPr>
        <w:pStyle w:val="Defpara"/>
      </w:pPr>
      <w:r>
        <w:tab/>
        <w:t>(b)</w:t>
      </w:r>
      <w:r>
        <w:tab/>
        <w:t>having been appointed as an environmental health officer by 2 or more local governments under the Health Act section 30; or</w:t>
      </w:r>
    </w:p>
    <w:p>
      <w:pPr>
        <w:pStyle w:val="Defpara"/>
      </w:pPr>
      <w:r>
        <w:tab/>
        <w:t>(c)</w:t>
      </w:r>
      <w:r>
        <w:tab/>
        <w:t xml:space="preserve">having been designated as an environmental health officer under the </w:t>
      </w:r>
      <w:r>
        <w:rPr>
          <w:i/>
        </w:rPr>
        <w:t>Health Legislation Administration Act 1984</w:t>
      </w:r>
      <w:r>
        <w:t>;</w:t>
      </w:r>
    </w:p>
    <w:p>
      <w:pPr>
        <w:pStyle w:val="Defstart"/>
      </w:pPr>
      <w:r>
        <w:tab/>
      </w:r>
      <w:r>
        <w:rPr>
          <w:rStyle w:val="CharDefText"/>
        </w:rPr>
        <w:t>Executive Director, Public Health</w:t>
      </w:r>
      <w:r>
        <w:t xml:space="preserve"> has the meaning given in the Health Act section 3(1).</w:t>
      </w:r>
    </w:p>
    <w:p>
      <w:pPr>
        <w:pStyle w:val="Subsection"/>
      </w:pPr>
      <w:r>
        <w:tab/>
        <w:t>(2)</w:t>
      </w:r>
      <w:r>
        <w:tab/>
        <w:t xml:space="preserve">A person holding office, immediately before the commencement day, as an environmental health officer is to be taken to have been appointed as an authorised officer under section 122 of the Act — </w:t>
      </w:r>
    </w:p>
    <w:p>
      <w:pPr>
        <w:pStyle w:val="Indenta"/>
      </w:pPr>
      <w:r>
        <w:tab/>
        <w:t>(a)</w:t>
      </w:r>
      <w:r>
        <w:tab/>
        <w:t>if subregulation (1)(a) applies — by the relevant local government; or</w:t>
      </w:r>
    </w:p>
    <w:p>
      <w:pPr>
        <w:pStyle w:val="Indenta"/>
      </w:pPr>
      <w:r>
        <w:tab/>
        <w:t>(b)</w:t>
      </w:r>
      <w:r>
        <w:tab/>
        <w:t>if subregulation (1)(b) applies — by each of the relevant local governments; or</w:t>
      </w:r>
    </w:p>
    <w:p>
      <w:pPr>
        <w:pStyle w:val="Indenta"/>
      </w:pPr>
      <w:r>
        <w:tab/>
        <w:t>(c)</w:t>
      </w:r>
      <w:r>
        <w:tab/>
        <w:t>if subregulation (1)(c) applies — by the CEO.</w:t>
      </w:r>
    </w:p>
    <w:p>
      <w:pPr>
        <w:pStyle w:val="Heading5"/>
      </w:pPr>
      <w:bookmarkStart w:id="194" w:name="_Toc304281880"/>
      <w:bookmarkStart w:id="195" w:name="_Toc313433059"/>
      <w:r>
        <w:rPr>
          <w:rStyle w:val="CharSectno"/>
        </w:rPr>
        <w:t>57</w:t>
      </w:r>
      <w:r>
        <w:t>.</w:t>
      </w:r>
      <w:r>
        <w:tab/>
        <w:t>Certificates of authority</w:t>
      </w:r>
      <w:bookmarkEnd w:id="194"/>
      <w:bookmarkEnd w:id="195"/>
    </w:p>
    <w:p>
      <w:pPr>
        <w:pStyle w:val="Subsection"/>
      </w:pPr>
      <w:r>
        <w:tab/>
        <w:t>(1)</w:t>
      </w:r>
      <w:r>
        <w:tab/>
        <w:t xml:space="preserve">A certificate of authority (however described) issued by a local government or the Executive Director, Public Health to an environmental health officer who is to be taken to be an authorised officer under regulation 56(2) has effect as a certificate of authority provided to the officer under section 123 of the Act until — </w:t>
      </w:r>
    </w:p>
    <w:p>
      <w:pPr>
        <w:pStyle w:val="Indenta"/>
      </w:pPr>
      <w:r>
        <w:tab/>
        <w:t>(a)</w:t>
      </w:r>
      <w:r>
        <w:tab/>
        <w:t>a certificate of authority is provided to the officer under section 123 of the Act; or</w:t>
      </w:r>
    </w:p>
    <w:p>
      <w:pPr>
        <w:pStyle w:val="Indenta"/>
      </w:pPr>
      <w:r>
        <w:tab/>
        <w:t>(b)</w:t>
      </w:r>
      <w:r>
        <w:tab/>
        <w:t>31 December 2009,</w:t>
      </w:r>
    </w:p>
    <w:p>
      <w:pPr>
        <w:pStyle w:val="Subsection"/>
      </w:pPr>
      <w:r>
        <w:tab/>
      </w:r>
      <w:r>
        <w:tab/>
        <w:t>whichever occurs first.</w:t>
      </w:r>
    </w:p>
    <w:p>
      <w:pPr>
        <w:pStyle w:val="Subsection"/>
      </w:pPr>
      <w:r>
        <w:tab/>
        <w:t>(2)</w:t>
      </w:r>
      <w:r>
        <w:tab/>
        <w:t>A certificate of authority (however described) issued jointly by 2 or more local governments (</w:t>
      </w:r>
      <w:r>
        <w:rPr>
          <w:rStyle w:val="CharDefText"/>
        </w:rPr>
        <w:t>authorising local governments</w:t>
      </w:r>
      <w:r>
        <w:t xml:space="preserve">) to an environmental health officer who is to be taken to be an authorised officer under regulation 56(2) has effect as a certificate of authority provided to the officer under section 123 of the Act by an authorising local government until — </w:t>
      </w:r>
    </w:p>
    <w:p>
      <w:pPr>
        <w:pStyle w:val="Indenta"/>
      </w:pPr>
      <w:r>
        <w:tab/>
        <w:t>(a)</w:t>
      </w:r>
      <w:r>
        <w:tab/>
        <w:t>a certificate of authority is provided to the officer under section 123 of the Act by the authorising local government; or</w:t>
      </w:r>
    </w:p>
    <w:p>
      <w:pPr>
        <w:pStyle w:val="Indenta"/>
      </w:pPr>
      <w:r>
        <w:tab/>
        <w:t>(b)</w:t>
      </w:r>
      <w:r>
        <w:tab/>
        <w:t>31 December 2009,</w:t>
      </w:r>
    </w:p>
    <w:p>
      <w:pPr>
        <w:pStyle w:val="Subsection"/>
      </w:pPr>
      <w:r>
        <w:tab/>
      </w:r>
      <w:r>
        <w:tab/>
        <w:t>whichever occurs first.</w:t>
      </w:r>
    </w:p>
    <w:p>
      <w:pPr>
        <w:pStyle w:val="Heading5"/>
      </w:pPr>
      <w:bookmarkStart w:id="196" w:name="_Toc304281881"/>
      <w:bookmarkStart w:id="197" w:name="_Toc313433060"/>
      <w:r>
        <w:rPr>
          <w:rStyle w:val="CharSectno"/>
        </w:rPr>
        <w:t>58</w:t>
      </w:r>
      <w:r>
        <w:t>.</w:t>
      </w:r>
      <w:r>
        <w:tab/>
        <w:t>Eating-houses</w:t>
      </w:r>
      <w:bookmarkEnd w:id="196"/>
      <w:bookmarkEnd w:id="197"/>
    </w:p>
    <w:p>
      <w:pPr>
        <w:pStyle w:val="Subsection"/>
      </w:pPr>
      <w:r>
        <w:tab/>
        <w:t>(1)</w:t>
      </w:r>
      <w:r>
        <w:tab/>
        <w:t xml:space="preserve">In this regulation — </w:t>
      </w:r>
    </w:p>
    <w:p>
      <w:pPr>
        <w:pStyle w:val="Defstart"/>
      </w:pPr>
      <w:r>
        <w:tab/>
      </w:r>
      <w:r>
        <w:rPr>
          <w:rStyle w:val="CharDefText"/>
        </w:rPr>
        <w:t>eating-house</w:t>
      </w:r>
      <w:r>
        <w:t xml:space="preserve"> has the meaning given in the Health Act section 160;</w:t>
      </w:r>
    </w:p>
    <w:p>
      <w:pPr>
        <w:pStyle w:val="Defstart"/>
      </w:pPr>
      <w:r>
        <w:tab/>
      </w:r>
      <w:r>
        <w:rPr>
          <w:rStyle w:val="CharDefText"/>
        </w:rPr>
        <w:t>registered</w:t>
      </w:r>
      <w:r>
        <w:t xml:space="preserve"> or </w:t>
      </w:r>
      <w:r>
        <w:rPr>
          <w:rStyle w:val="CharDefText"/>
        </w:rPr>
        <w:t>registration</w:t>
      </w:r>
      <w:r>
        <w:t>, in relation to an eating-house, has the same meaning as in the Health Act section 162.</w:t>
      </w:r>
    </w:p>
    <w:p>
      <w:pPr>
        <w:pStyle w:val="Subsection"/>
      </w:pPr>
      <w:r>
        <w:tab/>
        <w:t>(2)</w:t>
      </w:r>
      <w:r>
        <w:tab/>
        <w:t xml:space="preserve">If — </w:t>
      </w:r>
    </w:p>
    <w:p>
      <w:pPr>
        <w:pStyle w:val="Indenta"/>
      </w:pPr>
      <w:r>
        <w:tab/>
        <w:t>(a)</w:t>
      </w:r>
      <w:r>
        <w:tab/>
        <w:t>an application has been made to a local government or the Executive Director, Public Health for the registration of an eating-house in respect of any premises; and</w:t>
      </w:r>
    </w:p>
    <w:p>
      <w:pPr>
        <w:pStyle w:val="Indenta"/>
      </w:pPr>
      <w:r>
        <w:tab/>
        <w:t>(b)</w:t>
      </w:r>
      <w:r>
        <w:tab/>
        <w:t>the application was pending immediately before the commencement day,</w:t>
      </w:r>
    </w:p>
    <w:p>
      <w:pPr>
        <w:pStyle w:val="Subsection"/>
      </w:pPr>
      <w:r>
        <w:tab/>
      </w:r>
      <w:r>
        <w:tab/>
        <w:t>the local government or the CEO, as the case requires, is to treat the application as an application for the registration of a food business in respect of those premises under section 110 of the Act.</w:t>
      </w:r>
    </w:p>
    <w:p>
      <w:pPr>
        <w:pStyle w:val="Subsection"/>
      </w:pPr>
      <w:r>
        <w:tab/>
        <w:t>(3)</w:t>
      </w:r>
      <w:r>
        <w:tab/>
        <w:t>The food business is to be taken to have been registered in respect of the premises under section 110 of the Act until the application is granted or refused.</w:t>
      </w:r>
    </w:p>
    <w:p>
      <w:pPr>
        <w:pStyle w:val="Subsection"/>
      </w:pPr>
      <w:r>
        <w:tab/>
        <w:t>(4)</w:t>
      </w:r>
      <w:r>
        <w:tab/>
        <w:t>If, immediately before the commencement day, the business conducted at any premises was registered as an eating-house by a local government or the Executive Director, Public Health in respect of those premises, the business is to be taken to have been registered in respect of the premises by the local government or the CEO, as the case requires, under section 110 of the Act.</w:t>
      </w:r>
    </w:p>
    <w:p>
      <w:pPr>
        <w:pStyle w:val="Heading5"/>
      </w:pPr>
      <w:bookmarkStart w:id="198" w:name="_Toc304281882"/>
      <w:bookmarkStart w:id="199" w:name="_Toc313433061"/>
      <w:r>
        <w:rPr>
          <w:rStyle w:val="CharSectno"/>
        </w:rPr>
        <w:t>59</w:t>
      </w:r>
      <w:r>
        <w:t>.</w:t>
      </w:r>
      <w:r>
        <w:tab/>
        <w:t>Premises where smallgoods are manufactured</w:t>
      </w:r>
      <w:bookmarkEnd w:id="198"/>
      <w:bookmarkEnd w:id="199"/>
    </w:p>
    <w:p>
      <w:pPr>
        <w:pStyle w:val="Subsection"/>
      </w:pPr>
      <w:r>
        <w:tab/>
        <w:t>(1)</w:t>
      </w:r>
      <w:r>
        <w:tab/>
        <w:t xml:space="preserve">If — </w:t>
      </w:r>
    </w:p>
    <w:p>
      <w:pPr>
        <w:pStyle w:val="Indenta"/>
      </w:pPr>
      <w:r>
        <w:tab/>
        <w:t>(a)</w:t>
      </w:r>
      <w:r>
        <w:tab/>
        <w:t xml:space="preserve">an application has been made to a local government by a person licensed under the </w:t>
      </w:r>
      <w:r>
        <w:rPr>
          <w:i/>
        </w:rPr>
        <w:t>Health (Food Hygiene) Regulations 1993</w:t>
      </w:r>
      <w:r>
        <w:t xml:space="preserve"> regulation 9A for the registration of premises under regulation 9B of those regulations; and</w:t>
      </w:r>
    </w:p>
    <w:p>
      <w:pPr>
        <w:pStyle w:val="Indenta"/>
      </w:pPr>
      <w:r>
        <w:tab/>
        <w:t>(b)</w:t>
      </w:r>
      <w:r>
        <w:tab/>
        <w:t>the application was pending immediately before the commencement day,</w:t>
      </w:r>
    </w:p>
    <w:p>
      <w:pPr>
        <w:pStyle w:val="Subsection"/>
      </w:pPr>
      <w:r>
        <w:tab/>
      </w:r>
      <w:r>
        <w:tab/>
        <w:t>the local government is to treat the application as an application for the registration of a food business in respect of those premises under section 110 of the Act.</w:t>
      </w:r>
    </w:p>
    <w:p>
      <w:pPr>
        <w:pStyle w:val="Subsection"/>
      </w:pPr>
      <w:r>
        <w:tab/>
        <w:t>(2)</w:t>
      </w:r>
      <w:r>
        <w:tab/>
        <w:t>The food business is to be taken to have been registered in respect of the premises under section 110 of the Act until the application is granted or refused.</w:t>
      </w:r>
    </w:p>
    <w:p>
      <w:pPr>
        <w:pStyle w:val="Subsection"/>
      </w:pPr>
      <w:r>
        <w:tab/>
        <w:t>(3)</w:t>
      </w:r>
      <w:r>
        <w:tab/>
        <w:t xml:space="preserve">If, immediately before the commencement day, premises were registered by a local government under the </w:t>
      </w:r>
      <w:r>
        <w:rPr>
          <w:i/>
        </w:rPr>
        <w:t>Health (Food Hygiene) Regulations 1993</w:t>
      </w:r>
      <w:r>
        <w:t xml:space="preserve"> regulation 9B, the food business conducted at the premises is to be taken to have been registered in respect of those premises by the local government under section 110 of the Act.</w:t>
      </w:r>
    </w:p>
    <w:p>
      <w:pPr>
        <w:pStyle w:val="Heading5"/>
      </w:pPr>
      <w:bookmarkStart w:id="200" w:name="_Toc304281883"/>
      <w:bookmarkStart w:id="201" w:name="_Toc313433062"/>
      <w:r>
        <w:rPr>
          <w:rStyle w:val="CharSectno"/>
        </w:rPr>
        <w:t>60</w:t>
      </w:r>
      <w:r>
        <w:t>.</w:t>
      </w:r>
      <w:r>
        <w:tab/>
        <w:t>Other food businesses</w:t>
      </w:r>
      <w:bookmarkEnd w:id="200"/>
      <w:bookmarkEnd w:id="201"/>
    </w:p>
    <w:p>
      <w:pPr>
        <w:pStyle w:val="Subsection"/>
      </w:pPr>
      <w:r>
        <w:tab/>
        <w:t>(1)</w:t>
      </w:r>
      <w:r>
        <w:tab/>
        <w:t xml:space="preserve">If — </w:t>
      </w:r>
    </w:p>
    <w:p>
      <w:pPr>
        <w:pStyle w:val="Indenta"/>
      </w:pPr>
      <w:r>
        <w:tab/>
        <w:t>(a)</w:t>
      </w:r>
      <w:r>
        <w:tab/>
        <w:t>on the commencement day a food business is being conducted at any premises; and</w:t>
      </w:r>
    </w:p>
    <w:p>
      <w:pPr>
        <w:pStyle w:val="Indenta"/>
      </w:pPr>
      <w:r>
        <w:tab/>
        <w:t>(b)</w:t>
      </w:r>
      <w:r>
        <w:tab/>
        <w:t>transitional arrangements for the food business are not otherwise provided for in another provision of this Part,</w:t>
      </w:r>
    </w:p>
    <w:p>
      <w:pPr>
        <w:pStyle w:val="Subsection"/>
      </w:pPr>
      <w:r>
        <w:tab/>
      </w:r>
      <w:r>
        <w:tab/>
        <w:t xml:space="preserve">the food business is to be taken to have been registered in respect of those premises by the appropriate enforcement agency until — </w:t>
      </w:r>
    </w:p>
    <w:p>
      <w:pPr>
        <w:pStyle w:val="Indenta"/>
      </w:pPr>
      <w:r>
        <w:tab/>
        <w:t>(c)</w:t>
      </w:r>
      <w:r>
        <w:tab/>
        <w:t>the proprietor of the food business applies to the appropriate enforcement agency for the registration of the food business in respect of those premises under section 110 of the Act; and</w:t>
      </w:r>
    </w:p>
    <w:p>
      <w:pPr>
        <w:pStyle w:val="Indenta"/>
      </w:pPr>
      <w:r>
        <w:tab/>
        <w:t>(d)</w:t>
      </w:r>
      <w:r>
        <w:tab/>
        <w:t>the application is granted or refused.</w:t>
      </w:r>
    </w:p>
    <w:p>
      <w:pPr>
        <w:pStyle w:val="Subsection"/>
      </w:pPr>
      <w:r>
        <w:tab/>
        <w:t>(2)</w:t>
      </w:r>
      <w:r>
        <w:tab/>
        <w:t>Subregulation (1) ceases to have effect on 31 December 2009 in respect of the food business if the proprietor of the food business has not made the application before that day.</w:t>
      </w:r>
    </w:p>
    <w:p>
      <w:pPr>
        <w:pStyle w:val="Heading5"/>
      </w:pPr>
      <w:bookmarkStart w:id="202" w:name="_Toc304281884"/>
      <w:bookmarkStart w:id="203" w:name="_Toc313433063"/>
      <w:r>
        <w:rPr>
          <w:rStyle w:val="CharSectno"/>
        </w:rPr>
        <w:t>61</w:t>
      </w:r>
      <w:r>
        <w:t>.</w:t>
      </w:r>
      <w:r>
        <w:tab/>
        <w:t>Pet meat premises</w:t>
      </w:r>
      <w:bookmarkEnd w:id="202"/>
      <w:bookmarkEnd w:id="203"/>
    </w:p>
    <w:p>
      <w:pPr>
        <w:pStyle w:val="Subsection"/>
      </w:pPr>
      <w:r>
        <w:tab/>
        <w:t>(1)</w:t>
      </w:r>
      <w:r>
        <w:tab/>
        <w:t xml:space="preserve">If — </w:t>
      </w:r>
    </w:p>
    <w:p>
      <w:pPr>
        <w:pStyle w:val="Indenta"/>
      </w:pPr>
      <w:r>
        <w:tab/>
        <w:t>(a)</w:t>
      </w:r>
      <w:r>
        <w:tab/>
        <w:t xml:space="preserve">an application has been made to a local government for the registration of premises under the </w:t>
      </w:r>
      <w:r>
        <w:rPr>
          <w:i/>
          <w:iCs/>
        </w:rPr>
        <w:t>Health (Pet Meat) Regulations 1990</w:t>
      </w:r>
      <w:r>
        <w:t xml:space="preserve"> Part 8; and</w:t>
      </w:r>
    </w:p>
    <w:p>
      <w:pPr>
        <w:pStyle w:val="Indenta"/>
      </w:pPr>
      <w:r>
        <w:tab/>
        <w:t>(b)</w:t>
      </w:r>
      <w:r>
        <w:tab/>
        <w:t>the application was pending immediately before the commencement day,</w:t>
      </w:r>
    </w:p>
    <w:p>
      <w:pPr>
        <w:pStyle w:val="Subsection"/>
      </w:pPr>
      <w:r>
        <w:tab/>
      </w:r>
      <w:r>
        <w:tab/>
        <w:t>the local government is to treat the application as notification given to the local government in relation to the business conducted at the premises for the purposes of regulation 40.</w:t>
      </w:r>
    </w:p>
    <w:p>
      <w:pPr>
        <w:pStyle w:val="Subsection"/>
      </w:pPr>
      <w:r>
        <w:tab/>
        <w:t>(2)</w:t>
      </w:r>
      <w:r>
        <w:tab/>
        <w:t xml:space="preserve">If a business is conducted at premises that, immediately before the commencement day, were registered by a local government under the </w:t>
      </w:r>
      <w:r>
        <w:rPr>
          <w:i/>
          <w:iCs/>
        </w:rPr>
        <w:t>Health (Pet Meat) Regulations 1990</w:t>
      </w:r>
      <w:r>
        <w:t xml:space="preserve"> Part 8, notification is to be taken to have been given to the local government in relation to the business conducted at the premises for the purposes of regulation 40.</w:t>
      </w:r>
    </w:p>
    <w:p>
      <w:pPr>
        <w:pStyle w:val="Heading5"/>
      </w:pPr>
      <w:bookmarkStart w:id="204" w:name="_Toc304281885"/>
      <w:bookmarkStart w:id="205" w:name="_Toc313433064"/>
      <w:r>
        <w:rPr>
          <w:rStyle w:val="CharSectno"/>
        </w:rPr>
        <w:t>62</w:t>
      </w:r>
      <w:r>
        <w:t>.</w:t>
      </w:r>
      <w:r>
        <w:tab/>
        <w:t>Approved laboratories</w:t>
      </w:r>
      <w:bookmarkEnd w:id="204"/>
      <w:bookmarkEnd w:id="205"/>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82 of the Act.</w:t>
      </w:r>
    </w:p>
    <w:p>
      <w:pPr>
        <w:pStyle w:val="Subsection"/>
      </w:pPr>
      <w:r>
        <w:tab/>
        <w:t>(2)</w:t>
      </w:r>
      <w:r>
        <w:tab/>
        <w:t xml:space="preserve">A laboratory that, immediately before the commencement day, was approved under a corresponding provision is to be taken to have been approved by the CEO under section 82 of the Act until — </w:t>
      </w:r>
    </w:p>
    <w:p>
      <w:pPr>
        <w:pStyle w:val="Indenta"/>
      </w:pPr>
      <w:r>
        <w:tab/>
        <w:t>(a)</w:t>
      </w:r>
      <w:r>
        <w:tab/>
        <w:t>the CEO grants or refuses an application for approval of the laboratory under section 82 of the Act; or</w:t>
      </w:r>
    </w:p>
    <w:p>
      <w:pPr>
        <w:pStyle w:val="Indenta"/>
      </w:pPr>
      <w:r>
        <w:tab/>
        <w:t>(b)</w:t>
      </w:r>
      <w:r>
        <w:tab/>
        <w:t>the day 12 months after the commencement day,</w:t>
      </w:r>
    </w:p>
    <w:p>
      <w:pPr>
        <w:pStyle w:val="Subsection"/>
      </w:pPr>
      <w:r>
        <w:tab/>
      </w:r>
      <w:r>
        <w:tab/>
        <w:t>whichever occurs first.</w:t>
      </w:r>
    </w:p>
    <w:p>
      <w:pPr>
        <w:pStyle w:val="Heading5"/>
      </w:pPr>
      <w:bookmarkStart w:id="206" w:name="_Toc304281886"/>
      <w:bookmarkStart w:id="207" w:name="_Toc313433065"/>
      <w:r>
        <w:rPr>
          <w:rStyle w:val="CharSectno"/>
        </w:rPr>
        <w:t>63</w:t>
      </w:r>
      <w:r>
        <w:t>.</w:t>
      </w:r>
      <w:r>
        <w:tab/>
        <w:t>Approved analysts</w:t>
      </w:r>
      <w:bookmarkEnd w:id="206"/>
      <w:bookmarkEnd w:id="207"/>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88 of the Act.</w:t>
      </w:r>
    </w:p>
    <w:p>
      <w:pPr>
        <w:pStyle w:val="Subsection"/>
      </w:pPr>
      <w:r>
        <w:tab/>
        <w:t>(2)</w:t>
      </w:r>
      <w:r>
        <w:tab/>
        <w:t xml:space="preserve">An individual who, immediately before the commencement day — </w:t>
      </w:r>
    </w:p>
    <w:p>
      <w:pPr>
        <w:pStyle w:val="Indenta"/>
      </w:pPr>
      <w:r>
        <w:tab/>
        <w:t>(a)</w:t>
      </w:r>
      <w:r>
        <w:tab/>
        <w:t>was an analyst as defined in the Health Act section 246G(1); or</w:t>
      </w:r>
    </w:p>
    <w:p>
      <w:pPr>
        <w:pStyle w:val="Indenta"/>
      </w:pPr>
      <w:r>
        <w:tab/>
        <w:t>(b)</w:t>
      </w:r>
      <w:r>
        <w:tab/>
        <w:t>was approved under a corresponding provision,</w:t>
      </w:r>
    </w:p>
    <w:p>
      <w:pPr>
        <w:pStyle w:val="Subsection"/>
      </w:pPr>
      <w:r>
        <w:tab/>
      </w:r>
      <w:r>
        <w:tab/>
        <w:t xml:space="preserve">is to be taken to have been approved by the CEO under section 88 of the Act until — </w:t>
      </w:r>
    </w:p>
    <w:p>
      <w:pPr>
        <w:pStyle w:val="Indenta"/>
      </w:pPr>
      <w:r>
        <w:tab/>
        <w:t>(c)</w:t>
      </w:r>
      <w:r>
        <w:tab/>
        <w:t>the CEO grants or refuses an application by the individual for approval under section 88 of the Act; or</w:t>
      </w:r>
    </w:p>
    <w:p>
      <w:pPr>
        <w:pStyle w:val="Indenta"/>
      </w:pPr>
      <w:r>
        <w:tab/>
        <w:t>(d)</w:t>
      </w:r>
      <w:r>
        <w:tab/>
        <w:t>the day 12 months after the commencement day,</w:t>
      </w:r>
    </w:p>
    <w:p>
      <w:pPr>
        <w:pStyle w:val="Subsection"/>
      </w:pPr>
      <w:r>
        <w:tab/>
      </w:r>
      <w:r>
        <w:tab/>
        <w:t>whichever occurs first.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08" w:name="_Toc243969020"/>
      <w:bookmarkStart w:id="209" w:name="_Toc304212919"/>
      <w:bookmarkStart w:id="210" w:name="_Toc304281887"/>
      <w:bookmarkStart w:id="211" w:name="_Toc313433066"/>
      <w:r>
        <w:rPr>
          <w:rStyle w:val="CharSchNo"/>
        </w:rPr>
        <w:t>Schedule 1</w:t>
      </w:r>
      <w:r>
        <w:rPr>
          <w:rStyle w:val="CharSDivNo"/>
        </w:rPr>
        <w:t> </w:t>
      </w:r>
      <w:r>
        <w:t>—</w:t>
      </w:r>
      <w:bookmarkStart w:id="212" w:name="AutoSch"/>
      <w:bookmarkEnd w:id="212"/>
      <w:r>
        <w:rPr>
          <w:rStyle w:val="CharSDivText"/>
        </w:rPr>
        <w:t> </w:t>
      </w:r>
      <w:r>
        <w:rPr>
          <w:rStyle w:val="CharSchText"/>
        </w:rPr>
        <w:t>Inspection fees</w:t>
      </w:r>
      <w:bookmarkEnd w:id="208"/>
      <w:bookmarkEnd w:id="209"/>
      <w:bookmarkEnd w:id="210"/>
      <w:bookmarkEnd w:id="211"/>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213" w:name="_Toc243969021"/>
      <w:r>
        <w:rPr>
          <w:rStyle w:val="CharSchNo"/>
        </w:rPr>
        <w:tab/>
        <w:t xml:space="preserve">[Schedule 1 </w:t>
      </w:r>
      <w:r>
        <w:t>amended in Gazette 20 Sep 2011 p. 3799.]</w:t>
      </w:r>
    </w:p>
    <w:p>
      <w:pPr>
        <w:pStyle w:val="yScheduleHeading"/>
      </w:pPr>
      <w:bookmarkStart w:id="214" w:name="_Toc304212920"/>
      <w:bookmarkStart w:id="215" w:name="_Toc304281888"/>
      <w:bookmarkStart w:id="216" w:name="_Toc313433067"/>
      <w:r>
        <w:rPr>
          <w:rStyle w:val="CharSchNo"/>
        </w:rPr>
        <w:t>Schedule 2</w:t>
      </w:r>
      <w:r>
        <w:rPr>
          <w:rStyle w:val="CharSDivNo"/>
        </w:rPr>
        <w:t> </w:t>
      </w:r>
      <w:r>
        <w:t>—</w:t>
      </w:r>
      <w:r>
        <w:rPr>
          <w:rStyle w:val="CharSDivText"/>
        </w:rPr>
        <w:t> </w:t>
      </w:r>
      <w:r>
        <w:rPr>
          <w:rStyle w:val="CharSchText"/>
        </w:rPr>
        <w:t>Prescribed fees</w:t>
      </w:r>
      <w:bookmarkEnd w:id="213"/>
      <w:bookmarkEnd w:id="214"/>
      <w:bookmarkEnd w:id="215"/>
      <w:bookmarkEnd w:id="216"/>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217" w:name="_Toc243969022"/>
      <w:bookmarkStart w:id="218" w:name="_Toc304212921"/>
      <w:bookmarkStart w:id="219" w:name="_Toc304281889"/>
      <w:bookmarkStart w:id="220" w:name="_Toc313433068"/>
      <w:r>
        <w:rPr>
          <w:rStyle w:val="CharSchNo"/>
        </w:rPr>
        <w:t>Schedule 3</w:t>
      </w:r>
      <w:r>
        <w:rPr>
          <w:rStyle w:val="CharSDivNo"/>
        </w:rPr>
        <w:t> </w:t>
      </w:r>
      <w:r>
        <w:t>—</w:t>
      </w:r>
      <w:r>
        <w:rPr>
          <w:rStyle w:val="CharSDivText"/>
        </w:rPr>
        <w:t> </w:t>
      </w:r>
      <w:r>
        <w:rPr>
          <w:rStyle w:val="CharSchText"/>
        </w:rPr>
        <w:t>Prescribed offences and modified penalties</w:t>
      </w:r>
      <w:bookmarkEnd w:id="217"/>
      <w:bookmarkEnd w:id="218"/>
      <w:bookmarkEnd w:id="219"/>
      <w:bookmarkEnd w:id="220"/>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ScheduleHeading"/>
      </w:pPr>
      <w:bookmarkStart w:id="221" w:name="_Toc243969023"/>
      <w:bookmarkStart w:id="222" w:name="_Toc304212922"/>
      <w:bookmarkStart w:id="223" w:name="_Toc304281890"/>
      <w:bookmarkStart w:id="224" w:name="_Toc313433069"/>
      <w:r>
        <w:rPr>
          <w:rStyle w:val="CharSchNo"/>
        </w:rPr>
        <w:t>Schedule 4</w:t>
      </w:r>
      <w:r>
        <w:rPr>
          <w:rStyle w:val="CharSDivNo"/>
        </w:rPr>
        <w:t> </w:t>
      </w:r>
      <w:r>
        <w:t>—</w:t>
      </w:r>
      <w:r>
        <w:rPr>
          <w:rStyle w:val="CharSDivText"/>
        </w:rPr>
        <w:t> </w:t>
      </w:r>
      <w:r>
        <w:rPr>
          <w:rStyle w:val="CharSchText"/>
        </w:rPr>
        <w:t>Infringement notice</w:t>
      </w:r>
      <w:bookmarkEnd w:id="221"/>
      <w:bookmarkEnd w:id="222"/>
      <w:bookmarkEnd w:id="223"/>
      <w:bookmarkEnd w:id="224"/>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your driver’s licence or vehicle licence may be suspended.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tcBorders>
          </w:tcPr>
          <w:p>
            <w:pPr>
              <w:pStyle w:val="yTable"/>
              <w:rPr>
                <w:b/>
                <w:sz w:val="20"/>
              </w:rPr>
            </w:pPr>
          </w:p>
        </w:tc>
        <w:tc>
          <w:tcPr>
            <w:tcW w:w="5386" w:type="dxa"/>
            <w:gridSpan w:val="5"/>
            <w:tcBorders>
              <w:top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ScheduleHeading"/>
      </w:pPr>
      <w:bookmarkStart w:id="225" w:name="_Toc243969024"/>
      <w:bookmarkStart w:id="226" w:name="_Toc304212923"/>
      <w:bookmarkStart w:id="227" w:name="_Toc304281891"/>
      <w:bookmarkStart w:id="228" w:name="_Toc313433070"/>
      <w:r>
        <w:rPr>
          <w:rStyle w:val="CharSchNo"/>
        </w:rPr>
        <w:t>Schedule 5</w:t>
      </w:r>
      <w:r>
        <w:rPr>
          <w:rStyle w:val="CharSDivNo"/>
        </w:rPr>
        <w:t> </w:t>
      </w:r>
      <w:r>
        <w:t>—</w:t>
      </w:r>
      <w:r>
        <w:rPr>
          <w:rStyle w:val="CharSDivText"/>
        </w:rPr>
        <w:t> </w:t>
      </w:r>
      <w:r>
        <w:rPr>
          <w:rStyle w:val="CharSchText"/>
        </w:rPr>
        <w:t>Notice to withdraw infringement notice</w:t>
      </w:r>
      <w:bookmarkEnd w:id="225"/>
      <w:bookmarkEnd w:id="226"/>
      <w:bookmarkEnd w:id="227"/>
      <w:bookmarkEnd w:id="228"/>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229" w:name="_Toc243969025"/>
      <w:bookmarkStart w:id="230" w:name="_Toc304212924"/>
      <w:bookmarkStart w:id="231" w:name="_Toc304281892"/>
      <w:bookmarkStart w:id="232" w:name="_Toc313433071"/>
      <w:r>
        <w:t>Notes</w:t>
      </w:r>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rPr>
        <w:t>Food Regulation 2009.</w:t>
      </w:r>
      <w:r>
        <w:t xml:space="preserve">  </w:t>
      </w:r>
      <w:r>
        <w:rPr>
          <w:snapToGrid w:val="0"/>
        </w:rPr>
        <w:t>The following table contains information about those regulations.</w:t>
      </w:r>
    </w:p>
    <w:p>
      <w:pPr>
        <w:pStyle w:val="nHeading3"/>
      </w:pPr>
      <w:bookmarkStart w:id="233" w:name="_Toc304281893"/>
      <w:bookmarkStart w:id="234" w:name="_Toc313433072"/>
      <w:r>
        <w:t>Compilation table</w:t>
      </w:r>
      <w:bookmarkEnd w:id="233"/>
      <w:bookmarkEnd w:id="2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Food Regulations 2009</w:t>
            </w:r>
          </w:p>
        </w:tc>
        <w:tc>
          <w:tcPr>
            <w:tcW w:w="1276" w:type="dxa"/>
          </w:tcPr>
          <w:p>
            <w:pPr>
              <w:pStyle w:val="nTable"/>
              <w:spacing w:after="40"/>
              <w:rPr>
                <w:sz w:val="19"/>
              </w:rPr>
            </w:pPr>
            <w:r>
              <w:rPr>
                <w:sz w:val="19"/>
              </w:rPr>
              <w:t>23 Oct 2009 p. 4095-142</w:t>
            </w:r>
          </w:p>
        </w:tc>
        <w:tc>
          <w:tcPr>
            <w:tcW w:w="2693" w:type="dxa"/>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c>
          <w:tcPr>
            <w:tcW w:w="3118" w:type="dxa"/>
          </w:tcPr>
          <w:p>
            <w:pPr>
              <w:pStyle w:val="nTable"/>
              <w:spacing w:after="40"/>
              <w:rPr>
                <w:i/>
                <w:sz w:val="19"/>
                <w:szCs w:val="19"/>
              </w:rPr>
            </w:pPr>
            <w:r>
              <w:rPr>
                <w:i/>
                <w:sz w:val="19"/>
                <w:szCs w:val="19"/>
              </w:rPr>
              <w:t>Food Amendment Regulations 2011</w:t>
            </w:r>
          </w:p>
        </w:tc>
        <w:tc>
          <w:tcPr>
            <w:tcW w:w="1276" w:type="dxa"/>
          </w:tcPr>
          <w:p>
            <w:pPr>
              <w:pStyle w:val="nTable"/>
              <w:spacing w:after="40"/>
              <w:rPr>
                <w:sz w:val="19"/>
              </w:rPr>
            </w:pPr>
            <w:r>
              <w:rPr>
                <w:sz w:val="19"/>
              </w:rPr>
              <w:t>20 Sep 2011 p. 3799</w:t>
            </w:r>
          </w:p>
        </w:tc>
        <w:tc>
          <w:tcPr>
            <w:tcW w:w="2693" w:type="dxa"/>
          </w:tcPr>
          <w:p>
            <w:pPr>
              <w:pStyle w:val="nTable"/>
              <w:spacing w:after="40"/>
              <w:rPr>
                <w:sz w:val="19"/>
              </w:rPr>
            </w:pPr>
            <w:r>
              <w:rPr>
                <w:sz w:val="19"/>
              </w:rPr>
              <w:t>r. 1 and 2: 20 Sep 2011 (see r. 2(a));</w:t>
            </w:r>
            <w:r>
              <w:rPr>
                <w:sz w:val="19"/>
              </w:rPr>
              <w:br/>
              <w:t>Regulations other than r. 1 and 2: 21 Sep 2011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5" w:name="_Toc243969027"/>
      <w:bookmarkStart w:id="236" w:name="_Toc304212926"/>
      <w:bookmarkStart w:id="237" w:name="_Toc304281894"/>
      <w:bookmarkStart w:id="238" w:name="_Toc313433073"/>
      <w:r>
        <w:rPr>
          <w:sz w:val="28"/>
        </w:rPr>
        <w:t>Defined Terms</w:t>
      </w:r>
      <w:bookmarkEnd w:id="235"/>
      <w:bookmarkEnd w:id="236"/>
      <w:bookmarkEnd w:id="237"/>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authorising local governments</w:t>
      </w:r>
      <w:r>
        <w:tab/>
        <w:t>57(2)</w:t>
      </w:r>
    </w:p>
    <w:p>
      <w:pPr>
        <w:pStyle w:val="DefinedTerms"/>
      </w:pPr>
      <w:r>
        <w:t>bivalve mollusc</w:t>
      </w:r>
      <w:r>
        <w:tab/>
        <w:t>4(1)</w:t>
      </w:r>
    </w:p>
    <w:p>
      <w:pPr>
        <w:pStyle w:val="DefinedTerms"/>
      </w:pPr>
      <w:r>
        <w:t>carcase</w:t>
      </w:r>
      <w:r>
        <w:tab/>
        <w:t>17</w:t>
      </w:r>
    </w:p>
    <w:p>
      <w:pPr>
        <w:pStyle w:val="DefinedTerms"/>
      </w:pPr>
      <w:r>
        <w:t>commencement day</w:t>
      </w:r>
      <w:r>
        <w:tab/>
        <w:t>55</w:t>
      </w:r>
    </w:p>
    <w:p>
      <w:pPr>
        <w:pStyle w:val="DefinedTerms"/>
      </w:pPr>
      <w:r>
        <w:t>corresponding provision</w:t>
      </w:r>
      <w:r>
        <w:tab/>
        <w:t>62(1), 63(1)</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eating-house</w:t>
      </w:r>
      <w:r>
        <w:tab/>
        <w:t>58(1)</w:t>
      </w:r>
    </w:p>
    <w:p>
      <w:pPr>
        <w:pStyle w:val="DefinedTerms"/>
      </w:pPr>
      <w:r>
        <w:t>environmental health officer</w:t>
      </w:r>
      <w:r>
        <w:tab/>
        <w:t>56(1)</w:t>
      </w:r>
    </w:p>
    <w:p>
      <w:pPr>
        <w:pStyle w:val="DefinedTerms"/>
      </w:pPr>
      <w:r>
        <w:t>Executive Director, Public Health</w:t>
      </w:r>
      <w:r>
        <w:tab/>
        <w:t>56(1)</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Health Act</w:t>
      </w:r>
      <w:r>
        <w:tab/>
        <w:t>55</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w:t>
      </w:r>
      <w:r>
        <w:tab/>
        <w:t>58(1)</w:t>
      </w:r>
    </w:p>
    <w:p>
      <w:pPr>
        <w:pStyle w:val="DefinedTerms"/>
      </w:pPr>
      <w:r>
        <w:t>registered establishment</w:t>
      </w:r>
      <w:r>
        <w:tab/>
        <w:t>3</w:t>
      </w:r>
    </w:p>
    <w:p>
      <w:pPr>
        <w:pStyle w:val="DefinedTerms"/>
      </w:pPr>
      <w:r>
        <w:t>registration</w:t>
      </w:r>
      <w:r>
        <w:tab/>
        <w:t>58(1)</w:t>
      </w:r>
    </w:p>
    <w:p>
      <w:pPr>
        <w:pStyle w:val="DefinedTerms"/>
      </w:pPr>
      <w:r>
        <w:t>requirements of the wild game standard</w:t>
      </w:r>
      <w:r>
        <w:tab/>
        <w:t>49(1)</w:t>
      </w:r>
    </w:p>
    <w:p>
      <w:pPr>
        <w:pStyle w:val="DefinedTerms"/>
      </w:pPr>
      <w:r>
        <w:t>retail pet meat shop</w:t>
      </w:r>
      <w:r>
        <w:tab/>
        <w:t>3, 17</w:t>
      </w:r>
    </w:p>
    <w:p>
      <w:pPr>
        <w:pStyle w:val="DefinedTerms"/>
      </w:pPr>
      <w:r>
        <w:t>wild game meat processing establishment</w:t>
      </w:r>
      <w:r>
        <w:tab/>
        <w:t>3</w:t>
      </w:r>
    </w:p>
    <w:p>
      <w:pPr>
        <w:pStyle w:val="DefinedTerms"/>
      </w:pPr>
      <w:r>
        <w:t>wild game standard</w:t>
      </w:r>
      <w:r>
        <w:tab/>
        <w:t>3</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Food Regulations 2009</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9732</Words>
  <Characters>47496</Characters>
  <Application>Microsoft Office Word</Application>
  <DocSecurity>0</DocSecurity>
  <Lines>1696</Lines>
  <Paragraphs>1244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Adoption of Food Standards Code</vt:lpstr>
      <vt:lpstr>    Part 3 — Exempted food businesses</vt:lpstr>
      <vt:lpstr>    Part 4 — Control of pathogens</vt:lpstr>
      <vt:lpstr>    Part 5 — Meat hygiene</vt:lpstr>
      <vt:lpstr>        Division 1 — Preliminary</vt:lpstr>
      <vt:lpstr>        Division 2 — Adoption of certain Australian Standards</vt:lpstr>
      <vt:lpstr>        Division 3 — Inspection and branding</vt:lpstr>
      <vt:lpstr>        Division 4 — Pet meat</vt:lpstr>
      <vt:lpstr>        Division 5 — Statements and inspection fees</vt:lpstr>
      <vt:lpstr>        Division 6 — Premises used in meat production</vt:lpstr>
      <vt:lpstr>        Division 7 — Premises used in game meat production</vt:lpstr>
      <vt:lpstr>        Division 8 — Transporting meat and game meat</vt:lpstr>
      <vt:lpstr>    Part 6 — Miscellaneous</vt:lpstr>
      <vt:lpstr>    Part 7 — Transitional provisions</vt:lpstr>
      <vt:lpstr>    Schedule 1 — Inspection fees</vt:lpstr>
      <vt:lpstr>    Schedule 2 — Prescribed fees</vt:lpstr>
      <vt:lpstr>    Schedule 3 — Prescribed offences and modified penalties</vt:lpstr>
      <vt:lpstr>    Schedule 4 — Infringement notice</vt:lpstr>
      <vt:lpstr>    Schedule 5 — Notice to withdraw infringement notice</vt:lpstr>
      <vt:lpstr>    Notes</vt:lpstr>
      <vt:lpstr>    Defined Terms</vt:lpstr>
    </vt:vector>
  </TitlesOfParts>
  <Manager/>
  <Company/>
  <LinksUpToDate>false</LinksUpToDate>
  <CharactersWithSpaces>55984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2009 - 00-b0-02</dc:title>
  <dc:subject/>
  <dc:creator/>
  <cp:keywords/>
  <dc:description/>
  <cp:lastModifiedBy>svcMRProcess</cp:lastModifiedBy>
  <cp:revision>4</cp:revision>
  <cp:lastPrinted>2009-09-09T06:18:00Z</cp:lastPrinted>
  <dcterms:created xsi:type="dcterms:W3CDTF">2018-09-18T03:35:00Z</dcterms:created>
  <dcterms:modified xsi:type="dcterms:W3CDTF">2018-09-18T03:35:00Z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20110921</vt:lpwstr>
  </property>
  <property fmtid="{D5CDD505-2E9C-101B-9397-08002B2CF9AE}" pid="4" name="AsAtDate">
    <vt:lpwstr>21 Sep 2011</vt:lpwstr>
  </property>
  <property fmtid="{D5CDD505-2E9C-101B-9397-08002B2CF9AE}" pid="5" name="Suffix">
    <vt:lpwstr>00-b0-02</vt:lpwstr>
  </property>
  <property fmtid="{D5CDD505-2E9C-101B-9397-08002B2CF9AE}" pid="6" name="OwlsUID">
    <vt:i4>41122</vt:i4>
  </property>
  <property fmtid="{D5CDD505-2E9C-101B-9397-08002B2CF9AE}" pid="7" name="DocumentType">
    <vt:lpwstr>Reg</vt:lpwstr>
  </property>
</Properties>
</file>