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1" name="Picture 2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place">
        <w:smartTag w:uri="urn:schemas-microsoft-com:office:smarttags" w:element="State">
          <w:r>
            <w:t xml:space="preserve">Western </w:t>
          </w:r>
          <w:smartTag w:uri="urn:schemas-microsoft-com:office:smarttags" w:element="country-region">
            <w:r>
              <w:t>Australia</w:t>
            </w:r>
          </w:smartTag>
        </w:smartTag>
      </w:smartTag>
    </w:p>
    <w:p>
      <w:pPr>
        <w:pStyle w:val="PrincipalActReg"/>
        <w:spacing w:before="2600" w:after="0"/>
      </w:pPr>
      <w:r>
        <w:t>Liquor Control Act 1988</w:t>
      </w:r>
    </w:p>
    <w:p>
      <w:pPr>
        <w:pStyle w:val="NameofActRegPage1"/>
        <w:spacing w:before="198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Liquor Control Regulations 1989</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r>
              <w:rPr>
                <w:b/>
                <w:sz w:val="22"/>
              </w:rPr>
              <w:t xml:space="preserve">Reprinted under the </w:t>
            </w:r>
            <w:r>
              <w:rPr>
                <w:b/>
                <w:i/>
                <w:sz w:val="22"/>
              </w:rPr>
              <w:t>Reprints Act 1984</w:t>
            </w:r>
            <w:r>
              <w:rPr>
                <w:b/>
                <w:sz w:val="22"/>
              </w:rPr>
              <w:t xml:space="preserve"> as </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16 September 2011</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NameofActRegPage1"/>
      </w:pPr>
      <w:r>
        <w:fldChar w:fldCharType="begin"/>
      </w:r>
      <w:r>
        <w:instrText xml:space="preserve"> STYLEREF "Name Of Act/Reg"</w:instrText>
      </w:r>
      <w:r>
        <w:fldChar w:fldCharType="separate"/>
      </w:r>
      <w:r>
        <w:rPr>
          <w:noProof/>
        </w:rPr>
        <w:t>Liquor Control Regulations 1989</w:t>
      </w:r>
      <w:r>
        <w:fldChar w:fldCharType="end"/>
      </w:r>
    </w:p>
    <w:p>
      <w:pPr>
        <w:pStyle w:val="Arrangement"/>
        <w:spacing w:after="360"/>
        <w:ind w:left="2302" w:right="2302"/>
      </w:pPr>
      <w:r>
        <w:t>CONTENTS</w:t>
      </w:r>
    </w:p>
    <w:p>
      <w:pPr>
        <w:pStyle w:val="TOC8"/>
        <w:rPr>
          <w:sz w:val="24"/>
          <w:szCs w:val="24"/>
          <w:lang w:val="en-US"/>
        </w:rPr>
      </w:pPr>
      <w:r>
        <w:fldChar w:fldCharType="begin"/>
      </w:r>
      <w:r>
        <w:instrText xml:space="preserve"> TOC \t </w:instrText>
      </w:r>
      <w:r>
        <w:rPr>
          <w:lang w:val="en-US"/>
        </w:rPr>
        <w:instrText xml:space="preserve">"Heading 2,2,yScheduleHeading,2,yHeading 2,2,zHeading 2,3,zyScheduleHeading,3,zyHeading 2,3,Heading 3,4,yHeading 3,4,zHeading 3,5,zyHeading 3,5,Heading 4,6,yHeading 4,6,zHeading 4,7,zyHeading 4,7,Heading 5,8,yHeading 5,8,zHeading 5,9,zyHeading 5,9" \t "nHeading 2,2,nHeading 3,8" </w:instrText>
      </w:r>
      <w:r>
        <w:instrText>\n "2</w:instrText>
      </w:r>
      <w:r>
        <w:noBreakHyphen/>
        <w:instrText xml:space="preserve">7" \w \* MERGEFORMAT </w:instrText>
      </w:r>
      <w:r>
        <w:fldChar w:fldCharType="separate"/>
      </w:r>
      <w:r>
        <w:t>1</w:t>
      </w:r>
      <w:r>
        <w:rPr>
          <w:snapToGrid w:val="0"/>
        </w:rPr>
        <w:t>.</w:t>
      </w:r>
      <w:r>
        <w:rPr>
          <w:snapToGrid w:val="0"/>
        </w:rPr>
        <w:tab/>
        <w:t>Citation</w:t>
      </w:r>
      <w:r>
        <w:tab/>
      </w:r>
      <w:r>
        <w:fldChar w:fldCharType="begin"/>
      </w:r>
      <w:r>
        <w:instrText xml:space="preserve"> PAGEREF _Toc303926912 \h </w:instrText>
      </w:r>
      <w:r>
        <w:fldChar w:fldCharType="separate"/>
      </w:r>
      <w:r>
        <w:t>1</w:t>
      </w:r>
      <w:r>
        <w:fldChar w:fldCharType="end"/>
      </w:r>
    </w:p>
    <w:p>
      <w:pPr>
        <w:pStyle w:val="TOC8"/>
        <w:rPr>
          <w:sz w:val="24"/>
          <w:szCs w:val="24"/>
          <w:lang w:val="en-US"/>
        </w:rPr>
      </w:pPr>
      <w:r>
        <w:t>2</w:t>
      </w:r>
      <w:r>
        <w:rPr>
          <w:snapToGrid w:val="0"/>
        </w:rPr>
        <w:t>.</w:t>
      </w:r>
      <w:r>
        <w:rPr>
          <w:snapToGrid w:val="0"/>
        </w:rPr>
        <w:tab/>
        <w:t>Commencement</w:t>
      </w:r>
      <w:r>
        <w:tab/>
      </w:r>
      <w:r>
        <w:fldChar w:fldCharType="begin"/>
      </w:r>
      <w:r>
        <w:instrText xml:space="preserve"> PAGEREF _Toc303926913 \h </w:instrText>
      </w:r>
      <w:r>
        <w:fldChar w:fldCharType="separate"/>
      </w:r>
      <w:r>
        <w:t>1</w:t>
      </w:r>
      <w:r>
        <w:fldChar w:fldCharType="end"/>
      </w:r>
    </w:p>
    <w:p>
      <w:pPr>
        <w:pStyle w:val="TOC8"/>
        <w:rPr>
          <w:sz w:val="24"/>
          <w:szCs w:val="24"/>
          <w:lang w:val="en-US"/>
        </w:rPr>
      </w:pPr>
      <w:r>
        <w:t>3</w:t>
      </w:r>
      <w:r>
        <w:rPr>
          <w:snapToGrid w:val="0"/>
        </w:rPr>
        <w:t>.</w:t>
      </w:r>
      <w:r>
        <w:rPr>
          <w:snapToGrid w:val="0"/>
        </w:rPr>
        <w:tab/>
        <w:t>Forms</w:t>
      </w:r>
      <w:r>
        <w:tab/>
      </w:r>
      <w:r>
        <w:fldChar w:fldCharType="begin"/>
      </w:r>
      <w:r>
        <w:instrText xml:space="preserve"> PAGEREF _Toc303926914 \h </w:instrText>
      </w:r>
      <w:r>
        <w:fldChar w:fldCharType="separate"/>
      </w:r>
      <w:r>
        <w:t>1</w:t>
      </w:r>
      <w:r>
        <w:fldChar w:fldCharType="end"/>
      </w:r>
    </w:p>
    <w:p>
      <w:pPr>
        <w:pStyle w:val="TOC8"/>
        <w:rPr>
          <w:sz w:val="24"/>
          <w:szCs w:val="24"/>
          <w:lang w:val="en-US"/>
        </w:rPr>
      </w:pPr>
      <w:r>
        <w:t>3A</w:t>
      </w:r>
      <w:r>
        <w:rPr>
          <w:snapToGrid w:val="0"/>
        </w:rPr>
        <w:t>.</w:t>
      </w:r>
      <w:r>
        <w:rPr>
          <w:snapToGrid w:val="0"/>
        </w:rPr>
        <w:tab/>
        <w:t>Terms used</w:t>
      </w:r>
      <w:r>
        <w:tab/>
      </w:r>
      <w:r>
        <w:fldChar w:fldCharType="begin"/>
      </w:r>
      <w:r>
        <w:instrText xml:space="preserve"> PAGEREF _Toc303926915 \h </w:instrText>
      </w:r>
      <w:r>
        <w:fldChar w:fldCharType="separate"/>
      </w:r>
      <w:r>
        <w:t>2</w:t>
      </w:r>
      <w:r>
        <w:fldChar w:fldCharType="end"/>
      </w:r>
    </w:p>
    <w:p>
      <w:pPr>
        <w:pStyle w:val="TOC8"/>
        <w:rPr>
          <w:sz w:val="24"/>
          <w:szCs w:val="24"/>
          <w:lang w:val="en-US"/>
        </w:rPr>
      </w:pPr>
      <w:r>
        <w:t>3AB.</w:t>
      </w:r>
      <w:r>
        <w:tab/>
        <w:t>Mist of gas and liquid (containing ethanol) is a kind of liquor (Act s. 3(1))</w:t>
      </w:r>
      <w:r>
        <w:tab/>
      </w:r>
      <w:r>
        <w:fldChar w:fldCharType="begin"/>
      </w:r>
      <w:r>
        <w:instrText xml:space="preserve"> PAGEREF _Toc303926916 \h </w:instrText>
      </w:r>
      <w:r>
        <w:fldChar w:fldCharType="separate"/>
      </w:r>
      <w:r>
        <w:t>3</w:t>
      </w:r>
      <w:r>
        <w:fldChar w:fldCharType="end"/>
      </w:r>
    </w:p>
    <w:p>
      <w:pPr>
        <w:pStyle w:val="TOC8"/>
        <w:rPr>
          <w:sz w:val="24"/>
          <w:szCs w:val="24"/>
          <w:lang w:val="en-US"/>
        </w:rPr>
      </w:pPr>
      <w:r>
        <w:t>3AC.</w:t>
      </w:r>
      <w:r>
        <w:tab/>
        <w:t>Liquid containing ethanol and sold in aerosol container is a kind of liquor (Act s. 3(1))</w:t>
      </w:r>
      <w:r>
        <w:tab/>
      </w:r>
      <w:r>
        <w:fldChar w:fldCharType="begin"/>
      </w:r>
      <w:r>
        <w:instrText xml:space="preserve"> PAGEREF _Toc303926917 \h </w:instrText>
      </w:r>
      <w:r>
        <w:fldChar w:fldCharType="separate"/>
      </w:r>
      <w:r>
        <w:t>3</w:t>
      </w:r>
      <w:r>
        <w:fldChar w:fldCharType="end"/>
      </w:r>
    </w:p>
    <w:p>
      <w:pPr>
        <w:pStyle w:val="TOC8"/>
        <w:rPr>
          <w:sz w:val="24"/>
          <w:szCs w:val="24"/>
          <w:lang w:val="en-US"/>
        </w:rPr>
      </w:pPr>
      <w:r>
        <w:t>4</w:t>
      </w:r>
      <w:r>
        <w:rPr>
          <w:snapToGrid w:val="0"/>
        </w:rPr>
        <w:t>.</w:t>
      </w:r>
      <w:r>
        <w:rPr>
          <w:snapToGrid w:val="0"/>
        </w:rPr>
        <w:tab/>
      </w:r>
      <w:r>
        <w:t>Low alcohol liquor</w:t>
      </w:r>
      <w:r>
        <w:rPr>
          <w:snapToGrid w:val="0"/>
        </w:rPr>
        <w:t xml:space="preserve"> — prescribed level </w:t>
      </w:r>
      <w:r>
        <w:t>(Act s. 3(1))</w:t>
      </w:r>
      <w:r>
        <w:tab/>
      </w:r>
      <w:r>
        <w:fldChar w:fldCharType="begin"/>
      </w:r>
      <w:r>
        <w:instrText xml:space="preserve"> PAGEREF _Toc303926918 \h </w:instrText>
      </w:r>
      <w:r>
        <w:fldChar w:fldCharType="separate"/>
      </w:r>
      <w:r>
        <w:t>4</w:t>
      </w:r>
      <w:r>
        <w:fldChar w:fldCharType="end"/>
      </w:r>
    </w:p>
    <w:p>
      <w:pPr>
        <w:pStyle w:val="TOC8"/>
        <w:rPr>
          <w:sz w:val="24"/>
          <w:szCs w:val="24"/>
          <w:lang w:val="en-US"/>
        </w:rPr>
      </w:pPr>
      <w:r>
        <w:t>4AA</w:t>
      </w:r>
      <w:r>
        <w:rPr>
          <w:snapToGrid w:val="0"/>
        </w:rPr>
        <w:t>.</w:t>
      </w:r>
      <w:r>
        <w:rPr>
          <w:snapToGrid w:val="0"/>
        </w:rPr>
        <w:tab/>
      </w:r>
      <w:r>
        <w:t>Liquor</w:t>
      </w:r>
      <w:r>
        <w:rPr>
          <w:snapToGrid w:val="0"/>
        </w:rPr>
        <w:t xml:space="preserve"> — proportion of ethanol </w:t>
      </w:r>
      <w:r>
        <w:t>(Act s. 3(1))</w:t>
      </w:r>
      <w:r>
        <w:tab/>
      </w:r>
      <w:r>
        <w:fldChar w:fldCharType="begin"/>
      </w:r>
      <w:r>
        <w:instrText xml:space="preserve"> PAGEREF _Toc303926919 \h </w:instrText>
      </w:r>
      <w:r>
        <w:fldChar w:fldCharType="separate"/>
      </w:r>
      <w:r>
        <w:t>4</w:t>
      </w:r>
      <w:r>
        <w:fldChar w:fldCharType="end"/>
      </w:r>
    </w:p>
    <w:p>
      <w:pPr>
        <w:pStyle w:val="TOC8"/>
        <w:rPr>
          <w:sz w:val="24"/>
          <w:szCs w:val="24"/>
          <w:lang w:val="en-US"/>
        </w:rPr>
      </w:pPr>
      <w:r>
        <w:t>4A</w:t>
      </w:r>
      <w:r>
        <w:rPr>
          <w:snapToGrid w:val="0"/>
        </w:rPr>
        <w:t>.</w:t>
      </w:r>
      <w:r>
        <w:rPr>
          <w:snapToGrid w:val="0"/>
        </w:rPr>
        <w:tab/>
        <w:t xml:space="preserve">Liquor — alcohol based food essence is prescribed substance </w:t>
      </w:r>
      <w:r>
        <w:t>(Act s. 3(1))</w:t>
      </w:r>
      <w:r>
        <w:tab/>
      </w:r>
      <w:r>
        <w:fldChar w:fldCharType="begin"/>
      </w:r>
      <w:r>
        <w:instrText xml:space="preserve"> PAGEREF _Toc303926920 \h </w:instrText>
      </w:r>
      <w:r>
        <w:fldChar w:fldCharType="separate"/>
      </w:r>
      <w:r>
        <w:t>4</w:t>
      </w:r>
      <w:r>
        <w:fldChar w:fldCharType="end"/>
      </w:r>
    </w:p>
    <w:p>
      <w:pPr>
        <w:pStyle w:val="TOC8"/>
        <w:rPr>
          <w:sz w:val="24"/>
          <w:szCs w:val="24"/>
          <w:lang w:val="en-US"/>
        </w:rPr>
      </w:pPr>
      <w:r>
        <w:t>4AB.</w:t>
      </w:r>
      <w:r>
        <w:tab/>
        <w:t>Liquor — mist of gas and liquid (containing ethanol) is a prescribed substance (Act s. 3(1))</w:t>
      </w:r>
      <w:r>
        <w:tab/>
      </w:r>
      <w:r>
        <w:fldChar w:fldCharType="begin"/>
      </w:r>
      <w:r>
        <w:instrText xml:space="preserve"> PAGEREF _Toc303926921 \h </w:instrText>
      </w:r>
      <w:r>
        <w:fldChar w:fldCharType="separate"/>
      </w:r>
      <w:r>
        <w:t>5</w:t>
      </w:r>
      <w:r>
        <w:fldChar w:fldCharType="end"/>
      </w:r>
    </w:p>
    <w:p>
      <w:pPr>
        <w:pStyle w:val="TOC8"/>
        <w:rPr>
          <w:sz w:val="24"/>
          <w:szCs w:val="24"/>
          <w:lang w:val="en-US"/>
        </w:rPr>
      </w:pPr>
      <w:r>
        <w:t>4AC.</w:t>
      </w:r>
      <w:r>
        <w:tab/>
        <w:t>Liquor — liquid containing ethanol and sold in aerosol container is a prescribed substance (Act s. 3(1))</w:t>
      </w:r>
      <w:r>
        <w:tab/>
      </w:r>
      <w:r>
        <w:fldChar w:fldCharType="begin"/>
      </w:r>
      <w:r>
        <w:instrText xml:space="preserve"> PAGEREF _Toc303926922 \h </w:instrText>
      </w:r>
      <w:r>
        <w:fldChar w:fldCharType="separate"/>
      </w:r>
      <w:r>
        <w:t>5</w:t>
      </w:r>
      <w:r>
        <w:fldChar w:fldCharType="end"/>
      </w:r>
    </w:p>
    <w:p>
      <w:pPr>
        <w:pStyle w:val="TOC8"/>
        <w:rPr>
          <w:sz w:val="24"/>
          <w:szCs w:val="24"/>
          <w:lang w:val="en-US"/>
        </w:rPr>
      </w:pPr>
      <w:r>
        <w:t>5</w:t>
      </w:r>
      <w:r>
        <w:rPr>
          <w:snapToGrid w:val="0"/>
        </w:rPr>
        <w:t>.</w:t>
      </w:r>
      <w:r>
        <w:rPr>
          <w:snapToGrid w:val="0"/>
        </w:rPr>
        <w:tab/>
      </w:r>
      <w:r>
        <w:t>Record</w:t>
      </w:r>
      <w:r>
        <w:rPr>
          <w:snapToGrid w:val="0"/>
        </w:rPr>
        <w:t xml:space="preserve"> (Act s. 3(1))</w:t>
      </w:r>
      <w:r>
        <w:tab/>
      </w:r>
      <w:r>
        <w:fldChar w:fldCharType="begin"/>
      </w:r>
      <w:r>
        <w:instrText xml:space="preserve"> PAGEREF _Toc303926923 \h </w:instrText>
      </w:r>
      <w:r>
        <w:fldChar w:fldCharType="separate"/>
      </w:r>
      <w:r>
        <w:t>6</w:t>
      </w:r>
      <w:r>
        <w:fldChar w:fldCharType="end"/>
      </w:r>
    </w:p>
    <w:p>
      <w:pPr>
        <w:pStyle w:val="TOC8"/>
        <w:rPr>
          <w:sz w:val="24"/>
          <w:szCs w:val="24"/>
          <w:lang w:val="en-US"/>
        </w:rPr>
      </w:pPr>
      <w:r>
        <w:t>5A.</w:t>
      </w:r>
      <w:r>
        <w:tab/>
        <w:t xml:space="preserve">Sample </w:t>
      </w:r>
      <w:r>
        <w:rPr>
          <w:snapToGrid w:val="0"/>
        </w:rPr>
        <w:t>(Act s.</w:t>
      </w:r>
      <w:r>
        <w:t> 3(1))</w:t>
      </w:r>
      <w:r>
        <w:tab/>
      </w:r>
      <w:r>
        <w:fldChar w:fldCharType="begin"/>
      </w:r>
      <w:r>
        <w:instrText xml:space="preserve"> PAGEREF _Toc303926924 \h </w:instrText>
      </w:r>
      <w:r>
        <w:fldChar w:fldCharType="separate"/>
      </w:r>
      <w:r>
        <w:t>7</w:t>
      </w:r>
      <w:r>
        <w:fldChar w:fldCharType="end"/>
      </w:r>
    </w:p>
    <w:p>
      <w:pPr>
        <w:pStyle w:val="TOC8"/>
        <w:rPr>
          <w:sz w:val="24"/>
          <w:szCs w:val="24"/>
          <w:lang w:val="en-US"/>
        </w:rPr>
      </w:pPr>
      <w:r>
        <w:t>5B.</w:t>
      </w:r>
      <w:r>
        <w:tab/>
        <w:t xml:space="preserve">Persons who occupy positions of authority in body corporate </w:t>
      </w:r>
      <w:r>
        <w:rPr>
          <w:snapToGrid w:val="0"/>
        </w:rPr>
        <w:t>(Act s.</w:t>
      </w:r>
      <w:r>
        <w:t> 3(4)(d))</w:t>
      </w:r>
      <w:r>
        <w:tab/>
      </w:r>
      <w:r>
        <w:fldChar w:fldCharType="begin"/>
      </w:r>
      <w:r>
        <w:instrText xml:space="preserve"> PAGEREF _Toc303926925 \h </w:instrText>
      </w:r>
      <w:r>
        <w:fldChar w:fldCharType="separate"/>
      </w:r>
      <w:r>
        <w:t>8</w:t>
      </w:r>
      <w:r>
        <w:fldChar w:fldCharType="end"/>
      </w:r>
    </w:p>
    <w:p>
      <w:pPr>
        <w:pStyle w:val="TOC8"/>
        <w:rPr>
          <w:sz w:val="24"/>
          <w:szCs w:val="24"/>
          <w:lang w:val="en-US"/>
        </w:rPr>
      </w:pPr>
      <w:r>
        <w:t>7</w:t>
      </w:r>
      <w:r>
        <w:rPr>
          <w:snapToGrid w:val="0"/>
        </w:rPr>
        <w:t>.</w:t>
      </w:r>
      <w:r>
        <w:rPr>
          <w:snapToGrid w:val="0"/>
        </w:rPr>
        <w:tab/>
        <w:t>Approved courses (Act s. 6(1)(c))</w:t>
      </w:r>
      <w:r>
        <w:tab/>
      </w:r>
      <w:r>
        <w:fldChar w:fldCharType="begin"/>
      </w:r>
      <w:r>
        <w:instrText xml:space="preserve"> PAGEREF _Toc303926926 \h </w:instrText>
      </w:r>
      <w:r>
        <w:fldChar w:fldCharType="separate"/>
      </w:r>
      <w:r>
        <w:t>9</w:t>
      </w:r>
      <w:r>
        <w:fldChar w:fldCharType="end"/>
      </w:r>
    </w:p>
    <w:p>
      <w:pPr>
        <w:pStyle w:val="TOC8"/>
        <w:rPr>
          <w:sz w:val="24"/>
          <w:szCs w:val="24"/>
          <w:lang w:val="en-US"/>
        </w:rPr>
      </w:pPr>
      <w:r>
        <w:t>8</w:t>
      </w:r>
      <w:r>
        <w:rPr>
          <w:snapToGrid w:val="0"/>
        </w:rPr>
        <w:t>.</w:t>
      </w:r>
      <w:r>
        <w:rPr>
          <w:snapToGrid w:val="0"/>
        </w:rPr>
        <w:tab/>
        <w:t>Exempt sales</w:t>
      </w:r>
      <w:r>
        <w:tab/>
      </w:r>
      <w:r>
        <w:fldChar w:fldCharType="begin"/>
      </w:r>
      <w:r>
        <w:instrText xml:space="preserve"> PAGEREF _Toc303926927 \h </w:instrText>
      </w:r>
      <w:r>
        <w:fldChar w:fldCharType="separate"/>
      </w:r>
      <w:r>
        <w:t>9</w:t>
      </w:r>
      <w:r>
        <w:fldChar w:fldCharType="end"/>
      </w:r>
    </w:p>
    <w:p>
      <w:pPr>
        <w:pStyle w:val="TOC8"/>
        <w:rPr>
          <w:sz w:val="24"/>
          <w:szCs w:val="24"/>
          <w:lang w:val="en-US"/>
        </w:rPr>
      </w:pPr>
      <w:r>
        <w:t>8A.</w:t>
      </w:r>
      <w:r>
        <w:tab/>
        <w:t>Exemption: live entertainment venues</w:t>
      </w:r>
      <w:r>
        <w:tab/>
      </w:r>
      <w:r>
        <w:fldChar w:fldCharType="begin"/>
      </w:r>
      <w:r>
        <w:instrText xml:space="preserve"> PAGEREF _Toc303926928 \h </w:instrText>
      </w:r>
      <w:r>
        <w:fldChar w:fldCharType="separate"/>
      </w:r>
      <w:r>
        <w:t>12</w:t>
      </w:r>
      <w:r>
        <w:fldChar w:fldCharType="end"/>
      </w:r>
    </w:p>
    <w:p>
      <w:pPr>
        <w:pStyle w:val="TOC8"/>
        <w:rPr>
          <w:sz w:val="24"/>
          <w:szCs w:val="24"/>
          <w:lang w:val="en-US"/>
        </w:rPr>
      </w:pPr>
      <w:r>
        <w:t>8B.</w:t>
      </w:r>
      <w:r>
        <w:tab/>
        <w:t>Exemption: occasional functions</w:t>
      </w:r>
      <w:r>
        <w:tab/>
      </w:r>
      <w:r>
        <w:fldChar w:fldCharType="begin"/>
      </w:r>
      <w:r>
        <w:instrText xml:space="preserve"> PAGEREF _Toc303926929 \h </w:instrText>
      </w:r>
      <w:r>
        <w:fldChar w:fldCharType="separate"/>
      </w:r>
      <w:r>
        <w:t>18</w:t>
      </w:r>
      <w:r>
        <w:fldChar w:fldCharType="end"/>
      </w:r>
    </w:p>
    <w:p>
      <w:pPr>
        <w:pStyle w:val="TOC8"/>
        <w:rPr>
          <w:sz w:val="24"/>
          <w:szCs w:val="24"/>
          <w:lang w:val="en-US"/>
        </w:rPr>
      </w:pPr>
      <w:r>
        <w:t>8C.</w:t>
      </w:r>
      <w:r>
        <w:tab/>
        <w:t>Exemption: complimentary supply of liquor by business</w:t>
      </w:r>
      <w:r>
        <w:tab/>
      </w:r>
      <w:r>
        <w:fldChar w:fldCharType="begin"/>
      </w:r>
      <w:r>
        <w:instrText xml:space="preserve"> PAGEREF _Toc303926930 \h </w:instrText>
      </w:r>
      <w:r>
        <w:fldChar w:fldCharType="separate"/>
      </w:r>
      <w:r>
        <w:t>19</w:t>
      </w:r>
      <w:r>
        <w:fldChar w:fldCharType="end"/>
      </w:r>
    </w:p>
    <w:p>
      <w:pPr>
        <w:pStyle w:val="TOC8"/>
        <w:rPr>
          <w:sz w:val="24"/>
          <w:szCs w:val="24"/>
          <w:lang w:val="en-US"/>
        </w:rPr>
      </w:pPr>
      <w:r>
        <w:t>8D.</w:t>
      </w:r>
      <w:r>
        <w:tab/>
        <w:t>Exemption: farmers’ markets</w:t>
      </w:r>
      <w:r>
        <w:tab/>
      </w:r>
      <w:r>
        <w:fldChar w:fldCharType="begin"/>
      </w:r>
      <w:r>
        <w:instrText xml:space="preserve"> PAGEREF _Toc303926931 \h </w:instrText>
      </w:r>
      <w:r>
        <w:fldChar w:fldCharType="separate"/>
      </w:r>
      <w:r>
        <w:t>20</w:t>
      </w:r>
      <w:r>
        <w:fldChar w:fldCharType="end"/>
      </w:r>
    </w:p>
    <w:p>
      <w:pPr>
        <w:pStyle w:val="TOC8"/>
        <w:rPr>
          <w:sz w:val="24"/>
          <w:szCs w:val="24"/>
          <w:lang w:val="en-US"/>
        </w:rPr>
      </w:pPr>
      <w:r>
        <w:t>8E.</w:t>
      </w:r>
      <w:r>
        <w:tab/>
        <w:t>Exemption: organisers of functions on licensed premises</w:t>
      </w:r>
      <w:r>
        <w:tab/>
      </w:r>
      <w:r>
        <w:fldChar w:fldCharType="begin"/>
      </w:r>
      <w:r>
        <w:instrText xml:space="preserve"> PAGEREF _Toc303926932 \h </w:instrText>
      </w:r>
      <w:r>
        <w:fldChar w:fldCharType="separate"/>
      </w:r>
      <w:r>
        <w:t>22</w:t>
      </w:r>
      <w:r>
        <w:fldChar w:fldCharType="end"/>
      </w:r>
    </w:p>
    <w:p>
      <w:pPr>
        <w:pStyle w:val="TOC8"/>
        <w:rPr>
          <w:sz w:val="24"/>
          <w:szCs w:val="24"/>
          <w:lang w:val="en-US"/>
        </w:rPr>
      </w:pPr>
      <w:r>
        <w:t>8F.</w:t>
      </w:r>
      <w:r>
        <w:tab/>
        <w:t>Exemption: small charter vehicles</w:t>
      </w:r>
      <w:r>
        <w:tab/>
      </w:r>
      <w:r>
        <w:fldChar w:fldCharType="begin"/>
      </w:r>
      <w:r>
        <w:instrText xml:space="preserve"> PAGEREF _Toc303926933 \h </w:instrText>
      </w:r>
      <w:r>
        <w:fldChar w:fldCharType="separate"/>
      </w:r>
      <w:r>
        <w:t>23</w:t>
      </w:r>
      <w:r>
        <w:fldChar w:fldCharType="end"/>
      </w:r>
    </w:p>
    <w:p>
      <w:pPr>
        <w:pStyle w:val="TOC8"/>
        <w:rPr>
          <w:sz w:val="24"/>
          <w:szCs w:val="24"/>
          <w:lang w:val="en-US"/>
        </w:rPr>
      </w:pPr>
      <w:r>
        <w:t>9</w:t>
      </w:r>
      <w:r>
        <w:rPr>
          <w:snapToGrid w:val="0"/>
        </w:rPr>
        <w:t>.</w:t>
      </w:r>
      <w:r>
        <w:rPr>
          <w:snapToGrid w:val="0"/>
        </w:rPr>
        <w:tab/>
        <w:t>Persons who may take and administer oaths and affirmations (Act s. 18(3)(c))</w:t>
      </w:r>
      <w:r>
        <w:tab/>
      </w:r>
      <w:r>
        <w:fldChar w:fldCharType="begin"/>
      </w:r>
      <w:r>
        <w:instrText xml:space="preserve"> PAGEREF _Toc303926934 \h </w:instrText>
      </w:r>
      <w:r>
        <w:fldChar w:fldCharType="separate"/>
      </w:r>
      <w:r>
        <w:t>24</w:t>
      </w:r>
      <w:r>
        <w:fldChar w:fldCharType="end"/>
      </w:r>
    </w:p>
    <w:p>
      <w:pPr>
        <w:pStyle w:val="TOC8"/>
        <w:rPr>
          <w:sz w:val="24"/>
          <w:szCs w:val="24"/>
          <w:lang w:val="en-US"/>
        </w:rPr>
      </w:pPr>
      <w:r>
        <w:t>9AA.</w:t>
      </w:r>
      <w:r>
        <w:tab/>
        <w:t xml:space="preserve">Prescribed distance outside country townsites </w:t>
      </w:r>
      <w:r>
        <w:rPr>
          <w:snapToGrid w:val="0"/>
        </w:rPr>
        <w:t>(Act s.</w:t>
      </w:r>
      <w:r>
        <w:t> 36A(2)(b))</w:t>
      </w:r>
      <w:r>
        <w:tab/>
      </w:r>
      <w:r>
        <w:fldChar w:fldCharType="begin"/>
      </w:r>
      <w:r>
        <w:instrText xml:space="preserve"> PAGEREF _Toc303926935 \h </w:instrText>
      </w:r>
      <w:r>
        <w:fldChar w:fldCharType="separate"/>
      </w:r>
      <w:r>
        <w:t>25</w:t>
      </w:r>
      <w:r>
        <w:fldChar w:fldCharType="end"/>
      </w:r>
    </w:p>
    <w:p>
      <w:pPr>
        <w:pStyle w:val="TOC8"/>
        <w:rPr>
          <w:sz w:val="24"/>
          <w:szCs w:val="24"/>
          <w:lang w:val="en-US"/>
        </w:rPr>
      </w:pPr>
      <w:r>
        <w:t>9A.</w:t>
      </w:r>
      <w:r>
        <w:tab/>
      </w:r>
      <w:r>
        <w:rPr>
          <w:snapToGrid w:val="0"/>
        </w:rPr>
        <w:t>Purposes for which special facility licence may be granted</w:t>
      </w:r>
      <w:r>
        <w:tab/>
      </w:r>
      <w:r>
        <w:fldChar w:fldCharType="begin"/>
      </w:r>
      <w:r>
        <w:instrText xml:space="preserve"> PAGEREF _Toc303926936 \h </w:instrText>
      </w:r>
      <w:r>
        <w:fldChar w:fldCharType="separate"/>
      </w:r>
      <w:r>
        <w:t>25</w:t>
      </w:r>
      <w:r>
        <w:fldChar w:fldCharType="end"/>
      </w:r>
    </w:p>
    <w:p>
      <w:pPr>
        <w:pStyle w:val="TOC8"/>
        <w:rPr>
          <w:sz w:val="24"/>
          <w:szCs w:val="24"/>
          <w:lang w:val="en-US"/>
        </w:rPr>
      </w:pPr>
      <w:r>
        <w:t>9AB.</w:t>
      </w:r>
      <w:r>
        <w:tab/>
        <w:t xml:space="preserve">Reviewable decisions by Director relating to applications for permits </w:t>
      </w:r>
      <w:r>
        <w:rPr>
          <w:snapToGrid w:val="0"/>
        </w:rPr>
        <w:t>(Act s.</w:t>
      </w:r>
      <w:r>
        <w:t> 25(5a))</w:t>
      </w:r>
      <w:r>
        <w:tab/>
      </w:r>
      <w:r>
        <w:fldChar w:fldCharType="begin"/>
      </w:r>
      <w:r>
        <w:instrText xml:space="preserve"> PAGEREF _Toc303926937 \h </w:instrText>
      </w:r>
      <w:r>
        <w:fldChar w:fldCharType="separate"/>
      </w:r>
      <w:r>
        <w:t>31</w:t>
      </w:r>
      <w:r>
        <w:fldChar w:fldCharType="end"/>
      </w:r>
    </w:p>
    <w:p>
      <w:pPr>
        <w:pStyle w:val="TOC8"/>
        <w:rPr>
          <w:sz w:val="24"/>
          <w:szCs w:val="24"/>
          <w:lang w:val="en-US"/>
        </w:rPr>
      </w:pPr>
      <w:r>
        <w:t>9B</w:t>
      </w:r>
      <w:r>
        <w:rPr>
          <w:snapToGrid w:val="0"/>
        </w:rPr>
        <w:t>.</w:t>
      </w:r>
      <w:r>
        <w:rPr>
          <w:snapToGrid w:val="0"/>
        </w:rPr>
        <w:tab/>
        <w:t>Sale of packaged liquor</w:t>
      </w:r>
      <w:r>
        <w:tab/>
      </w:r>
      <w:r>
        <w:fldChar w:fldCharType="begin"/>
      </w:r>
      <w:r>
        <w:instrText xml:space="preserve"> PAGEREF _Toc303926938 \h </w:instrText>
      </w:r>
      <w:r>
        <w:fldChar w:fldCharType="separate"/>
      </w:r>
      <w:r>
        <w:t>31</w:t>
      </w:r>
      <w:r>
        <w:fldChar w:fldCharType="end"/>
      </w:r>
    </w:p>
    <w:p>
      <w:pPr>
        <w:pStyle w:val="TOC8"/>
        <w:rPr>
          <w:sz w:val="24"/>
          <w:szCs w:val="24"/>
          <w:lang w:val="en-US"/>
        </w:rPr>
      </w:pPr>
      <w:r>
        <w:t>9C</w:t>
      </w:r>
      <w:r>
        <w:rPr>
          <w:snapToGrid w:val="0"/>
        </w:rPr>
        <w:t>.</w:t>
      </w:r>
      <w:r>
        <w:rPr>
          <w:snapToGrid w:val="0"/>
        </w:rPr>
        <w:tab/>
        <w:t>Types of special facility licences that may be exempted (Act s. 46(6))</w:t>
      </w:r>
      <w:r>
        <w:tab/>
      </w:r>
      <w:r>
        <w:fldChar w:fldCharType="begin"/>
      </w:r>
      <w:r>
        <w:instrText xml:space="preserve"> PAGEREF _Toc303926939 \h </w:instrText>
      </w:r>
      <w:r>
        <w:fldChar w:fldCharType="separate"/>
      </w:r>
      <w:r>
        <w:t>32</w:t>
      </w:r>
      <w:r>
        <w:fldChar w:fldCharType="end"/>
      </w:r>
    </w:p>
    <w:p>
      <w:pPr>
        <w:pStyle w:val="TOC8"/>
        <w:rPr>
          <w:sz w:val="24"/>
          <w:szCs w:val="24"/>
          <w:lang w:val="en-US"/>
        </w:rPr>
      </w:pPr>
      <w:r>
        <w:t>9D.</w:t>
      </w:r>
      <w:r>
        <w:tab/>
      </w:r>
      <w:r>
        <w:rPr>
          <w:snapToGrid w:val="0"/>
        </w:rPr>
        <w:t>Act s.</w:t>
      </w:r>
      <w:r>
        <w:t> 33(6b) modified in respect of occasional licences</w:t>
      </w:r>
      <w:r>
        <w:tab/>
      </w:r>
      <w:r>
        <w:fldChar w:fldCharType="begin"/>
      </w:r>
      <w:r>
        <w:instrText xml:space="preserve"> PAGEREF _Toc303926940 \h </w:instrText>
      </w:r>
      <w:r>
        <w:fldChar w:fldCharType="separate"/>
      </w:r>
      <w:r>
        <w:t>32</w:t>
      </w:r>
      <w:r>
        <w:fldChar w:fldCharType="end"/>
      </w:r>
    </w:p>
    <w:p>
      <w:pPr>
        <w:pStyle w:val="TOC8"/>
        <w:rPr>
          <w:sz w:val="24"/>
          <w:szCs w:val="24"/>
          <w:lang w:val="en-US"/>
        </w:rPr>
      </w:pPr>
      <w:r>
        <w:t>9F.</w:t>
      </w:r>
      <w:r>
        <w:tab/>
        <w:t xml:space="preserve">Licensing authority to be satisfied that applications for certain permits are in public interest </w:t>
      </w:r>
      <w:r>
        <w:rPr>
          <w:snapToGrid w:val="0"/>
        </w:rPr>
        <w:t>(Act s. </w:t>
      </w:r>
      <w:r>
        <w:t>38(1)(b))</w:t>
      </w:r>
      <w:r>
        <w:tab/>
      </w:r>
      <w:r>
        <w:fldChar w:fldCharType="begin"/>
      </w:r>
      <w:r>
        <w:instrText xml:space="preserve"> PAGEREF _Toc303926941 \h </w:instrText>
      </w:r>
      <w:r>
        <w:fldChar w:fldCharType="separate"/>
      </w:r>
      <w:r>
        <w:t>33</w:t>
      </w:r>
      <w:r>
        <w:fldChar w:fldCharType="end"/>
      </w:r>
    </w:p>
    <w:p>
      <w:pPr>
        <w:pStyle w:val="TOC8"/>
        <w:rPr>
          <w:sz w:val="24"/>
          <w:szCs w:val="24"/>
          <w:lang w:val="en-US"/>
        </w:rPr>
      </w:pPr>
      <w:r>
        <w:t>9G.</w:t>
      </w:r>
      <w:r>
        <w:tab/>
        <w:t xml:space="preserve">Reciprocal arrangements for club membership, requirements for </w:t>
      </w:r>
      <w:r>
        <w:rPr>
          <w:snapToGrid w:val="0"/>
        </w:rPr>
        <w:t>(Act s.</w:t>
      </w:r>
      <w:r>
        <w:t> 49(3)(c)(iv))</w:t>
      </w:r>
      <w:r>
        <w:tab/>
      </w:r>
      <w:r>
        <w:fldChar w:fldCharType="begin"/>
      </w:r>
      <w:r>
        <w:instrText xml:space="preserve"> PAGEREF _Toc303926942 \h </w:instrText>
      </w:r>
      <w:r>
        <w:fldChar w:fldCharType="separate"/>
      </w:r>
      <w:r>
        <w:t>33</w:t>
      </w:r>
      <w:r>
        <w:fldChar w:fldCharType="end"/>
      </w:r>
    </w:p>
    <w:p>
      <w:pPr>
        <w:pStyle w:val="TOC8"/>
        <w:rPr>
          <w:sz w:val="24"/>
          <w:szCs w:val="24"/>
          <w:lang w:val="en-US"/>
        </w:rPr>
      </w:pPr>
      <w:r>
        <w:t>10</w:t>
      </w:r>
      <w:r>
        <w:rPr>
          <w:snapToGrid w:val="0"/>
        </w:rPr>
        <w:t>.</w:t>
      </w:r>
      <w:r>
        <w:rPr>
          <w:snapToGrid w:val="0"/>
        </w:rPr>
        <w:tab/>
        <w:t>Producer’s licence, applicant to meet requirements for (Act s. </w:t>
      </w:r>
      <w:r>
        <w:t>57(2)(d)</w:t>
      </w:r>
      <w:r>
        <w:rPr>
          <w:snapToGrid w:val="0"/>
        </w:rPr>
        <w:t>)</w:t>
      </w:r>
      <w:r>
        <w:tab/>
      </w:r>
      <w:r>
        <w:fldChar w:fldCharType="begin"/>
      </w:r>
      <w:r>
        <w:instrText xml:space="preserve"> PAGEREF _Toc303926943 \h </w:instrText>
      </w:r>
      <w:r>
        <w:fldChar w:fldCharType="separate"/>
      </w:r>
      <w:r>
        <w:t>34</w:t>
      </w:r>
      <w:r>
        <w:fldChar w:fldCharType="end"/>
      </w:r>
    </w:p>
    <w:p>
      <w:pPr>
        <w:pStyle w:val="TOC8"/>
        <w:rPr>
          <w:sz w:val="24"/>
          <w:szCs w:val="24"/>
          <w:lang w:val="en-US"/>
        </w:rPr>
      </w:pPr>
      <w:r>
        <w:t>10A</w:t>
      </w:r>
      <w:r>
        <w:rPr>
          <w:snapToGrid w:val="0"/>
        </w:rPr>
        <w:t>.</w:t>
      </w:r>
      <w:r>
        <w:rPr>
          <w:snapToGrid w:val="0"/>
        </w:rPr>
        <w:tab/>
        <w:t>Producer’s licence condition — blended wines (Act s. 55(2))</w:t>
      </w:r>
      <w:r>
        <w:tab/>
      </w:r>
      <w:r>
        <w:fldChar w:fldCharType="begin"/>
      </w:r>
      <w:r>
        <w:instrText xml:space="preserve"> PAGEREF _Toc303926944 \h </w:instrText>
      </w:r>
      <w:r>
        <w:fldChar w:fldCharType="separate"/>
      </w:r>
      <w:r>
        <w:t>34</w:t>
      </w:r>
      <w:r>
        <w:fldChar w:fldCharType="end"/>
      </w:r>
    </w:p>
    <w:p>
      <w:pPr>
        <w:pStyle w:val="TOC8"/>
        <w:rPr>
          <w:sz w:val="24"/>
          <w:szCs w:val="24"/>
          <w:lang w:val="en-US"/>
        </w:rPr>
      </w:pPr>
      <w:r>
        <w:t>11</w:t>
      </w:r>
      <w:r>
        <w:rPr>
          <w:snapToGrid w:val="0"/>
        </w:rPr>
        <w:t>.</w:t>
      </w:r>
      <w:r>
        <w:rPr>
          <w:snapToGrid w:val="0"/>
        </w:rPr>
        <w:tab/>
        <w:t>Plans and specifications</w:t>
      </w:r>
      <w:r>
        <w:tab/>
      </w:r>
      <w:r>
        <w:fldChar w:fldCharType="begin"/>
      </w:r>
      <w:r>
        <w:instrText xml:space="preserve"> PAGEREF _Toc303926945 \h </w:instrText>
      </w:r>
      <w:r>
        <w:fldChar w:fldCharType="separate"/>
      </w:r>
      <w:r>
        <w:t>35</w:t>
      </w:r>
      <w:r>
        <w:fldChar w:fldCharType="end"/>
      </w:r>
    </w:p>
    <w:p>
      <w:pPr>
        <w:pStyle w:val="TOC8"/>
        <w:rPr>
          <w:sz w:val="24"/>
          <w:szCs w:val="24"/>
          <w:lang w:val="en-US"/>
        </w:rPr>
      </w:pPr>
      <w:r>
        <w:t>13</w:t>
      </w:r>
      <w:r>
        <w:rPr>
          <w:snapToGrid w:val="0"/>
        </w:rPr>
        <w:t>.</w:t>
      </w:r>
      <w:r>
        <w:rPr>
          <w:snapToGrid w:val="0"/>
        </w:rPr>
        <w:tab/>
        <w:t>Records (Act s. 68(1))</w:t>
      </w:r>
      <w:r>
        <w:tab/>
      </w:r>
      <w:r>
        <w:fldChar w:fldCharType="begin"/>
      </w:r>
      <w:r>
        <w:instrText xml:space="preserve"> PAGEREF _Toc303926946 \h </w:instrText>
      </w:r>
      <w:r>
        <w:fldChar w:fldCharType="separate"/>
      </w:r>
      <w:r>
        <w:t>37</w:t>
      </w:r>
      <w:r>
        <w:fldChar w:fldCharType="end"/>
      </w:r>
    </w:p>
    <w:p>
      <w:pPr>
        <w:pStyle w:val="TOC8"/>
        <w:rPr>
          <w:sz w:val="24"/>
          <w:szCs w:val="24"/>
          <w:lang w:val="en-US"/>
        </w:rPr>
      </w:pPr>
      <w:r>
        <w:t>14A.</w:t>
      </w:r>
      <w:r>
        <w:tab/>
        <w:t xml:space="preserve">Prescribed premises </w:t>
      </w:r>
      <w:r>
        <w:rPr>
          <w:snapToGrid w:val="0"/>
        </w:rPr>
        <w:t>(Act s. 77(5a)(b))</w:t>
      </w:r>
      <w:r>
        <w:tab/>
      </w:r>
      <w:r>
        <w:fldChar w:fldCharType="begin"/>
      </w:r>
      <w:r>
        <w:instrText xml:space="preserve"> PAGEREF _Toc303926947 \h </w:instrText>
      </w:r>
      <w:r>
        <w:fldChar w:fldCharType="separate"/>
      </w:r>
      <w:r>
        <w:t>38</w:t>
      </w:r>
      <w:r>
        <w:fldChar w:fldCharType="end"/>
      </w:r>
    </w:p>
    <w:p>
      <w:pPr>
        <w:pStyle w:val="TOC8"/>
        <w:rPr>
          <w:sz w:val="24"/>
          <w:szCs w:val="24"/>
          <w:lang w:val="en-US"/>
        </w:rPr>
      </w:pPr>
      <w:r>
        <w:t>14AB.</w:t>
      </w:r>
      <w:r>
        <w:tab/>
        <w:t>Lodgment periods for applications for certain occasional licences </w:t>
      </w:r>
      <w:r>
        <w:rPr>
          <w:snapToGrid w:val="0"/>
        </w:rPr>
        <w:t>(Act s. </w:t>
      </w:r>
      <w:r>
        <w:t>75(1)(b))</w:t>
      </w:r>
      <w:r>
        <w:tab/>
      </w:r>
      <w:r>
        <w:fldChar w:fldCharType="begin"/>
      </w:r>
      <w:r>
        <w:instrText xml:space="preserve"> PAGEREF _Toc303926948 \h </w:instrText>
      </w:r>
      <w:r>
        <w:fldChar w:fldCharType="separate"/>
      </w:r>
      <w:r>
        <w:t>38</w:t>
      </w:r>
      <w:r>
        <w:fldChar w:fldCharType="end"/>
      </w:r>
    </w:p>
    <w:p>
      <w:pPr>
        <w:pStyle w:val="TOC8"/>
        <w:rPr>
          <w:sz w:val="24"/>
          <w:szCs w:val="24"/>
          <w:lang w:val="en-US"/>
        </w:rPr>
      </w:pPr>
      <w:r>
        <w:t>14AC.</w:t>
      </w:r>
      <w:r>
        <w:tab/>
        <w:t>Lodgment periods for applications for certain permits </w:t>
      </w:r>
      <w:r>
        <w:rPr>
          <w:snapToGrid w:val="0"/>
        </w:rPr>
        <w:t>(Act s. </w:t>
      </w:r>
      <w:r>
        <w:t>76(1)(b))</w:t>
      </w:r>
      <w:r>
        <w:tab/>
      </w:r>
      <w:r>
        <w:fldChar w:fldCharType="begin"/>
      </w:r>
      <w:r>
        <w:instrText xml:space="preserve"> PAGEREF _Toc303926949 \h </w:instrText>
      </w:r>
      <w:r>
        <w:fldChar w:fldCharType="separate"/>
      </w:r>
      <w:r>
        <w:t>38</w:t>
      </w:r>
      <w:r>
        <w:fldChar w:fldCharType="end"/>
      </w:r>
    </w:p>
    <w:p>
      <w:pPr>
        <w:pStyle w:val="TOC8"/>
        <w:rPr>
          <w:sz w:val="24"/>
          <w:szCs w:val="24"/>
          <w:lang w:val="en-US"/>
        </w:rPr>
      </w:pPr>
      <w:r>
        <w:t>14ADA.</w:t>
      </w:r>
      <w:r>
        <w:tab/>
        <w:t>Manager’s approval, application for (Act s. 102B)</w:t>
      </w:r>
      <w:r>
        <w:tab/>
      </w:r>
      <w:r>
        <w:fldChar w:fldCharType="begin"/>
      </w:r>
      <w:r>
        <w:instrText xml:space="preserve"> PAGEREF _Toc303926950 \h </w:instrText>
      </w:r>
      <w:r>
        <w:fldChar w:fldCharType="separate"/>
      </w:r>
      <w:r>
        <w:t>39</w:t>
      </w:r>
      <w:r>
        <w:fldChar w:fldCharType="end"/>
      </w:r>
    </w:p>
    <w:p>
      <w:pPr>
        <w:pStyle w:val="TOC8"/>
        <w:rPr>
          <w:sz w:val="24"/>
          <w:szCs w:val="24"/>
          <w:lang w:val="en-US"/>
        </w:rPr>
      </w:pPr>
      <w:r>
        <w:t>14ADB.</w:t>
      </w:r>
      <w:r>
        <w:tab/>
        <w:t>Manager’s approval, conditions on (Act s. 102C)</w:t>
      </w:r>
      <w:r>
        <w:tab/>
      </w:r>
      <w:r>
        <w:fldChar w:fldCharType="begin"/>
      </w:r>
      <w:r>
        <w:instrText xml:space="preserve"> PAGEREF _Toc303926951 \h </w:instrText>
      </w:r>
      <w:r>
        <w:fldChar w:fldCharType="separate"/>
      </w:r>
      <w:r>
        <w:t>40</w:t>
      </w:r>
      <w:r>
        <w:fldChar w:fldCharType="end"/>
      </w:r>
    </w:p>
    <w:p>
      <w:pPr>
        <w:pStyle w:val="TOC8"/>
        <w:rPr>
          <w:sz w:val="24"/>
          <w:szCs w:val="24"/>
          <w:lang w:val="en-US"/>
        </w:rPr>
      </w:pPr>
      <w:r>
        <w:t>14ADC.</w:t>
      </w:r>
      <w:r>
        <w:tab/>
        <w:t>Manager’s approval, duration of (Act s. 102D)</w:t>
      </w:r>
      <w:r>
        <w:tab/>
      </w:r>
      <w:r>
        <w:fldChar w:fldCharType="begin"/>
      </w:r>
      <w:r>
        <w:instrText xml:space="preserve"> PAGEREF _Toc303926952 \h </w:instrText>
      </w:r>
      <w:r>
        <w:fldChar w:fldCharType="separate"/>
      </w:r>
      <w:r>
        <w:t>40</w:t>
      </w:r>
      <w:r>
        <w:fldChar w:fldCharType="end"/>
      </w:r>
    </w:p>
    <w:p>
      <w:pPr>
        <w:pStyle w:val="TOC8"/>
        <w:rPr>
          <w:sz w:val="24"/>
          <w:szCs w:val="24"/>
          <w:lang w:val="en-US"/>
        </w:rPr>
      </w:pPr>
      <w:r>
        <w:t>14ADD.</w:t>
      </w:r>
      <w:r>
        <w:tab/>
        <w:t>Manager’s approval, renewal of (Act s. 102E)</w:t>
      </w:r>
      <w:r>
        <w:tab/>
      </w:r>
      <w:r>
        <w:fldChar w:fldCharType="begin"/>
      </w:r>
      <w:r>
        <w:instrText xml:space="preserve"> PAGEREF _Toc303926953 \h </w:instrText>
      </w:r>
      <w:r>
        <w:fldChar w:fldCharType="separate"/>
      </w:r>
      <w:r>
        <w:t>41</w:t>
      </w:r>
      <w:r>
        <w:fldChar w:fldCharType="end"/>
      </w:r>
    </w:p>
    <w:p>
      <w:pPr>
        <w:pStyle w:val="TOC8"/>
        <w:rPr>
          <w:sz w:val="24"/>
          <w:szCs w:val="24"/>
          <w:lang w:val="en-US"/>
        </w:rPr>
      </w:pPr>
      <w:r>
        <w:t>14ADE.</w:t>
      </w:r>
      <w:r>
        <w:tab/>
        <w:t>Identification cards</w:t>
      </w:r>
      <w:r>
        <w:tab/>
      </w:r>
      <w:r>
        <w:fldChar w:fldCharType="begin"/>
      </w:r>
      <w:r>
        <w:instrText xml:space="preserve"> PAGEREF _Toc303926954 \h </w:instrText>
      </w:r>
      <w:r>
        <w:fldChar w:fldCharType="separate"/>
      </w:r>
      <w:r>
        <w:t>41</w:t>
      </w:r>
      <w:r>
        <w:fldChar w:fldCharType="end"/>
      </w:r>
    </w:p>
    <w:p>
      <w:pPr>
        <w:pStyle w:val="TOC8"/>
        <w:rPr>
          <w:sz w:val="24"/>
          <w:szCs w:val="24"/>
          <w:lang w:val="en-US"/>
        </w:rPr>
      </w:pPr>
      <w:r>
        <w:t>14ADF.</w:t>
      </w:r>
      <w:r>
        <w:tab/>
        <w:t>Lost, stolen or destroyed identification cards</w:t>
      </w:r>
      <w:r>
        <w:tab/>
      </w:r>
      <w:r>
        <w:fldChar w:fldCharType="begin"/>
      </w:r>
      <w:r>
        <w:instrText xml:space="preserve"> PAGEREF _Toc303926955 \h </w:instrText>
      </w:r>
      <w:r>
        <w:fldChar w:fldCharType="separate"/>
      </w:r>
      <w:r>
        <w:t>42</w:t>
      </w:r>
      <w:r>
        <w:fldChar w:fldCharType="end"/>
      </w:r>
    </w:p>
    <w:p>
      <w:pPr>
        <w:pStyle w:val="TOC8"/>
        <w:rPr>
          <w:sz w:val="24"/>
          <w:szCs w:val="24"/>
          <w:lang w:val="en-US"/>
        </w:rPr>
      </w:pPr>
      <w:r>
        <w:t>14ADG.</w:t>
      </w:r>
      <w:r>
        <w:tab/>
        <w:t>Transitioned approvals (Act Sch. 1B)</w:t>
      </w:r>
      <w:r>
        <w:tab/>
      </w:r>
      <w:r>
        <w:fldChar w:fldCharType="begin"/>
      </w:r>
      <w:r>
        <w:instrText xml:space="preserve"> PAGEREF _Toc303926956 \h </w:instrText>
      </w:r>
      <w:r>
        <w:fldChar w:fldCharType="separate"/>
      </w:r>
      <w:r>
        <w:t>43</w:t>
      </w:r>
      <w:r>
        <w:fldChar w:fldCharType="end"/>
      </w:r>
    </w:p>
    <w:p>
      <w:pPr>
        <w:pStyle w:val="TOC8"/>
        <w:rPr>
          <w:sz w:val="24"/>
          <w:szCs w:val="24"/>
          <w:lang w:val="en-US"/>
        </w:rPr>
      </w:pPr>
      <w:r>
        <w:t>14AD.</w:t>
      </w:r>
      <w:r>
        <w:tab/>
        <w:t>Responsible practices in selling, supply and serving liquor </w:t>
      </w:r>
      <w:r>
        <w:rPr>
          <w:snapToGrid w:val="0"/>
        </w:rPr>
        <w:t>(Act s. </w:t>
      </w:r>
      <w:r>
        <w:t>103A(1)(a))</w:t>
      </w:r>
      <w:r>
        <w:tab/>
      </w:r>
      <w:r>
        <w:fldChar w:fldCharType="begin"/>
      </w:r>
      <w:r>
        <w:instrText xml:space="preserve"> PAGEREF _Toc303926957 \h </w:instrText>
      </w:r>
      <w:r>
        <w:fldChar w:fldCharType="separate"/>
      </w:r>
      <w:r>
        <w:t>43</w:t>
      </w:r>
      <w:r>
        <w:fldChar w:fldCharType="end"/>
      </w:r>
    </w:p>
    <w:p>
      <w:pPr>
        <w:pStyle w:val="TOC8"/>
        <w:rPr>
          <w:sz w:val="24"/>
          <w:szCs w:val="24"/>
          <w:lang w:val="en-US"/>
        </w:rPr>
      </w:pPr>
      <w:r>
        <w:t>14AE.</w:t>
      </w:r>
      <w:r>
        <w:tab/>
        <w:t>Offences for r. 14AD</w:t>
      </w:r>
      <w:r>
        <w:tab/>
      </w:r>
      <w:r>
        <w:fldChar w:fldCharType="begin"/>
      </w:r>
      <w:r>
        <w:instrText xml:space="preserve"> PAGEREF _Toc303926958 \h </w:instrText>
      </w:r>
      <w:r>
        <w:fldChar w:fldCharType="separate"/>
      </w:r>
      <w:r>
        <w:t>44</w:t>
      </w:r>
      <w:r>
        <w:fldChar w:fldCharType="end"/>
      </w:r>
    </w:p>
    <w:p>
      <w:pPr>
        <w:pStyle w:val="TOC8"/>
        <w:rPr>
          <w:sz w:val="24"/>
          <w:szCs w:val="24"/>
          <w:lang w:val="en-US"/>
        </w:rPr>
      </w:pPr>
      <w:r>
        <w:t>14AF.</w:t>
      </w:r>
      <w:r>
        <w:tab/>
        <w:t>Transitional arrangements for r. 14AD</w:t>
      </w:r>
      <w:r>
        <w:tab/>
      </w:r>
      <w:r>
        <w:fldChar w:fldCharType="begin"/>
      </w:r>
      <w:r>
        <w:instrText xml:space="preserve"> PAGEREF _Toc303926959 \h </w:instrText>
      </w:r>
      <w:r>
        <w:fldChar w:fldCharType="separate"/>
      </w:r>
      <w:r>
        <w:t>45</w:t>
      </w:r>
      <w:r>
        <w:fldChar w:fldCharType="end"/>
      </w:r>
    </w:p>
    <w:p>
      <w:pPr>
        <w:pStyle w:val="TOC8"/>
        <w:rPr>
          <w:sz w:val="24"/>
          <w:szCs w:val="24"/>
          <w:lang w:val="en-US"/>
        </w:rPr>
      </w:pPr>
      <w:r>
        <w:t>14AG.</w:t>
      </w:r>
      <w:r>
        <w:tab/>
        <w:t>Licensees to maintain register </w:t>
      </w:r>
      <w:r>
        <w:rPr>
          <w:snapToGrid w:val="0"/>
        </w:rPr>
        <w:t>(Act s. </w:t>
      </w:r>
      <w:r>
        <w:t>103A(1)(b))</w:t>
      </w:r>
      <w:r>
        <w:tab/>
      </w:r>
      <w:r>
        <w:fldChar w:fldCharType="begin"/>
      </w:r>
      <w:r>
        <w:instrText xml:space="preserve"> PAGEREF _Toc303926960 \h </w:instrText>
      </w:r>
      <w:r>
        <w:fldChar w:fldCharType="separate"/>
      </w:r>
      <w:r>
        <w:t>46</w:t>
      </w:r>
      <w:r>
        <w:fldChar w:fldCharType="end"/>
      </w:r>
    </w:p>
    <w:p>
      <w:pPr>
        <w:pStyle w:val="TOC8"/>
        <w:rPr>
          <w:sz w:val="24"/>
          <w:szCs w:val="24"/>
          <w:lang w:val="en-US"/>
        </w:rPr>
      </w:pPr>
      <w:r>
        <w:t>16</w:t>
      </w:r>
      <w:r>
        <w:rPr>
          <w:snapToGrid w:val="0"/>
        </w:rPr>
        <w:t>.</w:t>
      </w:r>
      <w:r>
        <w:rPr>
          <w:snapToGrid w:val="0"/>
        </w:rPr>
        <w:tab/>
        <w:t>Liability of licensee — prescribed amount (Act s. 107)</w:t>
      </w:r>
      <w:r>
        <w:tab/>
      </w:r>
      <w:r>
        <w:fldChar w:fldCharType="begin"/>
      </w:r>
      <w:r>
        <w:instrText xml:space="preserve"> PAGEREF _Toc303926961 \h </w:instrText>
      </w:r>
      <w:r>
        <w:fldChar w:fldCharType="separate"/>
      </w:r>
      <w:r>
        <w:t>46</w:t>
      </w:r>
      <w:r>
        <w:fldChar w:fldCharType="end"/>
      </w:r>
    </w:p>
    <w:p>
      <w:pPr>
        <w:pStyle w:val="TOC8"/>
        <w:rPr>
          <w:sz w:val="24"/>
          <w:szCs w:val="24"/>
          <w:lang w:val="en-US"/>
        </w:rPr>
      </w:pPr>
      <w:r>
        <w:t>17</w:t>
      </w:r>
      <w:r>
        <w:rPr>
          <w:snapToGrid w:val="0"/>
        </w:rPr>
        <w:t>.</w:t>
      </w:r>
      <w:r>
        <w:rPr>
          <w:snapToGrid w:val="0"/>
        </w:rPr>
        <w:tab/>
        <w:t>Out of bounds area, notice for (Act s. 121(6))</w:t>
      </w:r>
      <w:r>
        <w:tab/>
      </w:r>
      <w:r>
        <w:fldChar w:fldCharType="begin"/>
      </w:r>
      <w:r>
        <w:instrText xml:space="preserve"> PAGEREF _Toc303926962 \h </w:instrText>
      </w:r>
      <w:r>
        <w:fldChar w:fldCharType="separate"/>
      </w:r>
      <w:r>
        <w:t>47</w:t>
      </w:r>
      <w:r>
        <w:fldChar w:fldCharType="end"/>
      </w:r>
    </w:p>
    <w:p>
      <w:pPr>
        <w:pStyle w:val="TOC8"/>
        <w:rPr>
          <w:sz w:val="24"/>
          <w:szCs w:val="24"/>
          <w:lang w:val="en-US"/>
        </w:rPr>
      </w:pPr>
      <w:r>
        <w:t>18.</w:t>
      </w:r>
      <w:r>
        <w:tab/>
        <w:t>Regulated premises (Act s. 122(1)(f))</w:t>
      </w:r>
      <w:r>
        <w:tab/>
      </w:r>
      <w:r>
        <w:fldChar w:fldCharType="begin"/>
      </w:r>
      <w:r>
        <w:instrText xml:space="preserve"> PAGEREF _Toc303926963 \h </w:instrText>
      </w:r>
      <w:r>
        <w:fldChar w:fldCharType="separate"/>
      </w:r>
      <w:r>
        <w:t>47</w:t>
      </w:r>
      <w:r>
        <w:fldChar w:fldCharType="end"/>
      </w:r>
    </w:p>
    <w:p>
      <w:pPr>
        <w:pStyle w:val="TOC8"/>
        <w:rPr>
          <w:sz w:val="24"/>
          <w:szCs w:val="24"/>
          <w:lang w:val="en-US"/>
        </w:rPr>
      </w:pPr>
      <w:r>
        <w:t>18A</w:t>
      </w:r>
      <w:r>
        <w:rPr>
          <w:snapToGrid w:val="0"/>
        </w:rPr>
        <w:t>.</w:t>
      </w:r>
      <w:r>
        <w:rPr>
          <w:snapToGrid w:val="0"/>
        </w:rPr>
        <w:tab/>
        <w:t>Evidence of age</w:t>
      </w:r>
      <w:r>
        <w:tab/>
      </w:r>
      <w:r>
        <w:fldChar w:fldCharType="begin"/>
      </w:r>
      <w:r>
        <w:instrText xml:space="preserve"> PAGEREF _Toc303926964 \h </w:instrText>
      </w:r>
      <w:r>
        <w:fldChar w:fldCharType="separate"/>
      </w:r>
      <w:r>
        <w:t>48</w:t>
      </w:r>
      <w:r>
        <w:fldChar w:fldCharType="end"/>
      </w:r>
    </w:p>
    <w:p>
      <w:pPr>
        <w:pStyle w:val="TOC8"/>
        <w:rPr>
          <w:sz w:val="24"/>
          <w:szCs w:val="24"/>
          <w:lang w:val="en-US"/>
        </w:rPr>
      </w:pPr>
      <w:r>
        <w:t>18B</w:t>
      </w:r>
      <w:r>
        <w:rPr>
          <w:snapToGrid w:val="0"/>
        </w:rPr>
        <w:t>.</w:t>
      </w:r>
      <w:r>
        <w:rPr>
          <w:snapToGrid w:val="0"/>
        </w:rPr>
        <w:tab/>
        <w:t>Proof of age cards</w:t>
      </w:r>
      <w:r>
        <w:tab/>
      </w:r>
      <w:r>
        <w:fldChar w:fldCharType="begin"/>
      </w:r>
      <w:r>
        <w:instrText xml:space="preserve"> PAGEREF _Toc303926965 \h </w:instrText>
      </w:r>
      <w:r>
        <w:fldChar w:fldCharType="separate"/>
      </w:r>
      <w:r>
        <w:t>48</w:t>
      </w:r>
      <w:r>
        <w:fldChar w:fldCharType="end"/>
      </w:r>
    </w:p>
    <w:p>
      <w:pPr>
        <w:pStyle w:val="TOC8"/>
        <w:rPr>
          <w:sz w:val="24"/>
          <w:szCs w:val="24"/>
          <w:lang w:val="en-US"/>
        </w:rPr>
      </w:pPr>
      <w:r>
        <w:t>18C</w:t>
      </w:r>
      <w:r>
        <w:rPr>
          <w:snapToGrid w:val="0"/>
        </w:rPr>
        <w:t>.</w:t>
      </w:r>
      <w:r>
        <w:rPr>
          <w:snapToGrid w:val="0"/>
        </w:rPr>
        <w:tab/>
        <w:t>Form and content of proof of age cards (r. 18B)</w:t>
      </w:r>
      <w:r>
        <w:tab/>
      </w:r>
      <w:r>
        <w:fldChar w:fldCharType="begin"/>
      </w:r>
      <w:r>
        <w:instrText xml:space="preserve"> PAGEREF _Toc303926966 \h </w:instrText>
      </w:r>
      <w:r>
        <w:fldChar w:fldCharType="separate"/>
      </w:r>
      <w:r>
        <w:t>49</w:t>
      </w:r>
      <w:r>
        <w:fldChar w:fldCharType="end"/>
      </w:r>
    </w:p>
    <w:p>
      <w:pPr>
        <w:pStyle w:val="TOC8"/>
        <w:rPr>
          <w:sz w:val="24"/>
          <w:szCs w:val="24"/>
          <w:lang w:val="en-US"/>
        </w:rPr>
      </w:pPr>
      <w:r>
        <w:t>18D</w:t>
      </w:r>
      <w:r>
        <w:rPr>
          <w:snapToGrid w:val="0"/>
        </w:rPr>
        <w:t>.</w:t>
      </w:r>
      <w:r>
        <w:rPr>
          <w:snapToGrid w:val="0"/>
        </w:rPr>
        <w:tab/>
        <w:t>Lost, stolen or destroyed proof of age cards</w:t>
      </w:r>
      <w:r>
        <w:tab/>
      </w:r>
      <w:r>
        <w:fldChar w:fldCharType="begin"/>
      </w:r>
      <w:r>
        <w:instrText xml:space="preserve"> PAGEREF _Toc303926967 \h </w:instrText>
      </w:r>
      <w:r>
        <w:fldChar w:fldCharType="separate"/>
      </w:r>
      <w:r>
        <w:t>50</w:t>
      </w:r>
      <w:r>
        <w:fldChar w:fldCharType="end"/>
      </w:r>
    </w:p>
    <w:p>
      <w:pPr>
        <w:pStyle w:val="TOC8"/>
        <w:rPr>
          <w:sz w:val="24"/>
          <w:szCs w:val="24"/>
          <w:lang w:val="en-US"/>
        </w:rPr>
      </w:pPr>
      <w:r>
        <w:t>18E</w:t>
      </w:r>
      <w:r>
        <w:rPr>
          <w:snapToGrid w:val="0"/>
        </w:rPr>
        <w:t>.</w:t>
      </w:r>
      <w:r>
        <w:rPr>
          <w:snapToGrid w:val="0"/>
        </w:rPr>
        <w:tab/>
        <w:t>Prescribed agreement or arrangement (Act s. 104(2))</w:t>
      </w:r>
      <w:r>
        <w:tab/>
      </w:r>
      <w:r>
        <w:fldChar w:fldCharType="begin"/>
      </w:r>
      <w:r>
        <w:instrText xml:space="preserve"> PAGEREF _Toc303926968 \h </w:instrText>
      </w:r>
      <w:r>
        <w:fldChar w:fldCharType="separate"/>
      </w:r>
      <w:r>
        <w:t>50</w:t>
      </w:r>
      <w:r>
        <w:fldChar w:fldCharType="end"/>
      </w:r>
    </w:p>
    <w:p>
      <w:pPr>
        <w:pStyle w:val="TOC8"/>
        <w:rPr>
          <w:sz w:val="24"/>
          <w:szCs w:val="24"/>
          <w:lang w:val="en-US"/>
        </w:rPr>
      </w:pPr>
      <w:r>
        <w:t>18EA.</w:t>
      </w:r>
      <w:r>
        <w:tab/>
        <w:t>Information to be included on internet websites of certain licensees (Act s. 113A)</w:t>
      </w:r>
      <w:r>
        <w:tab/>
      </w:r>
      <w:r>
        <w:fldChar w:fldCharType="begin"/>
      </w:r>
      <w:r>
        <w:instrText xml:space="preserve"> PAGEREF _Toc303926969 \h </w:instrText>
      </w:r>
      <w:r>
        <w:fldChar w:fldCharType="separate"/>
      </w:r>
      <w:r>
        <w:t>50</w:t>
      </w:r>
      <w:r>
        <w:fldChar w:fldCharType="end"/>
      </w:r>
    </w:p>
    <w:p>
      <w:pPr>
        <w:pStyle w:val="TOC8"/>
        <w:rPr>
          <w:sz w:val="24"/>
          <w:szCs w:val="24"/>
          <w:lang w:val="en-US"/>
        </w:rPr>
      </w:pPr>
      <w:r>
        <w:t>18EBA.</w:t>
      </w:r>
      <w:r>
        <w:tab/>
        <w:t>Prescribed persons (Act s. 115AC)</w:t>
      </w:r>
      <w:r>
        <w:tab/>
      </w:r>
      <w:r>
        <w:fldChar w:fldCharType="begin"/>
      </w:r>
      <w:r>
        <w:instrText xml:space="preserve"> PAGEREF _Toc303926970 \h </w:instrText>
      </w:r>
      <w:r>
        <w:fldChar w:fldCharType="separate"/>
      </w:r>
      <w:r>
        <w:t>51</w:t>
      </w:r>
      <w:r>
        <w:fldChar w:fldCharType="end"/>
      </w:r>
    </w:p>
    <w:p>
      <w:pPr>
        <w:pStyle w:val="TOC8"/>
        <w:rPr>
          <w:sz w:val="24"/>
          <w:szCs w:val="24"/>
          <w:lang w:val="en-US"/>
        </w:rPr>
      </w:pPr>
      <w:r>
        <w:t>18EB.</w:t>
      </w:r>
      <w:r>
        <w:tab/>
        <w:t>Incidents to be included in register (Act s. 116A)</w:t>
      </w:r>
      <w:r>
        <w:tab/>
      </w:r>
      <w:r>
        <w:fldChar w:fldCharType="begin"/>
      </w:r>
      <w:r>
        <w:instrText xml:space="preserve"> PAGEREF _Toc303926971 \h </w:instrText>
      </w:r>
      <w:r>
        <w:fldChar w:fldCharType="separate"/>
      </w:r>
      <w:r>
        <w:t>51</w:t>
      </w:r>
      <w:r>
        <w:fldChar w:fldCharType="end"/>
      </w:r>
    </w:p>
    <w:p>
      <w:pPr>
        <w:pStyle w:val="TOC8"/>
        <w:rPr>
          <w:sz w:val="24"/>
          <w:szCs w:val="24"/>
          <w:lang w:val="en-US"/>
        </w:rPr>
      </w:pPr>
      <w:r>
        <w:t>18F.</w:t>
      </w:r>
      <w:r>
        <w:tab/>
        <w:t>Prescribed training courses (Act s. 121(11)(d)(i) and (ii))</w:t>
      </w:r>
      <w:r>
        <w:tab/>
      </w:r>
      <w:r>
        <w:fldChar w:fldCharType="begin"/>
      </w:r>
      <w:r>
        <w:instrText xml:space="preserve"> PAGEREF _Toc303926972 \h </w:instrText>
      </w:r>
      <w:r>
        <w:fldChar w:fldCharType="separate"/>
      </w:r>
      <w:r>
        <w:t>53</w:t>
      </w:r>
      <w:r>
        <w:fldChar w:fldCharType="end"/>
      </w:r>
    </w:p>
    <w:p>
      <w:pPr>
        <w:pStyle w:val="TOC8"/>
        <w:rPr>
          <w:sz w:val="24"/>
          <w:szCs w:val="24"/>
          <w:lang w:val="en-US"/>
        </w:rPr>
      </w:pPr>
      <w:r>
        <w:t>18G.</w:t>
      </w:r>
      <w:r>
        <w:tab/>
        <w:t>Dealing with confiscated documents (Act s. 126(2b))</w:t>
      </w:r>
      <w:r>
        <w:tab/>
      </w:r>
      <w:r>
        <w:fldChar w:fldCharType="begin"/>
      </w:r>
      <w:r>
        <w:instrText xml:space="preserve"> PAGEREF _Toc303926973 \h </w:instrText>
      </w:r>
      <w:r>
        <w:fldChar w:fldCharType="separate"/>
      </w:r>
      <w:r>
        <w:t>54</w:t>
      </w:r>
      <w:r>
        <w:fldChar w:fldCharType="end"/>
      </w:r>
    </w:p>
    <w:p>
      <w:pPr>
        <w:pStyle w:val="TOC8"/>
        <w:rPr>
          <w:sz w:val="24"/>
          <w:szCs w:val="24"/>
          <w:lang w:val="en-US"/>
        </w:rPr>
      </w:pPr>
      <w:r>
        <w:t>18H.</w:t>
      </w:r>
      <w:r>
        <w:tab/>
        <w:t>Provisions of Act that may be modified under special event notice (Act s. 126E(4))</w:t>
      </w:r>
      <w:r>
        <w:tab/>
      </w:r>
      <w:r>
        <w:fldChar w:fldCharType="begin"/>
      </w:r>
      <w:r>
        <w:instrText xml:space="preserve"> PAGEREF _Toc303926974 \h </w:instrText>
      </w:r>
      <w:r>
        <w:fldChar w:fldCharType="separate"/>
      </w:r>
      <w:r>
        <w:t>54</w:t>
      </w:r>
      <w:r>
        <w:fldChar w:fldCharType="end"/>
      </w:r>
    </w:p>
    <w:p>
      <w:pPr>
        <w:pStyle w:val="TOC8"/>
        <w:rPr>
          <w:sz w:val="24"/>
          <w:szCs w:val="24"/>
          <w:lang w:val="en-US"/>
        </w:rPr>
      </w:pPr>
      <w:r>
        <w:t>19</w:t>
      </w:r>
      <w:r>
        <w:rPr>
          <w:snapToGrid w:val="0"/>
        </w:rPr>
        <w:t>.</w:t>
      </w:r>
      <w:r>
        <w:rPr>
          <w:snapToGrid w:val="0"/>
        </w:rPr>
        <w:tab/>
        <w:t>Subsidy, application for (Forms 19 and 19A)</w:t>
      </w:r>
      <w:r>
        <w:tab/>
      </w:r>
      <w:r>
        <w:fldChar w:fldCharType="begin"/>
      </w:r>
      <w:r>
        <w:instrText xml:space="preserve"> PAGEREF _Toc303926975 \h </w:instrText>
      </w:r>
      <w:r>
        <w:fldChar w:fldCharType="separate"/>
      </w:r>
      <w:r>
        <w:t>54</w:t>
      </w:r>
      <w:r>
        <w:fldChar w:fldCharType="end"/>
      </w:r>
    </w:p>
    <w:p>
      <w:pPr>
        <w:pStyle w:val="TOC8"/>
        <w:rPr>
          <w:sz w:val="24"/>
          <w:szCs w:val="24"/>
          <w:lang w:val="en-US"/>
        </w:rPr>
      </w:pPr>
      <w:r>
        <w:t>20</w:t>
      </w:r>
      <w:r>
        <w:rPr>
          <w:snapToGrid w:val="0"/>
        </w:rPr>
        <w:t>.</w:t>
      </w:r>
      <w:r>
        <w:rPr>
          <w:snapToGrid w:val="0"/>
        </w:rPr>
        <w:tab/>
        <w:t>Wholesaler, extension of definition of</w:t>
      </w:r>
      <w:r>
        <w:tab/>
      </w:r>
      <w:r>
        <w:fldChar w:fldCharType="begin"/>
      </w:r>
      <w:r>
        <w:instrText xml:space="preserve"> PAGEREF _Toc303926976 \h </w:instrText>
      </w:r>
      <w:r>
        <w:fldChar w:fldCharType="separate"/>
      </w:r>
      <w:r>
        <w:t>55</w:t>
      </w:r>
      <w:r>
        <w:fldChar w:fldCharType="end"/>
      </w:r>
    </w:p>
    <w:p>
      <w:pPr>
        <w:pStyle w:val="TOC8"/>
        <w:rPr>
          <w:sz w:val="24"/>
          <w:szCs w:val="24"/>
          <w:lang w:val="en-US"/>
        </w:rPr>
      </w:pPr>
      <w:r>
        <w:t>21.</w:t>
      </w:r>
      <w:r>
        <w:tab/>
        <w:t>Wholesaler, subsidy for (Act s. 130)</w:t>
      </w:r>
      <w:r>
        <w:tab/>
      </w:r>
      <w:r>
        <w:fldChar w:fldCharType="begin"/>
      </w:r>
      <w:r>
        <w:instrText xml:space="preserve"> PAGEREF _Toc303926977 \h </w:instrText>
      </w:r>
      <w:r>
        <w:fldChar w:fldCharType="separate"/>
      </w:r>
      <w:r>
        <w:t>55</w:t>
      </w:r>
      <w:r>
        <w:fldChar w:fldCharType="end"/>
      </w:r>
    </w:p>
    <w:p>
      <w:pPr>
        <w:pStyle w:val="TOC8"/>
        <w:rPr>
          <w:sz w:val="24"/>
          <w:szCs w:val="24"/>
          <w:lang w:val="en-US"/>
        </w:rPr>
      </w:pPr>
      <w:r>
        <w:t>21A.</w:t>
      </w:r>
      <w:r>
        <w:tab/>
        <w:t>Wine producers, subsidy for (Act s. 130)</w:t>
      </w:r>
      <w:r>
        <w:tab/>
      </w:r>
      <w:r>
        <w:fldChar w:fldCharType="begin"/>
      </w:r>
      <w:r>
        <w:instrText xml:space="preserve"> PAGEREF _Toc303926978 \h </w:instrText>
      </w:r>
      <w:r>
        <w:fldChar w:fldCharType="separate"/>
      </w:r>
      <w:r>
        <w:t>56</w:t>
      </w:r>
      <w:r>
        <w:fldChar w:fldCharType="end"/>
      </w:r>
    </w:p>
    <w:p>
      <w:pPr>
        <w:pStyle w:val="TOC8"/>
        <w:rPr>
          <w:sz w:val="24"/>
          <w:szCs w:val="24"/>
          <w:lang w:val="en-US"/>
        </w:rPr>
      </w:pPr>
      <w:r>
        <w:t>21AC</w:t>
      </w:r>
      <w:r>
        <w:rPr>
          <w:snapToGrid w:val="0"/>
        </w:rPr>
        <w:t>.</w:t>
      </w:r>
      <w:r>
        <w:rPr>
          <w:snapToGrid w:val="0"/>
        </w:rPr>
        <w:tab/>
        <w:t>Subsidy payable once in respect of sale of liquor</w:t>
      </w:r>
      <w:r>
        <w:tab/>
      </w:r>
      <w:r>
        <w:fldChar w:fldCharType="begin"/>
      </w:r>
      <w:r>
        <w:instrText xml:space="preserve"> PAGEREF _Toc303926979 \h </w:instrText>
      </w:r>
      <w:r>
        <w:fldChar w:fldCharType="separate"/>
      </w:r>
      <w:r>
        <w:t>57</w:t>
      </w:r>
      <w:r>
        <w:fldChar w:fldCharType="end"/>
      </w:r>
    </w:p>
    <w:p>
      <w:pPr>
        <w:pStyle w:val="TOC8"/>
        <w:rPr>
          <w:sz w:val="24"/>
          <w:szCs w:val="24"/>
          <w:lang w:val="en-US"/>
        </w:rPr>
      </w:pPr>
      <w:r>
        <w:t>21B</w:t>
      </w:r>
      <w:r>
        <w:rPr>
          <w:snapToGrid w:val="0"/>
        </w:rPr>
        <w:t>.</w:t>
      </w:r>
      <w:r>
        <w:rPr>
          <w:snapToGrid w:val="0"/>
        </w:rPr>
        <w:tab/>
        <w:t xml:space="preserve">Subsidy, conditions imposed by Director as to </w:t>
      </w:r>
      <w:r>
        <w:t>(Act s. 130(2))</w:t>
      </w:r>
      <w:r>
        <w:tab/>
      </w:r>
      <w:r>
        <w:fldChar w:fldCharType="begin"/>
      </w:r>
      <w:r>
        <w:instrText xml:space="preserve"> PAGEREF _Toc303926980 \h </w:instrText>
      </w:r>
      <w:r>
        <w:fldChar w:fldCharType="separate"/>
      </w:r>
      <w:r>
        <w:t>57</w:t>
      </w:r>
      <w:r>
        <w:fldChar w:fldCharType="end"/>
      </w:r>
    </w:p>
    <w:p>
      <w:pPr>
        <w:pStyle w:val="TOC8"/>
        <w:rPr>
          <w:sz w:val="24"/>
          <w:szCs w:val="24"/>
          <w:lang w:val="en-US"/>
        </w:rPr>
      </w:pPr>
      <w:r>
        <w:t>21C</w:t>
      </w:r>
      <w:r>
        <w:rPr>
          <w:snapToGrid w:val="0"/>
        </w:rPr>
        <w:t>.</w:t>
      </w:r>
      <w:r>
        <w:rPr>
          <w:snapToGrid w:val="0"/>
        </w:rPr>
        <w:tab/>
        <w:t>Records, licensees required to keep </w:t>
      </w:r>
      <w:r>
        <w:t>(Act s. </w:t>
      </w:r>
      <w:r>
        <w:rPr>
          <w:snapToGrid w:val="0"/>
        </w:rPr>
        <w:t>145(1))</w:t>
      </w:r>
      <w:r>
        <w:tab/>
      </w:r>
      <w:r>
        <w:fldChar w:fldCharType="begin"/>
      </w:r>
      <w:r>
        <w:instrText xml:space="preserve"> PAGEREF _Toc303926981 \h </w:instrText>
      </w:r>
      <w:r>
        <w:fldChar w:fldCharType="separate"/>
      </w:r>
      <w:r>
        <w:t>57</w:t>
      </w:r>
      <w:r>
        <w:fldChar w:fldCharType="end"/>
      </w:r>
    </w:p>
    <w:p>
      <w:pPr>
        <w:pStyle w:val="TOC8"/>
        <w:rPr>
          <w:sz w:val="24"/>
          <w:szCs w:val="24"/>
          <w:lang w:val="en-US"/>
        </w:rPr>
      </w:pPr>
      <w:r>
        <w:t>22</w:t>
      </w:r>
      <w:r>
        <w:rPr>
          <w:snapToGrid w:val="0"/>
        </w:rPr>
        <w:t>.</w:t>
      </w:r>
      <w:r>
        <w:rPr>
          <w:snapToGrid w:val="0"/>
        </w:rPr>
        <w:tab/>
        <w:t>Records, form and content of </w:t>
      </w:r>
      <w:r>
        <w:t>(Act s. </w:t>
      </w:r>
      <w:r>
        <w:rPr>
          <w:snapToGrid w:val="0"/>
        </w:rPr>
        <w:t>145)</w:t>
      </w:r>
      <w:r>
        <w:tab/>
      </w:r>
      <w:r>
        <w:fldChar w:fldCharType="begin"/>
      </w:r>
      <w:r>
        <w:instrText xml:space="preserve"> PAGEREF _Toc303926982 \h </w:instrText>
      </w:r>
      <w:r>
        <w:fldChar w:fldCharType="separate"/>
      </w:r>
      <w:r>
        <w:t>58</w:t>
      </w:r>
      <w:r>
        <w:fldChar w:fldCharType="end"/>
      </w:r>
    </w:p>
    <w:p>
      <w:pPr>
        <w:pStyle w:val="TOC8"/>
        <w:rPr>
          <w:sz w:val="24"/>
          <w:szCs w:val="24"/>
          <w:lang w:val="en-US"/>
        </w:rPr>
      </w:pPr>
      <w:r>
        <w:t>23</w:t>
      </w:r>
      <w:r>
        <w:rPr>
          <w:snapToGrid w:val="0"/>
        </w:rPr>
        <w:t>.</w:t>
      </w:r>
      <w:r>
        <w:rPr>
          <w:snapToGrid w:val="0"/>
        </w:rPr>
        <w:tab/>
        <w:t xml:space="preserve">Returns, verification and lodgment of </w:t>
      </w:r>
      <w:r>
        <w:t>(Act s. 146)</w:t>
      </w:r>
      <w:r>
        <w:tab/>
      </w:r>
      <w:r>
        <w:fldChar w:fldCharType="begin"/>
      </w:r>
      <w:r>
        <w:instrText xml:space="preserve"> PAGEREF _Toc303926983 \h </w:instrText>
      </w:r>
      <w:r>
        <w:fldChar w:fldCharType="separate"/>
      </w:r>
      <w:r>
        <w:t>60</w:t>
      </w:r>
      <w:r>
        <w:fldChar w:fldCharType="end"/>
      </w:r>
    </w:p>
    <w:p>
      <w:pPr>
        <w:pStyle w:val="TOC8"/>
        <w:rPr>
          <w:sz w:val="24"/>
          <w:szCs w:val="24"/>
          <w:lang w:val="en-US"/>
        </w:rPr>
      </w:pPr>
      <w:r>
        <w:t>24</w:t>
      </w:r>
      <w:r>
        <w:rPr>
          <w:snapToGrid w:val="0"/>
        </w:rPr>
        <w:t>.</w:t>
      </w:r>
      <w:r>
        <w:rPr>
          <w:snapToGrid w:val="0"/>
        </w:rPr>
        <w:tab/>
        <w:t xml:space="preserve">Returns, information prescribed </w:t>
      </w:r>
      <w:r>
        <w:t>(Act s. 145)</w:t>
      </w:r>
      <w:r>
        <w:tab/>
      </w:r>
      <w:r>
        <w:fldChar w:fldCharType="begin"/>
      </w:r>
      <w:r>
        <w:instrText xml:space="preserve"> PAGEREF _Toc303926984 \h </w:instrText>
      </w:r>
      <w:r>
        <w:fldChar w:fldCharType="separate"/>
      </w:r>
      <w:r>
        <w:t>61</w:t>
      </w:r>
      <w:r>
        <w:fldChar w:fldCharType="end"/>
      </w:r>
    </w:p>
    <w:p>
      <w:pPr>
        <w:pStyle w:val="TOC8"/>
        <w:rPr>
          <w:sz w:val="24"/>
          <w:szCs w:val="24"/>
          <w:lang w:val="en-US"/>
        </w:rPr>
      </w:pPr>
      <w:r>
        <w:t>25</w:t>
      </w:r>
      <w:r>
        <w:rPr>
          <w:snapToGrid w:val="0"/>
        </w:rPr>
        <w:t>.</w:t>
      </w:r>
      <w:r>
        <w:rPr>
          <w:snapToGrid w:val="0"/>
        </w:rPr>
        <w:tab/>
        <w:t>Payment of moneys</w:t>
      </w:r>
      <w:r>
        <w:tab/>
      </w:r>
      <w:r>
        <w:fldChar w:fldCharType="begin"/>
      </w:r>
      <w:r>
        <w:instrText xml:space="preserve"> PAGEREF _Toc303926985 \h </w:instrText>
      </w:r>
      <w:r>
        <w:fldChar w:fldCharType="separate"/>
      </w:r>
      <w:r>
        <w:t>64</w:t>
      </w:r>
      <w:r>
        <w:fldChar w:fldCharType="end"/>
      </w:r>
    </w:p>
    <w:p>
      <w:pPr>
        <w:pStyle w:val="TOC8"/>
        <w:rPr>
          <w:sz w:val="24"/>
          <w:szCs w:val="24"/>
          <w:lang w:val="en-US"/>
        </w:rPr>
      </w:pPr>
      <w:r>
        <w:t>26</w:t>
      </w:r>
      <w:r>
        <w:rPr>
          <w:snapToGrid w:val="0"/>
        </w:rPr>
        <w:t>.</w:t>
      </w:r>
      <w:r>
        <w:rPr>
          <w:snapToGrid w:val="0"/>
        </w:rPr>
        <w:tab/>
        <w:t>Fees generally</w:t>
      </w:r>
      <w:r>
        <w:tab/>
      </w:r>
      <w:r>
        <w:fldChar w:fldCharType="begin"/>
      </w:r>
      <w:r>
        <w:instrText xml:space="preserve"> PAGEREF _Toc303926986 \h </w:instrText>
      </w:r>
      <w:r>
        <w:fldChar w:fldCharType="separate"/>
      </w:r>
      <w:r>
        <w:t>64</w:t>
      </w:r>
      <w:r>
        <w:fldChar w:fldCharType="end"/>
      </w:r>
    </w:p>
    <w:p>
      <w:pPr>
        <w:pStyle w:val="TOC8"/>
        <w:rPr>
          <w:sz w:val="24"/>
          <w:szCs w:val="24"/>
          <w:lang w:val="en-US"/>
        </w:rPr>
      </w:pPr>
      <w:r>
        <w:t>27</w:t>
      </w:r>
      <w:r>
        <w:rPr>
          <w:snapToGrid w:val="0"/>
        </w:rPr>
        <w:t>.</w:t>
      </w:r>
      <w:r>
        <w:rPr>
          <w:snapToGrid w:val="0"/>
        </w:rPr>
        <w:tab/>
        <w:t>Infringement notices (Act s. 167)</w:t>
      </w:r>
      <w:r>
        <w:tab/>
      </w:r>
      <w:r>
        <w:fldChar w:fldCharType="begin"/>
      </w:r>
      <w:r>
        <w:instrText xml:space="preserve"> PAGEREF _Toc303926987 \h </w:instrText>
      </w:r>
      <w:r>
        <w:fldChar w:fldCharType="separate"/>
      </w:r>
      <w:r>
        <w:t>67</w:t>
      </w:r>
      <w:r>
        <w:fldChar w:fldCharType="end"/>
      </w:r>
    </w:p>
    <w:p>
      <w:pPr>
        <w:pStyle w:val="TOC2"/>
        <w:tabs>
          <w:tab w:val="right" w:leader="dot" w:pos="7086"/>
        </w:tabs>
        <w:rPr>
          <w:b w:val="0"/>
          <w:sz w:val="24"/>
          <w:szCs w:val="24"/>
          <w:lang w:val="en-US"/>
        </w:rPr>
      </w:pPr>
      <w:r>
        <w:t>Schedule 1 — Forms</w:t>
      </w:r>
    </w:p>
    <w:p>
      <w:pPr>
        <w:pStyle w:val="TOC2"/>
        <w:tabs>
          <w:tab w:val="right" w:leader="dot" w:pos="7086"/>
        </w:tabs>
        <w:rPr>
          <w:b w:val="0"/>
          <w:sz w:val="24"/>
          <w:szCs w:val="24"/>
          <w:lang w:val="en-US"/>
        </w:rPr>
      </w:pPr>
      <w:r>
        <w:t>Schedule 2 — Details of applicant</w:t>
      </w:r>
    </w:p>
    <w:p>
      <w:pPr>
        <w:pStyle w:val="TOC2"/>
        <w:tabs>
          <w:tab w:val="right" w:leader="dot" w:pos="7086"/>
        </w:tabs>
        <w:rPr>
          <w:b w:val="0"/>
          <w:sz w:val="24"/>
          <w:szCs w:val="24"/>
          <w:lang w:val="en-US"/>
        </w:rPr>
      </w:pPr>
      <w:r>
        <w:t>Schedule 3 — Fees</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_Toc303926994 \h </w:instrText>
      </w:r>
      <w:r>
        <w:fldChar w:fldCharType="separate"/>
      </w:r>
      <w:r>
        <w:t>88</w:t>
      </w:r>
      <w:r>
        <w:fldChar w:fldCharType="end"/>
      </w:r>
    </w:p>
    <w:p>
      <w:pPr>
        <w:pStyle w:val="TOC2"/>
        <w:tabs>
          <w:tab w:val="right" w:leader="dot" w:pos="7086"/>
        </w:tabs>
        <w:rPr>
          <w:b w:val="0"/>
          <w:sz w:val="24"/>
          <w:szCs w:val="24"/>
          <w:lang w:val="en-US"/>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76250"/>
                  <wp:effectExtent l="0" t="0" r="0" b="0"/>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st"/>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p>
        </w:tc>
        <w:tc>
          <w:tcPr>
            <w:tcW w:w="2434" w:type="dxa"/>
          </w:tcPr>
          <w:p>
            <w:r>
              <w:rPr>
                <w:b/>
                <w:sz w:val="22"/>
              </w:rPr>
              <w:t xml:space="preserve">Reprinted under the </w:t>
            </w:r>
            <w:r>
              <w:rPr>
                <w:b/>
                <w:i/>
                <w:sz w:val="22"/>
              </w:rPr>
              <w:t>Reprints Act 1984</w:t>
            </w:r>
            <w:r>
              <w:rPr>
                <w:b/>
                <w:sz w:val="22"/>
              </w:rPr>
              <w:t xml:space="preserve"> as</w:t>
            </w: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at </w:t>
            </w:r>
            <w:r>
              <w:rPr>
                <w:b/>
                <w:sz w:val="22"/>
              </w:rPr>
              <w:fldChar w:fldCharType="begin"/>
            </w:r>
            <w:r>
              <w:rPr>
                <w:b/>
                <w:sz w:val="22"/>
              </w:rPr>
              <w:instrText xml:space="preserve"> DOCPROPERTY "ReprintedAsAt"  \@ </w:instrText>
            </w:r>
            <w:r>
              <w:rPr>
                <w:b/>
                <w:snapToGrid w:val="0"/>
                <w:sz w:val="22"/>
              </w:rPr>
              <w:instrText xml:space="preserve">"d MMMM yyyy" </w:instrText>
            </w:r>
            <w:r>
              <w:rPr>
                <w:b/>
                <w:sz w:val="22"/>
              </w:rPr>
              <w:instrText>\* MERGEFORMAT</w:instrText>
            </w:r>
            <w:r>
              <w:rPr>
                <w:b/>
                <w:sz w:val="22"/>
              </w:rPr>
              <w:fldChar w:fldCharType="separate"/>
            </w:r>
            <w:r>
              <w:rPr>
                <w:b/>
                <w:sz w:val="22"/>
              </w:rPr>
              <w:t>16</w:t>
            </w:r>
            <w:r>
              <w:rPr>
                <w:b/>
                <w:snapToGrid w:val="0"/>
                <w:sz w:val="22"/>
              </w:rPr>
              <w:t xml:space="preserve"> September 2011</w:t>
            </w:r>
            <w:r>
              <w:rPr>
                <w:b/>
                <w:sz w:val="22"/>
              </w:rPr>
              <w:fldChar w:fldCharType="end"/>
            </w:r>
          </w:p>
        </w:tc>
      </w:tr>
    </w:tbl>
    <w:p>
      <w:pPr>
        <w:pStyle w:val="WA"/>
        <w:spacing w:before="120"/>
      </w:pPr>
      <w:smartTag w:uri="urn:schemas-microsoft-com:office:smarttags" w:element="place">
        <w:smartTag w:uri="urn:schemas-microsoft-com:office:smarttags" w:element="State">
          <w:r>
            <w:t>Western Australia</w:t>
          </w:r>
        </w:smartTag>
      </w:smartTag>
    </w:p>
    <w:p>
      <w:pPr>
        <w:pStyle w:val="PrincipalActReg"/>
        <w:rPr>
          <w:snapToGrid w:val="0"/>
        </w:rPr>
      </w:pPr>
      <w:r>
        <w:rPr>
          <w:snapToGrid w:val="0"/>
        </w:rPr>
        <w:t>Liquor Control Act 1988</w:t>
      </w:r>
    </w:p>
    <w:p>
      <w:pPr>
        <w:pStyle w:val="NameofActReg"/>
      </w:pPr>
      <w:r>
        <w:t>Liquor Control Regulations 1989</w:t>
      </w:r>
    </w:p>
    <w:p>
      <w:pPr>
        <w:pStyle w:val="Heading5"/>
        <w:rPr>
          <w:snapToGrid w:val="0"/>
        </w:rPr>
      </w:pPr>
      <w:bookmarkStart w:id="1" w:name="_Toc460808695"/>
      <w:bookmarkStart w:id="2" w:name="_Toc519934557"/>
      <w:bookmarkStart w:id="3" w:name="_Toc534780020"/>
      <w:bookmarkStart w:id="4" w:name="_Toc3352027"/>
      <w:bookmarkStart w:id="5" w:name="_Toc3352102"/>
      <w:bookmarkStart w:id="6" w:name="_Toc22966204"/>
      <w:bookmarkStart w:id="7" w:name="_Toc66263810"/>
      <w:bookmarkStart w:id="8" w:name="_Toc119294051"/>
      <w:bookmarkStart w:id="9" w:name="_Toc123633144"/>
      <w:bookmarkStart w:id="10" w:name="_Toc172713898"/>
      <w:bookmarkStart w:id="11" w:name="_Toc264018242"/>
      <w:bookmarkStart w:id="12" w:name="_Toc303323129"/>
      <w:bookmarkStart w:id="13" w:name="_Toc303926912"/>
      <w:r>
        <w:rPr>
          <w:rStyle w:val="CharSectno"/>
        </w:rPr>
        <w:t>1</w:t>
      </w:r>
      <w:r>
        <w:rPr>
          <w:snapToGrid w:val="0"/>
        </w:rPr>
        <w:t>.</w:t>
      </w:r>
      <w:r>
        <w:rPr>
          <w:snapToGrid w:val="0"/>
        </w:rPr>
        <w:tab/>
        <w:t>Citation</w:t>
      </w:r>
      <w:bookmarkEnd w:id="1"/>
      <w:bookmarkEnd w:id="2"/>
      <w:bookmarkEnd w:id="3"/>
      <w:bookmarkEnd w:id="4"/>
      <w:bookmarkEnd w:id="5"/>
      <w:bookmarkEnd w:id="6"/>
      <w:bookmarkEnd w:id="7"/>
      <w:bookmarkEnd w:id="8"/>
      <w:bookmarkEnd w:id="9"/>
      <w:bookmarkEnd w:id="10"/>
      <w:bookmarkEnd w:id="11"/>
      <w:bookmarkEnd w:id="12"/>
      <w:bookmarkEnd w:id="13"/>
    </w:p>
    <w:p>
      <w:pPr>
        <w:pStyle w:val="Subsection"/>
        <w:rPr>
          <w:snapToGrid w:val="0"/>
        </w:rPr>
      </w:pPr>
      <w:r>
        <w:rPr>
          <w:snapToGrid w:val="0"/>
        </w:rPr>
        <w:tab/>
      </w:r>
      <w:r>
        <w:rPr>
          <w:snapToGrid w:val="0"/>
        </w:rPr>
        <w:tab/>
        <w:t xml:space="preserve">These regulations may be cited as the </w:t>
      </w:r>
      <w:r>
        <w:rPr>
          <w:i/>
          <w:snapToGrid w:val="0"/>
        </w:rPr>
        <w:t xml:space="preserve">Liquor </w:t>
      </w:r>
      <w:r>
        <w:rPr>
          <w:i/>
          <w:iCs/>
        </w:rPr>
        <w:t xml:space="preserve">Control </w:t>
      </w:r>
      <w:r>
        <w:rPr>
          <w:i/>
          <w:snapToGrid w:val="0"/>
        </w:rPr>
        <w:t>Regulations 1989</w:t>
      </w:r>
      <w:r>
        <w:rPr>
          <w:snapToGrid w:val="0"/>
        </w:rPr>
        <w:t xml:space="preserve"> </w:t>
      </w:r>
      <w:r>
        <w:rPr>
          <w:snapToGrid w:val="0"/>
          <w:vertAlign w:val="superscript"/>
        </w:rPr>
        <w:t>1</w:t>
      </w:r>
      <w:r>
        <w:rPr>
          <w:snapToGrid w:val="0"/>
        </w:rPr>
        <w:t>.</w:t>
      </w:r>
    </w:p>
    <w:p>
      <w:pPr>
        <w:pStyle w:val="Footnotesection"/>
      </w:pPr>
      <w:r>
        <w:tab/>
        <w:t>[Regulation 1 amended in Gazette 1 May 2007 p. 1864.]</w:t>
      </w:r>
    </w:p>
    <w:p>
      <w:pPr>
        <w:pStyle w:val="Heading5"/>
        <w:rPr>
          <w:snapToGrid w:val="0"/>
        </w:rPr>
      </w:pPr>
      <w:bookmarkStart w:id="14" w:name="_Toc460808696"/>
      <w:bookmarkStart w:id="15" w:name="_Toc519934558"/>
      <w:bookmarkStart w:id="16" w:name="_Toc534780021"/>
      <w:bookmarkStart w:id="17" w:name="_Toc3352028"/>
      <w:bookmarkStart w:id="18" w:name="_Toc3352103"/>
      <w:bookmarkStart w:id="19" w:name="_Toc22966205"/>
      <w:bookmarkStart w:id="20" w:name="_Toc66263811"/>
      <w:bookmarkStart w:id="21" w:name="_Toc119294052"/>
      <w:bookmarkStart w:id="22" w:name="_Toc123633145"/>
      <w:bookmarkStart w:id="23" w:name="_Toc172713899"/>
      <w:bookmarkStart w:id="24" w:name="_Toc264018243"/>
      <w:bookmarkStart w:id="25" w:name="_Toc303323130"/>
      <w:bookmarkStart w:id="26" w:name="_Toc303926913"/>
      <w:r>
        <w:rPr>
          <w:rStyle w:val="CharSectno"/>
        </w:rPr>
        <w:t>2</w:t>
      </w:r>
      <w:r>
        <w:rPr>
          <w:snapToGrid w:val="0"/>
        </w:rPr>
        <w:t>.</w:t>
      </w:r>
      <w:r>
        <w:rPr>
          <w:snapToGrid w:val="0"/>
        </w:rPr>
        <w:tab/>
        <w:t>Commencement</w:t>
      </w:r>
      <w:bookmarkEnd w:id="14"/>
      <w:bookmarkEnd w:id="15"/>
      <w:bookmarkEnd w:id="16"/>
      <w:bookmarkEnd w:id="17"/>
      <w:bookmarkEnd w:id="18"/>
      <w:bookmarkEnd w:id="19"/>
      <w:bookmarkEnd w:id="20"/>
      <w:bookmarkEnd w:id="21"/>
      <w:bookmarkEnd w:id="22"/>
      <w:bookmarkEnd w:id="23"/>
      <w:bookmarkEnd w:id="24"/>
      <w:bookmarkEnd w:id="25"/>
      <w:bookmarkEnd w:id="26"/>
    </w:p>
    <w:p>
      <w:pPr>
        <w:pStyle w:val="Subsection"/>
        <w:rPr>
          <w:snapToGrid w:val="0"/>
        </w:rPr>
      </w:pPr>
      <w:r>
        <w:rPr>
          <w:snapToGrid w:val="0"/>
        </w:rPr>
        <w:tab/>
      </w:r>
      <w:r>
        <w:rPr>
          <w:snapToGrid w:val="0"/>
        </w:rPr>
        <w:tab/>
        <w:t xml:space="preserve">These regulations shall come into operation on the day on which the </w:t>
      </w:r>
      <w:r>
        <w:rPr>
          <w:i/>
          <w:snapToGrid w:val="0"/>
        </w:rPr>
        <w:t>Liquor Control Act 1988</w:t>
      </w:r>
      <w:r>
        <w:rPr>
          <w:snapToGrid w:val="0"/>
          <w:vertAlign w:val="superscript"/>
        </w:rPr>
        <w:t xml:space="preserve"> 2</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27" w:name="_Toc460808697"/>
      <w:bookmarkStart w:id="28" w:name="_Toc519934559"/>
      <w:bookmarkStart w:id="29" w:name="_Toc534780022"/>
      <w:bookmarkStart w:id="30" w:name="_Toc3352029"/>
      <w:bookmarkStart w:id="31" w:name="_Toc3352104"/>
      <w:bookmarkStart w:id="32" w:name="_Toc3352306"/>
      <w:bookmarkStart w:id="33" w:name="_Toc22966206"/>
      <w:bookmarkStart w:id="34" w:name="_Toc66263812"/>
      <w:bookmarkStart w:id="35" w:name="_Toc119294053"/>
      <w:bookmarkStart w:id="36" w:name="_Toc123633146"/>
      <w:bookmarkStart w:id="37" w:name="_Toc172713900"/>
      <w:bookmarkStart w:id="38" w:name="_Toc264018244"/>
      <w:bookmarkStart w:id="39" w:name="_Toc303323131"/>
      <w:bookmarkStart w:id="40" w:name="_Toc303926914"/>
      <w:r>
        <w:rPr>
          <w:rStyle w:val="CharSectno"/>
        </w:rPr>
        <w:t>3</w:t>
      </w:r>
      <w:r>
        <w:rPr>
          <w:snapToGrid w:val="0"/>
        </w:rPr>
        <w:t>.</w:t>
      </w:r>
      <w:r>
        <w:rPr>
          <w:snapToGrid w:val="0"/>
        </w:rPr>
        <w:tab/>
        <w:t>Forms</w:t>
      </w:r>
      <w:bookmarkEnd w:id="27"/>
      <w:bookmarkEnd w:id="28"/>
      <w:bookmarkEnd w:id="29"/>
      <w:bookmarkEnd w:id="30"/>
      <w:bookmarkEnd w:id="31"/>
      <w:bookmarkEnd w:id="32"/>
      <w:bookmarkEnd w:id="33"/>
      <w:bookmarkEnd w:id="34"/>
      <w:bookmarkEnd w:id="35"/>
      <w:bookmarkEnd w:id="36"/>
      <w:bookmarkEnd w:id="37"/>
      <w:bookmarkEnd w:id="38"/>
      <w:bookmarkEnd w:id="39"/>
      <w:bookmarkEnd w:id="40"/>
    </w:p>
    <w:p>
      <w:pPr>
        <w:pStyle w:val="Subsection"/>
        <w:rPr>
          <w:snapToGrid w:val="0"/>
        </w:rPr>
      </w:pPr>
      <w:r>
        <w:rPr>
          <w:snapToGrid w:val="0"/>
        </w:rPr>
        <w:tab/>
        <w:t>(1)</w:t>
      </w:r>
      <w:r>
        <w:rPr>
          <w:snapToGrid w:val="0"/>
        </w:rPr>
        <w:tab/>
        <w:t>For the purposes respectively specified in the heading to those forms, a form set out in the manner specified in Schedule 1 shall be deemed to be in the prescribed form.</w:t>
      </w:r>
    </w:p>
    <w:p>
      <w:pPr>
        <w:pStyle w:val="Subsection"/>
        <w:rPr>
          <w:snapToGrid w:val="0"/>
        </w:rPr>
      </w:pPr>
      <w:r>
        <w:rPr>
          <w:snapToGrid w:val="0"/>
        </w:rPr>
        <w:tab/>
        <w:t>(2)</w:t>
      </w:r>
      <w:r>
        <w:rPr>
          <w:snapToGrid w:val="0"/>
        </w:rPr>
        <w:tab/>
        <w:t>Where particulars or matters are referred to in a form to be used under these regulations information as to those particulars and matters is required to be supplied, in accordance with the directions, if any, on that form, in so far as may be applicable to the particular case.</w:t>
      </w:r>
    </w:p>
    <w:p>
      <w:pPr>
        <w:pStyle w:val="Subsection"/>
        <w:rPr>
          <w:snapToGrid w:val="0"/>
        </w:rPr>
      </w:pPr>
      <w:r>
        <w:rPr>
          <w:snapToGrid w:val="0"/>
        </w:rPr>
        <w:tab/>
        <w:t>(3)</w:t>
      </w:r>
      <w:r>
        <w:rPr>
          <w:snapToGrid w:val="0"/>
        </w:rPr>
        <w:tab/>
        <w:t>All applications and accompanying documents, other than plans, shall be on paper of A4 size.</w:t>
      </w:r>
    </w:p>
    <w:p>
      <w:pPr>
        <w:pStyle w:val="Subsection"/>
      </w:pPr>
      <w:bookmarkStart w:id="41" w:name="_Toc460808698"/>
      <w:bookmarkStart w:id="42" w:name="_Toc519934560"/>
      <w:bookmarkStart w:id="43" w:name="_Toc534780023"/>
      <w:bookmarkStart w:id="44" w:name="_Toc3352030"/>
      <w:bookmarkStart w:id="45" w:name="_Toc3352105"/>
      <w:bookmarkStart w:id="46" w:name="_Toc22966207"/>
      <w:bookmarkStart w:id="47" w:name="_Toc66263813"/>
      <w:bookmarkStart w:id="48" w:name="_Toc119294054"/>
      <w:bookmarkStart w:id="49" w:name="_Toc123633147"/>
      <w:bookmarkStart w:id="50" w:name="_Toc172713901"/>
      <w:bookmarkStart w:id="51" w:name="_Toc264018245"/>
      <w:r>
        <w:tab/>
        <w:t>(4)</w:t>
      </w:r>
      <w:r>
        <w:tab/>
        <w:t>Subregulation (3) does not apply to applications and accompanying documents that are lodged by an electronic means acceptable to the Director.</w:t>
      </w:r>
    </w:p>
    <w:p>
      <w:pPr>
        <w:pStyle w:val="Footnotesection"/>
        <w:ind w:left="890" w:hanging="890"/>
      </w:pPr>
      <w:r>
        <w:tab/>
        <w:t>[Regulation 3 amended in Gazette 3 Jun 2011 p. 1999.]</w:t>
      </w:r>
    </w:p>
    <w:p>
      <w:pPr>
        <w:pStyle w:val="Heading5"/>
        <w:rPr>
          <w:snapToGrid w:val="0"/>
        </w:rPr>
      </w:pPr>
      <w:bookmarkStart w:id="52" w:name="_Toc303323132"/>
      <w:bookmarkStart w:id="53" w:name="_Toc303926915"/>
      <w:r>
        <w:rPr>
          <w:rStyle w:val="CharSectno"/>
        </w:rPr>
        <w:t>3A</w:t>
      </w:r>
      <w:r>
        <w:rPr>
          <w:snapToGrid w:val="0"/>
        </w:rPr>
        <w:t>.</w:t>
      </w:r>
      <w:r>
        <w:rPr>
          <w:snapToGrid w:val="0"/>
        </w:rPr>
        <w:tab/>
      </w:r>
      <w:bookmarkEnd w:id="41"/>
      <w:bookmarkEnd w:id="42"/>
      <w:bookmarkEnd w:id="43"/>
      <w:bookmarkEnd w:id="44"/>
      <w:bookmarkEnd w:id="45"/>
      <w:bookmarkEnd w:id="46"/>
      <w:bookmarkEnd w:id="47"/>
      <w:bookmarkEnd w:id="48"/>
      <w:bookmarkEnd w:id="49"/>
      <w:r>
        <w:rPr>
          <w:snapToGrid w:val="0"/>
        </w:rPr>
        <w:t>Terms used</w:t>
      </w:r>
      <w:bookmarkEnd w:id="50"/>
      <w:bookmarkEnd w:id="51"/>
      <w:bookmarkEnd w:id="52"/>
      <w:bookmarkEnd w:id="53"/>
    </w:p>
    <w:p>
      <w:pPr>
        <w:pStyle w:val="Subsection"/>
        <w:rPr>
          <w:snapToGrid w:val="0"/>
        </w:rPr>
      </w:pPr>
      <w:r>
        <w:rPr>
          <w:snapToGrid w:val="0"/>
        </w:rPr>
        <w:tab/>
        <w:t>(1)</w:t>
      </w:r>
      <w:r>
        <w:rPr>
          <w:snapToGrid w:val="0"/>
        </w:rPr>
        <w:tab/>
        <w:t>In these regulations, unless the contrary intention appears —</w:t>
      </w:r>
    </w:p>
    <w:p>
      <w:pPr>
        <w:pStyle w:val="Defstart"/>
      </w:pPr>
      <w:r>
        <w:tab/>
      </w:r>
      <w:r>
        <w:rPr>
          <w:rStyle w:val="CharDefText"/>
        </w:rPr>
        <w:t>anticipated number of patrons</w:t>
      </w:r>
      <w:r>
        <w:t>, in relation to an application for an occasional licence, means the sum of the maximum number of patrons for each day of the period to which the application relates;</w:t>
      </w:r>
    </w:p>
    <w:p>
      <w:pPr>
        <w:pStyle w:val="Defstart"/>
      </w:pPr>
      <w:r>
        <w:tab/>
      </w:r>
      <w:r>
        <w:rPr>
          <w:rStyle w:val="CharDefText"/>
        </w:rPr>
        <w:t>approved manager</w:t>
      </w:r>
      <w:r>
        <w:t xml:space="preserve"> has the meaning given in section 102A;</w:t>
      </w:r>
    </w:p>
    <w:p>
      <w:pPr>
        <w:pStyle w:val="Defstart"/>
      </w:pPr>
      <w:r>
        <w:tab/>
      </w:r>
      <w:r>
        <w:rPr>
          <w:rStyle w:val="CharDefText"/>
        </w:rPr>
        <w:t>higher education course</w:t>
      </w:r>
      <w:r>
        <w:t xml:space="preserve"> has the meaning given in the </w:t>
      </w:r>
      <w:r>
        <w:rPr>
          <w:i/>
          <w:iCs/>
        </w:rPr>
        <w:t>Higher Education Act 2004</w:t>
      </w:r>
      <w:r>
        <w:t xml:space="preserve"> section 3;</w:t>
      </w:r>
    </w:p>
    <w:p>
      <w:pPr>
        <w:pStyle w:val="Defstart"/>
      </w:pPr>
      <w:r>
        <w:tab/>
      </w:r>
      <w:r>
        <w:rPr>
          <w:rStyle w:val="CharDefText"/>
        </w:rPr>
        <w:t xml:space="preserve">higher education institution </w:t>
      </w:r>
      <w:r>
        <w:t xml:space="preserve">means an education institution as defined in the </w:t>
      </w:r>
      <w:r>
        <w:rPr>
          <w:i/>
          <w:iCs/>
        </w:rPr>
        <w:t>Higher Education Act 2004</w:t>
      </w:r>
      <w:r>
        <w:t xml:space="preserve"> section 3 that provides a higher education course;</w:t>
      </w:r>
    </w:p>
    <w:p>
      <w:pPr>
        <w:pStyle w:val="Defstart"/>
      </w:pPr>
      <w:r>
        <w:tab/>
      </w:r>
      <w:r>
        <w:rPr>
          <w:rStyle w:val="CharDefText"/>
        </w:rPr>
        <w:t>manager’s approval</w:t>
      </w:r>
      <w:r>
        <w:t xml:space="preserve"> has the meaning given in section 102A;</w:t>
      </w:r>
    </w:p>
    <w:p>
      <w:pPr>
        <w:pStyle w:val="Defstart"/>
      </w:pPr>
      <w:r>
        <w:tab/>
      </w:r>
      <w:r>
        <w:rPr>
          <w:rStyle w:val="CharDefText"/>
        </w:rPr>
        <w:t>maximum number of patrons</w:t>
      </w:r>
      <w:r>
        <w:t>, in relation to a day of the period to which an application for an occasional licence relates, means the maximum number of patrons that the person making the application reasonably expects to be in the licensed area at any one time on that day;</w:t>
      </w:r>
    </w:p>
    <w:p>
      <w:pPr>
        <w:pStyle w:val="Defstart"/>
      </w:pPr>
      <w:r>
        <w:tab/>
      </w:r>
      <w:r>
        <w:rPr>
          <w:rStyle w:val="CharDefText"/>
        </w:rPr>
        <w:t>notional wholesale selling price</w:t>
      </w:r>
      <w:r>
        <w:t>, in relation to wine that is low alcohol liquor sold by a wholesaler or producer, means the price for which the wholesaler or producer could reasonably have been expected to sell the wine by wholesale under an arm’s length transaction and without the benefit of a subsidy under section 130;</w:t>
      </w:r>
    </w:p>
    <w:p>
      <w:pPr>
        <w:pStyle w:val="Defstart"/>
      </w:pPr>
      <w:r>
        <w:rPr>
          <w:b/>
        </w:rPr>
        <w:tab/>
      </w:r>
      <w:r>
        <w:rPr>
          <w:rStyle w:val="CharDefText"/>
        </w:rPr>
        <w:t>producer</w:t>
      </w:r>
      <w:r>
        <w:t xml:space="preserve"> has the meaning given in section 129;</w:t>
      </w:r>
    </w:p>
    <w:p>
      <w:pPr>
        <w:pStyle w:val="Defstart"/>
      </w:pPr>
      <w:r>
        <w:tab/>
      </w:r>
      <w:r>
        <w:rPr>
          <w:rStyle w:val="CharDefText"/>
        </w:rPr>
        <w:t>tax period</w:t>
      </w:r>
      <w:r>
        <w:t xml:space="preserve"> has the meaning given by section 195</w:t>
      </w:r>
      <w:r>
        <w:noBreakHyphen/>
        <w:t xml:space="preserve">1 of the Commonwealth </w:t>
      </w:r>
      <w:r>
        <w:rPr>
          <w:i/>
        </w:rPr>
        <w:t>A New Tax System (Goods and Services Tax) Act 1999</w:t>
      </w:r>
      <w:r>
        <w:t>;</w:t>
      </w:r>
    </w:p>
    <w:p>
      <w:pPr>
        <w:pStyle w:val="Defstart"/>
        <w:rPr>
          <w:iCs/>
        </w:rPr>
      </w:pPr>
      <w:r>
        <w:rPr>
          <w:b/>
        </w:rPr>
        <w:tab/>
      </w:r>
      <w:r>
        <w:rPr>
          <w:rStyle w:val="CharDefText"/>
        </w:rPr>
        <w:t>vocational education and training institution</w:t>
      </w:r>
      <w:r>
        <w:t xml:space="preserve"> means a college or other vocational education and training institution established under the </w:t>
      </w:r>
      <w:r>
        <w:rPr>
          <w:i/>
          <w:iCs/>
        </w:rPr>
        <w:t>Vocational Education and Training Act 1996</w:t>
      </w:r>
      <w:r>
        <w:rPr>
          <w:iCs/>
        </w:rPr>
        <w:t>;</w:t>
      </w:r>
    </w:p>
    <w:p>
      <w:pPr>
        <w:pStyle w:val="Defstart"/>
      </w:pPr>
      <w:r>
        <w:rPr>
          <w:b/>
        </w:rPr>
        <w:tab/>
      </w:r>
      <w:r>
        <w:rPr>
          <w:rStyle w:val="CharDefText"/>
        </w:rPr>
        <w:t>WET</w:t>
      </w:r>
      <w:r>
        <w:t xml:space="preserve"> has the meaning given to </w:t>
      </w:r>
      <w:r>
        <w:rPr>
          <w:b/>
          <w:bCs/>
          <w:i/>
          <w:iCs/>
        </w:rPr>
        <w:t>wine tax</w:t>
      </w:r>
      <w:r>
        <w:t xml:space="preserve"> in section 33</w:t>
      </w:r>
      <w:r>
        <w:noBreakHyphen/>
        <w:t xml:space="preserve">1 of the Commonwealth </w:t>
      </w:r>
      <w:r>
        <w:rPr>
          <w:i/>
        </w:rPr>
        <w:t>A New Tax System (Wine Equalisation Tax) Act 1999</w:t>
      </w:r>
      <w:r>
        <w:t>;</w:t>
      </w:r>
    </w:p>
    <w:p>
      <w:pPr>
        <w:pStyle w:val="Defstart"/>
      </w:pPr>
      <w:r>
        <w:rPr>
          <w:b/>
        </w:rPr>
        <w:tab/>
      </w:r>
      <w:r>
        <w:rPr>
          <w:rStyle w:val="CharDefText"/>
        </w:rPr>
        <w:t>wholesaler</w:t>
      </w:r>
      <w:r>
        <w:t xml:space="preserve"> has the meaning given in section 129.</w:t>
      </w:r>
    </w:p>
    <w:p>
      <w:pPr>
        <w:pStyle w:val="Subsection"/>
        <w:spacing w:before="200"/>
        <w:rPr>
          <w:snapToGrid w:val="0"/>
        </w:rPr>
      </w:pPr>
      <w:r>
        <w:rPr>
          <w:snapToGrid w:val="0"/>
        </w:rPr>
        <w:tab/>
        <w:t>(2)</w:t>
      </w:r>
      <w:r>
        <w:rPr>
          <w:snapToGrid w:val="0"/>
        </w:rPr>
        <w:tab/>
        <w:t>In these regulations, unless the contrary intention appears, a reference to a section is to be taken to be a reference to a section of the Act.</w:t>
      </w:r>
    </w:p>
    <w:p>
      <w:pPr>
        <w:pStyle w:val="Footnotesection"/>
        <w:ind w:left="890" w:hanging="890"/>
      </w:pPr>
      <w:r>
        <w:tab/>
        <w:t>[Regulation 3A inserted in Gazette 30 Jan 1998 p. 561; amended in Gazette 22 May 1998 p. 2940; 28 Jul 2000 p. 4029; 28 Jun 2002 p. 3105</w:t>
      </w:r>
      <w:r>
        <w:noBreakHyphen/>
        <w:t>6; 10 Aug 2004 p. 3186; 1 May 2007 p. 1864 and 1888; 15 Jan 2010 p. 70</w:t>
      </w:r>
      <w:r>
        <w:noBreakHyphen/>
        <w:t>1; 22 Oct 2010 p. 5225; 3 Jun 2011 p. 1994.]</w:t>
      </w:r>
    </w:p>
    <w:p>
      <w:pPr>
        <w:pStyle w:val="Heading5"/>
        <w:keepLines w:val="0"/>
      </w:pPr>
      <w:bookmarkStart w:id="54" w:name="_Toc119294055"/>
      <w:bookmarkStart w:id="55" w:name="_Toc123633148"/>
      <w:bookmarkStart w:id="56" w:name="_Toc172713902"/>
      <w:bookmarkStart w:id="57" w:name="_Toc264018246"/>
      <w:bookmarkStart w:id="58" w:name="_Toc303323133"/>
      <w:bookmarkStart w:id="59" w:name="_Toc303926916"/>
      <w:bookmarkStart w:id="60" w:name="_Toc460808699"/>
      <w:bookmarkStart w:id="61" w:name="_Toc519934561"/>
      <w:bookmarkStart w:id="62" w:name="_Toc534780024"/>
      <w:bookmarkStart w:id="63" w:name="_Toc3352031"/>
      <w:bookmarkStart w:id="64" w:name="_Toc3352106"/>
      <w:bookmarkStart w:id="65" w:name="_Toc22966208"/>
      <w:bookmarkStart w:id="66" w:name="_Toc66263814"/>
      <w:r>
        <w:rPr>
          <w:rStyle w:val="CharSectno"/>
        </w:rPr>
        <w:t>3AB</w:t>
      </w:r>
      <w:r>
        <w:t>.</w:t>
      </w:r>
      <w:r>
        <w:tab/>
        <w:t>Mist of gas and liquid (containing ethanol) is a kind of liquor</w:t>
      </w:r>
      <w:bookmarkEnd w:id="54"/>
      <w:bookmarkEnd w:id="55"/>
      <w:bookmarkEnd w:id="56"/>
      <w:r>
        <w:t xml:space="preserve"> (Act s. 3(1))</w:t>
      </w:r>
      <w:bookmarkEnd w:id="57"/>
      <w:bookmarkEnd w:id="58"/>
      <w:bookmarkEnd w:id="59"/>
    </w:p>
    <w:p>
      <w:pPr>
        <w:pStyle w:val="Subsection"/>
      </w:pPr>
      <w:r>
        <w:tab/>
      </w:r>
      <w:r>
        <w:tab/>
        <w:t xml:space="preserve">For the purposes of paragraph (e) of the definition of </w:t>
      </w:r>
      <w:r>
        <w:rPr>
          <w:b/>
          <w:bCs/>
          <w:i/>
          <w:iCs/>
        </w:rPr>
        <w:t>a kind</w:t>
      </w:r>
      <w:r>
        <w:t xml:space="preserve"> in section 3(1), a substance that regulation 4AB prescribes as being liquor is prescribed as being a kind of liquor.</w:t>
      </w:r>
    </w:p>
    <w:p>
      <w:pPr>
        <w:pStyle w:val="Footnotesection"/>
        <w:keepLines w:val="0"/>
        <w:spacing w:before="80"/>
        <w:ind w:left="890" w:hanging="890"/>
      </w:pPr>
      <w:r>
        <w:tab/>
        <w:t>[Regulation 3AB inserted in Gazette 11 Jan 2005 p. 98; amended in Gazette 1 May 2007 p. 1888.]</w:t>
      </w:r>
    </w:p>
    <w:p>
      <w:pPr>
        <w:pStyle w:val="Heading5"/>
        <w:keepLines w:val="0"/>
      </w:pPr>
      <w:bookmarkStart w:id="67" w:name="_Toc119294056"/>
      <w:bookmarkStart w:id="68" w:name="_Toc123633149"/>
      <w:bookmarkStart w:id="69" w:name="_Toc172713903"/>
      <w:bookmarkStart w:id="70" w:name="_Toc264018247"/>
      <w:bookmarkStart w:id="71" w:name="_Toc303323134"/>
      <w:bookmarkStart w:id="72" w:name="_Toc303926917"/>
      <w:r>
        <w:rPr>
          <w:rStyle w:val="CharSectno"/>
        </w:rPr>
        <w:t>3AC</w:t>
      </w:r>
      <w:r>
        <w:t>.</w:t>
      </w:r>
      <w:r>
        <w:tab/>
        <w:t>Liquid containing ethanol and sold in aerosol container is a kind of liquor</w:t>
      </w:r>
      <w:bookmarkEnd w:id="67"/>
      <w:bookmarkEnd w:id="68"/>
      <w:bookmarkEnd w:id="69"/>
      <w:r>
        <w:t xml:space="preserve"> (Act s. 3(1))</w:t>
      </w:r>
      <w:bookmarkEnd w:id="70"/>
      <w:bookmarkEnd w:id="71"/>
      <w:bookmarkEnd w:id="72"/>
    </w:p>
    <w:p>
      <w:pPr>
        <w:pStyle w:val="Subsection"/>
      </w:pPr>
      <w:r>
        <w:tab/>
      </w:r>
      <w:r>
        <w:tab/>
        <w:t xml:space="preserve">For the purposes of paragraph (e) of the definition of </w:t>
      </w:r>
      <w:r>
        <w:rPr>
          <w:b/>
          <w:bCs/>
          <w:i/>
          <w:iCs/>
        </w:rPr>
        <w:t>a kind</w:t>
      </w:r>
      <w:r>
        <w:t xml:space="preserve"> in section 3(1), a substance that regulation 4AC prescribes as being liquor is prescribed as being a kind of liquor.</w:t>
      </w:r>
    </w:p>
    <w:p>
      <w:pPr>
        <w:pStyle w:val="Footnotesection"/>
        <w:keepLines w:val="0"/>
        <w:spacing w:before="80"/>
        <w:ind w:left="890" w:hanging="890"/>
      </w:pPr>
      <w:r>
        <w:tab/>
        <w:t>[Regulation 3AC inserted in Gazette 11 Jan 2005 p. 98; amended in Gazette 1 May 2007 p. 1888.]</w:t>
      </w:r>
    </w:p>
    <w:p>
      <w:pPr>
        <w:pStyle w:val="Heading5"/>
        <w:keepLines w:val="0"/>
        <w:rPr>
          <w:snapToGrid w:val="0"/>
        </w:rPr>
      </w:pPr>
      <w:bookmarkStart w:id="73" w:name="_Toc119294057"/>
      <w:bookmarkStart w:id="74" w:name="_Toc123633150"/>
      <w:bookmarkStart w:id="75" w:name="_Toc172713904"/>
      <w:bookmarkStart w:id="76" w:name="_Toc264018248"/>
      <w:bookmarkStart w:id="77" w:name="_Toc303323135"/>
      <w:bookmarkStart w:id="78" w:name="_Toc303926918"/>
      <w:r>
        <w:rPr>
          <w:rStyle w:val="CharSectno"/>
        </w:rPr>
        <w:t>4</w:t>
      </w:r>
      <w:r>
        <w:rPr>
          <w:snapToGrid w:val="0"/>
        </w:rPr>
        <w:t>.</w:t>
      </w:r>
      <w:r>
        <w:rPr>
          <w:snapToGrid w:val="0"/>
        </w:rPr>
        <w:tab/>
      </w:r>
      <w:r>
        <w:t>Low alcohol liquor</w:t>
      </w:r>
      <w:r>
        <w:rPr>
          <w:snapToGrid w:val="0"/>
        </w:rPr>
        <w:t> — prescribed level</w:t>
      </w:r>
      <w:bookmarkEnd w:id="60"/>
      <w:bookmarkEnd w:id="61"/>
      <w:bookmarkEnd w:id="62"/>
      <w:bookmarkEnd w:id="63"/>
      <w:bookmarkEnd w:id="64"/>
      <w:bookmarkEnd w:id="65"/>
      <w:bookmarkEnd w:id="66"/>
      <w:bookmarkEnd w:id="73"/>
      <w:bookmarkEnd w:id="74"/>
      <w:bookmarkEnd w:id="75"/>
      <w:r>
        <w:rPr>
          <w:snapToGrid w:val="0"/>
        </w:rPr>
        <w:t xml:space="preserve"> </w:t>
      </w:r>
      <w:r>
        <w:t>(Act s. 3(1))</w:t>
      </w:r>
      <w:bookmarkEnd w:id="76"/>
      <w:bookmarkEnd w:id="77"/>
      <w:bookmarkEnd w:id="78"/>
    </w:p>
    <w:p>
      <w:pPr>
        <w:pStyle w:val="Subsection"/>
        <w:rPr>
          <w:snapToGrid w:val="0"/>
        </w:rPr>
      </w:pPr>
      <w:r>
        <w:rPr>
          <w:snapToGrid w:val="0"/>
        </w:rPr>
        <w:tab/>
      </w:r>
      <w:r>
        <w:rPr>
          <w:snapToGrid w:val="0"/>
        </w:rPr>
        <w:tab/>
        <w:t xml:space="preserve">For the purposes of the definition of </w:t>
      </w:r>
      <w:r>
        <w:rPr>
          <w:b/>
          <w:bCs/>
          <w:i/>
          <w:iCs/>
          <w:snapToGrid w:val="0"/>
        </w:rPr>
        <w:t>low alcohol liquor</w:t>
      </w:r>
      <w:r>
        <w:rPr>
          <w:snapToGrid w:val="0"/>
        </w:rPr>
        <w:t xml:space="preserve"> in section 3(1), the prescribed concentration of ethanol in liquor is 3.5% </w:t>
      </w:r>
      <w:r>
        <w:t>at 20° C</w:t>
      </w:r>
      <w:r>
        <w:rPr>
          <w:snapToGrid w:val="0"/>
        </w:rPr>
        <w:t>.</w:t>
      </w:r>
    </w:p>
    <w:p>
      <w:pPr>
        <w:pStyle w:val="Footnotesection"/>
        <w:keepLines w:val="0"/>
        <w:spacing w:before="80"/>
        <w:ind w:left="890" w:hanging="890"/>
      </w:pPr>
      <w:r>
        <w:tab/>
        <w:t>[Regulation 4 inserted in Gazette 22 May 1998 p. 2940; amended in Gazette 28 Jul 2000 p. 4029; 1 May 2007 p. 1888.]</w:t>
      </w:r>
    </w:p>
    <w:p>
      <w:pPr>
        <w:pStyle w:val="Heading5"/>
        <w:rPr>
          <w:snapToGrid w:val="0"/>
        </w:rPr>
      </w:pPr>
      <w:bookmarkStart w:id="79" w:name="_Toc460808700"/>
      <w:bookmarkStart w:id="80" w:name="_Toc519934562"/>
      <w:bookmarkStart w:id="81" w:name="_Toc534780025"/>
      <w:bookmarkStart w:id="82" w:name="_Toc3352032"/>
      <w:bookmarkStart w:id="83" w:name="_Toc3352107"/>
      <w:bookmarkStart w:id="84" w:name="_Toc22966209"/>
      <w:bookmarkStart w:id="85" w:name="_Toc66263815"/>
      <w:bookmarkStart w:id="86" w:name="_Toc119294058"/>
      <w:bookmarkStart w:id="87" w:name="_Toc123633151"/>
      <w:bookmarkStart w:id="88" w:name="_Toc172713905"/>
      <w:bookmarkStart w:id="89" w:name="_Toc264018249"/>
      <w:bookmarkStart w:id="90" w:name="_Toc303323136"/>
      <w:bookmarkStart w:id="91" w:name="_Toc303926919"/>
      <w:r>
        <w:rPr>
          <w:rStyle w:val="CharSectno"/>
        </w:rPr>
        <w:t>4AA</w:t>
      </w:r>
      <w:r>
        <w:rPr>
          <w:snapToGrid w:val="0"/>
        </w:rPr>
        <w:t>.</w:t>
      </w:r>
      <w:r>
        <w:rPr>
          <w:snapToGrid w:val="0"/>
        </w:rPr>
        <w:tab/>
      </w:r>
      <w:r>
        <w:t>Liquor</w:t>
      </w:r>
      <w:r>
        <w:rPr>
          <w:snapToGrid w:val="0"/>
        </w:rPr>
        <w:t> — proportion of ethanol</w:t>
      </w:r>
      <w:bookmarkEnd w:id="79"/>
      <w:bookmarkEnd w:id="80"/>
      <w:bookmarkEnd w:id="81"/>
      <w:bookmarkEnd w:id="82"/>
      <w:bookmarkEnd w:id="83"/>
      <w:bookmarkEnd w:id="84"/>
      <w:bookmarkEnd w:id="85"/>
      <w:bookmarkEnd w:id="86"/>
      <w:bookmarkEnd w:id="87"/>
      <w:bookmarkEnd w:id="88"/>
      <w:r>
        <w:rPr>
          <w:snapToGrid w:val="0"/>
        </w:rPr>
        <w:t xml:space="preserve"> </w:t>
      </w:r>
      <w:r>
        <w:t>(Act s. 3(1))</w:t>
      </w:r>
      <w:bookmarkEnd w:id="89"/>
      <w:bookmarkEnd w:id="90"/>
      <w:bookmarkEnd w:id="91"/>
    </w:p>
    <w:p>
      <w:pPr>
        <w:pStyle w:val="Subsection"/>
        <w:keepNext/>
        <w:keepLines/>
        <w:rPr>
          <w:snapToGrid w:val="0"/>
        </w:rPr>
      </w:pPr>
      <w:r>
        <w:rPr>
          <w:snapToGrid w:val="0"/>
        </w:rPr>
        <w:tab/>
      </w:r>
      <w:r>
        <w:rPr>
          <w:snapToGrid w:val="0"/>
        </w:rPr>
        <w:tab/>
        <w:t xml:space="preserve">For the purposes of paragraph (a) of the definition of </w:t>
      </w:r>
      <w:r>
        <w:rPr>
          <w:b/>
          <w:bCs/>
          <w:i/>
          <w:iCs/>
          <w:snapToGrid w:val="0"/>
        </w:rPr>
        <w:t>liquor</w:t>
      </w:r>
      <w:r>
        <w:rPr>
          <w:snapToGrid w:val="0"/>
        </w:rPr>
        <w:t xml:space="preserve"> in section 3(1), 0.5% ethanol by volume is prescribed as the proportion of a beverage which at 20° C is liquor.</w:t>
      </w:r>
    </w:p>
    <w:p>
      <w:pPr>
        <w:pStyle w:val="Footnotesection"/>
        <w:keepLines w:val="0"/>
        <w:spacing w:before="80"/>
        <w:ind w:left="890" w:hanging="890"/>
      </w:pPr>
      <w:r>
        <w:tab/>
        <w:t>[Regulation 4AA inserted in Gazette 22 May 1998 p. 2940; amended in Gazette 6 Oct 1998 p. 5564; 1 May 2007 p. 1888.]</w:t>
      </w:r>
    </w:p>
    <w:p>
      <w:pPr>
        <w:pStyle w:val="Heading5"/>
        <w:rPr>
          <w:b w:val="0"/>
          <w:bCs/>
          <w:snapToGrid w:val="0"/>
        </w:rPr>
      </w:pPr>
      <w:bookmarkStart w:id="92" w:name="_Toc460808701"/>
      <w:bookmarkStart w:id="93" w:name="_Toc519934563"/>
      <w:bookmarkStart w:id="94" w:name="_Toc534780026"/>
      <w:bookmarkStart w:id="95" w:name="_Toc3352033"/>
      <w:bookmarkStart w:id="96" w:name="_Toc3352108"/>
      <w:bookmarkStart w:id="97" w:name="_Toc22966210"/>
      <w:bookmarkStart w:id="98" w:name="_Toc66263816"/>
      <w:bookmarkStart w:id="99" w:name="_Toc119294059"/>
      <w:bookmarkStart w:id="100" w:name="_Toc123633152"/>
      <w:bookmarkStart w:id="101" w:name="_Toc172713906"/>
      <w:bookmarkStart w:id="102" w:name="_Toc264018250"/>
      <w:bookmarkStart w:id="103" w:name="_Toc303323137"/>
      <w:bookmarkStart w:id="104" w:name="_Toc303926920"/>
      <w:r>
        <w:rPr>
          <w:rStyle w:val="CharSectno"/>
        </w:rPr>
        <w:t>4A</w:t>
      </w:r>
      <w:r>
        <w:rPr>
          <w:snapToGrid w:val="0"/>
        </w:rPr>
        <w:t>.</w:t>
      </w:r>
      <w:r>
        <w:rPr>
          <w:snapToGrid w:val="0"/>
        </w:rPr>
        <w:tab/>
        <w:t>Liquor — alcohol based food essence is prescribed substance</w:t>
      </w:r>
      <w:bookmarkEnd w:id="92"/>
      <w:bookmarkEnd w:id="93"/>
      <w:bookmarkEnd w:id="94"/>
      <w:bookmarkEnd w:id="95"/>
      <w:bookmarkEnd w:id="96"/>
      <w:bookmarkEnd w:id="97"/>
      <w:bookmarkEnd w:id="98"/>
      <w:bookmarkEnd w:id="99"/>
      <w:bookmarkEnd w:id="100"/>
      <w:bookmarkEnd w:id="101"/>
      <w:r>
        <w:rPr>
          <w:snapToGrid w:val="0"/>
        </w:rPr>
        <w:t xml:space="preserve"> </w:t>
      </w:r>
      <w:r>
        <w:t>(Act s. 3(1))</w:t>
      </w:r>
      <w:bookmarkEnd w:id="102"/>
      <w:bookmarkEnd w:id="103"/>
      <w:bookmarkEnd w:id="104"/>
    </w:p>
    <w:p>
      <w:pPr>
        <w:pStyle w:val="Subsection"/>
      </w:pPr>
      <w:r>
        <w:tab/>
        <w:t>(1)</w:t>
      </w:r>
      <w:r>
        <w:tab/>
        <w:t xml:space="preserve">The following substances are prescribed under paragraph (b) of the definition of </w:t>
      </w:r>
      <w:r>
        <w:rPr>
          <w:b/>
          <w:bCs/>
          <w:i/>
          <w:iCs/>
        </w:rPr>
        <w:t>liquor</w:t>
      </w:r>
      <w:r>
        <w:t xml:space="preserve"> in section 3(1) as being liquor for the purposes of the Act —</w:t>
      </w:r>
    </w:p>
    <w:p>
      <w:pPr>
        <w:pStyle w:val="Indenta"/>
      </w:pPr>
      <w:r>
        <w:tab/>
        <w:t>(a)</w:t>
      </w:r>
      <w:r>
        <w:tab/>
        <w:t>an alcohol based food essence that is sold by way of retail sale;</w:t>
      </w:r>
    </w:p>
    <w:p>
      <w:pPr>
        <w:pStyle w:val="Indenta"/>
        <w:rPr>
          <w:snapToGrid w:val="0"/>
        </w:rPr>
      </w:pPr>
      <w:r>
        <w:tab/>
        <w:t>(b)</w:t>
      </w:r>
      <w:r>
        <w:tab/>
        <w:t>an alcohol based novelty food item that is sold by way of retail sale.</w:t>
      </w:r>
    </w:p>
    <w:p>
      <w:pPr>
        <w:pStyle w:val="Subsection"/>
        <w:rPr>
          <w:snapToGrid w:val="0"/>
        </w:rPr>
      </w:pPr>
      <w:r>
        <w:rPr>
          <w:snapToGrid w:val="0"/>
        </w:rPr>
        <w:tab/>
        <w:t>(2)</w:t>
      </w:r>
      <w:r>
        <w:rPr>
          <w:snapToGrid w:val="0"/>
        </w:rPr>
        <w:tab/>
        <w:t>In subregulation (1) —</w:t>
      </w:r>
    </w:p>
    <w:p>
      <w:pPr>
        <w:pStyle w:val="Defstart"/>
      </w:pPr>
      <w:r>
        <w:rPr>
          <w:b/>
        </w:rPr>
        <w:tab/>
      </w:r>
      <w:r>
        <w:rPr>
          <w:rStyle w:val="CharDefText"/>
        </w:rPr>
        <w:t>alcohol based food essence</w:t>
      </w:r>
      <w:r>
        <w:t xml:space="preserve"> means a preparation of flavouring substance in liquid form with a concentration of ethanol exceeding 1.15% by volume in a container that has a volume exceeding —</w:t>
      </w:r>
    </w:p>
    <w:p>
      <w:pPr>
        <w:pStyle w:val="Defpara"/>
      </w:pPr>
      <w:r>
        <w:tab/>
        <w:t>(a)</w:t>
      </w:r>
      <w:r>
        <w:tab/>
        <w:t>100 ml, in the case of natural vanilla essence; or</w:t>
      </w:r>
    </w:p>
    <w:p>
      <w:pPr>
        <w:pStyle w:val="Defpara"/>
      </w:pPr>
      <w:r>
        <w:tab/>
        <w:t>(b)</w:t>
      </w:r>
      <w:r>
        <w:tab/>
        <w:t>50 ml, in any other case;</w:t>
      </w:r>
    </w:p>
    <w:p>
      <w:pPr>
        <w:pStyle w:val="Defstart"/>
      </w:pPr>
      <w:r>
        <w:tab/>
      </w:r>
      <w:r>
        <w:rPr>
          <w:rStyle w:val="CharDefText"/>
        </w:rPr>
        <w:t>alcohol based novelty food item</w:t>
      </w:r>
      <w:r>
        <w:t xml:space="preserve"> means a food item or ice confection which contains more than 0.5% ethanol by volume and is modelled on children’s food stuff, including but not limited to, lollipops, ice</w:t>
      </w:r>
      <w:r>
        <w:noBreakHyphen/>
        <w:t>creams, or jellies;</w:t>
      </w:r>
    </w:p>
    <w:p>
      <w:pPr>
        <w:pStyle w:val="Defstart"/>
      </w:pPr>
      <w:r>
        <w:rPr>
          <w:b/>
        </w:rPr>
        <w:tab/>
      </w:r>
      <w:r>
        <w:rPr>
          <w:rStyle w:val="CharDefText"/>
        </w:rPr>
        <w:t>retail sale</w:t>
      </w:r>
      <w:r>
        <w:t xml:space="preserve"> has the meaning given in the </w:t>
      </w:r>
      <w:r>
        <w:rPr>
          <w:i/>
        </w:rPr>
        <w:t>Retail Trading Hours Act 1987</w:t>
      </w:r>
      <w:r>
        <w:t>.</w:t>
      </w:r>
    </w:p>
    <w:p>
      <w:pPr>
        <w:pStyle w:val="Footnotesection"/>
      </w:pPr>
      <w:r>
        <w:tab/>
        <w:t>[Regulation 4A inserted in Gazette 23 Sep 1994 p. 4901; amended in Gazette 30 Dec 1994 p. 7329; 26 Nov 1996 p. 6629; 30 Apr 1999 p. 1820</w:t>
      </w:r>
      <w:r>
        <w:noBreakHyphen/>
        <w:t>1.]</w:t>
      </w:r>
    </w:p>
    <w:p>
      <w:pPr>
        <w:pStyle w:val="Heading5"/>
      </w:pPr>
      <w:bookmarkStart w:id="105" w:name="_Toc119294060"/>
      <w:bookmarkStart w:id="106" w:name="_Toc123633153"/>
      <w:bookmarkStart w:id="107" w:name="_Toc172713907"/>
      <w:bookmarkStart w:id="108" w:name="_Toc264018251"/>
      <w:bookmarkStart w:id="109" w:name="_Toc303323138"/>
      <w:bookmarkStart w:id="110" w:name="_Toc303926921"/>
      <w:bookmarkStart w:id="111" w:name="_Toc460808702"/>
      <w:bookmarkStart w:id="112" w:name="_Toc519934564"/>
      <w:bookmarkStart w:id="113" w:name="_Toc534780027"/>
      <w:bookmarkStart w:id="114" w:name="_Toc3352034"/>
      <w:bookmarkStart w:id="115" w:name="_Toc3352109"/>
      <w:bookmarkStart w:id="116" w:name="_Toc22966211"/>
      <w:bookmarkStart w:id="117" w:name="_Toc66263817"/>
      <w:r>
        <w:rPr>
          <w:rStyle w:val="CharSectno"/>
        </w:rPr>
        <w:t>4AB</w:t>
      </w:r>
      <w:r>
        <w:t>.</w:t>
      </w:r>
      <w:r>
        <w:tab/>
        <w:t>Liquor — mist of gas and liquid (containing ethanol) is a prescribed substance</w:t>
      </w:r>
      <w:bookmarkEnd w:id="105"/>
      <w:bookmarkEnd w:id="106"/>
      <w:bookmarkEnd w:id="107"/>
      <w:r>
        <w:t xml:space="preserve"> (Act s. 3(1))</w:t>
      </w:r>
      <w:bookmarkEnd w:id="108"/>
      <w:bookmarkEnd w:id="109"/>
      <w:bookmarkEnd w:id="110"/>
    </w:p>
    <w:p>
      <w:pPr>
        <w:pStyle w:val="Subsection"/>
      </w:pPr>
      <w:r>
        <w:tab/>
      </w:r>
      <w:r>
        <w:tab/>
        <w:t xml:space="preserve">For the purposes of paragraph (b) of the definition of </w:t>
      </w:r>
      <w:r>
        <w:rPr>
          <w:b/>
          <w:bCs/>
          <w:i/>
          <w:iCs/>
        </w:rPr>
        <w:t>liquor</w:t>
      </w:r>
      <w:r>
        <w:t xml:space="preserve"> in section 3(1), a substance that is a mist made up of —</w:t>
      </w:r>
    </w:p>
    <w:p>
      <w:pPr>
        <w:pStyle w:val="Indenta"/>
      </w:pPr>
      <w:r>
        <w:tab/>
        <w:t>(a)</w:t>
      </w:r>
      <w:r>
        <w:tab/>
        <w:t>a gas; and</w:t>
      </w:r>
    </w:p>
    <w:p>
      <w:pPr>
        <w:pStyle w:val="Indenta"/>
      </w:pPr>
      <w:r>
        <w:tab/>
        <w:t>(b)</w:t>
      </w:r>
      <w:r>
        <w:tab/>
        <w:t>droplets of a liquid that at 20° Celsius contains more than 0.5% ethanol by volume,</w:t>
      </w:r>
    </w:p>
    <w:p>
      <w:pPr>
        <w:pStyle w:val="Subsection"/>
      </w:pPr>
      <w:r>
        <w:tab/>
      </w:r>
      <w:r>
        <w:tab/>
        <w:t>is prescribed as being liquor.</w:t>
      </w:r>
    </w:p>
    <w:p>
      <w:pPr>
        <w:pStyle w:val="Footnotesection"/>
      </w:pPr>
      <w:r>
        <w:tab/>
        <w:t>[Regulation 4AB inserted in Gazette 11 Jan 2005 p. 98</w:t>
      </w:r>
      <w:r>
        <w:noBreakHyphen/>
        <w:t>9; amended in Gazette 1 May 2007 p. 1888</w:t>
      </w:r>
      <w:r>
        <w:noBreakHyphen/>
        <w:t>9.]</w:t>
      </w:r>
    </w:p>
    <w:p>
      <w:pPr>
        <w:pStyle w:val="Heading5"/>
        <w:rPr>
          <w:b w:val="0"/>
          <w:bCs/>
        </w:rPr>
      </w:pPr>
      <w:bookmarkStart w:id="118" w:name="_Toc119294061"/>
      <w:bookmarkStart w:id="119" w:name="_Toc123633154"/>
      <w:bookmarkStart w:id="120" w:name="_Toc172713908"/>
      <w:bookmarkStart w:id="121" w:name="_Toc264018252"/>
      <w:bookmarkStart w:id="122" w:name="_Toc303323139"/>
      <w:bookmarkStart w:id="123" w:name="_Toc303926922"/>
      <w:r>
        <w:rPr>
          <w:rStyle w:val="CharSectno"/>
        </w:rPr>
        <w:t>4AC</w:t>
      </w:r>
      <w:r>
        <w:t>.</w:t>
      </w:r>
      <w:r>
        <w:tab/>
        <w:t>Liquor — liquid containing ethanol and sold in aerosol container is a prescribed substance</w:t>
      </w:r>
      <w:bookmarkEnd w:id="118"/>
      <w:bookmarkEnd w:id="119"/>
      <w:bookmarkEnd w:id="120"/>
      <w:r>
        <w:t xml:space="preserve"> (Act s. 3(1))</w:t>
      </w:r>
      <w:bookmarkEnd w:id="121"/>
      <w:bookmarkEnd w:id="122"/>
      <w:bookmarkEnd w:id="123"/>
    </w:p>
    <w:p>
      <w:pPr>
        <w:pStyle w:val="Subsection"/>
      </w:pPr>
      <w:r>
        <w:tab/>
      </w:r>
      <w:r>
        <w:tab/>
        <w:t xml:space="preserve">For the purposes of paragraph (b) of the definition of </w:t>
      </w:r>
      <w:r>
        <w:rPr>
          <w:b/>
          <w:bCs/>
          <w:i/>
          <w:iCs/>
        </w:rPr>
        <w:t>liquor</w:t>
      </w:r>
      <w:r>
        <w:t xml:space="preserve"> in section 3(1), a substance that —</w:t>
      </w:r>
    </w:p>
    <w:p>
      <w:pPr>
        <w:pStyle w:val="Indenta"/>
      </w:pPr>
      <w:r>
        <w:tab/>
        <w:t>(a)</w:t>
      </w:r>
      <w:r>
        <w:tab/>
        <w:t>is sold in an aerosol container; and</w:t>
      </w:r>
    </w:p>
    <w:p>
      <w:pPr>
        <w:pStyle w:val="Indenta"/>
      </w:pPr>
      <w:r>
        <w:tab/>
        <w:t>(b)</w:t>
      </w:r>
      <w:r>
        <w:tab/>
        <w:t>is intended to be inhaled by humans; and</w:t>
      </w:r>
    </w:p>
    <w:p>
      <w:pPr>
        <w:pStyle w:val="Indenta"/>
      </w:pPr>
      <w:r>
        <w:tab/>
        <w:t>(c)</w:t>
      </w:r>
      <w:r>
        <w:tab/>
        <w:t>at 20° Celsius contains more than 0.5% ethanol by volume,</w:t>
      </w:r>
    </w:p>
    <w:p>
      <w:pPr>
        <w:pStyle w:val="Subsection"/>
      </w:pPr>
      <w:r>
        <w:tab/>
      </w:r>
      <w:r>
        <w:tab/>
        <w:t>is prescribed as being liquor.</w:t>
      </w:r>
    </w:p>
    <w:p>
      <w:pPr>
        <w:pStyle w:val="Footnotesection"/>
      </w:pPr>
      <w:r>
        <w:tab/>
        <w:t>[Regulation 4AC inserted in Gazette 11 Jan 2005 p. 99; amended in Gazette 1 May 2007 p. 1888</w:t>
      </w:r>
      <w:r>
        <w:noBreakHyphen/>
        <w:t>9.]</w:t>
      </w:r>
    </w:p>
    <w:p>
      <w:pPr>
        <w:pStyle w:val="Heading5"/>
        <w:rPr>
          <w:snapToGrid w:val="0"/>
        </w:rPr>
      </w:pPr>
      <w:bookmarkStart w:id="124" w:name="_Toc119294062"/>
      <w:bookmarkStart w:id="125" w:name="_Toc123633155"/>
      <w:bookmarkStart w:id="126" w:name="_Toc172713909"/>
      <w:bookmarkStart w:id="127" w:name="_Toc264018253"/>
      <w:bookmarkStart w:id="128" w:name="_Toc303323140"/>
      <w:bookmarkStart w:id="129" w:name="_Toc303926923"/>
      <w:r>
        <w:rPr>
          <w:rStyle w:val="CharSectno"/>
        </w:rPr>
        <w:t>5</w:t>
      </w:r>
      <w:r>
        <w:rPr>
          <w:snapToGrid w:val="0"/>
        </w:rPr>
        <w:t>.</w:t>
      </w:r>
      <w:r>
        <w:rPr>
          <w:snapToGrid w:val="0"/>
        </w:rPr>
        <w:tab/>
      </w:r>
      <w:r>
        <w:t>Record</w:t>
      </w:r>
      <w:r>
        <w:rPr>
          <w:snapToGrid w:val="0"/>
        </w:rPr>
        <w:t xml:space="preserve"> (Act s. 3</w:t>
      </w:r>
      <w:bookmarkEnd w:id="111"/>
      <w:bookmarkEnd w:id="112"/>
      <w:bookmarkEnd w:id="113"/>
      <w:bookmarkEnd w:id="114"/>
      <w:bookmarkEnd w:id="115"/>
      <w:bookmarkEnd w:id="116"/>
      <w:bookmarkEnd w:id="117"/>
      <w:bookmarkEnd w:id="124"/>
      <w:bookmarkEnd w:id="125"/>
      <w:bookmarkEnd w:id="126"/>
      <w:r>
        <w:rPr>
          <w:snapToGrid w:val="0"/>
        </w:rPr>
        <w:t>(1))</w:t>
      </w:r>
      <w:bookmarkEnd w:id="127"/>
      <w:bookmarkEnd w:id="128"/>
      <w:bookmarkEnd w:id="129"/>
    </w:p>
    <w:p>
      <w:pPr>
        <w:pStyle w:val="Subsection"/>
        <w:keepNext/>
        <w:keepLines/>
        <w:rPr>
          <w:snapToGrid w:val="0"/>
        </w:rPr>
      </w:pPr>
      <w:r>
        <w:rPr>
          <w:snapToGrid w:val="0"/>
        </w:rPr>
        <w:tab/>
        <w:t>(1)</w:t>
      </w:r>
      <w:r>
        <w:rPr>
          <w:snapToGrid w:val="0"/>
        </w:rPr>
        <w:tab/>
        <w:t xml:space="preserve">For the purposes of the interpretation of the expression </w:t>
      </w:r>
      <w:r>
        <w:rPr>
          <w:b/>
          <w:bCs/>
          <w:i/>
          <w:iCs/>
          <w:snapToGrid w:val="0"/>
        </w:rPr>
        <w:t xml:space="preserve">record </w:t>
      </w:r>
      <w:r>
        <w:rPr>
          <w:snapToGrid w:val="0"/>
        </w:rPr>
        <w:t>in section 3(1) the following sources of information are prescribed —</w:t>
      </w:r>
    </w:p>
    <w:p>
      <w:pPr>
        <w:pStyle w:val="Indenta"/>
        <w:rPr>
          <w:snapToGrid w:val="0"/>
        </w:rPr>
      </w:pPr>
      <w:r>
        <w:rPr>
          <w:snapToGrid w:val="0"/>
        </w:rPr>
        <w:tab/>
        <w:t>(a)</w:t>
      </w:r>
      <w:r>
        <w:rPr>
          <w:snapToGrid w:val="0"/>
        </w:rPr>
        <w:tab/>
        <w:t>in respect of any transaction involving the sale or purchase of liquor, the original, or a true copy, of any order form, invoice, delivery docket or advice, or other record or document which evidences the sale or purchase and which is supplied, or to be supplied, to or by the licensee;</w:t>
      </w:r>
    </w:p>
    <w:p>
      <w:pPr>
        <w:pStyle w:val="Indenta"/>
        <w:rPr>
          <w:snapToGrid w:val="0"/>
        </w:rPr>
      </w:pPr>
      <w:r>
        <w:rPr>
          <w:snapToGrid w:val="0"/>
        </w:rPr>
        <w:tab/>
        <w:t>(b)</w:t>
      </w:r>
      <w:r>
        <w:rPr>
          <w:snapToGrid w:val="0"/>
        </w:rPr>
        <w:tab/>
        <w:t>in respect of any transaction involving the sale or purchase of liquor, the original or a true copy of —</w:t>
      </w:r>
    </w:p>
    <w:p>
      <w:pPr>
        <w:pStyle w:val="Indenti"/>
        <w:rPr>
          <w:snapToGrid w:val="0"/>
        </w:rPr>
      </w:pPr>
      <w:r>
        <w:rPr>
          <w:snapToGrid w:val="0"/>
        </w:rPr>
        <w:tab/>
        <w:t>(i)</w:t>
      </w:r>
      <w:r>
        <w:rPr>
          <w:snapToGrid w:val="0"/>
        </w:rPr>
        <w:tab/>
        <w:t>any deposit slip or statement, lodged with or issued by a bank or other financial institution by or to the licensee, which records the deposit or withdrawal of moneys received or paid by the licensee in respect of the transaction;</w:t>
      </w:r>
    </w:p>
    <w:p>
      <w:pPr>
        <w:pStyle w:val="Indenti"/>
        <w:rPr>
          <w:snapToGrid w:val="0"/>
        </w:rPr>
      </w:pPr>
      <w:r>
        <w:rPr>
          <w:snapToGrid w:val="0"/>
        </w:rPr>
        <w:tab/>
        <w:t>(ii)</w:t>
      </w:r>
      <w:r>
        <w:rPr>
          <w:snapToGrid w:val="0"/>
        </w:rPr>
        <w:tab/>
        <w:t>any cheque butt or counterfoil of the licensee, indicating the name of the payee, a cheque number or other reference number, the amount paid by the cheque, and the date of the payment;</w:t>
      </w:r>
    </w:p>
    <w:p>
      <w:pPr>
        <w:pStyle w:val="Indenti"/>
        <w:keepNext/>
        <w:rPr>
          <w:snapToGrid w:val="0"/>
        </w:rPr>
      </w:pPr>
      <w:r>
        <w:rPr>
          <w:snapToGrid w:val="0"/>
        </w:rPr>
        <w:tab/>
        <w:t>(iii)</w:t>
      </w:r>
      <w:r>
        <w:rPr>
          <w:snapToGrid w:val="0"/>
        </w:rPr>
        <w:tab/>
        <w:t>any document supplied to the licensee in relation to the movement of liquor to or from, or the storage of liquor in, premises which are —</w:t>
      </w:r>
    </w:p>
    <w:p>
      <w:pPr>
        <w:pStyle w:val="IndentI0"/>
        <w:rPr>
          <w:snapToGrid w:val="0"/>
        </w:rPr>
      </w:pPr>
      <w:r>
        <w:rPr>
          <w:snapToGrid w:val="0"/>
        </w:rPr>
        <w:tab/>
        <w:t>(A)</w:t>
      </w:r>
      <w:r>
        <w:rPr>
          <w:snapToGrid w:val="0"/>
        </w:rPr>
        <w:tab/>
        <w:t xml:space="preserve">the subject of a warehouse licence under the </w:t>
      </w:r>
      <w:r>
        <w:rPr>
          <w:i/>
          <w:snapToGrid w:val="0"/>
        </w:rPr>
        <w:t>Customs Act 1901</w:t>
      </w:r>
      <w:r>
        <w:rPr>
          <w:snapToGrid w:val="0"/>
        </w:rPr>
        <w:t>; or</w:t>
      </w:r>
    </w:p>
    <w:p>
      <w:pPr>
        <w:pStyle w:val="IndentI0"/>
        <w:rPr>
          <w:snapToGrid w:val="0"/>
        </w:rPr>
      </w:pPr>
      <w:r>
        <w:rPr>
          <w:snapToGrid w:val="0"/>
        </w:rPr>
        <w:tab/>
        <w:t>(B)</w:t>
      </w:r>
      <w:r>
        <w:rPr>
          <w:snapToGrid w:val="0"/>
        </w:rPr>
        <w:tab/>
        <w:t xml:space="preserve">an approved place under 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(iv)</w:t>
      </w:r>
      <w:r>
        <w:rPr>
          <w:snapToGrid w:val="0"/>
        </w:rPr>
        <w:tab/>
        <w:t>any return or other document which the licensee is required to complete or submit pursuant to —</w:t>
      </w:r>
    </w:p>
    <w:p>
      <w:pPr>
        <w:pStyle w:val="IndentI0"/>
        <w:rPr>
          <w:snapToGrid w:val="0"/>
        </w:rPr>
      </w:pPr>
      <w:r>
        <w:rPr>
          <w:snapToGrid w:val="0"/>
        </w:rPr>
        <w:tab/>
        <w:t>(A)</w:t>
      </w:r>
      <w:r>
        <w:rPr>
          <w:snapToGrid w:val="0"/>
        </w:rPr>
        <w:tab/>
        <w:t xml:space="preserve">the </w:t>
      </w:r>
      <w:r>
        <w:rPr>
          <w:i/>
          <w:snapToGrid w:val="0"/>
        </w:rPr>
        <w:t>Sales Tax Assessment Act (No. 1) 1930 </w:t>
      </w:r>
      <w:r>
        <w:rPr>
          <w:iCs/>
          <w:snapToGrid w:val="0"/>
          <w:vertAlign w:val="superscript"/>
        </w:rPr>
        <w:t>3</w:t>
      </w:r>
      <w:r>
        <w:rPr>
          <w:snapToGrid w:val="0"/>
        </w:rPr>
        <w:t>; or</w:t>
      </w:r>
    </w:p>
    <w:p>
      <w:pPr>
        <w:pStyle w:val="IndentI0"/>
        <w:rPr>
          <w:snapToGrid w:val="0"/>
        </w:rPr>
      </w:pPr>
      <w:r>
        <w:rPr>
          <w:snapToGrid w:val="0"/>
        </w:rPr>
        <w:tab/>
        <w:t>(B)</w:t>
      </w:r>
      <w:r>
        <w:rPr>
          <w:snapToGrid w:val="0"/>
        </w:rPr>
        <w:tab/>
        <w:t xml:space="preserve">the </w:t>
      </w:r>
      <w:r>
        <w:rPr>
          <w:i/>
          <w:snapToGrid w:val="0"/>
        </w:rPr>
        <w:t>Customs Act 1901</w:t>
      </w:r>
      <w:r>
        <w:rPr>
          <w:snapToGrid w:val="0"/>
        </w:rPr>
        <w:t>; or</w:t>
      </w:r>
    </w:p>
    <w:p>
      <w:pPr>
        <w:pStyle w:val="IndentI0"/>
        <w:rPr>
          <w:snapToGrid w:val="0"/>
        </w:rPr>
      </w:pPr>
      <w:r>
        <w:rPr>
          <w:snapToGrid w:val="0"/>
        </w:rPr>
        <w:tab/>
        <w:t>(C)</w:t>
      </w:r>
      <w:r>
        <w:rPr>
          <w:snapToGrid w:val="0"/>
        </w:rPr>
        <w:tab/>
        <w:t xml:space="preserve">the </w:t>
      </w:r>
      <w:r>
        <w:rPr>
          <w:i/>
          <w:snapToGrid w:val="0"/>
        </w:rPr>
        <w:t>Excise Act 1901</w:t>
      </w:r>
      <w:r>
        <w:rPr>
          <w:snapToGrid w:val="0"/>
        </w:rPr>
        <w:t>,</w:t>
      </w:r>
    </w:p>
    <w:p>
      <w:pPr>
        <w:pStyle w:val="Indenti"/>
        <w:rPr>
          <w:snapToGrid w:val="0"/>
        </w:rPr>
      </w:pPr>
      <w:r>
        <w:rPr>
          <w:snapToGrid w:val="0"/>
        </w:rPr>
        <w:tab/>
      </w:r>
      <w:r>
        <w:rPr>
          <w:snapToGrid w:val="0"/>
        </w:rPr>
        <w:tab/>
        <w:t>of the Commonwealth;</w:t>
      </w:r>
    </w:p>
    <w:p>
      <w:pPr>
        <w:pStyle w:val="Indenti"/>
        <w:rPr>
          <w:snapToGrid w:val="0"/>
        </w:rPr>
      </w:pPr>
      <w:r>
        <w:rPr>
          <w:snapToGrid w:val="0"/>
        </w:rPr>
        <w:tab/>
        <w:t>(v)</w:t>
      </w:r>
      <w:r>
        <w:rPr>
          <w:snapToGrid w:val="0"/>
        </w:rPr>
        <w:tab/>
        <w:t>any other journal, document or other record which evidences —</w:t>
      </w:r>
    </w:p>
    <w:p>
      <w:pPr>
        <w:pStyle w:val="IndentI0"/>
        <w:rPr>
          <w:snapToGrid w:val="0"/>
        </w:rPr>
      </w:pPr>
      <w:r>
        <w:rPr>
          <w:snapToGrid w:val="0"/>
        </w:rPr>
        <w:tab/>
        <w:t>(A)</w:t>
      </w:r>
      <w:r>
        <w:rPr>
          <w:snapToGrid w:val="0"/>
        </w:rPr>
        <w:tab/>
        <w:t>the sale or purchase of liquor by the licensee; or</w:t>
      </w:r>
    </w:p>
    <w:p>
      <w:pPr>
        <w:pStyle w:val="IndentI0"/>
        <w:rPr>
          <w:snapToGrid w:val="0"/>
        </w:rPr>
      </w:pPr>
      <w:r>
        <w:rPr>
          <w:snapToGrid w:val="0"/>
        </w:rPr>
        <w:tab/>
        <w:t>(B)</w:t>
      </w:r>
      <w:r>
        <w:rPr>
          <w:snapToGrid w:val="0"/>
        </w:rPr>
        <w:tab/>
        <w:t>any other transaction involving liquor to which the licensee is a party; or</w:t>
      </w:r>
    </w:p>
    <w:p>
      <w:pPr>
        <w:pStyle w:val="IndentI0"/>
        <w:rPr>
          <w:snapToGrid w:val="0"/>
        </w:rPr>
      </w:pPr>
      <w:r>
        <w:rPr>
          <w:snapToGrid w:val="0"/>
        </w:rPr>
        <w:tab/>
        <w:t>(C)</w:t>
      </w:r>
      <w:r>
        <w:rPr>
          <w:snapToGrid w:val="0"/>
        </w:rPr>
        <w:tab/>
        <w:t>the delivery, transport or other movement of liquor.</w:t>
      </w:r>
    </w:p>
    <w:p>
      <w:pPr>
        <w:pStyle w:val="Subsection"/>
        <w:rPr>
          <w:snapToGrid w:val="0"/>
        </w:rPr>
      </w:pPr>
      <w:r>
        <w:rPr>
          <w:snapToGrid w:val="0"/>
        </w:rPr>
        <w:tab/>
        <w:t>(2)</w:t>
      </w:r>
      <w:r>
        <w:rPr>
          <w:snapToGrid w:val="0"/>
        </w:rPr>
        <w:tab/>
        <w:t>For the purposes of this regulation, a reference —</w:t>
      </w:r>
    </w:p>
    <w:p>
      <w:pPr>
        <w:pStyle w:val="Indenta"/>
        <w:rPr>
          <w:snapToGrid w:val="0"/>
        </w:rPr>
      </w:pPr>
      <w:r>
        <w:rPr>
          <w:snapToGrid w:val="0"/>
        </w:rPr>
        <w:tab/>
        <w:t>(a)</w:t>
      </w:r>
      <w:r>
        <w:rPr>
          <w:snapToGrid w:val="0"/>
        </w:rPr>
        <w:tab/>
        <w:t xml:space="preserve">to a </w:t>
      </w:r>
      <w:r>
        <w:rPr>
          <w:rStyle w:val="CharDefText"/>
        </w:rPr>
        <w:t>sale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disposal of liquor; and</w:t>
      </w:r>
    </w:p>
    <w:p>
      <w:pPr>
        <w:pStyle w:val="Indenta"/>
        <w:rPr>
          <w:snapToGrid w:val="0"/>
        </w:rPr>
      </w:pPr>
      <w:r>
        <w:rPr>
          <w:snapToGrid w:val="0"/>
        </w:rPr>
        <w:tab/>
        <w:t>(b)</w:t>
      </w:r>
      <w:r>
        <w:rPr>
          <w:snapToGrid w:val="0"/>
        </w:rPr>
        <w:tab/>
        <w:t xml:space="preserve">to a </w:t>
      </w:r>
      <w:r>
        <w:rPr>
          <w:rStyle w:val="CharDefText"/>
        </w:rPr>
        <w:t>purchase</w:t>
      </w:r>
      <w:r>
        <w:rPr>
          <w:snapToGrid w:val="0"/>
        </w:rPr>
        <w:t xml:space="preserve">, shall be construed having regard to the interpretation of the expression </w:t>
      </w:r>
      <w:r>
        <w:rPr>
          <w:b/>
          <w:bCs/>
          <w:i/>
          <w:iCs/>
          <w:snapToGrid w:val="0"/>
        </w:rPr>
        <w:t>sell</w:t>
      </w:r>
      <w:r>
        <w:rPr>
          <w:snapToGrid w:val="0"/>
        </w:rPr>
        <w:t xml:space="preserve"> in section 3(1) and to the requirement of section 145(1) that the record include transactions involving any other acquisition of liquor.</w:t>
      </w:r>
    </w:p>
    <w:p>
      <w:pPr>
        <w:pStyle w:val="Footnotesection"/>
        <w:ind w:left="890" w:hanging="890"/>
      </w:pPr>
      <w:r>
        <w:tab/>
        <w:t>[Regulation 5 amended in Gazette 30 Jan 1998 p. 562.]</w:t>
      </w:r>
    </w:p>
    <w:p>
      <w:pPr>
        <w:pStyle w:val="Heading5"/>
      </w:pPr>
      <w:bookmarkStart w:id="130" w:name="_Toc172713910"/>
      <w:bookmarkStart w:id="131" w:name="_Toc264018254"/>
      <w:bookmarkStart w:id="132" w:name="_Toc303323141"/>
      <w:bookmarkStart w:id="133" w:name="_Toc303926924"/>
      <w:bookmarkStart w:id="134" w:name="_Toc66263818"/>
      <w:bookmarkStart w:id="135" w:name="_Toc119294063"/>
      <w:bookmarkStart w:id="136" w:name="_Toc123633156"/>
      <w:bookmarkStart w:id="137" w:name="_Toc460808704"/>
      <w:bookmarkStart w:id="138" w:name="_Toc519934566"/>
      <w:bookmarkStart w:id="139" w:name="_Toc534780029"/>
      <w:bookmarkStart w:id="140" w:name="_Toc3352036"/>
      <w:bookmarkStart w:id="141" w:name="_Toc3352111"/>
      <w:bookmarkStart w:id="142" w:name="_Toc22966213"/>
      <w:r>
        <w:rPr>
          <w:rStyle w:val="CharSectno"/>
        </w:rPr>
        <w:t>5A</w:t>
      </w:r>
      <w:r>
        <w:t>.</w:t>
      </w:r>
      <w:r>
        <w:tab/>
        <w:t xml:space="preserve">Sample </w:t>
      </w:r>
      <w:r>
        <w:rPr>
          <w:snapToGrid w:val="0"/>
        </w:rPr>
        <w:t>(Act s.</w:t>
      </w:r>
      <w:r>
        <w:t> 3(1)</w:t>
      </w:r>
      <w:bookmarkEnd w:id="130"/>
      <w:r>
        <w:t>)</w:t>
      </w:r>
      <w:bookmarkEnd w:id="131"/>
      <w:bookmarkEnd w:id="132"/>
      <w:bookmarkEnd w:id="133"/>
    </w:p>
    <w:p>
      <w:pPr>
        <w:pStyle w:val="Subsection"/>
      </w:pPr>
      <w:r>
        <w:tab/>
      </w:r>
      <w:r>
        <w:tab/>
        <w:t xml:space="preserve">For the purposes of the definition of </w:t>
      </w:r>
      <w:r>
        <w:rPr>
          <w:b/>
          <w:bCs/>
          <w:i/>
          <w:iCs/>
        </w:rPr>
        <w:t>sample</w:t>
      </w:r>
      <w:r>
        <w:t xml:space="preserve"> in section 3(1) —</w:t>
      </w:r>
    </w:p>
    <w:p>
      <w:pPr>
        <w:pStyle w:val="Indenta"/>
      </w:pPr>
      <w:r>
        <w:tab/>
        <w:t>(a)</w:t>
      </w:r>
      <w:r>
        <w:tab/>
        <w:t>the prescribed quantity of beer is 100 ml; and</w:t>
      </w:r>
    </w:p>
    <w:p>
      <w:pPr>
        <w:pStyle w:val="Indenta"/>
      </w:pPr>
      <w:r>
        <w:tab/>
        <w:t>(b)</w:t>
      </w:r>
      <w:r>
        <w:tab/>
        <w:t>the prescribed quantity of wine is 50 ml; and</w:t>
      </w:r>
    </w:p>
    <w:p>
      <w:pPr>
        <w:pStyle w:val="Indenta"/>
      </w:pPr>
      <w:r>
        <w:tab/>
        <w:t>(c)</w:t>
      </w:r>
      <w:r>
        <w:tab/>
        <w:t>the prescribed quantity of spirits is 15 ml.</w:t>
      </w:r>
    </w:p>
    <w:p>
      <w:pPr>
        <w:pStyle w:val="Footnotesection"/>
        <w:ind w:left="890" w:hanging="890"/>
      </w:pPr>
      <w:r>
        <w:tab/>
        <w:t>[Regulation 5A amended in Gazette 1 May 2007 p. 1865.]</w:t>
      </w:r>
    </w:p>
    <w:p>
      <w:pPr>
        <w:pStyle w:val="Heading5"/>
      </w:pPr>
      <w:bookmarkStart w:id="143" w:name="_Toc172713911"/>
      <w:bookmarkStart w:id="144" w:name="_Toc264018255"/>
      <w:bookmarkStart w:id="145" w:name="_Toc303323142"/>
      <w:bookmarkStart w:id="146" w:name="_Toc303926925"/>
      <w:r>
        <w:rPr>
          <w:rStyle w:val="CharSectno"/>
        </w:rPr>
        <w:t>5B</w:t>
      </w:r>
      <w:r>
        <w:t>.</w:t>
      </w:r>
      <w:r>
        <w:tab/>
        <w:t xml:space="preserve">Persons who occupy positions of authority in body corporate </w:t>
      </w:r>
      <w:r>
        <w:rPr>
          <w:snapToGrid w:val="0"/>
        </w:rPr>
        <w:t>(Act s.</w:t>
      </w:r>
      <w:r>
        <w:t> 3(4)(d)</w:t>
      </w:r>
      <w:bookmarkEnd w:id="143"/>
      <w:r>
        <w:t>)</w:t>
      </w:r>
      <w:bookmarkEnd w:id="144"/>
      <w:bookmarkEnd w:id="145"/>
      <w:bookmarkEnd w:id="146"/>
    </w:p>
    <w:p>
      <w:pPr>
        <w:pStyle w:val="Subsection"/>
      </w:pPr>
      <w:r>
        <w:tab/>
        <w:t>(1)</w:t>
      </w:r>
      <w:r>
        <w:tab/>
        <w:t>This regulation has effect for the purposes of section 3(4)(d).</w:t>
      </w:r>
    </w:p>
    <w:p>
      <w:pPr>
        <w:pStyle w:val="Subsection"/>
      </w:pPr>
      <w:r>
        <w:tab/>
        <w:t>(2)</w:t>
      </w:r>
      <w:r>
        <w:tab/>
        <w:t xml:space="preserve">A person occupies a position of authority in a body corporate that is a proprietary company (the </w:t>
      </w:r>
      <w:r>
        <w:rPr>
          <w:rStyle w:val="CharDefText"/>
        </w:rPr>
        <w:t>relevant body corporate</w:t>
      </w:r>
      <w:r>
        <w:t>) if the person is —</w:t>
      </w:r>
    </w:p>
    <w:p>
      <w:pPr>
        <w:pStyle w:val="Indenta"/>
      </w:pPr>
      <w:r>
        <w:tab/>
        <w:t>(a)</w:t>
      </w:r>
      <w:r>
        <w:tab/>
        <w:t xml:space="preserve">an ultimate holding company (as defined in the Commonwealth </w:t>
      </w:r>
      <w:r>
        <w:rPr>
          <w:i/>
          <w:iCs/>
        </w:rPr>
        <w:t xml:space="preserve">Corporations Act 2001 </w:t>
      </w:r>
      <w:r>
        <w:t>section 9) in relation to the relevant body corporate; or</w:t>
      </w:r>
    </w:p>
    <w:p>
      <w:pPr>
        <w:pStyle w:val="Indenta"/>
      </w:pPr>
      <w:r>
        <w:tab/>
        <w:t>(b)</w:t>
      </w:r>
      <w:r>
        <w:tab/>
        <w:t>a director of the ultimate holding company; or</w:t>
      </w:r>
    </w:p>
    <w:p>
      <w:pPr>
        <w:pStyle w:val="Indenta"/>
      </w:pPr>
      <w:r>
        <w:tab/>
        <w:t>(c)</w:t>
      </w:r>
      <w:r>
        <w:tab/>
        <w:t>if the ultimate holding company is a proprietary company, a director of or shareholder in the ultimate holding company.</w:t>
      </w:r>
    </w:p>
    <w:p>
      <w:pPr>
        <w:pStyle w:val="Subsection"/>
      </w:pPr>
      <w:r>
        <w:tab/>
        <w:t>(3)</w:t>
      </w:r>
      <w:r>
        <w:tab/>
        <w:t xml:space="preserve">A person occupies a position of authority in a body corporate that is a proprietary company (the </w:t>
      </w:r>
      <w:r>
        <w:rPr>
          <w:rStyle w:val="CharDefText"/>
        </w:rPr>
        <w:t>relevant body corporate</w:t>
      </w:r>
      <w:r>
        <w:t>) if —</w:t>
      </w:r>
    </w:p>
    <w:p>
      <w:pPr>
        <w:pStyle w:val="Indenta"/>
      </w:pPr>
      <w:r>
        <w:tab/>
        <w:t>(a)</w:t>
      </w:r>
      <w:r>
        <w:tab/>
        <w:t>the person is —</w:t>
      </w:r>
    </w:p>
    <w:p>
      <w:pPr>
        <w:pStyle w:val="Indenti"/>
      </w:pPr>
      <w:r>
        <w:tab/>
        <w:t>(i)</w:t>
      </w:r>
      <w:r>
        <w:tab/>
        <w:t>a director of a body corporate; or</w:t>
      </w:r>
    </w:p>
    <w:p>
      <w:pPr>
        <w:pStyle w:val="Indenti"/>
      </w:pPr>
      <w:r>
        <w:tab/>
        <w:t>(ii)</w:t>
      </w:r>
      <w:r>
        <w:tab/>
        <w:t>a director of or shareholder in a body corporate that is a proprietary company;</w:t>
      </w:r>
    </w:p>
    <w:p>
      <w:pPr>
        <w:pStyle w:val="Indenta"/>
      </w:pPr>
      <w:r>
        <w:tab/>
      </w:r>
      <w:r>
        <w:tab/>
        <w:t>and</w:t>
      </w:r>
    </w:p>
    <w:p>
      <w:pPr>
        <w:pStyle w:val="Indenta"/>
      </w:pPr>
      <w:r>
        <w:tab/>
        <w:t>(b)</w:t>
      </w:r>
      <w:r>
        <w:tab/>
        <w:t>the body corporate referred to in paragraph (a)(i) or (ii) is a shareholder in the relevant body corporate.</w:t>
      </w:r>
    </w:p>
    <w:p>
      <w:pPr>
        <w:pStyle w:val="Subsection"/>
      </w:pPr>
      <w:r>
        <w:tab/>
        <w:t>(4)</w:t>
      </w:r>
      <w:r>
        <w:tab/>
        <w:t>If —</w:t>
      </w:r>
    </w:p>
    <w:p>
      <w:pPr>
        <w:pStyle w:val="Indenta"/>
      </w:pPr>
      <w:r>
        <w:tab/>
        <w:t>(a)</w:t>
      </w:r>
      <w:r>
        <w:tab/>
        <w:t xml:space="preserve">a person occupies a position of authority in a body corporate that is a proprietary company (the </w:t>
      </w:r>
      <w:r>
        <w:rPr>
          <w:rStyle w:val="CharDefText"/>
        </w:rPr>
        <w:t>relevant body corporate</w:t>
      </w:r>
      <w:r>
        <w:t>) —</w:t>
      </w:r>
    </w:p>
    <w:p>
      <w:pPr>
        <w:pStyle w:val="Indenti"/>
      </w:pPr>
      <w:r>
        <w:tab/>
        <w:t>(i)</w:t>
      </w:r>
      <w:r>
        <w:tab/>
        <w:t>by the operation of this regulation (including by the operation of this subregulation); and</w:t>
      </w:r>
    </w:p>
    <w:p>
      <w:pPr>
        <w:pStyle w:val="Indenti"/>
        <w:keepNext/>
      </w:pPr>
      <w:r>
        <w:tab/>
        <w:t>(ii)</w:t>
      </w:r>
      <w:r>
        <w:tab/>
        <w:t>because the person is a shareholder in another body corporate;</w:t>
      </w:r>
    </w:p>
    <w:p>
      <w:pPr>
        <w:pStyle w:val="Indenta"/>
      </w:pPr>
      <w:r>
        <w:tab/>
      </w:r>
      <w:r>
        <w:tab/>
        <w:t>and</w:t>
      </w:r>
    </w:p>
    <w:p>
      <w:pPr>
        <w:pStyle w:val="Indenta"/>
      </w:pPr>
      <w:r>
        <w:tab/>
        <w:t>(b)</w:t>
      </w:r>
      <w:r>
        <w:tab/>
        <w:t>the person is a body corporate,</w:t>
      </w:r>
    </w:p>
    <w:p>
      <w:pPr>
        <w:pStyle w:val="Subsection"/>
      </w:pPr>
      <w:r>
        <w:tab/>
      </w:r>
      <w:r>
        <w:tab/>
        <w:t>a person who is —</w:t>
      </w:r>
    </w:p>
    <w:p>
      <w:pPr>
        <w:pStyle w:val="Indenta"/>
      </w:pPr>
      <w:r>
        <w:tab/>
        <w:t>(c)</w:t>
      </w:r>
      <w:r>
        <w:tab/>
        <w:t>a director of the body corporate referred to in paragraph (b); or</w:t>
      </w:r>
    </w:p>
    <w:p>
      <w:pPr>
        <w:pStyle w:val="Indenta"/>
      </w:pPr>
      <w:r>
        <w:tab/>
        <w:t>(d)</w:t>
      </w:r>
      <w:r>
        <w:tab/>
        <w:t>if that body corporate is a proprietary company, a director of or shareholder in that body corporate,</w:t>
      </w:r>
    </w:p>
    <w:p>
      <w:pPr>
        <w:pStyle w:val="Subsection"/>
      </w:pPr>
      <w:r>
        <w:tab/>
      </w:r>
      <w:r>
        <w:tab/>
        <w:t>occupies a position of authority in the relevant body corporate.</w:t>
      </w:r>
    </w:p>
    <w:p>
      <w:pPr>
        <w:pStyle w:val="Footnotesection"/>
      </w:pPr>
      <w:r>
        <w:tab/>
        <w:t>[Regulation 5B amended in Gazette 1 May 2007 p. 1865</w:t>
      </w:r>
      <w:r>
        <w:noBreakHyphen/>
        <w:t>6.]</w:t>
      </w:r>
    </w:p>
    <w:p>
      <w:pPr>
        <w:pStyle w:val="Ednotesection"/>
      </w:pPr>
      <w:bookmarkStart w:id="147" w:name="_Toc66263819"/>
      <w:bookmarkStart w:id="148" w:name="_Toc119294064"/>
      <w:bookmarkStart w:id="149" w:name="_Toc123633157"/>
      <w:bookmarkEnd w:id="134"/>
      <w:bookmarkEnd w:id="135"/>
      <w:bookmarkEnd w:id="136"/>
      <w:r>
        <w:t>[</w:t>
      </w:r>
      <w:r>
        <w:rPr>
          <w:b/>
          <w:bCs/>
        </w:rPr>
        <w:t>6.</w:t>
      </w:r>
      <w:r>
        <w:tab/>
        <w:t>Deleted in Gazette 1 May 2007 p. 1867.]</w:t>
      </w:r>
    </w:p>
    <w:p>
      <w:pPr>
        <w:pStyle w:val="Heading5"/>
        <w:rPr>
          <w:snapToGrid w:val="0"/>
        </w:rPr>
      </w:pPr>
      <w:bookmarkStart w:id="150" w:name="_Toc172713912"/>
      <w:bookmarkStart w:id="151" w:name="_Toc264018256"/>
      <w:bookmarkStart w:id="152" w:name="_Toc303323143"/>
      <w:bookmarkStart w:id="153" w:name="_Toc303926926"/>
      <w:r>
        <w:rPr>
          <w:rStyle w:val="CharSectno"/>
        </w:rPr>
        <w:t>7</w:t>
      </w:r>
      <w:r>
        <w:rPr>
          <w:snapToGrid w:val="0"/>
        </w:rPr>
        <w:t>.</w:t>
      </w:r>
      <w:r>
        <w:rPr>
          <w:snapToGrid w:val="0"/>
        </w:rPr>
        <w:tab/>
        <w:t>Approved courses</w:t>
      </w:r>
      <w:bookmarkEnd w:id="137"/>
      <w:bookmarkEnd w:id="138"/>
      <w:bookmarkEnd w:id="139"/>
      <w:bookmarkEnd w:id="140"/>
      <w:bookmarkEnd w:id="141"/>
      <w:bookmarkEnd w:id="142"/>
      <w:bookmarkEnd w:id="147"/>
      <w:bookmarkEnd w:id="148"/>
      <w:bookmarkEnd w:id="149"/>
      <w:bookmarkEnd w:id="150"/>
      <w:r>
        <w:rPr>
          <w:snapToGrid w:val="0"/>
        </w:rPr>
        <w:t xml:space="preserve"> (Act s. 6(1)(c))</w:t>
      </w:r>
      <w:bookmarkEnd w:id="151"/>
      <w:bookmarkEnd w:id="152"/>
      <w:bookmarkEnd w:id="153"/>
    </w:p>
    <w:p>
      <w:pPr>
        <w:pStyle w:val="Subsection"/>
        <w:rPr>
          <w:snapToGrid w:val="0"/>
        </w:rPr>
      </w:pPr>
      <w:r>
        <w:rPr>
          <w:snapToGrid w:val="0"/>
        </w:rPr>
        <w:tab/>
      </w:r>
      <w:r>
        <w:rPr>
          <w:snapToGrid w:val="0"/>
        </w:rPr>
        <w:tab/>
        <w:t>An educational course of instruction or training that includes as a required element the tasting, sampling or use of liquor is an approved course for the purposes of section 6(1)(c) if it is conducted —</w:t>
      </w:r>
    </w:p>
    <w:p>
      <w:pPr>
        <w:pStyle w:val="Indenta"/>
        <w:rPr>
          <w:snapToGrid w:val="0"/>
        </w:rPr>
      </w:pPr>
      <w:r>
        <w:rPr>
          <w:snapToGrid w:val="0"/>
        </w:rPr>
        <w:tab/>
        <w:t>(a)</w:t>
      </w:r>
      <w:r>
        <w:rPr>
          <w:snapToGrid w:val="0"/>
        </w:rPr>
        <w:tab/>
        <w:t xml:space="preserve">by a </w:t>
      </w:r>
      <w:r>
        <w:t xml:space="preserve">vocational education and training </w:t>
      </w:r>
      <w:r>
        <w:rPr>
          <w:snapToGrid w:val="0"/>
        </w:rPr>
        <w:t>institution; or</w:t>
      </w:r>
    </w:p>
    <w:p>
      <w:pPr>
        <w:pStyle w:val="Indenta"/>
      </w:pPr>
      <w:r>
        <w:tab/>
        <w:t>(ba)</w:t>
      </w:r>
      <w:r>
        <w:tab/>
        <w:t>by a higher education institution; or</w:t>
      </w:r>
    </w:p>
    <w:p>
      <w:pPr>
        <w:pStyle w:val="Indenta"/>
        <w:rPr>
          <w:snapToGrid w:val="0"/>
        </w:rPr>
      </w:pPr>
      <w:r>
        <w:rPr>
          <w:snapToGrid w:val="0"/>
        </w:rPr>
        <w:tab/>
        <w:t>(b)</w:t>
      </w:r>
      <w:r>
        <w:rPr>
          <w:snapToGrid w:val="0"/>
        </w:rPr>
        <w:tab/>
        <w:t>by a person approved in writing by the Director.</w:t>
      </w:r>
    </w:p>
    <w:p>
      <w:pPr>
        <w:pStyle w:val="Footnotesection"/>
        <w:ind w:left="890" w:hanging="890"/>
      </w:pPr>
      <w:r>
        <w:tab/>
        <w:t>[Regulation 7 inserted in Gazette 16 May 1995 p. 1859; amended in Gazette 1 May 2007 p. 1867 and 1888</w:t>
      </w:r>
      <w:r>
        <w:noBreakHyphen/>
        <w:t>9; 15 Jan 2010 p. 71.]</w:t>
      </w:r>
    </w:p>
    <w:p>
      <w:pPr>
        <w:pStyle w:val="Heading5"/>
        <w:spacing w:before="180"/>
        <w:rPr>
          <w:snapToGrid w:val="0"/>
        </w:rPr>
      </w:pPr>
      <w:bookmarkStart w:id="154" w:name="_Toc460808705"/>
      <w:bookmarkStart w:id="155" w:name="_Toc519934567"/>
      <w:bookmarkStart w:id="156" w:name="_Toc534780030"/>
      <w:bookmarkStart w:id="157" w:name="_Toc3352037"/>
      <w:bookmarkStart w:id="158" w:name="_Toc3352112"/>
      <w:bookmarkStart w:id="159" w:name="_Toc22966214"/>
      <w:bookmarkStart w:id="160" w:name="_Toc66263820"/>
      <w:bookmarkStart w:id="161" w:name="_Toc119294065"/>
      <w:bookmarkStart w:id="162" w:name="_Toc123633158"/>
      <w:bookmarkStart w:id="163" w:name="_Toc172713913"/>
      <w:bookmarkStart w:id="164" w:name="_Toc264018257"/>
      <w:bookmarkStart w:id="165" w:name="_Toc303323144"/>
      <w:bookmarkStart w:id="166" w:name="_Toc303926927"/>
      <w:r>
        <w:rPr>
          <w:rStyle w:val="CharSectno"/>
        </w:rPr>
        <w:t>8</w:t>
      </w:r>
      <w:r>
        <w:rPr>
          <w:snapToGrid w:val="0"/>
        </w:rPr>
        <w:t>.</w:t>
      </w:r>
      <w:r>
        <w:rPr>
          <w:snapToGrid w:val="0"/>
        </w:rPr>
        <w:tab/>
        <w:t>Exempt sales</w:t>
      </w:r>
      <w:bookmarkEnd w:id="154"/>
      <w:bookmarkEnd w:id="155"/>
      <w:bookmarkEnd w:id="156"/>
      <w:bookmarkEnd w:id="157"/>
      <w:bookmarkEnd w:id="158"/>
      <w:bookmarkEnd w:id="159"/>
      <w:bookmarkEnd w:id="160"/>
      <w:bookmarkEnd w:id="161"/>
      <w:bookmarkEnd w:id="162"/>
      <w:bookmarkEnd w:id="163"/>
      <w:bookmarkEnd w:id="164"/>
      <w:bookmarkEnd w:id="165"/>
      <w:bookmarkEnd w:id="166"/>
    </w:p>
    <w:p>
      <w:pPr>
        <w:pStyle w:val="Subsection"/>
        <w:rPr>
          <w:snapToGrid w:val="0"/>
        </w:rPr>
      </w:pPr>
      <w:r>
        <w:rPr>
          <w:snapToGrid w:val="0"/>
        </w:rPr>
        <w:tab/>
        <w:t>(1)</w:t>
      </w:r>
      <w:r>
        <w:rPr>
          <w:snapToGrid w:val="0"/>
        </w:rPr>
        <w:tab/>
        <w:t>The following sales are exempted from the application of the Act —</w:t>
      </w:r>
    </w:p>
    <w:p>
      <w:pPr>
        <w:pStyle w:val="Indenta"/>
        <w:rPr>
          <w:snapToGrid w:val="0"/>
        </w:rPr>
      </w:pPr>
      <w:r>
        <w:rPr>
          <w:snapToGrid w:val="0"/>
        </w:rPr>
        <w:tab/>
        <w:t>(a)</w:t>
      </w:r>
      <w:r>
        <w:rPr>
          <w:snapToGrid w:val="0"/>
        </w:rPr>
        <w:tab/>
        <w:t>the sale of liquor in bond by the proprietor of premises which are the subject of a warehouse licence under the</w:t>
      </w:r>
      <w:r>
        <w:rPr>
          <w:snapToGrid w:val="0"/>
          <w:spacing w:val="-4"/>
        </w:rPr>
        <w:t xml:space="preserve"> </w:t>
      </w:r>
      <w:r>
        <w:rPr>
          <w:i/>
          <w:snapToGrid w:val="0"/>
        </w:rPr>
        <w:t>Customs Act 1901</w:t>
      </w:r>
      <w:r>
        <w:rPr>
          <w:snapToGrid w:val="0"/>
        </w:rPr>
        <w:t xml:space="preserve"> of the Commonwealth, to a person who proposes personally to take the liquor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t>(b)</w:t>
      </w:r>
      <w:r>
        <w:rPr>
          <w:snapToGrid w:val="0"/>
        </w:rPr>
        <w:tab/>
        <w:t xml:space="preserve">the sale of liquor on a train in the course of an interstate rail passenger service to or from </w:t>
      </w:r>
      <w:smartTag w:uri="urn:schemas-microsoft-com:office:smarttags" w:element="place">
        <w:smartTag w:uri="urn:schemas-microsoft-com:office:smarttags" w:element="City">
          <w:r>
            <w:rPr>
              <w:snapToGrid w:val="0"/>
            </w:rPr>
            <w:t>Perth</w:t>
          </w:r>
        </w:smartTag>
      </w:smartTag>
      <w:r>
        <w:rPr>
          <w:snapToGrid w:val="0"/>
        </w:rPr>
        <w:t>;</w:t>
      </w:r>
    </w:p>
    <w:p>
      <w:pPr>
        <w:pStyle w:val="Indenta"/>
        <w:rPr>
          <w:snapToGrid w:val="0"/>
        </w:rPr>
      </w:pPr>
      <w:r>
        <w:rPr>
          <w:snapToGrid w:val="0"/>
        </w:rPr>
        <w:tab/>
        <w:t>(c)</w:t>
      </w:r>
      <w:r>
        <w:rPr>
          <w:snapToGrid w:val="0"/>
        </w:rPr>
        <w:tab/>
        <w:t>the sale or supply of liquor together with flowers, a food parcel or a gift hamper to be delivered by the vendor or supplier as a gift to a person other than the purchaser, vendor or supplier, where —</w:t>
      </w:r>
    </w:p>
    <w:p>
      <w:pPr>
        <w:pStyle w:val="Indenti"/>
        <w:rPr>
          <w:snapToGrid w:val="0"/>
        </w:rPr>
      </w:pPr>
      <w:r>
        <w:rPr>
          <w:snapToGrid w:val="0"/>
        </w:rPr>
        <w:tab/>
        <w:t>(i)</w:t>
      </w:r>
      <w:r>
        <w:rPr>
          <w:snapToGrid w:val="0"/>
        </w:rPr>
        <w:tab/>
        <w:t>the quantity of liquor sold or supplied does not exceed 2 L; and</w:t>
      </w:r>
    </w:p>
    <w:p>
      <w:pPr>
        <w:pStyle w:val="Indenti"/>
        <w:rPr>
          <w:snapToGrid w:val="0"/>
        </w:rPr>
      </w:pPr>
      <w:r>
        <w:rPr>
          <w:snapToGrid w:val="0"/>
        </w:rPr>
        <w:tab/>
        <w:t>(ii)</w:t>
      </w:r>
      <w:r>
        <w:rPr>
          <w:snapToGrid w:val="0"/>
        </w:rPr>
        <w:tab/>
        <w:t>that liquor was purchased by the vendor or supplier from the holder of a hotel licence or a liquor store licence;</w:t>
      </w:r>
    </w:p>
    <w:p>
      <w:pPr>
        <w:pStyle w:val="Indenta"/>
        <w:rPr>
          <w:snapToGrid w:val="0"/>
        </w:rPr>
      </w:pPr>
      <w:r>
        <w:rPr>
          <w:snapToGrid w:val="0"/>
        </w:rPr>
        <w:tab/>
        <w:t>(d)</w:t>
      </w:r>
      <w:r>
        <w:rPr>
          <w:snapToGrid w:val="0"/>
        </w:rPr>
        <w:tab/>
        <w:t xml:space="preserve">the sale or supply of liquor as a prize in a lottery conducted in accordance with the </w:t>
      </w:r>
      <w:r>
        <w:rPr>
          <w:i/>
          <w:snapToGrid w:val="0"/>
        </w:rPr>
        <w:t xml:space="preserve">Gaming </w:t>
      </w:r>
      <w:r>
        <w:rPr>
          <w:i/>
        </w:rPr>
        <w:t>and Wagering</w:t>
      </w:r>
      <w:r>
        <w:rPr>
          <w:i/>
          <w:snapToGrid w:val="0"/>
        </w:rPr>
        <w:t xml:space="preserve"> Commission Act 1987</w:t>
      </w:r>
      <w:r>
        <w:rPr>
          <w:snapToGrid w:val="0"/>
        </w:rPr>
        <w:t>;</w:t>
      </w:r>
    </w:p>
    <w:p>
      <w:pPr>
        <w:pStyle w:val="Indenta"/>
        <w:rPr>
          <w:snapToGrid w:val="0"/>
        </w:rPr>
      </w:pPr>
      <w:r>
        <w:rPr>
          <w:snapToGrid w:val="0"/>
        </w:rPr>
        <w:tab/>
        <w:t>(e)</w:t>
      </w:r>
      <w:r>
        <w:rPr>
          <w:snapToGrid w:val="0"/>
        </w:rPr>
        <w:tab/>
        <w:t>the sale of liquor to the master of a ship as ships’ stores for consumption on that ship outside the</w:t>
      </w:r>
      <w:r>
        <w:t xml:space="preserve"> WA territorial seas</w:t>
      </w:r>
      <w:r>
        <w:rPr>
          <w:snapToGrid w:val="0"/>
        </w:rPr>
        <w:t>;</w:t>
      </w:r>
    </w:p>
    <w:p>
      <w:pPr>
        <w:pStyle w:val="Ednotepara"/>
        <w:spacing w:before="80"/>
        <w:rPr>
          <w:snapToGrid w:val="0"/>
        </w:rPr>
      </w:pPr>
      <w:r>
        <w:rPr>
          <w:snapToGrid w:val="0"/>
        </w:rPr>
        <w:tab/>
        <w:t>[(f)</w:t>
      </w:r>
      <w:r>
        <w:rPr>
          <w:snapToGrid w:val="0"/>
        </w:rPr>
        <w:tab/>
        <w:t>deleted]</w:t>
      </w:r>
    </w:p>
    <w:p>
      <w:pPr>
        <w:pStyle w:val="Indenta"/>
        <w:rPr>
          <w:snapToGrid w:val="0"/>
        </w:rPr>
      </w:pPr>
      <w:r>
        <w:rPr>
          <w:snapToGrid w:val="0"/>
        </w:rPr>
        <w:tab/>
        <w:t>(g)</w:t>
      </w:r>
      <w:r>
        <w:rPr>
          <w:snapToGrid w:val="0"/>
        </w:rPr>
        <w:tab/>
        <w:t>the sale by a person, authorised in writing by the Director, of an alcohol based food essence, as defined in regulation 4A(2);</w:t>
      </w:r>
    </w:p>
    <w:p>
      <w:pPr>
        <w:pStyle w:val="Indenta"/>
        <w:rPr>
          <w:snapToGrid w:val="0"/>
        </w:rPr>
      </w:pPr>
      <w:r>
        <w:rPr>
          <w:snapToGrid w:val="0"/>
        </w:rPr>
        <w:tab/>
        <w:t>(h)</w:t>
      </w:r>
      <w:r>
        <w:rPr>
          <w:snapToGrid w:val="0"/>
        </w:rPr>
        <w:tab/>
        <w:t>the sale or supply of liquor —</w:t>
      </w:r>
    </w:p>
    <w:p>
      <w:pPr>
        <w:pStyle w:val="Indenti"/>
        <w:rPr>
          <w:snapToGrid w:val="0"/>
        </w:rPr>
      </w:pPr>
      <w:r>
        <w:rPr>
          <w:snapToGrid w:val="0"/>
        </w:rPr>
        <w:tab/>
        <w:t>(i)</w:t>
      </w:r>
      <w:r>
        <w:rPr>
          <w:snapToGrid w:val="0"/>
        </w:rPr>
        <w:tab/>
        <w:t xml:space="preserve">by a person who conducts or manages an approved nursing home, within the meaning of the </w:t>
      </w:r>
      <w:r>
        <w:rPr>
          <w:i/>
          <w:snapToGrid w:val="0"/>
        </w:rPr>
        <w:t>Hospitals and Health Services Act 1927</w:t>
      </w:r>
      <w:r>
        <w:rPr>
          <w:snapToGrid w:val="0"/>
        </w:rPr>
        <w:t>, to a person who is a patient and resident of the nursing home; or</w:t>
      </w:r>
    </w:p>
    <w:p>
      <w:pPr>
        <w:pStyle w:val="Indenti"/>
        <w:rPr>
          <w:snapToGrid w:val="0"/>
        </w:rPr>
      </w:pPr>
      <w:r>
        <w:tab/>
        <w:t>(ia)</w:t>
      </w:r>
      <w:r>
        <w:tab/>
        <w:t xml:space="preserve">by a person who conducts or manages a hospital, within the meaning of the </w:t>
      </w:r>
      <w:r>
        <w:rPr>
          <w:i/>
        </w:rPr>
        <w:t>Hospitals and Health Services Act 1927</w:t>
      </w:r>
      <w:r>
        <w:t>, to a patient of that hospital; or</w:t>
      </w:r>
    </w:p>
    <w:p>
      <w:pPr>
        <w:pStyle w:val="Indenti"/>
        <w:keepLines/>
        <w:rPr>
          <w:snapToGrid w:val="0"/>
        </w:rPr>
      </w:pPr>
      <w:r>
        <w:rPr>
          <w:snapToGrid w:val="0"/>
        </w:rPr>
        <w:tab/>
        <w:t>(ii)</w:t>
      </w:r>
      <w:r>
        <w:rPr>
          <w:snapToGrid w:val="0"/>
        </w:rPr>
        <w:tab/>
        <w:t xml:space="preserve">by a person who conducts or manages an approved private psychiatric hostel, within the meaning of the </w:t>
      </w:r>
      <w:r>
        <w:rPr>
          <w:i/>
          <w:snapToGrid w:val="0"/>
        </w:rPr>
        <w:t>Hospitals and Health Services Act 1927</w:t>
      </w:r>
      <w:r>
        <w:rPr>
          <w:snapToGrid w:val="0"/>
        </w:rPr>
        <w:t>, to a person who is a resident of the private psychiatric hostel; or</w:t>
      </w:r>
    </w:p>
    <w:p>
      <w:pPr>
        <w:pStyle w:val="Indenti"/>
        <w:keepNext/>
        <w:rPr>
          <w:snapToGrid w:val="0"/>
        </w:rPr>
      </w:pPr>
      <w:r>
        <w:rPr>
          <w:snapToGrid w:val="0"/>
        </w:rPr>
        <w:tab/>
        <w:t>(iii)</w:t>
      </w:r>
      <w:r>
        <w:rPr>
          <w:snapToGrid w:val="0"/>
        </w:rPr>
        <w:tab/>
        <w:t>by a person —</w:t>
      </w:r>
    </w:p>
    <w:p>
      <w:pPr>
        <w:pStyle w:val="IndentI0"/>
        <w:rPr>
          <w:snapToGrid w:val="0"/>
        </w:rPr>
      </w:pPr>
      <w:r>
        <w:rPr>
          <w:snapToGrid w:val="0"/>
        </w:rPr>
        <w:tab/>
        <w:t>(I)</w:t>
      </w:r>
      <w:r>
        <w:rPr>
          <w:snapToGrid w:val="0"/>
        </w:rPr>
        <w:tab/>
        <w:t>who operates a hostel as; or</w:t>
      </w:r>
    </w:p>
    <w:p>
      <w:pPr>
        <w:pStyle w:val="IndentI0"/>
        <w:rPr>
          <w:snapToGrid w:val="0"/>
        </w:rPr>
      </w:pPr>
      <w:r>
        <w:rPr>
          <w:snapToGrid w:val="0"/>
        </w:rPr>
        <w:tab/>
        <w:t>(II)</w:t>
      </w:r>
      <w:r>
        <w:rPr>
          <w:snapToGrid w:val="0"/>
        </w:rPr>
        <w:tab/>
        <w:t>who manages a hostel on behalf of,</w:t>
      </w:r>
    </w:p>
    <w:p>
      <w:pPr>
        <w:pStyle w:val="Indenti"/>
        <w:rPr>
          <w:snapToGrid w:val="0"/>
        </w:rPr>
      </w:pPr>
      <w:r>
        <w:rPr>
          <w:snapToGrid w:val="0"/>
        </w:rPr>
        <w:tab/>
      </w:r>
      <w:r>
        <w:rPr>
          <w:snapToGrid w:val="0"/>
        </w:rPr>
        <w:tab/>
        <w:t>an approved operator of hostels, to an aged person or disabled person who is a resident of the hostel;</w:t>
      </w:r>
    </w:p>
    <w:p>
      <w:pPr>
        <w:pStyle w:val="Indenta"/>
      </w:pPr>
      <w:r>
        <w:tab/>
        <w:t>(i)</w:t>
      </w:r>
      <w:r>
        <w:tab/>
        <w:t>the sale of liquor on an aircraft in the course of a flight of the aircraft;</w:t>
      </w:r>
    </w:p>
    <w:p>
      <w:pPr>
        <w:pStyle w:val="Indenta"/>
      </w:pPr>
      <w:r>
        <w:tab/>
        <w:t>(ja)</w:t>
      </w:r>
      <w:r>
        <w:tab/>
        <w:t>the sale or supply of liquor on a commercial vessel in the course of an inter</w:t>
      </w:r>
      <w:r>
        <w:noBreakHyphen/>
        <w:t>State voyage or overseas voyage of the vessel;</w:t>
      </w:r>
    </w:p>
    <w:p>
      <w:pPr>
        <w:pStyle w:val="Indenta"/>
        <w:keepNext/>
        <w:keepLines/>
      </w:pPr>
      <w:r>
        <w:tab/>
        <w:t>(j)</w:t>
      </w:r>
      <w:r>
        <w:tab/>
        <w:t>the supply of liquor by a person who conducts, supervises or manages a bed and breakfast facility (being an accommodation facility that offers bed and breakfast) if —</w:t>
      </w:r>
    </w:p>
    <w:p>
      <w:pPr>
        <w:pStyle w:val="Indenti"/>
      </w:pPr>
      <w:r>
        <w:tab/>
        <w:t>(i)</w:t>
      </w:r>
      <w:r>
        <w:tab/>
        <w:t>that supply of the liquor is to an adult recipient staying at the facility; and</w:t>
      </w:r>
    </w:p>
    <w:p>
      <w:pPr>
        <w:pStyle w:val="Indenti"/>
      </w:pPr>
      <w:r>
        <w:tab/>
        <w:t>(ii)</w:t>
      </w:r>
      <w:r>
        <w:tab/>
        <w:t>that supply of the liquor is at the facility; and</w:t>
      </w:r>
    </w:p>
    <w:p>
      <w:pPr>
        <w:pStyle w:val="Indenti"/>
      </w:pPr>
      <w:r>
        <w:tab/>
        <w:t>(iii)</w:t>
      </w:r>
      <w:r>
        <w:tab/>
        <w:t>that supply of the liquor is gratuitous; and</w:t>
      </w:r>
    </w:p>
    <w:p>
      <w:pPr>
        <w:pStyle w:val="Indenti"/>
      </w:pPr>
      <w:r>
        <w:tab/>
        <w:t>(iv)</w:t>
      </w:r>
      <w:r>
        <w:tab/>
        <w:t>that supply of the liquor does not exceed 1.5 L in quantity, either by itself or in aggregate with any other liquor supplied gratuitously by that person to that recipient during the period for which that recipient stays at the facility; and</w:t>
      </w:r>
    </w:p>
    <w:p>
      <w:pPr>
        <w:pStyle w:val="Indenti"/>
      </w:pPr>
      <w:r>
        <w:tab/>
        <w:t>(v)</w:t>
      </w:r>
      <w:r>
        <w:tab/>
        <w:t>the liquor was purchased by that person from the holder of a licence to sell packaged liquor, except if the licence was a wholesaler’s licence or a club licence; and</w:t>
      </w:r>
    </w:p>
    <w:p>
      <w:pPr>
        <w:pStyle w:val="Indenti"/>
      </w:pPr>
      <w:r>
        <w:tab/>
        <w:t>(vi)</w:t>
      </w:r>
      <w:r>
        <w:tab/>
        <w:t>no more than 8 persons can stay at the facility at any one time.</w:t>
      </w:r>
    </w:p>
    <w:p>
      <w:pPr>
        <w:pStyle w:val="Subsection"/>
        <w:spacing w:before="200"/>
      </w:pPr>
      <w:r>
        <w:tab/>
        <w:t>(1a)</w:t>
      </w:r>
      <w:r>
        <w:tab/>
        <w:t>In subregulation (1)(e) —</w:t>
      </w:r>
    </w:p>
    <w:p>
      <w:pPr>
        <w:pStyle w:val="Defstart"/>
      </w:pPr>
      <w:r>
        <w:tab/>
      </w:r>
      <w:r>
        <w:rPr>
          <w:rStyle w:val="CharDefText"/>
        </w:rPr>
        <w:t>WA territorial seas</w:t>
      </w:r>
      <w:r>
        <w:t xml:space="preserve"> means 12 nautical miles of sea off the coast of the State, measured from baselines determined in accordance with Part II Section 2 of the United Nations Convention on the Law of the Sea done at </w:t>
      </w:r>
      <w:smartTag w:uri="urn:schemas-microsoft-com:office:smarttags" w:element="place">
        <w:r>
          <w:t>Montego Bay</w:t>
        </w:r>
      </w:smartTag>
      <w:r>
        <w:t xml:space="preserve"> on 10 December 1982.</w:t>
      </w:r>
    </w:p>
    <w:p>
      <w:pPr>
        <w:pStyle w:val="Subsection"/>
        <w:rPr>
          <w:snapToGrid w:val="0"/>
        </w:rPr>
      </w:pPr>
      <w:r>
        <w:rPr>
          <w:snapToGrid w:val="0"/>
        </w:rPr>
        <w:tab/>
        <w:t>(2)</w:t>
      </w:r>
      <w:r>
        <w:rPr>
          <w:snapToGrid w:val="0"/>
        </w:rPr>
        <w:tab/>
        <w:t xml:space="preserve">In subregulation (1)(h)(iii), </w:t>
      </w:r>
      <w:r>
        <w:rPr>
          <w:rStyle w:val="CharDefText"/>
        </w:rPr>
        <w:t>aged person</w:t>
      </w:r>
      <w:r>
        <w:rPr>
          <w:snapToGrid w:val="0"/>
        </w:rPr>
        <w:t xml:space="preserve">, </w:t>
      </w:r>
      <w:r>
        <w:rPr>
          <w:rStyle w:val="CharDefText"/>
        </w:rPr>
        <w:t>approved operator</w:t>
      </w:r>
      <w:r>
        <w:rPr>
          <w:snapToGrid w:val="0"/>
        </w:rPr>
        <w:t xml:space="preserve">, </w:t>
      </w:r>
      <w:r>
        <w:rPr>
          <w:rStyle w:val="CharDefText"/>
        </w:rPr>
        <w:t>disabled person</w:t>
      </w:r>
      <w:r>
        <w:rPr>
          <w:snapToGrid w:val="0"/>
        </w:rPr>
        <w:t xml:space="preserve"> and </w:t>
      </w:r>
      <w:r>
        <w:rPr>
          <w:rStyle w:val="CharDefText"/>
        </w:rPr>
        <w:t>hostel</w:t>
      </w:r>
      <w:r>
        <w:rPr>
          <w:snapToGrid w:val="0"/>
        </w:rPr>
        <w:t xml:space="preserve"> each has the same meaning as it has in the </w:t>
      </w:r>
      <w:r>
        <w:rPr>
          <w:i/>
          <w:snapToGrid w:val="0"/>
        </w:rPr>
        <w:t>Aged or Disabled Persons Care Act 1954</w:t>
      </w:r>
      <w:r>
        <w:rPr>
          <w:snapToGrid w:val="0"/>
        </w:rPr>
        <w:t xml:space="preserve"> of the Commonwealth</w:t>
      </w:r>
      <w:r>
        <w:rPr>
          <w:snapToGrid w:val="0"/>
          <w:vertAlign w:val="superscript"/>
        </w:rPr>
        <w:t> 4</w:t>
      </w:r>
      <w:r>
        <w:rPr>
          <w:snapToGrid w:val="0"/>
        </w:rPr>
        <w:t>.</w:t>
      </w:r>
    </w:p>
    <w:p>
      <w:pPr>
        <w:pStyle w:val="Subsection"/>
      </w:pPr>
      <w:r>
        <w:tab/>
        <w:t>(3)</w:t>
      </w:r>
      <w:r>
        <w:tab/>
        <w:t xml:space="preserve">In subregulation (1)(ja) — </w:t>
      </w:r>
    </w:p>
    <w:p>
      <w:pPr>
        <w:pStyle w:val="Defstart"/>
      </w:pPr>
      <w:r>
        <w:tab/>
      </w:r>
      <w:r>
        <w:rPr>
          <w:rStyle w:val="CharDefText"/>
        </w:rPr>
        <w:t>commercial vessel</w:t>
      </w:r>
      <w:r>
        <w:t xml:space="preserve"> has the meaning given in the </w:t>
      </w:r>
      <w:r>
        <w:rPr>
          <w:i/>
        </w:rPr>
        <w:t>Western Australian Marine Act 1982</w:t>
      </w:r>
      <w:r>
        <w:t xml:space="preserve"> section 3(1);</w:t>
      </w:r>
    </w:p>
    <w:p>
      <w:pPr>
        <w:pStyle w:val="Defstart"/>
      </w:pPr>
      <w:r>
        <w:tab/>
      </w:r>
      <w:r>
        <w:rPr>
          <w:rStyle w:val="CharDefText"/>
        </w:rPr>
        <w:t>inter</w:t>
      </w:r>
      <w:r>
        <w:rPr>
          <w:rStyle w:val="CharDefText"/>
        </w:rPr>
        <w:noBreakHyphen/>
        <w:t>State voyage</w:t>
      </w:r>
      <w:r>
        <w:t xml:space="preserve"> and</w:t>
      </w:r>
      <w:r>
        <w:rPr>
          <w:rStyle w:val="CharDefText"/>
          <w:b w:val="0"/>
          <w:i w:val="0"/>
        </w:rPr>
        <w:t xml:space="preserve"> </w:t>
      </w:r>
      <w:r>
        <w:rPr>
          <w:rStyle w:val="CharDefText"/>
        </w:rPr>
        <w:t>overseas voyage</w:t>
      </w:r>
      <w:r>
        <w:rPr>
          <w:rStyle w:val="CharDefText"/>
          <w:b w:val="0"/>
          <w:i w:val="0"/>
        </w:rPr>
        <w:t xml:space="preserve"> </w:t>
      </w:r>
      <w:r>
        <w:t xml:space="preserve">have the meanings given in the </w:t>
      </w:r>
      <w:r>
        <w:rPr>
          <w:i/>
        </w:rPr>
        <w:t>Navigation Act 1912</w:t>
      </w:r>
      <w:r>
        <w:t xml:space="preserve"> section 6 (Commonwealth).</w:t>
      </w:r>
    </w:p>
    <w:p>
      <w:pPr>
        <w:pStyle w:val="Footnotesection"/>
        <w:keepLines w:val="0"/>
      </w:pPr>
      <w:r>
        <w:tab/>
        <w:t>[Regulation 8 amended in Gazette 21 Feb 1992 p. 933</w:t>
      </w:r>
      <w:r>
        <w:noBreakHyphen/>
        <w:t>4; 30 Dec 1994 p. 7330; 26 Nov 1996 p. 6629</w:t>
      </w:r>
      <w:r>
        <w:noBreakHyphen/>
        <w:t>30; 30 Jan 1998 p. 562; 28 Apr 1998 p. 2198; 22 May 1998 p. 2941; 30 Apr 1999 p. 1821; 6 Jul 2001 p. 3415; 28 Mar 2003 p. 983</w:t>
      </w:r>
      <w:r>
        <w:noBreakHyphen/>
        <w:t>4; 28 Oct 2003 p. 4528</w:t>
      </w:r>
      <w:r>
        <w:noBreakHyphen/>
        <w:t>9; 30 Jan 2004 p. 417; 9 Jul 2004 p. 2773; 19 Aug 2005 p. 3873</w:t>
      </w:r>
      <w:r>
        <w:noBreakHyphen/>
        <w:t>4; 1 May 2007 p. 1867</w:t>
      </w:r>
      <w:r>
        <w:noBreakHyphen/>
        <w:t>8; 15 Jul 2011 p. 2955.]</w:t>
      </w:r>
    </w:p>
    <w:p>
      <w:pPr>
        <w:pStyle w:val="Heading5"/>
      </w:pPr>
      <w:bookmarkStart w:id="167" w:name="_Toc303323145"/>
      <w:bookmarkStart w:id="168" w:name="_Toc303926928"/>
      <w:bookmarkStart w:id="169" w:name="_Toc460808706"/>
      <w:bookmarkStart w:id="170" w:name="_Toc519934568"/>
      <w:bookmarkStart w:id="171" w:name="_Toc534780031"/>
      <w:bookmarkStart w:id="172" w:name="_Toc3352038"/>
      <w:bookmarkStart w:id="173" w:name="_Toc3352113"/>
      <w:bookmarkStart w:id="174" w:name="_Toc22966215"/>
      <w:bookmarkStart w:id="175" w:name="_Toc66263821"/>
      <w:bookmarkStart w:id="176" w:name="_Toc119294066"/>
      <w:bookmarkStart w:id="177" w:name="_Toc123633159"/>
      <w:bookmarkStart w:id="178" w:name="_Toc172713914"/>
      <w:bookmarkStart w:id="179" w:name="_Toc264018258"/>
      <w:r>
        <w:rPr>
          <w:rStyle w:val="CharSectno"/>
        </w:rPr>
        <w:t>8A</w:t>
      </w:r>
      <w:r>
        <w:t>.</w:t>
      </w:r>
      <w:r>
        <w:tab/>
        <w:t>Exemption: live entertainment venues</w:t>
      </w:r>
      <w:bookmarkEnd w:id="167"/>
      <w:bookmarkEnd w:id="168"/>
    </w:p>
    <w:p>
      <w:pPr>
        <w:pStyle w:val="Subsection"/>
      </w:pPr>
      <w:r>
        <w:tab/>
        <w:t>(1)</w:t>
      </w:r>
      <w:r>
        <w:tab/>
        <w:t xml:space="preserve">In this regulation — </w:t>
      </w:r>
    </w:p>
    <w:p>
      <w:pPr>
        <w:pStyle w:val="Defstart"/>
      </w:pPr>
      <w:r>
        <w:tab/>
      </w:r>
      <w:r>
        <w:rPr>
          <w:rStyle w:val="CharDefText"/>
        </w:rPr>
        <w:t>entertainment</w:t>
      </w:r>
      <w:r>
        <w:t xml:space="preserve"> — </w:t>
      </w:r>
    </w:p>
    <w:p>
      <w:pPr>
        <w:pStyle w:val="Defpara"/>
      </w:pPr>
      <w:r>
        <w:tab/>
        <w:t>(a)</w:t>
      </w:r>
      <w:r>
        <w:tab/>
        <w:t>means musical, theatrical, dance or comic entertainment; but</w:t>
      </w:r>
    </w:p>
    <w:p>
      <w:pPr>
        <w:pStyle w:val="Defpara"/>
      </w:pPr>
      <w:r>
        <w:tab/>
        <w:t>(b)</w:t>
      </w:r>
      <w:r>
        <w:tab/>
        <w:t>does not include a sporting contest;</w:t>
      </w:r>
    </w:p>
    <w:p>
      <w:pPr>
        <w:pStyle w:val="Defstart"/>
        <w:keepNext/>
      </w:pPr>
      <w:r>
        <w:tab/>
      </w:r>
      <w:r>
        <w:rPr>
          <w:rStyle w:val="CharDefText"/>
        </w:rPr>
        <w:t>live entertainment</w:t>
      </w:r>
      <w:r>
        <w:t xml:space="preserve"> — </w:t>
      </w:r>
    </w:p>
    <w:p>
      <w:pPr>
        <w:pStyle w:val="Defpara"/>
      </w:pPr>
      <w:r>
        <w:tab/>
        <w:t>(a)</w:t>
      </w:r>
      <w:r>
        <w:tab/>
        <w:t>means continuous entertainment provided by one or more persons present in person; but</w:t>
      </w:r>
    </w:p>
    <w:p>
      <w:pPr>
        <w:pStyle w:val="Defpara"/>
        <w:keepNext/>
      </w:pPr>
      <w:r>
        <w:tab/>
        <w:t>(b)</w:t>
      </w:r>
      <w:r>
        <w:tab/>
        <w:t xml:space="preserve">does not include any of the following — </w:t>
      </w:r>
    </w:p>
    <w:p>
      <w:pPr>
        <w:pStyle w:val="Defsubpara"/>
      </w:pPr>
      <w:r>
        <w:tab/>
        <w:t>(i)</w:t>
      </w:r>
      <w:r>
        <w:tab/>
        <w:t>entertainment provided by way of recorded music (including music videos), whether or not by a disk jockey, unless merely incidental to the continuous entertainment to which paragraph (a) applies;</w:t>
      </w:r>
    </w:p>
    <w:p>
      <w:pPr>
        <w:pStyle w:val="Defsubpara"/>
      </w:pPr>
      <w:r>
        <w:tab/>
        <w:t>(ii)</w:t>
      </w:r>
      <w:r>
        <w:tab/>
        <w:t>the presentation, visually or acoustically (or both), of entertainment taking place at another venue, where what is presented is received from a broadcast or any other transmission (including Internet streaming) in real time or with a delay;</w:t>
      </w:r>
    </w:p>
    <w:p>
      <w:pPr>
        <w:pStyle w:val="Defstart"/>
      </w:pPr>
      <w:r>
        <w:tab/>
      </w:r>
      <w:r>
        <w:rPr>
          <w:rStyle w:val="CharDefText"/>
        </w:rPr>
        <w:t>negative determination</w:t>
      </w:r>
      <w:r>
        <w:t xml:space="preserve">, in relation to a person, means — </w:t>
      </w:r>
    </w:p>
    <w:p>
      <w:pPr>
        <w:pStyle w:val="Defpara"/>
      </w:pPr>
      <w:r>
        <w:tab/>
        <w:t>(a)</w:t>
      </w:r>
      <w:r>
        <w:tab/>
        <w:t xml:space="preserve">a refusal of an application under the Act for the grant of a licence, or for approval to the transfer of a licence, if the ground, or one of the grounds, for the refusal of the application was that the person — </w:t>
      </w:r>
    </w:p>
    <w:p>
      <w:pPr>
        <w:pStyle w:val="Defsubpara"/>
      </w:pPr>
      <w:r>
        <w:tab/>
        <w:t>(i)</w:t>
      </w:r>
      <w:r>
        <w:tab/>
        <w:t>was not a fit and proper person to be a licensee of the premises to which the application related; or</w:t>
      </w:r>
    </w:p>
    <w:p>
      <w:pPr>
        <w:pStyle w:val="Defsubpara"/>
      </w:pPr>
      <w:r>
        <w:tab/>
        <w:t>(ii)</w:t>
      </w:r>
      <w:r>
        <w:tab/>
        <w:t>was not a fit and proper person to occupy a position of authority in a body corporate that is a licensee of the premises to which the application related; or</w:t>
      </w:r>
    </w:p>
    <w:p>
      <w:pPr>
        <w:pStyle w:val="Defsubpara"/>
      </w:pPr>
      <w:r>
        <w:tab/>
        <w:t>(iii)</w:t>
      </w:r>
      <w:r>
        <w:tab/>
        <w:t>was not a fit and proper person to be directly or indirectly interested in the application or in the business, or the profits or proceeds of the business, to be carried on under the licence;</w:t>
      </w:r>
    </w:p>
    <w:p>
      <w:pPr>
        <w:pStyle w:val="Defpara"/>
      </w:pPr>
      <w:r>
        <w:tab/>
      </w:r>
      <w:r>
        <w:tab/>
        <w:t>or</w:t>
      </w:r>
    </w:p>
    <w:p>
      <w:pPr>
        <w:pStyle w:val="Defpara"/>
      </w:pPr>
      <w:r>
        <w:tab/>
        <w:t>(b)</w:t>
      </w:r>
      <w:r>
        <w:tab/>
        <w:t>a refusal of an application under the Act for the approval of a person to occupy a position of authority in a body corporate that holds a licence, if the ground, or one of the grounds, for the refusal of the application was that the person was not a fit and proper person to occupy that position in the body corporate; or</w:t>
      </w:r>
    </w:p>
    <w:p>
      <w:pPr>
        <w:pStyle w:val="Defpara"/>
      </w:pPr>
      <w:r>
        <w:tab/>
        <w:t>(c)</w:t>
      </w:r>
      <w:r>
        <w:tab/>
        <w:t>a refusal of an application under the Act for the approval of the person as a trustee to hold a licence, if the ground, or one of the grounds, for the refusal of the application was that the person was not a fit and proper person for the position; or</w:t>
      </w:r>
    </w:p>
    <w:p>
      <w:pPr>
        <w:pStyle w:val="Defpara"/>
      </w:pPr>
      <w:r>
        <w:tab/>
        <w:t>(d)</w:t>
      </w:r>
      <w:r>
        <w:tab/>
        <w:t xml:space="preserve">a refusal of an application under the Act for the approval of the person as an approved unrestricted manager or an approved restricted manager or (in the case of an application made before the day on which the </w:t>
      </w:r>
      <w:r>
        <w:rPr>
          <w:i/>
        </w:rPr>
        <w:t>Liquor Control Amendment Act 2010</w:t>
      </w:r>
      <w:r>
        <w:rPr>
          <w:vertAlign w:val="superscript"/>
        </w:rPr>
        <w:t> 1</w:t>
      </w:r>
      <w:r>
        <w:t xml:space="preserve"> Part 2 came into operation) as a manager of licensed premises, if the ground, or one of the grounds, for the refusal of the application was that the person was not a fit and proper person to be a manager of licensed premises; or</w:t>
      </w:r>
    </w:p>
    <w:p>
      <w:pPr>
        <w:pStyle w:val="Defpara"/>
      </w:pPr>
      <w:r>
        <w:tab/>
        <w:t>(e)</w:t>
      </w:r>
      <w:r>
        <w:tab/>
        <w:t>a refusal of an application under section 86 for the approval of the person to carry on the business of a licensee, if the ground, or one of the grounds, for the refusal of the application was that the person was not a fit and proper person to carry on the business of a licensee; or</w:t>
      </w:r>
    </w:p>
    <w:p>
      <w:pPr>
        <w:pStyle w:val="Defpara"/>
      </w:pPr>
      <w:r>
        <w:tab/>
        <w:t>(f)</w:t>
      </w:r>
      <w:r>
        <w:tab/>
        <w:t>a refusal of an application under section 87 for the grant of a protection order, if the ground, or one of the grounds, for the refusal of the application was that the person was not a fit and proper person to carry on the business of a licensee; or</w:t>
      </w:r>
    </w:p>
    <w:p>
      <w:pPr>
        <w:pStyle w:val="Defpara"/>
      </w:pPr>
      <w:r>
        <w:tab/>
        <w:t>(g)</w:t>
      </w:r>
      <w:r>
        <w:tab/>
        <w:t>a refusal of an application under section 104 for the approval of an agreement or arrangement, if the ground, or one of the grounds, for the refusal of the application was that the person was not a fit and proper person to act as an unlicensed agent; or</w:t>
      </w:r>
    </w:p>
    <w:p>
      <w:pPr>
        <w:pStyle w:val="Defpara"/>
        <w:keepLines/>
      </w:pPr>
      <w:r>
        <w:tab/>
        <w:t>(h)</w:t>
      </w:r>
      <w:r>
        <w:tab/>
        <w:t>a refusal of an application under section 119A for approval to conduct a non</w:t>
      </w:r>
      <w:r>
        <w:noBreakHyphen/>
        <w:t>liquor business on licensed premises, if the ground, or one of the grounds, for the refusal of the application was that the person was not a fit and proper person to conduct the non</w:t>
      </w:r>
      <w:r>
        <w:noBreakHyphen/>
        <w:t>liquor business on the premises;</w:t>
      </w:r>
    </w:p>
    <w:p>
      <w:pPr>
        <w:pStyle w:val="Defstart"/>
      </w:pPr>
      <w:r>
        <w:tab/>
      </w:r>
      <w:r>
        <w:rPr>
          <w:rStyle w:val="CharDefText"/>
        </w:rPr>
        <w:t>responsible adult</w:t>
      </w:r>
      <w:r>
        <w:t xml:space="preserve"> has the meaning given in section 125(2)(b);</w:t>
      </w:r>
    </w:p>
    <w:p>
      <w:pPr>
        <w:pStyle w:val="Defstart"/>
      </w:pPr>
      <w:r>
        <w:tab/>
      </w:r>
      <w:r>
        <w:rPr>
          <w:rStyle w:val="CharDefText"/>
        </w:rPr>
        <w:t>restricted material</w:t>
      </w:r>
      <w:r>
        <w:t xml:space="preserve"> means — </w:t>
      </w:r>
    </w:p>
    <w:p>
      <w:pPr>
        <w:pStyle w:val="Defpara"/>
      </w:pPr>
      <w:r>
        <w:tab/>
        <w:t>(a)</w:t>
      </w:r>
      <w:r>
        <w:tab/>
        <w:t xml:space="preserve">a publication, within the meaning of the </w:t>
      </w:r>
      <w:r>
        <w:rPr>
          <w:i/>
        </w:rPr>
        <w:t>Classification (Publications, Films and Computer Games) Act 1995</w:t>
      </w:r>
      <w:r>
        <w:t xml:space="preserve"> (Commonwealth), that has been classified or reclassified </w:t>
      </w:r>
      <w:r>
        <w:rPr>
          <w:szCs w:val="24"/>
        </w:rPr>
        <w:t>RC (refused classification), Category 1 restricted or Category 2 restricted under that Act; or</w:t>
      </w:r>
    </w:p>
    <w:p>
      <w:pPr>
        <w:pStyle w:val="Defpara"/>
      </w:pPr>
      <w:r>
        <w:tab/>
        <w:t>(b)</w:t>
      </w:r>
      <w:r>
        <w:tab/>
        <w:t>a film, within the meaning of that Act, that has been classified or reclassified RC (refused classification), X 18+ or R 18+ under that Act; or</w:t>
      </w:r>
    </w:p>
    <w:p>
      <w:pPr>
        <w:pStyle w:val="Defpara"/>
      </w:pPr>
      <w:r>
        <w:tab/>
        <w:t>(c)</w:t>
      </w:r>
      <w:r>
        <w:tab/>
        <w:t>a computer game, within the meaning of that Act, that has been classified or reclassified RC (refused classification) under that Act.</w:t>
      </w:r>
    </w:p>
    <w:p>
      <w:pPr>
        <w:pStyle w:val="Subsection"/>
      </w:pPr>
      <w:r>
        <w:tab/>
        <w:t>(2)</w:t>
      </w:r>
      <w:r>
        <w:tab/>
        <w:t>For the purpose of determining whether or not entertainment is continuous, no account is to be taken of reasonable intervals between acts, or between the performances of persons, as long as substantial compliance with the requirement for continuity is observed.</w:t>
      </w:r>
    </w:p>
    <w:p>
      <w:pPr>
        <w:pStyle w:val="Subsection"/>
      </w:pPr>
      <w:r>
        <w:tab/>
        <w:t>(3)</w:t>
      </w:r>
      <w:r>
        <w:tab/>
        <w:t xml:space="preserve">For the purposes of subregulation (4)(e)(i), a person has a </w:t>
      </w:r>
      <w:r>
        <w:rPr>
          <w:rStyle w:val="CharDefText"/>
        </w:rPr>
        <w:t>current negative determination</w:t>
      </w:r>
      <w:r>
        <w:t xml:space="preserve"> if a negative determination has at any time been made in relation to that person, unless since that negative determination was made — </w:t>
      </w:r>
    </w:p>
    <w:p>
      <w:pPr>
        <w:pStyle w:val="Indenta"/>
      </w:pPr>
      <w:r>
        <w:tab/>
        <w:t>(a)</w:t>
      </w:r>
      <w:r>
        <w:tab/>
        <w:t xml:space="preserve">an application of any of the kinds mentioned in the definition of </w:t>
      </w:r>
      <w:r>
        <w:rPr>
          <w:b/>
          <w:i/>
        </w:rPr>
        <w:t>negative determination</w:t>
      </w:r>
      <w:r>
        <w:t xml:space="preserve"> in subregulation (1) has been made to the licensing authority; and</w:t>
      </w:r>
    </w:p>
    <w:p>
      <w:pPr>
        <w:pStyle w:val="Indenta"/>
        <w:keepLines/>
      </w:pPr>
      <w:r>
        <w:tab/>
        <w:t>(b)</w:t>
      </w:r>
      <w:r>
        <w:tab/>
        <w:t>the determination of the application required the licensing authority to determine whether or not the person was a fit and proper person in relation to a matter relevant to the application; and</w:t>
      </w:r>
    </w:p>
    <w:p>
      <w:pPr>
        <w:pStyle w:val="Indenta"/>
      </w:pPr>
      <w:r>
        <w:tab/>
        <w:t>(c)</w:t>
      </w:r>
      <w:r>
        <w:tab/>
        <w:t>the application was granted.</w:t>
      </w:r>
    </w:p>
    <w:p>
      <w:pPr>
        <w:pStyle w:val="Subsection"/>
        <w:keepNext/>
      </w:pPr>
      <w:r>
        <w:tab/>
        <w:t>(4)</w:t>
      </w:r>
      <w:r>
        <w:tab/>
        <w:t xml:space="preserve">The consumption of liquor by a person who is at least 18 years of age is exempted from the application of the Act if — </w:t>
      </w:r>
    </w:p>
    <w:p>
      <w:pPr>
        <w:pStyle w:val="Indenta"/>
      </w:pPr>
      <w:r>
        <w:tab/>
        <w:t>(a)</w:t>
      </w:r>
      <w:r>
        <w:tab/>
        <w:t>the liquor is consumed on premises while live entertainment is being provided on the premises; and</w:t>
      </w:r>
    </w:p>
    <w:p>
      <w:pPr>
        <w:pStyle w:val="Indenta"/>
      </w:pPr>
      <w:r>
        <w:tab/>
        <w:t>(b)</w:t>
      </w:r>
      <w:r>
        <w:tab/>
        <w:t>the primary purpose of the premises is to facilitate the provision of live entertainment; and</w:t>
      </w:r>
    </w:p>
    <w:p>
      <w:pPr>
        <w:pStyle w:val="Indenta"/>
      </w:pPr>
      <w:r>
        <w:tab/>
        <w:t>(c)</w:t>
      </w:r>
      <w:r>
        <w:tab/>
        <w:t>the consumption of liquor on the premises is ancillary to the live entertainment being provided; and</w:t>
      </w:r>
    </w:p>
    <w:p>
      <w:pPr>
        <w:pStyle w:val="Indenta"/>
      </w:pPr>
      <w:r>
        <w:tab/>
        <w:t>(d)</w:t>
      </w:r>
      <w:r>
        <w:tab/>
        <w:t>the person in charge of the premises notifies the Director, in the form and manner approved by the Director and at least 14 days before that person first intends to rely on the exemption conferred by this regulation to permit the consumption of liquor on the premises, that liquor is to be consumed on the premises in reliance on the exemption conferred by this regulation; and</w:t>
      </w:r>
    </w:p>
    <w:p>
      <w:pPr>
        <w:pStyle w:val="Indenta"/>
      </w:pPr>
      <w:r>
        <w:tab/>
        <w:t>(e)</w:t>
      </w:r>
      <w:r>
        <w:tab/>
        <w:t xml:space="preserve">neither the person in charge of the premises, nor any person who is an employee, contractor or agent of that person and is providing services on the premises — </w:t>
      </w:r>
    </w:p>
    <w:p>
      <w:pPr>
        <w:pStyle w:val="Indenti"/>
      </w:pPr>
      <w:r>
        <w:tab/>
        <w:t>(i)</w:t>
      </w:r>
      <w:r>
        <w:tab/>
        <w:t>has a current negative determination; or</w:t>
      </w:r>
    </w:p>
    <w:p>
      <w:pPr>
        <w:pStyle w:val="Indenti"/>
      </w:pPr>
      <w:r>
        <w:tab/>
        <w:t>(ii)</w:t>
      </w:r>
      <w:r>
        <w:tab/>
        <w:t>is the holder of a licence or protection order the operation of which is suspended under section 96(1)(d) or (4); or</w:t>
      </w:r>
    </w:p>
    <w:p>
      <w:pPr>
        <w:pStyle w:val="Indenti"/>
      </w:pPr>
      <w:r>
        <w:tab/>
        <w:t>(iii)</w:t>
      </w:r>
      <w:r>
        <w:tab/>
        <w:t>has had a licence or protection order held by the person cancelled under section 96(1)(e) or (4), unless since that cancellation the person has been granted a licence or protection order; or</w:t>
      </w:r>
    </w:p>
    <w:p>
      <w:pPr>
        <w:pStyle w:val="Indenti"/>
        <w:keepNext/>
      </w:pPr>
      <w:r>
        <w:tab/>
        <w:t>(iv)</w:t>
      </w:r>
      <w:r>
        <w:tab/>
        <w:t>is disqualified under section 96(1)(f) from holding a licence; or</w:t>
      </w:r>
    </w:p>
    <w:p>
      <w:pPr>
        <w:pStyle w:val="Indenti"/>
      </w:pPr>
      <w:r>
        <w:tab/>
        <w:t>(v)</w:t>
      </w:r>
      <w:r>
        <w:tab/>
        <w:t>is disqualified under section 96(1)(g)(i) from being the holder of a position of authority in a body corporate that holds a licence; or</w:t>
      </w:r>
    </w:p>
    <w:p>
      <w:pPr>
        <w:pStyle w:val="Indenti"/>
      </w:pPr>
      <w:r>
        <w:tab/>
        <w:t>(vi)</w:t>
      </w:r>
      <w:r>
        <w:tab/>
        <w:t>is disqualified under section 96(1)(g)(ii) from being interested in, or in the profits or proceeds of, a business carried on under a licence; or</w:t>
      </w:r>
    </w:p>
    <w:p>
      <w:pPr>
        <w:pStyle w:val="Indenti"/>
      </w:pPr>
      <w:r>
        <w:tab/>
        <w:t>(vii)</w:t>
      </w:r>
      <w:r>
        <w:tab/>
        <w:t xml:space="preserve">has had the approval of the person as a manager revoked under section 102F(2)(a) or withdrawn (other than for a specified period) under the former section 35B (as in force immediately before its repeal by the </w:t>
      </w:r>
      <w:r>
        <w:rPr>
          <w:i/>
        </w:rPr>
        <w:t>Liquor Control Amendment Act 2010</w:t>
      </w:r>
      <w:r>
        <w:t xml:space="preserve"> section 8), unless since that revocation or withdrawal the person has been approved as a manager; or</w:t>
      </w:r>
    </w:p>
    <w:p>
      <w:pPr>
        <w:pStyle w:val="Indenti"/>
      </w:pPr>
      <w:r>
        <w:tab/>
        <w:t>(viii)</w:t>
      </w:r>
      <w:r>
        <w:tab/>
        <w:t>is an approved manager whose approval is suspended under section 102F(2)(b); or</w:t>
      </w:r>
    </w:p>
    <w:p>
      <w:pPr>
        <w:pStyle w:val="Indenti"/>
      </w:pPr>
      <w:r>
        <w:tab/>
        <w:t>(ix)</w:t>
      </w:r>
      <w:r>
        <w:tab/>
        <w:t>is the subject of a prohibition order made under section 152E;</w:t>
      </w:r>
    </w:p>
    <w:p>
      <w:pPr>
        <w:pStyle w:val="Indenta"/>
      </w:pPr>
      <w:r>
        <w:tab/>
      </w:r>
      <w:r>
        <w:tab/>
        <w:t>and</w:t>
      </w:r>
    </w:p>
    <w:p>
      <w:pPr>
        <w:pStyle w:val="Indenta"/>
      </w:pPr>
      <w:r>
        <w:tab/>
        <w:t>(f)</w:t>
      </w:r>
      <w:r>
        <w:tab/>
        <w:t>there are no more than 200 patrons on the premises at any one time; and</w:t>
      </w:r>
    </w:p>
    <w:p>
      <w:pPr>
        <w:pStyle w:val="Indenta"/>
      </w:pPr>
      <w:r>
        <w:tab/>
        <w:t>(g)</w:t>
      </w:r>
      <w:r>
        <w:tab/>
        <w:t>the person in charge of the premises is not a juvenile; and</w:t>
      </w:r>
    </w:p>
    <w:p>
      <w:pPr>
        <w:pStyle w:val="Indenta"/>
      </w:pPr>
      <w:r>
        <w:tab/>
        <w:t>(h)</w:t>
      </w:r>
      <w:r>
        <w:tab/>
        <w:t>juveniles (other than juveniles mentioned in subregulation (5)) are not allowed to enter or remain on the premises unless accompanied by, and under the supervision of, a responsible adult; and</w:t>
      </w:r>
    </w:p>
    <w:p>
      <w:pPr>
        <w:pStyle w:val="Indenta"/>
      </w:pPr>
      <w:r>
        <w:tab/>
        <w:t>(i)</w:t>
      </w:r>
      <w:r>
        <w:tab/>
        <w:t>water suitable for drinking is provided, free of charge, at all times when liquor is being consumed on the premises; and</w:t>
      </w:r>
    </w:p>
    <w:p>
      <w:pPr>
        <w:pStyle w:val="Indenta"/>
        <w:keepNext/>
      </w:pPr>
      <w:r>
        <w:tab/>
        <w:t>(j)</w:t>
      </w:r>
      <w:r>
        <w:tab/>
        <w:t>a drunk person is not allowed to consume liquor on the premises; and</w:t>
      </w:r>
    </w:p>
    <w:p>
      <w:pPr>
        <w:pStyle w:val="Indenta"/>
      </w:pPr>
      <w:r>
        <w:tab/>
        <w:t>(k)</w:t>
      </w:r>
      <w:r>
        <w:tab/>
        <w:t xml:space="preserve">neither the person in charge of the premises, nor any person who is an employee, contractor or agent of that person and is providing services on the premises, nor any person who is providing live entertainment on the premises — </w:t>
      </w:r>
    </w:p>
    <w:p>
      <w:pPr>
        <w:pStyle w:val="Indenti"/>
      </w:pPr>
      <w:r>
        <w:tab/>
        <w:t>(i)</w:t>
      </w:r>
      <w:r>
        <w:tab/>
        <w:t>is indecently dressed on the premises; or</w:t>
      </w:r>
    </w:p>
    <w:p>
      <w:pPr>
        <w:pStyle w:val="Indenti"/>
      </w:pPr>
      <w:r>
        <w:tab/>
        <w:t>(ii)</w:t>
      </w:r>
      <w:r>
        <w:tab/>
        <w:t>allows any other person to be indecently dressed on the premises; or</w:t>
      </w:r>
    </w:p>
    <w:p>
      <w:pPr>
        <w:pStyle w:val="Indenti"/>
      </w:pPr>
      <w:r>
        <w:tab/>
        <w:t>(iii)</w:t>
      </w:r>
      <w:r>
        <w:tab/>
        <w:t>takes part in, or allows any other person to take part in, any activity on the premises in an indecent manner; or</w:t>
      </w:r>
    </w:p>
    <w:p>
      <w:pPr>
        <w:pStyle w:val="Indenti"/>
      </w:pPr>
      <w:r>
        <w:tab/>
        <w:t>(iv)</w:t>
      </w:r>
      <w:r>
        <w:tab/>
        <w:t>shows or allows to be shown on the premises any restricted material or any extract from restricted material.</w:t>
      </w:r>
    </w:p>
    <w:p>
      <w:pPr>
        <w:pStyle w:val="Subsection"/>
      </w:pPr>
      <w:r>
        <w:tab/>
        <w:t>(5)</w:t>
      </w:r>
      <w:r>
        <w:tab/>
        <w:t xml:space="preserve">The juveniles to which subregulation (4)(h) does not apply are as follows — </w:t>
      </w:r>
    </w:p>
    <w:p>
      <w:pPr>
        <w:pStyle w:val="Indenta"/>
      </w:pPr>
      <w:r>
        <w:tab/>
        <w:t>(a)</w:t>
      </w:r>
      <w:r>
        <w:tab/>
        <w:t>a juvenile who is providing services on the premises (such as serving food or providing security);</w:t>
      </w:r>
    </w:p>
    <w:p>
      <w:pPr>
        <w:pStyle w:val="Indenta"/>
      </w:pPr>
      <w:r>
        <w:tab/>
        <w:t>(b)</w:t>
      </w:r>
      <w:r>
        <w:tab/>
        <w:t>a juvenile who is providing live entertainment on the premises, or assisting a person who is providing such entertainment.</w:t>
      </w:r>
    </w:p>
    <w:p>
      <w:pPr>
        <w:pStyle w:val="Footnotesection"/>
      </w:pPr>
      <w:r>
        <w:tab/>
        <w:t>[Regulation 8A inserted in Gazette 15 Jul 2011 p. 2956</w:t>
      </w:r>
      <w:r>
        <w:noBreakHyphen/>
        <w:t>60.]</w:t>
      </w:r>
    </w:p>
    <w:p>
      <w:pPr>
        <w:pStyle w:val="Heading5"/>
      </w:pPr>
      <w:bookmarkStart w:id="180" w:name="_Toc303323146"/>
      <w:bookmarkStart w:id="181" w:name="_Toc303926929"/>
      <w:r>
        <w:rPr>
          <w:rStyle w:val="CharSectno"/>
        </w:rPr>
        <w:t>8B</w:t>
      </w:r>
      <w:r>
        <w:t>.</w:t>
      </w:r>
      <w:r>
        <w:tab/>
        <w:t>Exemption: occasional functions</w:t>
      </w:r>
      <w:bookmarkEnd w:id="180"/>
      <w:bookmarkEnd w:id="181"/>
    </w:p>
    <w:p>
      <w:pPr>
        <w:pStyle w:val="Subsection"/>
      </w:pPr>
      <w:r>
        <w:tab/>
        <w:t>(1)</w:t>
      </w:r>
      <w:r>
        <w:tab/>
        <w:t xml:space="preserve">The sale or supply of liquor to a person who is at least 18 years of age is exempted from the application of the Act if — </w:t>
      </w:r>
    </w:p>
    <w:p>
      <w:pPr>
        <w:pStyle w:val="Indenta"/>
      </w:pPr>
      <w:r>
        <w:tab/>
        <w:t>(a)</w:t>
      </w:r>
      <w:r>
        <w:tab/>
        <w:t>the liquor is supplied at a function; and</w:t>
      </w:r>
    </w:p>
    <w:p>
      <w:pPr>
        <w:pStyle w:val="Indenta"/>
      </w:pPr>
      <w:r>
        <w:tab/>
        <w:t>(b)</w:t>
      </w:r>
      <w:r>
        <w:tab/>
        <w:t>the supply of liquor at the function is ancillary to the function; and</w:t>
      </w:r>
    </w:p>
    <w:p>
      <w:pPr>
        <w:pStyle w:val="Indenta"/>
        <w:keepNext/>
      </w:pPr>
      <w:r>
        <w:tab/>
        <w:t>(c)</w:t>
      </w:r>
      <w:r>
        <w:tab/>
        <w:t>the function starts not earlier than 6 a.m. on any day, and finishes not later than 10 p.m. on the same day; and</w:t>
      </w:r>
    </w:p>
    <w:p>
      <w:pPr>
        <w:pStyle w:val="Indenta"/>
        <w:keepNext/>
      </w:pPr>
      <w:r>
        <w:tab/>
        <w:t>(d)</w:t>
      </w:r>
      <w:r>
        <w:tab/>
        <w:t xml:space="preserve">either — </w:t>
      </w:r>
    </w:p>
    <w:p>
      <w:pPr>
        <w:pStyle w:val="Indenti"/>
      </w:pPr>
      <w:r>
        <w:tab/>
        <w:t>(i)</w:t>
      </w:r>
      <w:r>
        <w:tab/>
        <w:t>the total number of attendees over the course of the function does not exceed 100, and liquor is served during one continuous period not exceeding 2 hours; or</w:t>
      </w:r>
    </w:p>
    <w:p>
      <w:pPr>
        <w:pStyle w:val="Indenti"/>
      </w:pPr>
      <w:r>
        <w:tab/>
        <w:t>(ii)</w:t>
      </w:r>
      <w:r>
        <w:tab/>
        <w:t>the total number of attendees over the course of the function does not exceed 75, and liquor is served during one continuous period not exceeding 4 hours;</w:t>
      </w:r>
    </w:p>
    <w:p>
      <w:pPr>
        <w:pStyle w:val="Indenta"/>
      </w:pPr>
      <w:r>
        <w:tab/>
      </w:r>
      <w:r>
        <w:tab/>
        <w:t>and</w:t>
      </w:r>
    </w:p>
    <w:p>
      <w:pPr>
        <w:pStyle w:val="Indenta"/>
      </w:pPr>
      <w:r>
        <w:tab/>
        <w:t>(e)</w:t>
      </w:r>
      <w:r>
        <w:tab/>
        <w:t>liquor is not supplied at the function to a drunk person; and</w:t>
      </w:r>
    </w:p>
    <w:p>
      <w:pPr>
        <w:pStyle w:val="Indenta"/>
      </w:pPr>
      <w:r>
        <w:tab/>
        <w:t>(f)</w:t>
      </w:r>
      <w:r>
        <w:tab/>
        <w:t>a drunk person is not allowed to consume liquor at the function.</w:t>
      </w:r>
    </w:p>
    <w:p>
      <w:pPr>
        <w:pStyle w:val="Subsection"/>
      </w:pPr>
      <w:r>
        <w:tab/>
        <w:t>(2)</w:t>
      </w:r>
      <w:r>
        <w:tab/>
        <w:t xml:space="preserve">For the purposes of subregulation (1)(d), an </w:t>
      </w:r>
      <w:r>
        <w:rPr>
          <w:rStyle w:val="CharDefText"/>
        </w:rPr>
        <w:t>attendee</w:t>
      </w:r>
      <w:r>
        <w:t xml:space="preserve"> does not include a person who is at a function for the sole or principal purpose of — </w:t>
      </w:r>
    </w:p>
    <w:p>
      <w:pPr>
        <w:pStyle w:val="Indenta"/>
      </w:pPr>
      <w:r>
        <w:tab/>
        <w:t>(a)</w:t>
      </w:r>
      <w:r>
        <w:tab/>
        <w:t>managing or supervising the function; or</w:t>
      </w:r>
    </w:p>
    <w:p>
      <w:pPr>
        <w:pStyle w:val="Indenta"/>
      </w:pPr>
      <w:r>
        <w:tab/>
        <w:t>(b)</w:t>
      </w:r>
      <w:r>
        <w:tab/>
        <w:t>providing services at the function (such as serving food or liquor, or providing security); or</w:t>
      </w:r>
    </w:p>
    <w:p>
      <w:pPr>
        <w:pStyle w:val="Indenta"/>
      </w:pPr>
      <w:r>
        <w:tab/>
        <w:t>(c)</w:t>
      </w:r>
      <w:r>
        <w:tab/>
        <w:t>providing entertainment at the function, or assisting a person who is providing such entertainment.</w:t>
      </w:r>
    </w:p>
    <w:p>
      <w:pPr>
        <w:pStyle w:val="Footnotesection"/>
      </w:pPr>
      <w:r>
        <w:tab/>
        <w:t>[Regulation 8B inserted in Gazette 15 Jul 2011 p. 2960</w:t>
      </w:r>
      <w:r>
        <w:noBreakHyphen/>
        <w:t>1.]</w:t>
      </w:r>
    </w:p>
    <w:p>
      <w:pPr>
        <w:pStyle w:val="Heading5"/>
      </w:pPr>
      <w:bookmarkStart w:id="182" w:name="_Toc303323147"/>
      <w:bookmarkStart w:id="183" w:name="_Toc303926930"/>
      <w:r>
        <w:rPr>
          <w:rStyle w:val="CharSectno"/>
        </w:rPr>
        <w:t>8C</w:t>
      </w:r>
      <w:r>
        <w:t>.</w:t>
      </w:r>
      <w:r>
        <w:tab/>
        <w:t>Exemption: complimentary supply of liquor by business</w:t>
      </w:r>
      <w:bookmarkEnd w:id="182"/>
      <w:bookmarkEnd w:id="183"/>
    </w:p>
    <w:p>
      <w:pPr>
        <w:pStyle w:val="Subsection"/>
      </w:pPr>
      <w:r>
        <w:tab/>
        <w:t>(1)</w:t>
      </w:r>
      <w:r>
        <w:tab/>
        <w:t xml:space="preserve">In this regulation — </w:t>
      </w:r>
    </w:p>
    <w:p>
      <w:pPr>
        <w:pStyle w:val="Defstart"/>
      </w:pPr>
      <w:r>
        <w:tab/>
      </w:r>
      <w:r>
        <w:rPr>
          <w:rStyle w:val="CharDefText"/>
        </w:rPr>
        <w:t>standard drink</w:t>
      </w:r>
      <w:r>
        <w:t xml:space="preserve"> means a drink containing not more than 10 g of ethanol measured at 20°C.</w:t>
      </w:r>
    </w:p>
    <w:p>
      <w:pPr>
        <w:pStyle w:val="Subsection"/>
        <w:keepNext/>
      </w:pPr>
      <w:r>
        <w:tab/>
        <w:t>(2)</w:t>
      </w:r>
      <w:r>
        <w:tab/>
        <w:t xml:space="preserve">The sale or supply of liquor to a person who is at least 18 years of age is exempted from the application of the Act if — </w:t>
      </w:r>
    </w:p>
    <w:p>
      <w:pPr>
        <w:pStyle w:val="Indenta"/>
      </w:pPr>
      <w:r>
        <w:tab/>
        <w:t>(a)</w:t>
      </w:r>
      <w:r>
        <w:tab/>
        <w:t>the liquor is supplied by a person who carries on a business, or by an employee, contractor or agent of such a person; and</w:t>
      </w:r>
    </w:p>
    <w:p>
      <w:pPr>
        <w:pStyle w:val="Indenta"/>
      </w:pPr>
      <w:r>
        <w:tab/>
        <w:t>(b)</w:t>
      </w:r>
      <w:r>
        <w:tab/>
        <w:t>the liquor is supplied to a customer of the business; and</w:t>
      </w:r>
    </w:p>
    <w:p>
      <w:pPr>
        <w:pStyle w:val="Indenta"/>
        <w:keepNext/>
      </w:pPr>
      <w:r>
        <w:tab/>
        <w:t>(c)</w:t>
      </w:r>
      <w:r>
        <w:tab/>
        <w:t xml:space="preserve">the supply of the liquor — </w:t>
      </w:r>
    </w:p>
    <w:p>
      <w:pPr>
        <w:pStyle w:val="Indenti"/>
      </w:pPr>
      <w:r>
        <w:tab/>
        <w:t>(i)</w:t>
      </w:r>
      <w:r>
        <w:tab/>
        <w:t>is ancillary to the business; and</w:t>
      </w:r>
    </w:p>
    <w:p>
      <w:pPr>
        <w:pStyle w:val="Indenti"/>
      </w:pPr>
      <w:r>
        <w:tab/>
        <w:t>(ii)</w:t>
      </w:r>
      <w:r>
        <w:tab/>
        <w:t>is without charge; and</w:t>
      </w:r>
    </w:p>
    <w:p>
      <w:pPr>
        <w:pStyle w:val="Indenti"/>
      </w:pPr>
      <w:r>
        <w:tab/>
        <w:t>(iii)</w:t>
      </w:r>
      <w:r>
        <w:tab/>
        <w:t>takes place on the business premises;</w:t>
      </w:r>
    </w:p>
    <w:p>
      <w:pPr>
        <w:pStyle w:val="Indenta"/>
      </w:pPr>
      <w:r>
        <w:tab/>
      </w:r>
      <w:r>
        <w:tab/>
        <w:t>and</w:t>
      </w:r>
    </w:p>
    <w:p>
      <w:pPr>
        <w:pStyle w:val="Indenta"/>
      </w:pPr>
      <w:r>
        <w:tab/>
        <w:t>(d)</w:t>
      </w:r>
      <w:r>
        <w:tab/>
        <w:t xml:space="preserve">the quantity of liquor that is supplied to the customer on those business premises on any one day is either — </w:t>
      </w:r>
    </w:p>
    <w:p>
      <w:pPr>
        <w:pStyle w:val="Indenti"/>
      </w:pPr>
      <w:r>
        <w:tab/>
        <w:t>(i)</w:t>
      </w:r>
      <w:r>
        <w:tab/>
        <w:t>not more than 2 standard drinks for consumption by the customer on those premises; or</w:t>
      </w:r>
    </w:p>
    <w:p>
      <w:pPr>
        <w:pStyle w:val="Indenti"/>
      </w:pPr>
      <w:r>
        <w:tab/>
        <w:t>(ii)</w:t>
      </w:r>
      <w:r>
        <w:tab/>
        <w:t>not more than one litre in aggregate, in one or more sealed containers, for consumption off those premises;</w:t>
      </w:r>
    </w:p>
    <w:p>
      <w:pPr>
        <w:pStyle w:val="Indenta"/>
      </w:pPr>
      <w:r>
        <w:tab/>
      </w:r>
      <w:r>
        <w:tab/>
        <w:t>and</w:t>
      </w:r>
    </w:p>
    <w:p>
      <w:pPr>
        <w:pStyle w:val="Indenta"/>
      </w:pPr>
      <w:r>
        <w:tab/>
        <w:t>(e)</w:t>
      </w:r>
      <w:r>
        <w:tab/>
        <w:t>the liquor is not supplied to a drunk customer; and</w:t>
      </w:r>
    </w:p>
    <w:p>
      <w:pPr>
        <w:pStyle w:val="Indenta"/>
      </w:pPr>
      <w:r>
        <w:tab/>
        <w:t>(f)</w:t>
      </w:r>
      <w:r>
        <w:tab/>
        <w:t>a drunk customer is not allowed to consume the liquor on those business premises.</w:t>
      </w:r>
    </w:p>
    <w:p>
      <w:pPr>
        <w:pStyle w:val="Footnotesection"/>
      </w:pPr>
      <w:r>
        <w:tab/>
        <w:t>[Regulation 8C inserted in Gazette 15 Jul 2011 p. 2961</w:t>
      </w:r>
      <w:r>
        <w:noBreakHyphen/>
        <w:t>2.]</w:t>
      </w:r>
    </w:p>
    <w:p>
      <w:pPr>
        <w:pStyle w:val="Heading5"/>
        <w:spacing w:before="180"/>
      </w:pPr>
      <w:bookmarkStart w:id="184" w:name="_Toc303323148"/>
      <w:bookmarkStart w:id="185" w:name="_Toc303926931"/>
      <w:r>
        <w:rPr>
          <w:rStyle w:val="CharSectno"/>
        </w:rPr>
        <w:t>8D</w:t>
      </w:r>
      <w:r>
        <w:t>.</w:t>
      </w:r>
      <w:r>
        <w:tab/>
        <w:t>Exemption: farmers’ markets</w:t>
      </w:r>
      <w:bookmarkEnd w:id="184"/>
      <w:bookmarkEnd w:id="185"/>
    </w:p>
    <w:p>
      <w:pPr>
        <w:pStyle w:val="Subsection"/>
        <w:spacing w:before="120"/>
      </w:pPr>
      <w:r>
        <w:tab/>
        <w:t>(1)</w:t>
      </w:r>
      <w:r>
        <w:tab/>
        <w:t xml:space="preserve">In this regulation — </w:t>
      </w:r>
    </w:p>
    <w:p>
      <w:pPr>
        <w:pStyle w:val="Defstart"/>
      </w:pPr>
      <w:r>
        <w:tab/>
      </w:r>
      <w:r>
        <w:rPr>
          <w:rStyle w:val="CharDefText"/>
        </w:rPr>
        <w:t>agricultural region</w:t>
      </w:r>
      <w:r>
        <w:t xml:space="preserve"> — </w:t>
      </w:r>
    </w:p>
    <w:p>
      <w:pPr>
        <w:pStyle w:val="Defpara"/>
      </w:pPr>
      <w:r>
        <w:tab/>
        <w:t>(a)</w:t>
      </w:r>
      <w:r>
        <w:tab/>
        <w:t>means an area of the State in which the land use is primarily for primary production; and</w:t>
      </w:r>
    </w:p>
    <w:p>
      <w:pPr>
        <w:pStyle w:val="Defpara"/>
      </w:pPr>
      <w:r>
        <w:tab/>
        <w:t>(b)</w:t>
      </w:r>
      <w:r>
        <w:tab/>
        <w:t>includes any townsite within an area of that kind;</w:t>
      </w:r>
    </w:p>
    <w:p>
      <w:pPr>
        <w:pStyle w:val="Defstart"/>
        <w:rPr>
          <w:lang w:val="en-US"/>
        </w:rPr>
      </w:pPr>
      <w:r>
        <w:tab/>
      </w:r>
      <w:r>
        <w:rPr>
          <w:rStyle w:val="CharDefText"/>
        </w:rPr>
        <w:t>farmers’ market</w:t>
      </w:r>
      <w:r>
        <w:t xml:space="preserve"> means a market or fair </w:t>
      </w:r>
      <w:r>
        <w:rPr>
          <w:lang w:val="en-US"/>
        </w:rPr>
        <w:t>at which primary producers display and sell their products directly to the public;</w:t>
      </w:r>
    </w:p>
    <w:p>
      <w:pPr>
        <w:pStyle w:val="Defstart"/>
      </w:pPr>
      <w:r>
        <w:tab/>
      </w:r>
      <w:r>
        <w:rPr>
          <w:rStyle w:val="CharDefText"/>
        </w:rPr>
        <w:t>primary production</w:t>
      </w:r>
      <w:r>
        <w:t xml:space="preserve"> means agriculture, pastoral pursuits, horticulture, grazing, dairy farming, bee</w:t>
      </w:r>
      <w:r>
        <w:noBreakHyphen/>
        <w:t>keeping, orcharding, viticulture, silviculture or other similar farming activities;</w:t>
      </w:r>
    </w:p>
    <w:p>
      <w:pPr>
        <w:pStyle w:val="Defstart"/>
      </w:pPr>
      <w:r>
        <w:tab/>
      </w:r>
      <w:r>
        <w:rPr>
          <w:rStyle w:val="CharDefText"/>
        </w:rPr>
        <w:t>producers’ association</w:t>
      </w:r>
      <w:r>
        <w:t xml:space="preserve"> means any society, body, organisation or association, whether incorporated or not, the purpose of which, or one of the purposes of which, is to represent or promote, whether generally or within a particular area, the interests of producers of liquor or producers of one or more particular kinds of liquor.</w:t>
      </w:r>
    </w:p>
    <w:p>
      <w:pPr>
        <w:pStyle w:val="Subsection"/>
      </w:pPr>
      <w:r>
        <w:tab/>
        <w:t>(2)</w:t>
      </w:r>
      <w:r>
        <w:tab/>
        <w:t xml:space="preserve">The sale or supply of liquor to a person who is at least 18 years of age is exempted from the application of the Act if — </w:t>
      </w:r>
    </w:p>
    <w:p>
      <w:pPr>
        <w:pStyle w:val="Indenta"/>
      </w:pPr>
      <w:r>
        <w:tab/>
        <w:t>(a)</w:t>
      </w:r>
      <w:r>
        <w:tab/>
        <w:t>the liquor is sold or supplied from a stall at a farmers’ market held in an agricultural region; and</w:t>
      </w:r>
    </w:p>
    <w:p>
      <w:pPr>
        <w:pStyle w:val="Indenta"/>
      </w:pPr>
      <w:r>
        <w:tab/>
        <w:t>(b)</w:t>
      </w:r>
      <w:r>
        <w:tab/>
        <w:t>the stall is provided by a producers’ association for the benefit of 2 or more producers of liquor; and</w:t>
      </w:r>
    </w:p>
    <w:p>
      <w:pPr>
        <w:pStyle w:val="Indenta"/>
      </w:pPr>
      <w:r>
        <w:tab/>
        <w:t>(c)</w:t>
      </w:r>
      <w:r>
        <w:tab/>
        <w:t>the liquor supplied or sold has been produced by the producers for whose benefit the stall is provided; and</w:t>
      </w:r>
    </w:p>
    <w:p>
      <w:pPr>
        <w:pStyle w:val="Indenta"/>
      </w:pPr>
      <w:r>
        <w:tab/>
        <w:t>(d)</w:t>
      </w:r>
      <w:r>
        <w:tab/>
        <w:t xml:space="preserve">the liquor is sold or supplied from the stall — </w:t>
      </w:r>
    </w:p>
    <w:p>
      <w:pPr>
        <w:pStyle w:val="Indenti"/>
      </w:pPr>
      <w:r>
        <w:tab/>
        <w:t>(i)</w:t>
      </w:r>
      <w:r>
        <w:tab/>
        <w:t>by way of free sample for consumption at the farmers’ market; or</w:t>
      </w:r>
    </w:p>
    <w:p>
      <w:pPr>
        <w:pStyle w:val="Indenti"/>
      </w:pPr>
      <w:r>
        <w:tab/>
        <w:t>(ii)</w:t>
      </w:r>
      <w:r>
        <w:tab/>
        <w:t>in an aggregate quantity of not more than 2.5 L to any one person on any one day, in one or more sealed containers, for consumption away from the farmers’ market; or</w:t>
      </w:r>
    </w:p>
    <w:p>
      <w:pPr>
        <w:pStyle w:val="Indenti"/>
      </w:pPr>
      <w:r>
        <w:tab/>
        <w:t>(iii)</w:t>
      </w:r>
      <w:r>
        <w:tab/>
        <w:t>by way of an order taken for the sale or supply of liquor at a future date;</w:t>
      </w:r>
    </w:p>
    <w:p>
      <w:pPr>
        <w:pStyle w:val="Indenta"/>
      </w:pPr>
      <w:r>
        <w:tab/>
      </w:r>
      <w:r>
        <w:tab/>
        <w:t>and</w:t>
      </w:r>
    </w:p>
    <w:p>
      <w:pPr>
        <w:pStyle w:val="Indenta"/>
      </w:pPr>
      <w:r>
        <w:tab/>
        <w:t>(e)</w:t>
      </w:r>
      <w:r>
        <w:tab/>
        <w:t>the liquor is not sold or supplied to a drunk person; and</w:t>
      </w:r>
    </w:p>
    <w:p>
      <w:pPr>
        <w:pStyle w:val="Indenta"/>
        <w:keepLines/>
      </w:pPr>
      <w:r>
        <w:tab/>
        <w:t>(f)</w:t>
      </w:r>
      <w:r>
        <w:tab/>
        <w:t>a drunk person is not allowed to consume the liquor in the area immediately surrounding the stall in which customers of the stall congregate to sample or purchase liquor from the stall.</w:t>
      </w:r>
    </w:p>
    <w:p>
      <w:pPr>
        <w:pStyle w:val="Footnotesection"/>
      </w:pPr>
      <w:r>
        <w:tab/>
        <w:t>[Regulation 8D inserted in Gazette 15 Jul 2011 p. 2962</w:t>
      </w:r>
      <w:r>
        <w:noBreakHyphen/>
        <w:t>3.]</w:t>
      </w:r>
    </w:p>
    <w:p>
      <w:pPr>
        <w:pStyle w:val="Heading5"/>
      </w:pPr>
      <w:bookmarkStart w:id="186" w:name="_Toc303323149"/>
      <w:bookmarkStart w:id="187" w:name="_Toc303926932"/>
      <w:r>
        <w:rPr>
          <w:rStyle w:val="CharSectno"/>
        </w:rPr>
        <w:t>8E</w:t>
      </w:r>
      <w:r>
        <w:t>.</w:t>
      </w:r>
      <w:r>
        <w:tab/>
        <w:t>Exemption: organisers of functions on licensed premises</w:t>
      </w:r>
      <w:bookmarkEnd w:id="186"/>
      <w:bookmarkEnd w:id="187"/>
    </w:p>
    <w:p>
      <w:pPr>
        <w:pStyle w:val="Subsection"/>
      </w:pPr>
      <w:r>
        <w:tab/>
        <w:t>(1)</w:t>
      </w:r>
      <w:r>
        <w:tab/>
        <w:t xml:space="preserve">In this regulation — </w:t>
      </w:r>
    </w:p>
    <w:p>
      <w:pPr>
        <w:pStyle w:val="Defstart"/>
      </w:pPr>
      <w:r>
        <w:tab/>
      </w:r>
      <w:r>
        <w:rPr>
          <w:rStyle w:val="CharDefText"/>
        </w:rPr>
        <w:t>authorised arrangement</w:t>
      </w:r>
      <w:r>
        <w:t xml:space="preserve"> means an arrangement — </w:t>
      </w:r>
    </w:p>
    <w:p>
      <w:pPr>
        <w:pStyle w:val="Defpara"/>
      </w:pPr>
      <w:r>
        <w:tab/>
        <w:t>(a)</w:t>
      </w:r>
      <w:r>
        <w:tab/>
        <w:t>that is between the organiser of a function and the licensee of the licensed premises on which the function is to be held; and</w:t>
      </w:r>
    </w:p>
    <w:p>
      <w:pPr>
        <w:pStyle w:val="Defpara"/>
      </w:pPr>
      <w:r>
        <w:tab/>
        <w:t>(b)</w:t>
      </w:r>
      <w:r>
        <w:tab/>
        <w:t xml:space="preserve">under which — </w:t>
      </w:r>
    </w:p>
    <w:p>
      <w:pPr>
        <w:pStyle w:val="Defsubpara"/>
      </w:pPr>
      <w:r>
        <w:tab/>
        <w:t>(i)</w:t>
      </w:r>
      <w:r>
        <w:tab/>
        <w:t>the licensee is to provide the venue, food and liquor for the function for a fixed price to the organiser; and</w:t>
      </w:r>
    </w:p>
    <w:p>
      <w:pPr>
        <w:pStyle w:val="Defsubpara"/>
      </w:pPr>
      <w:r>
        <w:tab/>
        <w:t>(ii)</w:t>
      </w:r>
      <w:r>
        <w:tab/>
        <w:t>the organiser is to arrange for the function to be advertised to the public and for the sale of tickets for the function;</w:t>
      </w:r>
    </w:p>
    <w:p>
      <w:pPr>
        <w:pStyle w:val="Defpara"/>
      </w:pPr>
      <w:r>
        <w:tab/>
      </w:r>
      <w:r>
        <w:tab/>
        <w:t>and</w:t>
      </w:r>
    </w:p>
    <w:p>
      <w:pPr>
        <w:pStyle w:val="Defpara"/>
      </w:pPr>
      <w:r>
        <w:tab/>
        <w:t>(c)</w:t>
      </w:r>
      <w:r>
        <w:tab/>
        <w:t>that is approved under section 104;</w:t>
      </w:r>
    </w:p>
    <w:p>
      <w:pPr>
        <w:pStyle w:val="Defstart"/>
      </w:pPr>
      <w:r>
        <w:tab/>
      </w:r>
      <w:r>
        <w:rPr>
          <w:rStyle w:val="CharDefText"/>
        </w:rPr>
        <w:t>organised function</w:t>
      </w:r>
      <w:r>
        <w:t xml:space="preserve"> means a function — </w:t>
      </w:r>
    </w:p>
    <w:p>
      <w:pPr>
        <w:pStyle w:val="Defpara"/>
      </w:pPr>
      <w:r>
        <w:tab/>
        <w:t>(a)</w:t>
      </w:r>
      <w:r>
        <w:tab/>
        <w:t>that is held on licensed premises (other than premises to which a club licence applies); and</w:t>
      </w:r>
    </w:p>
    <w:p>
      <w:pPr>
        <w:pStyle w:val="Defpara"/>
      </w:pPr>
      <w:r>
        <w:tab/>
        <w:t>(b)</w:t>
      </w:r>
      <w:r>
        <w:tab/>
        <w:t>that is held under an authorised arrangement; and</w:t>
      </w:r>
    </w:p>
    <w:p>
      <w:pPr>
        <w:pStyle w:val="Defpara"/>
      </w:pPr>
      <w:r>
        <w:tab/>
        <w:t>(c)</w:t>
      </w:r>
      <w:r>
        <w:tab/>
        <w:t>the price of a ticket for which includes admission to the function as well as the provision of liquor, food and entertainment during the function; and</w:t>
      </w:r>
    </w:p>
    <w:p>
      <w:pPr>
        <w:pStyle w:val="Defpara"/>
      </w:pPr>
      <w:r>
        <w:tab/>
        <w:t>(d)</w:t>
      </w:r>
      <w:r>
        <w:tab/>
        <w:t>all advertising for which includes a reference to the terms of the licence under which the supply of liquor at the function is authorised.</w:t>
      </w:r>
    </w:p>
    <w:p>
      <w:pPr>
        <w:pStyle w:val="Subsection"/>
      </w:pPr>
      <w:r>
        <w:tab/>
        <w:t>(2)</w:t>
      </w:r>
      <w:r>
        <w:tab/>
        <w:t>The sale or supply of liquor by the organiser of an organised function to a person who attends the function and is at least 18 years of age is exempted from the application of the Act.</w:t>
      </w:r>
    </w:p>
    <w:p>
      <w:pPr>
        <w:pStyle w:val="Footnotesection"/>
      </w:pPr>
      <w:r>
        <w:tab/>
        <w:t>[Regulation 8E inserted in Gazette 15 Jul 2011 p. 2963</w:t>
      </w:r>
      <w:r>
        <w:noBreakHyphen/>
        <w:t>4.]</w:t>
      </w:r>
    </w:p>
    <w:p>
      <w:pPr>
        <w:pStyle w:val="Heading5"/>
      </w:pPr>
      <w:bookmarkStart w:id="188" w:name="_Toc303323150"/>
      <w:bookmarkStart w:id="189" w:name="_Toc303926933"/>
      <w:r>
        <w:rPr>
          <w:rStyle w:val="CharSectno"/>
        </w:rPr>
        <w:t>8F</w:t>
      </w:r>
      <w:r>
        <w:t>.</w:t>
      </w:r>
      <w:r>
        <w:tab/>
        <w:t>Exemption: small charter vehicles</w:t>
      </w:r>
      <w:bookmarkEnd w:id="188"/>
      <w:bookmarkEnd w:id="189"/>
    </w:p>
    <w:p>
      <w:pPr>
        <w:pStyle w:val="Subsection"/>
        <w:keepNext/>
        <w:keepLines/>
      </w:pPr>
      <w:r>
        <w:tab/>
        <w:t>(1)</w:t>
      </w:r>
      <w:r>
        <w:tab/>
        <w:t xml:space="preserve">In this regulation — </w:t>
      </w:r>
    </w:p>
    <w:p>
      <w:pPr>
        <w:pStyle w:val="Defstart"/>
      </w:pPr>
      <w:r>
        <w:tab/>
      </w:r>
      <w:r>
        <w:rPr>
          <w:rStyle w:val="CharDefText"/>
        </w:rPr>
        <w:t>country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section 47ZD to be operated as a taxi</w:t>
      </w:r>
      <w:r>
        <w:noBreakHyphen/>
        <w:t xml:space="preserve">car, with the following conditions (or conditions to the same effect) attached to the licence — </w:t>
      </w:r>
    </w:p>
    <w:p>
      <w:pPr>
        <w:pStyle w:val="Defsubpara"/>
      </w:pPr>
      <w:r>
        <w:tab/>
        <w:t>(i)</w:t>
      </w:r>
      <w:r>
        <w:tab/>
        <w:t>that the vehicle must not have a taximeter fitted to it;</w:t>
      </w:r>
    </w:p>
    <w:p>
      <w:pPr>
        <w:pStyle w:val="Defsubpara"/>
      </w:pPr>
      <w:r>
        <w:tab/>
        <w:t>(ii)</w:t>
      </w:r>
      <w:r>
        <w:tab/>
        <w:t>that the vehicle must not display taxi signs;</w:t>
      </w:r>
    </w:p>
    <w:p>
      <w:pPr>
        <w:pStyle w:val="Defsubpara"/>
      </w:pPr>
      <w:r>
        <w:tab/>
        <w:t>(iii)</w:t>
      </w:r>
      <w:r>
        <w:tab/>
        <w:t>that the vehicle must not be operated from taxi ranks, in plying for hire, or in soliciting passengers on roads or other public places for the purpose of hiring;</w:t>
      </w:r>
    </w:p>
    <w:p>
      <w:pPr>
        <w:pStyle w:val="Defstart"/>
      </w:pPr>
      <w:r>
        <w:tab/>
      </w:r>
      <w:r>
        <w:rPr>
          <w:rStyle w:val="CharDefText"/>
        </w:rPr>
        <w:t>function</w:t>
      </w:r>
      <w:r>
        <w:t xml:space="preserve"> means a gathering, occasion or event;</w:t>
      </w:r>
    </w:p>
    <w:p>
      <w:pPr>
        <w:pStyle w:val="Defstart"/>
      </w:pPr>
      <w:r>
        <w:tab/>
      </w:r>
      <w:r>
        <w:rPr>
          <w:rStyle w:val="CharDefText"/>
        </w:rPr>
        <w:t>responsible adult</w:t>
      </w:r>
      <w:r>
        <w:t xml:space="preserve"> has the meaning given in section 125(2)(b);</w:t>
      </w:r>
    </w:p>
    <w:p>
      <w:pPr>
        <w:pStyle w:val="Defstart"/>
      </w:pPr>
      <w:r>
        <w:tab/>
      </w:r>
      <w:r>
        <w:rPr>
          <w:rStyle w:val="CharDefText"/>
        </w:rPr>
        <w:t>school</w:t>
      </w:r>
      <w:r>
        <w:t xml:space="preserve"> has the meaning given in the </w:t>
      </w:r>
      <w:r>
        <w:rPr>
          <w:i/>
        </w:rPr>
        <w:t>School Education Act 1999</w:t>
      </w:r>
      <w:r>
        <w:t xml:space="preserve"> section 4;</w:t>
      </w:r>
    </w:p>
    <w:p>
      <w:pPr>
        <w:pStyle w:val="Defstart"/>
      </w:pPr>
      <w:r>
        <w:tab/>
      </w:r>
      <w:r>
        <w:rPr>
          <w:rStyle w:val="CharDefText"/>
        </w:rPr>
        <w:t>small charter vehicle</w:t>
      </w:r>
      <w:r>
        <w:t xml:space="preserve"> means a vehicle — </w:t>
      </w:r>
    </w:p>
    <w:p>
      <w:pPr>
        <w:pStyle w:val="Defpara"/>
      </w:pPr>
      <w:r>
        <w:tab/>
        <w:t>(a)</w:t>
      </w:r>
      <w:r>
        <w:tab/>
        <w:t>that is equipped to carry a maximum of 14 adult passengers (excluding the driver); and</w:t>
      </w:r>
    </w:p>
    <w:p>
      <w:pPr>
        <w:pStyle w:val="Defpara"/>
      </w:pPr>
      <w:r>
        <w:tab/>
        <w:t>(b)</w:t>
      </w:r>
      <w:r>
        <w:tab/>
        <w:t xml:space="preserve">that is licensed under the </w:t>
      </w:r>
      <w:r>
        <w:rPr>
          <w:i/>
        </w:rPr>
        <w:t>Transport Co</w:t>
      </w:r>
      <w:r>
        <w:rPr>
          <w:i/>
        </w:rPr>
        <w:noBreakHyphen/>
        <w:t>ordination Act 1966</w:t>
      </w:r>
      <w:r>
        <w:t xml:space="preserve"> to be operated as an omnibus; and</w:t>
      </w:r>
    </w:p>
    <w:p>
      <w:pPr>
        <w:pStyle w:val="Defpara"/>
        <w:keepNext/>
      </w:pPr>
      <w:r>
        <w:tab/>
        <w:t>(c)</w:t>
      </w:r>
      <w:r>
        <w:tab/>
        <w:t xml:space="preserve">that has fixed to it number plates that — </w:t>
      </w:r>
    </w:p>
    <w:p>
      <w:pPr>
        <w:pStyle w:val="Defsubpara"/>
      </w:pPr>
      <w:r>
        <w:tab/>
        <w:t>(i)</w:t>
      </w:r>
      <w:r>
        <w:tab/>
        <w:t>are issued under section 32A of that Act in respect of that vehicle; and</w:t>
      </w:r>
    </w:p>
    <w:p>
      <w:pPr>
        <w:pStyle w:val="Defsubpara"/>
      </w:pPr>
      <w:r>
        <w:tab/>
        <w:t>(ii)</w:t>
      </w:r>
      <w:r>
        <w:tab/>
        <w:t>include the words “small charter vehicle” and either the words “</w:t>
      </w:r>
      <w:smartTag w:uri="urn:schemas-microsoft-com:office:smarttags" w:element="place">
        <w:smartTag w:uri="urn:schemas-microsoft-com:office:smarttags" w:element="State">
          <w:r>
            <w:t>Western Australia</w:t>
          </w:r>
        </w:smartTag>
      </w:smartTag>
      <w:r>
        <w:t>” or the letters “WA”.</w:t>
      </w:r>
    </w:p>
    <w:p>
      <w:pPr>
        <w:pStyle w:val="Subsection"/>
      </w:pPr>
      <w:r>
        <w:tab/>
        <w:t>(2)</w:t>
      </w:r>
      <w:r>
        <w:tab/>
        <w:t xml:space="preserve">The consumption of liquor by a person who is at least 18 years of age is exempted from the application of the Act if — </w:t>
      </w:r>
    </w:p>
    <w:p>
      <w:pPr>
        <w:pStyle w:val="Indenta"/>
      </w:pPr>
      <w:r>
        <w:tab/>
        <w:t>(a)</w:t>
      </w:r>
      <w:r>
        <w:tab/>
        <w:t>the liquor is consumed by the person while he or she is a passenger in a vehicle being operated as a country charter vehicle or a small charter vehicle; and</w:t>
      </w:r>
    </w:p>
    <w:p>
      <w:pPr>
        <w:pStyle w:val="Indenta"/>
      </w:pPr>
      <w:r>
        <w:tab/>
        <w:t>(b)</w:t>
      </w:r>
      <w:r>
        <w:tab/>
        <w:t>any juveniles in the vehicle are accompanied by, and under the supervision of, a responsible adult; and</w:t>
      </w:r>
    </w:p>
    <w:p>
      <w:pPr>
        <w:pStyle w:val="Indenta"/>
      </w:pPr>
      <w:r>
        <w:tab/>
        <w:t>(c)</w:t>
      </w:r>
      <w:r>
        <w:tab/>
        <w:t>the driver of the vehicle does not allow a drunk person to consume liquor in the vehicle.</w:t>
      </w:r>
    </w:p>
    <w:p>
      <w:pPr>
        <w:pStyle w:val="Subsection"/>
      </w:pPr>
      <w:r>
        <w:tab/>
        <w:t>(3)</w:t>
      </w:r>
      <w:r>
        <w:tab/>
        <w:t>The exemption conferred by subregulation (2) does not apply if the vehicle is under charter for the purposes of, or for purposes that include, taking one or more school students to or from a function organised, by or on behalf of a school, for students who attend the school (for example, a school ball), whether or not the function is held at the school and whether or not other persons also attend the function.</w:t>
      </w:r>
    </w:p>
    <w:p>
      <w:pPr>
        <w:pStyle w:val="Footnotesection"/>
      </w:pPr>
      <w:r>
        <w:tab/>
        <w:t>[Regulation 8F inserted in Gazette 15 Jul 2011 p. 2964</w:t>
      </w:r>
      <w:r>
        <w:noBreakHyphen/>
        <w:t>5.]</w:t>
      </w:r>
    </w:p>
    <w:p>
      <w:pPr>
        <w:pStyle w:val="Heading5"/>
        <w:rPr>
          <w:snapToGrid w:val="0"/>
        </w:rPr>
      </w:pPr>
      <w:bookmarkStart w:id="190" w:name="_Toc303323151"/>
      <w:bookmarkStart w:id="191" w:name="_Toc303926934"/>
      <w:r>
        <w:rPr>
          <w:rStyle w:val="CharSectno"/>
        </w:rPr>
        <w:t>9</w:t>
      </w:r>
      <w:r>
        <w:rPr>
          <w:snapToGrid w:val="0"/>
        </w:rPr>
        <w:t>.</w:t>
      </w:r>
      <w:r>
        <w:rPr>
          <w:snapToGrid w:val="0"/>
        </w:rPr>
        <w:tab/>
        <w:t>Persons who may take and administer oaths and affirmations</w:t>
      </w:r>
      <w:bookmarkEnd w:id="169"/>
      <w:bookmarkEnd w:id="170"/>
      <w:bookmarkEnd w:id="171"/>
      <w:bookmarkEnd w:id="172"/>
      <w:bookmarkEnd w:id="173"/>
      <w:bookmarkEnd w:id="174"/>
      <w:bookmarkEnd w:id="175"/>
      <w:bookmarkEnd w:id="176"/>
      <w:bookmarkEnd w:id="177"/>
      <w:bookmarkEnd w:id="178"/>
      <w:r>
        <w:rPr>
          <w:snapToGrid w:val="0"/>
        </w:rPr>
        <w:t xml:space="preserve"> (Act s. 18(3)(c))</w:t>
      </w:r>
      <w:bookmarkEnd w:id="179"/>
      <w:bookmarkEnd w:id="190"/>
      <w:bookmarkEnd w:id="191"/>
    </w:p>
    <w:p>
      <w:pPr>
        <w:pStyle w:val="Subsection"/>
        <w:spacing w:before="140"/>
        <w:rPr>
          <w:snapToGrid w:val="0"/>
        </w:rPr>
      </w:pPr>
      <w:r>
        <w:rPr>
          <w:snapToGrid w:val="0"/>
        </w:rPr>
        <w:tab/>
      </w:r>
      <w:r>
        <w:rPr>
          <w:snapToGrid w:val="0"/>
        </w:rPr>
        <w:tab/>
        <w:t>For the purposes of section 18(3)(c) the following persons are prescribed —</w:t>
      </w:r>
    </w:p>
    <w:p>
      <w:pPr>
        <w:pStyle w:val="Indenta"/>
      </w:pPr>
      <w:r>
        <w:tab/>
        <w:t>(a)</w:t>
      </w:r>
      <w:r>
        <w:tab/>
        <w:t>the chairperson or deputy chairperson; and</w:t>
      </w:r>
    </w:p>
    <w:p>
      <w:pPr>
        <w:pStyle w:val="Ednotepara"/>
        <w:spacing w:before="80"/>
        <w:ind w:left="1610" w:hanging="1610"/>
        <w:rPr>
          <w:snapToGrid w:val="0"/>
        </w:rPr>
      </w:pPr>
      <w:r>
        <w:rPr>
          <w:snapToGrid w:val="0"/>
        </w:rPr>
        <w:tab/>
        <w:t>[(b)</w:t>
      </w:r>
      <w:r>
        <w:rPr>
          <w:snapToGrid w:val="0"/>
        </w:rPr>
        <w:tab/>
        <w:t>deleted]</w:t>
      </w:r>
    </w:p>
    <w:p>
      <w:pPr>
        <w:pStyle w:val="Indenta"/>
        <w:rPr>
          <w:snapToGrid w:val="0"/>
        </w:rPr>
      </w:pPr>
      <w:r>
        <w:rPr>
          <w:snapToGrid w:val="0"/>
        </w:rPr>
        <w:tab/>
        <w:t>(c)</w:t>
      </w:r>
      <w:r>
        <w:rPr>
          <w:snapToGrid w:val="0"/>
        </w:rPr>
        <w:tab/>
        <w:t>the Director; and</w:t>
      </w:r>
    </w:p>
    <w:p>
      <w:pPr>
        <w:pStyle w:val="Indenta"/>
        <w:rPr>
          <w:snapToGrid w:val="0"/>
        </w:rPr>
      </w:pPr>
      <w:r>
        <w:rPr>
          <w:snapToGrid w:val="0"/>
        </w:rPr>
        <w:tab/>
        <w:t>(d)</w:t>
      </w:r>
      <w:r>
        <w:rPr>
          <w:snapToGrid w:val="0"/>
        </w:rPr>
        <w:tab/>
        <w:t xml:space="preserve">a </w:t>
      </w:r>
      <w:r>
        <w:t xml:space="preserve">court registrar </w:t>
      </w:r>
      <w:r>
        <w:rPr>
          <w:snapToGrid w:val="0"/>
        </w:rPr>
        <w:t>who is a person authorised by the Director under section 15(1)(b) to determine applications for the grant of occasional licences or the issue of extended trading permits.</w:t>
      </w:r>
    </w:p>
    <w:p>
      <w:pPr>
        <w:pStyle w:val="Footnotesection"/>
        <w:keepLines w:val="0"/>
        <w:spacing w:before="80"/>
        <w:ind w:left="890" w:hanging="890"/>
      </w:pPr>
      <w:r>
        <w:tab/>
        <w:t>[Regulation 9 amended in Gazette 22 May 1998 p. 2941; 28 Sep 2007 p. 4928.]</w:t>
      </w:r>
    </w:p>
    <w:p>
      <w:pPr>
        <w:pStyle w:val="Heading5"/>
      </w:pPr>
      <w:bookmarkStart w:id="192" w:name="_Toc519934569"/>
      <w:bookmarkStart w:id="193" w:name="_Toc534780032"/>
      <w:bookmarkStart w:id="194" w:name="_Toc3352039"/>
      <w:bookmarkStart w:id="195" w:name="_Toc3352114"/>
      <w:bookmarkStart w:id="196" w:name="_Toc22966216"/>
      <w:bookmarkStart w:id="197" w:name="_Toc66263822"/>
      <w:bookmarkStart w:id="198" w:name="_Toc119294067"/>
      <w:bookmarkStart w:id="199" w:name="_Toc123633160"/>
      <w:bookmarkStart w:id="200" w:name="_Toc172713915"/>
      <w:bookmarkStart w:id="201" w:name="_Toc264018259"/>
      <w:bookmarkStart w:id="202" w:name="_Toc303323152"/>
      <w:bookmarkStart w:id="203" w:name="_Toc303926935"/>
      <w:bookmarkStart w:id="204" w:name="_Toc460808707"/>
      <w:r>
        <w:rPr>
          <w:rStyle w:val="CharSectno"/>
        </w:rPr>
        <w:t>9AA</w:t>
      </w:r>
      <w:r>
        <w:t>.</w:t>
      </w:r>
      <w:r>
        <w:tab/>
        <w:t>Prescribed distance outside country townsites</w:t>
      </w:r>
      <w:bookmarkEnd w:id="192"/>
      <w:bookmarkEnd w:id="193"/>
      <w:bookmarkEnd w:id="194"/>
      <w:bookmarkEnd w:id="195"/>
      <w:bookmarkEnd w:id="196"/>
      <w:bookmarkEnd w:id="197"/>
      <w:r>
        <w:t xml:space="preserve"> </w:t>
      </w:r>
      <w:r>
        <w:rPr>
          <w:snapToGrid w:val="0"/>
        </w:rPr>
        <w:t>(Act s.</w:t>
      </w:r>
      <w:r>
        <w:t> 36A</w:t>
      </w:r>
      <w:bookmarkEnd w:id="198"/>
      <w:bookmarkEnd w:id="199"/>
      <w:bookmarkEnd w:id="200"/>
      <w:r>
        <w:t>(2)(b))</w:t>
      </w:r>
      <w:bookmarkEnd w:id="201"/>
      <w:bookmarkEnd w:id="202"/>
      <w:bookmarkEnd w:id="203"/>
    </w:p>
    <w:p>
      <w:pPr>
        <w:pStyle w:val="Subsection"/>
      </w:pPr>
      <w:r>
        <w:tab/>
      </w:r>
      <w:r>
        <w:tab/>
        <w:t>For the purpose of section 36A(2)(b) a distance of 25 km is prescribed.</w:t>
      </w:r>
    </w:p>
    <w:p>
      <w:pPr>
        <w:pStyle w:val="Footnotesection"/>
      </w:pPr>
      <w:r>
        <w:tab/>
        <w:t>[Regulation 9AA inserted in Gazette 29 Sep 2000 p. 5549; amended in Gazette 1 May 2007 p. 1888</w:t>
      </w:r>
      <w:r>
        <w:noBreakHyphen/>
        <w:t>9.]</w:t>
      </w:r>
    </w:p>
    <w:p>
      <w:pPr>
        <w:pStyle w:val="Heading5"/>
        <w:rPr>
          <w:snapToGrid w:val="0"/>
        </w:rPr>
      </w:pPr>
      <w:bookmarkStart w:id="205" w:name="_Toc534780033"/>
      <w:bookmarkStart w:id="206" w:name="_Toc3352040"/>
      <w:bookmarkStart w:id="207" w:name="_Toc3352115"/>
      <w:bookmarkStart w:id="208" w:name="_Toc22966217"/>
      <w:bookmarkStart w:id="209" w:name="_Toc66263823"/>
      <w:bookmarkStart w:id="210" w:name="_Toc119294068"/>
      <w:bookmarkStart w:id="211" w:name="_Toc123633161"/>
      <w:bookmarkStart w:id="212" w:name="_Toc172713916"/>
      <w:bookmarkStart w:id="213" w:name="_Toc264018260"/>
      <w:bookmarkStart w:id="214" w:name="_Toc303323153"/>
      <w:bookmarkStart w:id="215" w:name="_Toc303926936"/>
      <w:bookmarkStart w:id="216" w:name="_Toc520012302"/>
      <w:bookmarkStart w:id="217" w:name="_Toc460808708"/>
      <w:bookmarkStart w:id="218" w:name="_Toc519934571"/>
      <w:bookmarkEnd w:id="204"/>
      <w:r>
        <w:rPr>
          <w:rStyle w:val="CharSectno"/>
        </w:rPr>
        <w:t>9A</w:t>
      </w:r>
      <w:r>
        <w:t>.</w:t>
      </w:r>
      <w:r>
        <w:tab/>
      </w:r>
      <w:r>
        <w:rPr>
          <w:snapToGrid w:val="0"/>
        </w:rPr>
        <w:t>Purposes for which special facility licence may be granted</w:t>
      </w:r>
      <w:bookmarkEnd w:id="205"/>
      <w:bookmarkEnd w:id="206"/>
      <w:bookmarkEnd w:id="207"/>
      <w:bookmarkEnd w:id="208"/>
      <w:bookmarkEnd w:id="209"/>
      <w:bookmarkEnd w:id="210"/>
      <w:bookmarkEnd w:id="211"/>
      <w:bookmarkEnd w:id="212"/>
      <w:bookmarkEnd w:id="213"/>
      <w:bookmarkEnd w:id="214"/>
      <w:bookmarkEnd w:id="215"/>
    </w:p>
    <w:bookmarkEnd w:id="216"/>
    <w:p>
      <w:pPr>
        <w:pStyle w:val="MiscellaneousHeading"/>
        <w:jc w:val="left"/>
        <w:rPr>
          <w:snapToGrid w:val="0"/>
        </w:rPr>
      </w:pPr>
      <w:r>
        <w:rPr>
          <w:b/>
          <w:snapToGrid w:val="0"/>
        </w:rPr>
        <w:t>Works canteen</w:t>
      </w:r>
    </w:p>
    <w:p>
      <w:pPr>
        <w:pStyle w:val="Subsection"/>
      </w:pPr>
      <w:r>
        <w:tab/>
        <w:t>(1)</w:t>
      </w:r>
      <w:r>
        <w:tab/>
        <w:t>A special facility licence may be granted for the purpose of allowing the sale of liquor at a works canteen, or at other specified premises, to workers and their guests.</w:t>
      </w:r>
    </w:p>
    <w:p>
      <w:pPr>
        <w:pStyle w:val="Subsection"/>
      </w:pPr>
      <w:r>
        <w:tab/>
        <w:t>(2)</w:t>
      </w:r>
      <w:r>
        <w:tab/>
        <w:t>A licence granted for this purpose may permit the sale of packaged liquor.</w:t>
      </w:r>
    </w:p>
    <w:p>
      <w:pPr>
        <w:pStyle w:val="Subsection"/>
      </w:pPr>
      <w:r>
        <w:tab/>
        <w:t>(3)</w:t>
      </w:r>
      <w:r>
        <w:tab/>
        <w:t xml:space="preserve">In this regulation — </w:t>
      </w:r>
    </w:p>
    <w:p>
      <w:pPr>
        <w:pStyle w:val="Defstart"/>
      </w:pPr>
      <w:r>
        <w:tab/>
      </w:r>
      <w:r>
        <w:rPr>
          <w:rStyle w:val="CharDefText"/>
        </w:rPr>
        <w:t>specified</w:t>
      </w:r>
      <w:r>
        <w:t xml:space="preserve"> means specified in the licence;</w:t>
      </w:r>
    </w:p>
    <w:p>
      <w:pPr>
        <w:pStyle w:val="Defstart"/>
      </w:pPr>
      <w:r>
        <w:tab/>
      </w:r>
      <w:r>
        <w:rPr>
          <w:rStyle w:val="CharDefText"/>
        </w:rPr>
        <w:t>worker</w:t>
      </w:r>
      <w:r>
        <w:t xml:space="preserve"> means a person — </w:t>
      </w:r>
    </w:p>
    <w:p>
      <w:pPr>
        <w:pStyle w:val="Defpara"/>
      </w:pPr>
      <w:r>
        <w:tab/>
        <w:t>(a)</w:t>
      </w:r>
      <w:r>
        <w:tab/>
        <w:t>working on a specified project; or</w:t>
      </w:r>
    </w:p>
    <w:p>
      <w:pPr>
        <w:pStyle w:val="Defpara"/>
      </w:pPr>
      <w:r>
        <w:tab/>
        <w:t>(b)</w:t>
      </w:r>
      <w:r>
        <w:tab/>
        <w:t>working for a specified business;</w:t>
      </w:r>
    </w:p>
    <w:p>
      <w:pPr>
        <w:pStyle w:val="Defstart"/>
      </w:pPr>
      <w:r>
        <w:tab/>
      </w:r>
      <w:r>
        <w:rPr>
          <w:rStyle w:val="CharDefText"/>
        </w:rPr>
        <w:t>works canteen</w:t>
      </w:r>
      <w:r>
        <w:t xml:space="preserve"> means a canteen, located at or near the place where a specified project is being undertaken or a specified business is being carried on, catering for the needs of workers.</w:t>
      </w:r>
    </w:p>
    <w:p>
      <w:pPr>
        <w:pStyle w:val="MiscellaneousHeading"/>
        <w:jc w:val="left"/>
        <w:rPr>
          <w:snapToGrid w:val="0"/>
        </w:rPr>
      </w:pPr>
      <w:r>
        <w:rPr>
          <w:b/>
          <w:snapToGrid w:val="0"/>
        </w:rPr>
        <w:t>Theatre or cinema</w:t>
      </w:r>
    </w:p>
    <w:p>
      <w:pPr>
        <w:pStyle w:val="Subsection"/>
        <w:spacing w:before="120"/>
      </w:pPr>
      <w:r>
        <w:rPr>
          <w:snapToGrid w:val="0"/>
        </w:rPr>
        <w:tab/>
        <w:t>(4)</w:t>
      </w:r>
      <w:r>
        <w:rPr>
          <w:snapToGrid w:val="0"/>
        </w:rPr>
        <w:tab/>
        <w:t xml:space="preserve">A special facility licence may be granted for the purpose of allowing the sale of liquor </w:t>
      </w:r>
      <w:r>
        <w:t>at a theatre or cinema to persons attending a performance or film at the theatre or cinema.</w:t>
      </w:r>
    </w:p>
    <w:p>
      <w:pPr>
        <w:pStyle w:val="MiscellaneousHeading"/>
        <w:jc w:val="left"/>
        <w:rPr>
          <w:b/>
          <w:snapToGrid w:val="0"/>
        </w:rPr>
      </w:pPr>
      <w:r>
        <w:rPr>
          <w:b/>
          <w:snapToGrid w:val="0"/>
        </w:rPr>
        <w:t>Reception or function centre</w:t>
      </w:r>
    </w:p>
    <w:p>
      <w:pPr>
        <w:pStyle w:val="Subsection"/>
        <w:rPr>
          <w:snapToGrid w:val="0"/>
        </w:rPr>
      </w:pPr>
      <w:r>
        <w:rPr>
          <w:snapToGrid w:val="0"/>
        </w:rPr>
        <w:tab/>
        <w:t>(5)</w:t>
      </w:r>
      <w:r>
        <w:rPr>
          <w:snapToGrid w:val="0"/>
        </w:rPr>
        <w:tab/>
        <w:t>A special facility licence may be granted for the purpose of allowing the sale of liquor</w:t>
      </w:r>
      <w:r>
        <w:t xml:space="preserve"> at a r</w:t>
      </w:r>
      <w:r>
        <w:rPr>
          <w:snapToGrid w:val="0"/>
        </w:rPr>
        <w:t>eception or function centre (being premises primarily used as a venue for functions and receptions) to persons attending a reception or function</w:t>
      </w:r>
      <w:r>
        <w:t xml:space="preserve"> </w:t>
      </w:r>
      <w:r>
        <w:rPr>
          <w:snapToGrid w:val="0"/>
        </w:rPr>
        <w:t>at the centre.</w:t>
      </w:r>
    </w:p>
    <w:p>
      <w:pPr>
        <w:pStyle w:val="MiscellaneousHeading"/>
        <w:jc w:val="left"/>
        <w:rPr>
          <w:b/>
          <w:snapToGrid w:val="0"/>
        </w:rPr>
      </w:pPr>
      <w:r>
        <w:rPr>
          <w:b/>
          <w:snapToGrid w:val="0"/>
        </w:rPr>
        <w:t>Transport</w:t>
      </w:r>
    </w:p>
    <w:p>
      <w:pPr>
        <w:pStyle w:val="Subsection"/>
        <w:rPr>
          <w:snapToGrid w:val="0"/>
        </w:rPr>
      </w:pPr>
      <w:r>
        <w:rPr>
          <w:snapToGrid w:val="0"/>
        </w:rPr>
        <w:tab/>
        <w:t>(6)</w:t>
      </w:r>
      <w:r>
        <w:rPr>
          <w:snapToGrid w:val="0"/>
        </w:rPr>
        <w:tab/>
        <w:t>A special facility licence may be granted for the purpose of allowing the sale of liquor —</w:t>
      </w:r>
    </w:p>
    <w:p>
      <w:pPr>
        <w:pStyle w:val="Indenta"/>
        <w:rPr>
          <w:snapToGrid w:val="0"/>
        </w:rPr>
      </w:pPr>
      <w:r>
        <w:rPr>
          <w:snapToGrid w:val="0"/>
        </w:rPr>
        <w:tab/>
        <w:t>(a)</w:t>
      </w:r>
      <w:r>
        <w:rPr>
          <w:snapToGrid w:val="0"/>
        </w:rPr>
        <w:tab/>
        <w:t>at an airport, railway station, bus station or seaport; or</w:t>
      </w:r>
    </w:p>
    <w:p>
      <w:pPr>
        <w:pStyle w:val="Indenta"/>
      </w:pPr>
      <w:r>
        <w:rPr>
          <w:snapToGrid w:val="0"/>
        </w:rPr>
        <w:tab/>
        <w:t>(b)</w:t>
      </w:r>
      <w:r>
        <w:rPr>
          <w:snapToGrid w:val="0"/>
        </w:rPr>
        <w:tab/>
      </w:r>
      <w:r>
        <w:t>on a train, bus, ship or vehicle,</w:t>
      </w:r>
    </w:p>
    <w:p>
      <w:pPr>
        <w:pStyle w:val="Subsection"/>
        <w:rPr>
          <w:snapToGrid w:val="0"/>
        </w:rPr>
      </w:pPr>
      <w:r>
        <w:tab/>
      </w:r>
      <w:r>
        <w:tab/>
        <w:t xml:space="preserve">to passengers </w:t>
      </w:r>
      <w:r>
        <w:rPr>
          <w:snapToGrid w:val="0"/>
        </w:rPr>
        <w:t>and their guests.</w:t>
      </w:r>
    </w:p>
    <w:p>
      <w:pPr>
        <w:pStyle w:val="MiscellaneousHeading"/>
        <w:jc w:val="left"/>
        <w:rPr>
          <w:b/>
          <w:snapToGrid w:val="0"/>
        </w:rPr>
      </w:pPr>
      <w:r>
        <w:rPr>
          <w:b/>
          <w:snapToGrid w:val="0"/>
        </w:rPr>
        <w:t>Tourism</w:t>
      </w:r>
    </w:p>
    <w:p>
      <w:pPr>
        <w:pStyle w:val="Subsection"/>
        <w:rPr>
          <w:snapToGrid w:val="0"/>
        </w:rPr>
      </w:pPr>
      <w:r>
        <w:rPr>
          <w:snapToGrid w:val="0"/>
        </w:rPr>
        <w:tab/>
        <w:t>(7)</w:t>
      </w:r>
      <w:r>
        <w:rPr>
          <w:snapToGrid w:val="0"/>
        </w:rPr>
        <w:tab/>
        <w:t xml:space="preserve">A special facility licence may be granted for the purpose of allowing </w:t>
      </w:r>
      <w:r>
        <w:t xml:space="preserve">the sale of liquor to persons likely to be attracted to, or present at, </w:t>
      </w:r>
      <w:r>
        <w:rPr>
          <w:snapToGrid w:val="0"/>
        </w:rPr>
        <w:t>a place that, in the opinion of the licensing authority, is or will become —</w:t>
      </w:r>
    </w:p>
    <w:p>
      <w:pPr>
        <w:pStyle w:val="Indenta"/>
        <w:rPr>
          <w:snapToGrid w:val="0"/>
        </w:rPr>
      </w:pPr>
      <w:r>
        <w:rPr>
          <w:snapToGrid w:val="0"/>
        </w:rPr>
        <w:tab/>
        <w:t>(a)</w:t>
      </w:r>
      <w:r>
        <w:rPr>
          <w:snapToGrid w:val="0"/>
        </w:rPr>
        <w:tab/>
        <w:t>an attraction for tourists; or</w:t>
      </w:r>
    </w:p>
    <w:p>
      <w:pPr>
        <w:pStyle w:val="Indenta"/>
        <w:rPr>
          <w:snapToGrid w:val="0"/>
        </w:rPr>
      </w:pPr>
      <w:r>
        <w:rPr>
          <w:snapToGrid w:val="0"/>
        </w:rPr>
        <w:tab/>
        <w:t>(b)</w:t>
      </w:r>
      <w:r>
        <w:rPr>
          <w:snapToGrid w:val="0"/>
        </w:rPr>
        <w:tab/>
        <w:t>a facility that enhances the State’s tourist industry.</w:t>
      </w:r>
    </w:p>
    <w:p>
      <w:pPr>
        <w:pStyle w:val="Subsection"/>
      </w:pPr>
      <w:r>
        <w:rPr>
          <w:snapToGrid w:val="0"/>
        </w:rPr>
        <w:tab/>
        <w:t>(8)</w:t>
      </w:r>
      <w:r>
        <w:rPr>
          <w:snapToGrid w:val="0"/>
        </w:rPr>
        <w:tab/>
      </w:r>
      <w:r>
        <w:t>A licence granted for this purpose may permit the sale of packaged liquor.</w:t>
      </w:r>
    </w:p>
    <w:p>
      <w:pPr>
        <w:pStyle w:val="Subsection"/>
        <w:keepNext/>
        <w:rPr>
          <w:snapToGrid w:val="0"/>
        </w:rPr>
      </w:pPr>
      <w:r>
        <w:rPr>
          <w:snapToGrid w:val="0"/>
        </w:rPr>
        <w:tab/>
        <w:t>(9)</w:t>
      </w:r>
      <w:r>
        <w:rPr>
          <w:snapToGrid w:val="0"/>
        </w:rPr>
        <w:tab/>
        <w:t>In subregulation (7) —</w:t>
      </w:r>
    </w:p>
    <w:p>
      <w:pPr>
        <w:pStyle w:val="Defstart"/>
        <w:keepNext/>
        <w:spacing w:before="120"/>
      </w:pPr>
      <w:r>
        <w:tab/>
      </w:r>
      <w:r>
        <w:rPr>
          <w:rStyle w:val="CharDefText"/>
        </w:rPr>
        <w:t>tourist</w:t>
      </w:r>
      <w:r>
        <w:t xml:space="preserve"> means a person who is —</w:t>
      </w:r>
    </w:p>
    <w:p>
      <w:pPr>
        <w:pStyle w:val="Defpara"/>
      </w:pPr>
      <w:r>
        <w:tab/>
        <w:t>(a)</w:t>
      </w:r>
      <w:r>
        <w:tab/>
        <w:t>staying at a place that is at least 40 km from his or her usual place of residence for a period of at least one night; and</w:t>
      </w:r>
    </w:p>
    <w:p>
      <w:pPr>
        <w:pStyle w:val="Defpara"/>
      </w:pPr>
      <w:r>
        <w:tab/>
        <w:t>(b)</w:t>
      </w:r>
      <w:r>
        <w:tab/>
        <w:t>intending to stay away from his or her usual place of residence for a period of less than 12 months; and</w:t>
      </w:r>
    </w:p>
    <w:p>
      <w:pPr>
        <w:pStyle w:val="Defpara"/>
      </w:pPr>
      <w:r>
        <w:tab/>
        <w:t>(c)</w:t>
      </w:r>
      <w:r>
        <w:tab/>
        <w:t>not in the course of travelling on a regular journey between his or her usual place of residence and his or her place of work or education; and</w:t>
      </w:r>
    </w:p>
    <w:p>
      <w:pPr>
        <w:pStyle w:val="Defpara"/>
      </w:pPr>
      <w:r>
        <w:tab/>
        <w:t>(d)</w:t>
      </w:r>
      <w:r>
        <w:tab/>
        <w:t>travelling in the course of a holiday or for leisure, business, to visit friends or relatives or for any other reason.</w:t>
      </w:r>
    </w:p>
    <w:p>
      <w:pPr>
        <w:pStyle w:val="MiscellaneousHeading"/>
        <w:jc w:val="left"/>
      </w:pPr>
      <w:r>
        <w:rPr>
          <w:b/>
          <w:bCs/>
        </w:rPr>
        <w:t>Education and training institution</w:t>
      </w:r>
    </w:p>
    <w:p>
      <w:pPr>
        <w:pStyle w:val="Subsection"/>
        <w:rPr>
          <w:snapToGrid w:val="0"/>
        </w:rPr>
      </w:pPr>
      <w:r>
        <w:rPr>
          <w:snapToGrid w:val="0"/>
        </w:rPr>
        <w:tab/>
        <w:t>(10)</w:t>
      </w:r>
      <w:r>
        <w:rPr>
          <w:snapToGrid w:val="0"/>
        </w:rPr>
        <w:tab/>
        <w:t>A special facility licence may be granted for the purpose of allowing the sale of liquor at a voc</w:t>
      </w:r>
      <w:r>
        <w:t xml:space="preserve">ational education and training </w:t>
      </w:r>
      <w:r>
        <w:rPr>
          <w:snapToGrid w:val="0"/>
        </w:rPr>
        <w:t>institution or a higher education institution t</w:t>
      </w:r>
      <w:r>
        <w:t>o students and staff of the institution and their guests.</w:t>
      </w:r>
    </w:p>
    <w:p>
      <w:pPr>
        <w:pStyle w:val="MiscellaneousHeading"/>
        <w:jc w:val="left"/>
      </w:pPr>
      <w:r>
        <w:rPr>
          <w:b/>
          <w:bCs/>
        </w:rPr>
        <w:t>Education and training course</w:t>
      </w:r>
    </w:p>
    <w:p>
      <w:pPr>
        <w:pStyle w:val="Subsection"/>
      </w:pPr>
      <w:r>
        <w:tab/>
        <w:t>(10a)</w:t>
      </w:r>
      <w:r>
        <w:tab/>
        <w:t>A special facility licence may be granted for the purpose of allowing the sale or supply of liquor —</w:t>
      </w:r>
    </w:p>
    <w:p>
      <w:pPr>
        <w:pStyle w:val="Indenta"/>
      </w:pPr>
      <w:r>
        <w:tab/>
        <w:t>(a)</w:t>
      </w:r>
      <w:r>
        <w:tab/>
        <w:t>by a vocational education and training institution or higher education institution for tasting by students for the purposes of a course of instruction or training conducted by the institution in which the students are enrolled; or</w:t>
      </w:r>
    </w:p>
    <w:p>
      <w:pPr>
        <w:pStyle w:val="Indenta"/>
      </w:pPr>
      <w:r>
        <w:tab/>
        <w:t>(b)</w:t>
      </w:r>
      <w:r>
        <w:tab/>
        <w:t>by students enrolled in a course of instruction or training conducted by a vocational education and training institution or higher education institution, if the liquor is sold or supplied for the purposes of the course and ancillary to a meal.</w:t>
      </w:r>
    </w:p>
    <w:p>
      <w:pPr>
        <w:pStyle w:val="Subsection"/>
      </w:pPr>
      <w:r>
        <w:tab/>
        <w:t>(10b)</w:t>
      </w:r>
      <w:r>
        <w:tab/>
        <w:t>A special facility licence may be granted for the purpose referred to in subregulation (10a) only if —</w:t>
      </w:r>
    </w:p>
    <w:p>
      <w:pPr>
        <w:pStyle w:val="Indenta"/>
      </w:pPr>
      <w:r>
        <w:tab/>
        <w:t>(a)</w:t>
      </w:r>
      <w:r>
        <w:tab/>
        <w:t>any tasting of liquor by the students is to be supervised at all times and is to be assessed for the purposes of the course of instruction or training in which the students are enrolled; and</w:t>
      </w:r>
    </w:p>
    <w:p>
      <w:pPr>
        <w:pStyle w:val="Indenta"/>
      </w:pPr>
      <w:r>
        <w:tab/>
        <w:t>(b)</w:t>
      </w:r>
      <w:r>
        <w:tab/>
        <w:t>the students are aged 16 years or older.</w:t>
      </w:r>
    </w:p>
    <w:p>
      <w:pPr>
        <w:pStyle w:val="Subsection"/>
      </w:pPr>
      <w:r>
        <w:tab/>
        <w:t>(10c)</w:t>
      </w:r>
      <w:r>
        <w:tab/>
        <w:t>A special facility licence may be granted for the purpose of allowing the sale or supply by a vocational education and training institution or higher education institution of liquor produced as part of an approved viticulture course conducted by the institution.</w:t>
      </w:r>
    </w:p>
    <w:p>
      <w:pPr>
        <w:pStyle w:val="Subsection"/>
        <w:keepNext/>
      </w:pPr>
      <w:r>
        <w:tab/>
        <w:t>(10d)</w:t>
      </w:r>
      <w:r>
        <w:tab/>
        <w:t>A special facility licence may be granted for the purpose referred to in subregulation (10c) only if —</w:t>
      </w:r>
    </w:p>
    <w:p>
      <w:pPr>
        <w:pStyle w:val="Indenta"/>
      </w:pPr>
      <w:r>
        <w:tab/>
        <w:t>(a)</w:t>
      </w:r>
      <w:r>
        <w:tab/>
        <w:t>the liquor is to be sold or supplied —</w:t>
      </w:r>
    </w:p>
    <w:p>
      <w:pPr>
        <w:pStyle w:val="Indenti"/>
      </w:pPr>
      <w:r>
        <w:tab/>
        <w:t>(i)</w:t>
      </w:r>
      <w:r>
        <w:tab/>
        <w:t>during a special event; and</w:t>
      </w:r>
    </w:p>
    <w:p>
      <w:pPr>
        <w:pStyle w:val="Indenti"/>
      </w:pPr>
      <w:r>
        <w:tab/>
        <w:t>(ii)</w:t>
      </w:r>
      <w:r>
        <w:tab/>
        <w:t>in an area approved by the Director on the grounds of the institution; and</w:t>
      </w:r>
    </w:p>
    <w:p>
      <w:pPr>
        <w:pStyle w:val="Indenti"/>
      </w:pPr>
      <w:r>
        <w:tab/>
        <w:t>(iii)</w:t>
      </w:r>
      <w:r>
        <w:tab/>
        <w:t>by persons aged 16 years or older;</w:t>
      </w:r>
    </w:p>
    <w:p>
      <w:pPr>
        <w:pStyle w:val="Indenta"/>
      </w:pPr>
      <w:r>
        <w:tab/>
      </w:r>
      <w:r>
        <w:tab/>
        <w:t>and</w:t>
      </w:r>
    </w:p>
    <w:p>
      <w:pPr>
        <w:pStyle w:val="Indenta"/>
      </w:pPr>
      <w:r>
        <w:tab/>
        <w:t>(b)</w:t>
      </w:r>
      <w:r>
        <w:tab/>
        <w:t>the amount of liquor to be sold or supplied is limited —</w:t>
      </w:r>
    </w:p>
    <w:p>
      <w:pPr>
        <w:pStyle w:val="Indenti"/>
      </w:pPr>
      <w:r>
        <w:tab/>
        <w:t>(i)</w:t>
      </w:r>
      <w:r>
        <w:tab/>
        <w:t>for liquor supplied for consumption on the grounds of the institution — to the supply of free 30 ml samples for tasting purposes; or</w:t>
      </w:r>
    </w:p>
    <w:p>
      <w:pPr>
        <w:pStyle w:val="Indenti"/>
      </w:pPr>
      <w:r>
        <w:tab/>
        <w:t>(ii)</w:t>
      </w:r>
      <w:r>
        <w:tab/>
        <w:t>for packaged liquor — to the provision of not more than 9 L to any person and in any transaction.</w:t>
      </w:r>
    </w:p>
    <w:p>
      <w:pPr>
        <w:pStyle w:val="Subsection"/>
      </w:pPr>
      <w:r>
        <w:tab/>
        <w:t>(10e)</w:t>
      </w:r>
      <w:r>
        <w:tab/>
        <w:t>In subregulations (10a), (10b), (10c) and (10d) and this subregulation —</w:t>
      </w:r>
    </w:p>
    <w:p>
      <w:pPr>
        <w:pStyle w:val="Defstart"/>
      </w:pPr>
      <w:r>
        <w:tab/>
      </w:r>
      <w:r>
        <w:rPr>
          <w:rStyle w:val="CharDefText"/>
        </w:rPr>
        <w:t>approved viticulture course</w:t>
      </w:r>
      <w:r>
        <w:t xml:space="preserve"> means — </w:t>
      </w:r>
    </w:p>
    <w:p>
      <w:pPr>
        <w:pStyle w:val="Defpara"/>
      </w:pPr>
      <w:r>
        <w:tab/>
        <w:t>(a)</w:t>
      </w:r>
      <w:r>
        <w:tab/>
        <w:t>a course that delivers units of competency from the Food Processing Industry Training Package (Wine Sector) leading to a qualification recognised under the Australian Qualifications Framework; or</w:t>
      </w:r>
    </w:p>
    <w:p>
      <w:pPr>
        <w:pStyle w:val="Defpara"/>
      </w:pPr>
      <w:r>
        <w:tab/>
        <w:t>(b)</w:t>
      </w:r>
      <w:r>
        <w:tab/>
        <w:t>a higher education course relating to viticulture;</w:t>
      </w:r>
    </w:p>
    <w:p>
      <w:pPr>
        <w:pStyle w:val="Defstart"/>
      </w:pPr>
      <w:r>
        <w:rPr>
          <w:b/>
        </w:rPr>
        <w:tab/>
      </w:r>
      <w:r>
        <w:rPr>
          <w:rStyle w:val="CharDefText"/>
        </w:rPr>
        <w:t>course of instruction or training</w:t>
      </w:r>
      <w:r>
        <w:t xml:space="preserve"> means a course of instruction or training related to the hospitality industries;</w:t>
      </w:r>
    </w:p>
    <w:p>
      <w:pPr>
        <w:pStyle w:val="Defstart"/>
        <w:keepLines/>
      </w:pPr>
      <w:r>
        <w:rPr>
          <w:b/>
        </w:rPr>
        <w:tab/>
      </w:r>
      <w:r>
        <w:rPr>
          <w:rStyle w:val="CharDefText"/>
        </w:rPr>
        <w:t>special event</w:t>
      </w:r>
      <w:r>
        <w:t xml:space="preserve"> means a graduation ceremony, speech night or annual open day that relates to a vocational education and training institution or higher education institution, or any other related event approved in writing by the Director;</w:t>
      </w:r>
    </w:p>
    <w:p>
      <w:pPr>
        <w:pStyle w:val="Defstart"/>
      </w:pPr>
      <w:r>
        <w:rPr>
          <w:b/>
        </w:rPr>
        <w:tab/>
      </w:r>
      <w:r>
        <w:rPr>
          <w:rStyle w:val="CharDefText"/>
        </w:rPr>
        <w:t>vocational education and training institution</w:t>
      </w:r>
      <w:r>
        <w:t xml:space="preserve"> includes a secondary school if the relevant course of instruction or training conducted by the school is vocational education and training, as defined in the </w:t>
      </w:r>
      <w:r>
        <w:rPr>
          <w:i/>
        </w:rPr>
        <w:t>Vocational Education and Training Act 1996</w:t>
      </w:r>
      <w:r>
        <w:t xml:space="preserve"> section 5(1).</w:t>
      </w:r>
    </w:p>
    <w:p>
      <w:pPr>
        <w:pStyle w:val="MiscellaneousHeading"/>
        <w:jc w:val="left"/>
        <w:rPr>
          <w:b/>
          <w:snapToGrid w:val="0"/>
        </w:rPr>
      </w:pPr>
      <w:r>
        <w:rPr>
          <w:b/>
          <w:snapToGrid w:val="0"/>
        </w:rPr>
        <w:t>Sports arena</w:t>
      </w:r>
    </w:p>
    <w:p>
      <w:pPr>
        <w:pStyle w:val="Subsection"/>
        <w:rPr>
          <w:snapToGrid w:val="0"/>
        </w:rPr>
      </w:pPr>
      <w:r>
        <w:rPr>
          <w:snapToGrid w:val="0"/>
        </w:rPr>
        <w:tab/>
        <w:t>(11)</w:t>
      </w:r>
      <w:r>
        <w:rPr>
          <w:snapToGrid w:val="0"/>
        </w:rPr>
        <w:tab/>
        <w:t xml:space="preserve">A special facility licence may be granted for the purpose of allowing the sale of liquor at a sports arena (being premises primarily used for playing and viewing sport) </w:t>
      </w:r>
      <w:r>
        <w:t>to persons playing or viewing sports, or attending any other event, at the arena</w:t>
      </w:r>
      <w:r>
        <w:rPr>
          <w:snapToGrid w:val="0"/>
        </w:rPr>
        <w:t>.</w:t>
      </w:r>
    </w:p>
    <w:p>
      <w:pPr>
        <w:pStyle w:val="MiscellaneousHeading"/>
        <w:jc w:val="left"/>
        <w:rPr>
          <w:b/>
          <w:snapToGrid w:val="0"/>
        </w:rPr>
      </w:pPr>
      <w:r>
        <w:rPr>
          <w:b/>
          <w:snapToGrid w:val="0"/>
        </w:rPr>
        <w:t>Foodhall</w:t>
      </w:r>
    </w:p>
    <w:p>
      <w:pPr>
        <w:pStyle w:val="Subsection"/>
      </w:pPr>
      <w:r>
        <w:rPr>
          <w:snapToGrid w:val="0"/>
        </w:rPr>
        <w:tab/>
        <w:t>(12)</w:t>
      </w:r>
      <w:r>
        <w:rPr>
          <w:snapToGrid w:val="0"/>
        </w:rPr>
        <w:tab/>
        <w:t xml:space="preserve">A special facility licence may be granted for the purpose of allowing the sale of liquor at a foodhall </w:t>
      </w:r>
      <w:r>
        <w:t>to customers of the foodhall for consumption ancillary to a meal.</w:t>
      </w:r>
    </w:p>
    <w:p>
      <w:pPr>
        <w:pStyle w:val="MiscellaneousHeading"/>
        <w:jc w:val="left"/>
        <w:rPr>
          <w:b/>
          <w:snapToGrid w:val="0"/>
        </w:rPr>
      </w:pPr>
      <w:r>
        <w:rPr>
          <w:b/>
          <w:snapToGrid w:val="0"/>
        </w:rPr>
        <w:t>Catering</w:t>
      </w:r>
    </w:p>
    <w:p>
      <w:pPr>
        <w:pStyle w:val="Subsection"/>
        <w:rPr>
          <w:snapToGrid w:val="0"/>
        </w:rPr>
      </w:pPr>
      <w:r>
        <w:rPr>
          <w:snapToGrid w:val="0"/>
        </w:rPr>
        <w:tab/>
        <w:t>(13)</w:t>
      </w:r>
      <w:r>
        <w:rPr>
          <w:snapToGrid w:val="0"/>
        </w:rPr>
        <w:tab/>
        <w:t xml:space="preserve">A special facility licence may be granted for the purpose of allowing </w:t>
      </w:r>
      <w:r>
        <w:t>at a function</w:t>
      </w:r>
      <w:r>
        <w:rPr>
          <w:snapToGrid w:val="0"/>
        </w:rPr>
        <w:t xml:space="preserve"> the sale, by a caterer, of liquor supplied at premises at which the caterer has agreed </w:t>
      </w:r>
      <w:r>
        <w:t xml:space="preserve">with the person organising the function </w:t>
      </w:r>
      <w:r>
        <w:rPr>
          <w:snapToGrid w:val="0"/>
        </w:rPr>
        <w:t>to provide liquor (whether with or without food), for consumption by persons at that premises.</w:t>
      </w:r>
    </w:p>
    <w:p>
      <w:pPr>
        <w:pStyle w:val="Subsection"/>
      </w:pPr>
      <w:r>
        <w:tab/>
        <w:t>(14A)</w:t>
      </w:r>
      <w:r>
        <w:tab/>
        <w:t xml:space="preserve">In subregulation (13) — </w:t>
      </w:r>
    </w:p>
    <w:p>
      <w:pPr>
        <w:pStyle w:val="Defstart"/>
      </w:pPr>
      <w:r>
        <w:tab/>
      </w:r>
      <w:r>
        <w:rPr>
          <w:rStyle w:val="CharDefText"/>
        </w:rPr>
        <w:t>caterer</w:t>
      </w:r>
      <w:r>
        <w:t xml:space="preserve"> means a person who — </w:t>
      </w:r>
    </w:p>
    <w:p>
      <w:pPr>
        <w:pStyle w:val="Defpara"/>
      </w:pPr>
      <w:r>
        <w:tab/>
        <w:t>(a)</w:t>
      </w:r>
      <w:r>
        <w:tab/>
        <w:t xml:space="preserve">carries on a food business as defined in the </w:t>
      </w:r>
      <w:r>
        <w:rPr>
          <w:i/>
          <w:iCs/>
        </w:rPr>
        <w:t>Food Act 2008</w:t>
      </w:r>
      <w:r>
        <w:t xml:space="preserve"> section 10; and</w:t>
      </w:r>
    </w:p>
    <w:p>
      <w:pPr>
        <w:pStyle w:val="Defpara"/>
      </w:pPr>
      <w:r>
        <w:tab/>
        <w:t>(b)</w:t>
      </w:r>
      <w:r>
        <w:tab/>
        <w:t>handles or sells food for consumption at functions.</w:t>
      </w:r>
    </w:p>
    <w:p>
      <w:pPr>
        <w:pStyle w:val="MiscellaneousHeading"/>
        <w:jc w:val="left"/>
        <w:rPr>
          <w:b/>
          <w:snapToGrid w:val="0"/>
        </w:rPr>
      </w:pPr>
      <w:r>
        <w:rPr>
          <w:b/>
          <w:snapToGrid w:val="0"/>
        </w:rPr>
        <w:t>Bed and breakfast facility</w:t>
      </w:r>
    </w:p>
    <w:p>
      <w:pPr>
        <w:pStyle w:val="Subsection"/>
        <w:rPr>
          <w:snapToGrid w:val="0"/>
        </w:rPr>
      </w:pPr>
      <w:r>
        <w:rPr>
          <w:snapToGrid w:val="0"/>
        </w:rPr>
        <w:tab/>
        <w:t>(14)</w:t>
      </w:r>
      <w:r>
        <w:rPr>
          <w:snapToGrid w:val="0"/>
        </w:rPr>
        <w:tab/>
        <w:t>A special facility licence may be granted for the purpose of allowing the sale of liquor at a bed and breakfast facility (being an accommodation facility that offers bed and breakfast) to persons staying at the facility.</w:t>
      </w:r>
    </w:p>
    <w:p>
      <w:pPr>
        <w:pStyle w:val="MiscellaneousHeading"/>
        <w:keepLines/>
        <w:jc w:val="left"/>
        <w:rPr>
          <w:b/>
          <w:snapToGrid w:val="0"/>
        </w:rPr>
      </w:pPr>
      <w:r>
        <w:rPr>
          <w:b/>
          <w:snapToGrid w:val="0"/>
        </w:rPr>
        <w:t>Room service restaurant</w:t>
      </w:r>
    </w:p>
    <w:p>
      <w:pPr>
        <w:pStyle w:val="Subsection"/>
        <w:keepNext/>
        <w:keepLines/>
        <w:rPr>
          <w:snapToGrid w:val="0"/>
        </w:rPr>
      </w:pPr>
      <w:r>
        <w:rPr>
          <w:snapToGrid w:val="0"/>
        </w:rPr>
        <w:tab/>
        <w:t>(15)</w:t>
      </w:r>
      <w:r>
        <w:rPr>
          <w:snapToGrid w:val="0"/>
        </w:rPr>
        <w:tab/>
        <w:t>A special facility licence may be granted for the purpose of allowing the sale, at or from a room service restaurant —</w:t>
      </w:r>
    </w:p>
    <w:p>
      <w:pPr>
        <w:pStyle w:val="Indenta"/>
        <w:rPr>
          <w:snapToGrid w:val="0"/>
        </w:rPr>
      </w:pPr>
      <w:r>
        <w:rPr>
          <w:snapToGrid w:val="0"/>
        </w:rPr>
        <w:tab/>
        <w:t>(a)</w:t>
      </w:r>
      <w:r>
        <w:rPr>
          <w:snapToGrid w:val="0"/>
        </w:rPr>
        <w:tab/>
        <w:t>of liquor to customers at the restaurant for consumption ancillary to meals eaten in the restaurant; and</w:t>
      </w:r>
    </w:p>
    <w:p>
      <w:pPr>
        <w:pStyle w:val="Indenta"/>
        <w:rPr>
          <w:snapToGrid w:val="0"/>
        </w:rPr>
      </w:pPr>
      <w:r>
        <w:rPr>
          <w:snapToGrid w:val="0"/>
        </w:rPr>
        <w:tab/>
        <w:t>(b)</w:t>
      </w:r>
      <w:r>
        <w:rPr>
          <w:snapToGrid w:val="0"/>
        </w:rPr>
        <w:tab/>
        <w:t xml:space="preserve">of packaged liquor supplied from the restaurant as room service to the accommodation </w:t>
      </w:r>
      <w:r>
        <w:t xml:space="preserve">serviced by the restaurant, </w:t>
      </w:r>
      <w:r>
        <w:rPr>
          <w:snapToGrid w:val="0"/>
        </w:rPr>
        <w:t>whether ancillary to a meal or not.</w:t>
      </w:r>
    </w:p>
    <w:p>
      <w:pPr>
        <w:pStyle w:val="Subsection"/>
      </w:pPr>
      <w:r>
        <w:tab/>
        <w:t>(16)</w:t>
      </w:r>
      <w:r>
        <w:tab/>
        <w:t>A special facility licence may also be granted for the purpose of allowing the sale of liquor to customers at the room service restaurant, whether or not ancillary to meals eaten in the restaurant, if —</w:t>
      </w:r>
    </w:p>
    <w:p>
      <w:pPr>
        <w:pStyle w:val="Indenta"/>
      </w:pPr>
      <w:r>
        <w:tab/>
        <w:t>(a)</w:t>
      </w:r>
      <w:r>
        <w:tab/>
        <w:t>the liquor is consumed at the restaurant —</w:t>
      </w:r>
    </w:p>
    <w:p>
      <w:pPr>
        <w:pStyle w:val="Indenti"/>
      </w:pPr>
      <w:r>
        <w:tab/>
        <w:t>(i)</w:t>
      </w:r>
      <w:r>
        <w:tab/>
        <w:t>during hours that are permitted hours under a hotel licence; and</w:t>
      </w:r>
    </w:p>
    <w:p>
      <w:pPr>
        <w:pStyle w:val="Indenti"/>
      </w:pPr>
      <w:r>
        <w:tab/>
        <w:t>(ii)</w:t>
      </w:r>
      <w:r>
        <w:tab/>
        <w:t>by customers while sitting at a table, or at a fixed structure used as a table;</w:t>
      </w:r>
    </w:p>
    <w:p>
      <w:pPr>
        <w:pStyle w:val="Indenta"/>
      </w:pPr>
      <w:r>
        <w:tab/>
      </w:r>
      <w:r>
        <w:tab/>
        <w:t>and</w:t>
      </w:r>
    </w:p>
    <w:p>
      <w:pPr>
        <w:pStyle w:val="Indenta"/>
      </w:pPr>
      <w:r>
        <w:tab/>
        <w:t>(b)</w:t>
      </w:r>
      <w:r>
        <w:tab/>
        <w:t>the sale and consumption of the liquor are in accordance with any conditions imposed on the special facility licence by the licensing authority.</w:t>
      </w:r>
    </w:p>
    <w:p>
      <w:pPr>
        <w:pStyle w:val="Subsection"/>
        <w:rPr>
          <w:snapToGrid w:val="0"/>
        </w:rPr>
      </w:pPr>
      <w:r>
        <w:rPr>
          <w:snapToGrid w:val="0"/>
        </w:rPr>
        <w:tab/>
        <w:t>(17)</w:t>
      </w:r>
      <w:r>
        <w:rPr>
          <w:snapToGrid w:val="0"/>
        </w:rPr>
        <w:tab/>
        <w:t>In subregulations (15) and (16) —</w:t>
      </w:r>
    </w:p>
    <w:p>
      <w:pPr>
        <w:pStyle w:val="Defstart"/>
      </w:pPr>
      <w:r>
        <w:tab/>
      </w:r>
      <w:r>
        <w:rPr>
          <w:rStyle w:val="CharDefText"/>
        </w:rPr>
        <w:t>room service restaurant</w:t>
      </w:r>
      <w:r>
        <w:rPr>
          <w:b/>
        </w:rPr>
        <w:t xml:space="preserve"> </w:t>
      </w:r>
      <w:r>
        <w:t>means a restaurant that provides room service to persons residing or staying in residential accommodation on the same premises as the restaurant or adjacent premises (not being accommodation provided by the licensee).</w:t>
      </w:r>
    </w:p>
    <w:p>
      <w:pPr>
        <w:pStyle w:val="MiscellaneousHeading"/>
        <w:jc w:val="left"/>
        <w:rPr>
          <w:b/>
          <w:snapToGrid w:val="0"/>
        </w:rPr>
      </w:pPr>
      <w:r>
        <w:rPr>
          <w:b/>
          <w:snapToGrid w:val="0"/>
        </w:rPr>
        <w:t>Amusement venue</w:t>
      </w:r>
    </w:p>
    <w:p>
      <w:pPr>
        <w:pStyle w:val="Subsection"/>
      </w:pPr>
      <w:r>
        <w:tab/>
        <w:t>(18)</w:t>
      </w:r>
      <w:r>
        <w:tab/>
        <w:t>A special facility licence may be granted for the purpose of allowing the sale of liquor at an amusement venue to persons in the venue.</w:t>
      </w:r>
    </w:p>
    <w:p>
      <w:pPr>
        <w:pStyle w:val="Subsection"/>
      </w:pPr>
      <w:r>
        <w:tab/>
        <w:t>(19)</w:t>
      </w:r>
      <w:r>
        <w:tab/>
        <w:t>In subregulation (18) —</w:t>
      </w:r>
    </w:p>
    <w:p>
      <w:pPr>
        <w:pStyle w:val="Defstart"/>
      </w:pPr>
      <w:r>
        <w:tab/>
      </w:r>
      <w:r>
        <w:rPr>
          <w:rStyle w:val="CharDefText"/>
        </w:rPr>
        <w:t>amusement venue</w:t>
      </w:r>
      <w:r>
        <w:t xml:space="preserve"> means premises the primary purpose of which is to allow persons in the premises —</w:t>
      </w:r>
    </w:p>
    <w:p>
      <w:pPr>
        <w:pStyle w:val="Defpara"/>
      </w:pPr>
      <w:r>
        <w:tab/>
        <w:t>(a)</w:t>
      </w:r>
      <w:r>
        <w:tab/>
        <w:t>to play or view snooker, bowling, electronic games or other similar amusements; or</w:t>
      </w:r>
    </w:p>
    <w:p>
      <w:pPr>
        <w:pStyle w:val="Defpara"/>
      </w:pPr>
      <w:r>
        <w:tab/>
        <w:t>(b)</w:t>
      </w:r>
      <w:r>
        <w:tab/>
        <w:t>to participate in or view karaoke.</w:t>
      </w:r>
    </w:p>
    <w:p>
      <w:pPr>
        <w:pStyle w:val="Ednotesubsection"/>
      </w:pPr>
      <w:r>
        <w:tab/>
        <w:t>[(20), (21)</w:t>
      </w:r>
      <w:r>
        <w:tab/>
        <w:t>deleted]</w:t>
      </w:r>
    </w:p>
    <w:p>
      <w:pPr>
        <w:pStyle w:val="MiscellaneousHeading"/>
        <w:jc w:val="left"/>
        <w:rPr>
          <w:b/>
          <w:snapToGrid w:val="0"/>
        </w:rPr>
      </w:pPr>
      <w:r>
        <w:rPr>
          <w:b/>
          <w:snapToGrid w:val="0"/>
        </w:rPr>
        <w:t>Auction</w:t>
      </w:r>
    </w:p>
    <w:p>
      <w:pPr>
        <w:pStyle w:val="Subsection"/>
        <w:rPr>
          <w:snapToGrid w:val="0"/>
        </w:rPr>
      </w:pPr>
      <w:r>
        <w:rPr>
          <w:snapToGrid w:val="0"/>
        </w:rPr>
        <w:tab/>
        <w:t>(22)</w:t>
      </w:r>
      <w:r>
        <w:rPr>
          <w:snapToGrid w:val="0"/>
        </w:rPr>
        <w:tab/>
        <w:t>A special facility licence may be granted for the purpose of allowing the sale by auction of packaged liquor at premises specified in the licence.</w:t>
      </w:r>
    </w:p>
    <w:p>
      <w:pPr>
        <w:pStyle w:val="Subsection"/>
      </w:pPr>
      <w:r>
        <w:tab/>
        <w:t>(23)</w:t>
      </w:r>
      <w:r>
        <w:tab/>
        <w:t>A licence granted for this purpose may permit the supply of samples of the packaged liquor that is for auction, for tasting.</w:t>
      </w:r>
    </w:p>
    <w:p>
      <w:pPr>
        <w:pStyle w:val="Footnotesection"/>
        <w:spacing w:before="80"/>
        <w:ind w:left="890" w:hanging="890"/>
      </w:pPr>
      <w:r>
        <w:tab/>
        <w:t>[Regulation 9A inserted in Gazette 4 Jan 2002 p. 8</w:t>
      </w:r>
      <w:r>
        <w:noBreakHyphen/>
        <w:t>11; amended in Gazette 28 Mar 2003 p. 984; 10 Oct 2003 p. 4406; 10 Aug 2004 p. 3186; 19 Aug 2005 p. 3874; 1 May 2007 p. 1868</w:t>
      </w:r>
      <w:r>
        <w:noBreakHyphen/>
        <w:t>71; 13 Mar 2009 p. 763; 15 Jan 2010 p. 71</w:t>
      </w:r>
      <w:r>
        <w:noBreakHyphen/>
        <w:t>2; 22 Oct 2010 p. 5226.]</w:t>
      </w:r>
    </w:p>
    <w:p>
      <w:pPr>
        <w:pStyle w:val="Heading5"/>
      </w:pPr>
      <w:bookmarkStart w:id="219" w:name="_Toc172713917"/>
      <w:bookmarkStart w:id="220" w:name="_Toc264018261"/>
      <w:bookmarkStart w:id="221" w:name="_Toc303323154"/>
      <w:bookmarkStart w:id="222" w:name="_Toc303926937"/>
      <w:bookmarkStart w:id="223" w:name="_Toc534780034"/>
      <w:bookmarkStart w:id="224" w:name="_Toc3352041"/>
      <w:bookmarkStart w:id="225" w:name="_Toc3352116"/>
      <w:bookmarkStart w:id="226" w:name="_Toc22966218"/>
      <w:bookmarkStart w:id="227" w:name="_Toc66263824"/>
      <w:bookmarkStart w:id="228" w:name="_Toc119294069"/>
      <w:bookmarkStart w:id="229" w:name="_Toc123633162"/>
      <w:r>
        <w:rPr>
          <w:rStyle w:val="CharSectno"/>
        </w:rPr>
        <w:t>9AB</w:t>
      </w:r>
      <w:r>
        <w:t>.</w:t>
      </w:r>
      <w:r>
        <w:tab/>
        <w:t xml:space="preserve">Reviewable decisions by Director relating to applications for permits </w:t>
      </w:r>
      <w:r>
        <w:rPr>
          <w:snapToGrid w:val="0"/>
        </w:rPr>
        <w:t>(Act s.</w:t>
      </w:r>
      <w:r>
        <w:t> 25(5a)</w:t>
      </w:r>
      <w:bookmarkEnd w:id="219"/>
      <w:r>
        <w:t>)</w:t>
      </w:r>
      <w:bookmarkEnd w:id="220"/>
      <w:bookmarkEnd w:id="221"/>
      <w:bookmarkEnd w:id="222"/>
    </w:p>
    <w:p>
      <w:pPr>
        <w:pStyle w:val="Subsection"/>
      </w:pPr>
      <w:r>
        <w:tab/>
      </w:r>
      <w:r>
        <w:tab/>
        <w:t>For the purposes of section 25(5a), an extended trading permit to be issued for the purposes referred to in section 60(4)(g) and for a specified period exceeding 3 weeks is prescribed.</w:t>
      </w:r>
    </w:p>
    <w:p>
      <w:pPr>
        <w:pStyle w:val="Footnotesection"/>
      </w:pPr>
      <w:r>
        <w:tab/>
        <w:t>[Regulation 9AB inserted in Gazette 1 May 2007 p. 1871.]</w:t>
      </w:r>
    </w:p>
    <w:p>
      <w:pPr>
        <w:pStyle w:val="Heading5"/>
        <w:spacing w:before="180"/>
        <w:rPr>
          <w:snapToGrid w:val="0"/>
        </w:rPr>
      </w:pPr>
      <w:bookmarkStart w:id="230" w:name="_Toc172713918"/>
      <w:bookmarkStart w:id="231" w:name="_Toc264018262"/>
      <w:bookmarkStart w:id="232" w:name="_Toc303323155"/>
      <w:bookmarkStart w:id="233" w:name="_Toc303926938"/>
      <w:r>
        <w:rPr>
          <w:rStyle w:val="CharSectno"/>
        </w:rPr>
        <w:t>9B</w:t>
      </w:r>
      <w:r>
        <w:rPr>
          <w:snapToGrid w:val="0"/>
        </w:rPr>
        <w:t>.</w:t>
      </w:r>
      <w:r>
        <w:rPr>
          <w:snapToGrid w:val="0"/>
        </w:rPr>
        <w:tab/>
      </w:r>
      <w:smartTag w:uri="urn:schemas-microsoft-com:office:smarttags" w:element="place">
        <w:smartTag w:uri="urn:schemas-microsoft-com:office:smarttags" w:element="City">
          <w:r>
            <w:rPr>
              <w:snapToGrid w:val="0"/>
            </w:rPr>
            <w:t>Sale</w:t>
          </w:r>
        </w:smartTag>
      </w:smartTag>
      <w:r>
        <w:rPr>
          <w:snapToGrid w:val="0"/>
        </w:rPr>
        <w:t xml:space="preserve"> of packaged liquor</w:t>
      </w:r>
      <w:bookmarkEnd w:id="223"/>
      <w:bookmarkEnd w:id="224"/>
      <w:bookmarkEnd w:id="225"/>
      <w:bookmarkEnd w:id="226"/>
      <w:bookmarkEnd w:id="227"/>
      <w:bookmarkEnd w:id="228"/>
      <w:bookmarkEnd w:id="229"/>
      <w:bookmarkEnd w:id="230"/>
      <w:bookmarkEnd w:id="231"/>
      <w:bookmarkEnd w:id="232"/>
      <w:bookmarkEnd w:id="233"/>
    </w:p>
    <w:p>
      <w:pPr>
        <w:pStyle w:val="Subsection"/>
      </w:pPr>
      <w:r>
        <w:rPr>
          <w:snapToGrid w:val="0"/>
        </w:rPr>
        <w:tab/>
      </w:r>
      <w:r>
        <w:rPr>
          <w:snapToGrid w:val="0"/>
        </w:rPr>
        <w:tab/>
        <w:t>Unless otherwise provided in regulation 9A, a</w:t>
      </w:r>
      <w:r>
        <w:t xml:space="preserve"> </w:t>
      </w:r>
      <w:r>
        <w:rPr>
          <w:snapToGrid w:val="0"/>
        </w:rPr>
        <w:t>special</w:t>
      </w:r>
      <w:r>
        <w:t xml:space="preserve"> facility licence —</w:t>
      </w:r>
    </w:p>
    <w:p>
      <w:pPr>
        <w:pStyle w:val="Indenta"/>
      </w:pPr>
      <w:r>
        <w:tab/>
        <w:t>(a)</w:t>
      </w:r>
      <w:r>
        <w:tab/>
      </w:r>
      <w:r>
        <w:rPr>
          <w:snapToGrid w:val="0"/>
        </w:rPr>
        <w:t xml:space="preserve">permits the sale of liquor </w:t>
      </w:r>
      <w:r>
        <w:t>for consumption on the licensed premises; and</w:t>
      </w:r>
    </w:p>
    <w:p>
      <w:pPr>
        <w:pStyle w:val="Indenta"/>
        <w:keepNext/>
        <w:rPr>
          <w:snapToGrid w:val="0"/>
        </w:rPr>
      </w:pPr>
      <w:r>
        <w:tab/>
        <w:t>(b)</w:t>
      </w:r>
      <w:r>
        <w:tab/>
      </w:r>
      <w:r>
        <w:rPr>
          <w:snapToGrid w:val="0"/>
        </w:rPr>
        <w:t>does not permit the sale of packaged liquor.</w:t>
      </w:r>
    </w:p>
    <w:p>
      <w:pPr>
        <w:pStyle w:val="Footnotesection"/>
        <w:ind w:left="890" w:hanging="890"/>
      </w:pPr>
      <w:r>
        <w:tab/>
        <w:t>[Regulation 9B inserted in Gazette 4 Jan 2002 p. 11.]</w:t>
      </w:r>
    </w:p>
    <w:p>
      <w:pPr>
        <w:pStyle w:val="Heading5"/>
        <w:rPr>
          <w:snapToGrid w:val="0"/>
        </w:rPr>
      </w:pPr>
      <w:bookmarkStart w:id="234" w:name="_Toc534780035"/>
      <w:bookmarkStart w:id="235" w:name="_Toc3352042"/>
      <w:bookmarkStart w:id="236" w:name="_Toc3352117"/>
      <w:bookmarkStart w:id="237" w:name="_Toc22966219"/>
      <w:bookmarkStart w:id="238" w:name="_Toc66263825"/>
      <w:bookmarkStart w:id="239" w:name="_Toc119294070"/>
      <w:bookmarkStart w:id="240" w:name="_Toc123633163"/>
      <w:bookmarkStart w:id="241" w:name="_Toc172713919"/>
      <w:bookmarkStart w:id="242" w:name="_Toc264018263"/>
      <w:bookmarkStart w:id="243" w:name="_Toc303323156"/>
      <w:bookmarkStart w:id="244" w:name="_Toc303926939"/>
      <w:r>
        <w:rPr>
          <w:rStyle w:val="CharSectno"/>
        </w:rPr>
        <w:t>9C</w:t>
      </w:r>
      <w:r>
        <w:rPr>
          <w:snapToGrid w:val="0"/>
        </w:rPr>
        <w:t>.</w:t>
      </w:r>
      <w:r>
        <w:rPr>
          <w:snapToGrid w:val="0"/>
        </w:rPr>
        <w:tab/>
        <w:t>Types of special facility licences that may be exempted</w:t>
      </w:r>
      <w:bookmarkEnd w:id="234"/>
      <w:bookmarkEnd w:id="235"/>
      <w:bookmarkEnd w:id="236"/>
      <w:bookmarkEnd w:id="237"/>
      <w:bookmarkEnd w:id="238"/>
      <w:bookmarkEnd w:id="239"/>
      <w:bookmarkEnd w:id="240"/>
      <w:bookmarkEnd w:id="241"/>
      <w:r>
        <w:rPr>
          <w:snapToGrid w:val="0"/>
        </w:rPr>
        <w:t xml:space="preserve"> (Act s. 46(6))</w:t>
      </w:r>
      <w:bookmarkEnd w:id="242"/>
      <w:bookmarkEnd w:id="243"/>
      <w:bookmarkEnd w:id="244"/>
    </w:p>
    <w:p>
      <w:pPr>
        <w:pStyle w:val="Subsection"/>
        <w:rPr>
          <w:snapToGrid w:val="0"/>
        </w:rPr>
      </w:pPr>
      <w:r>
        <w:rPr>
          <w:snapToGrid w:val="0"/>
        </w:rPr>
        <w:tab/>
      </w:r>
      <w:r>
        <w:rPr>
          <w:snapToGrid w:val="0"/>
        </w:rPr>
        <w:tab/>
        <w:t>For the purposes of section 46(6) a special facility licence is a licence of a type prescribed if it is granted for a purpose described in one of the following regulations —</w:t>
      </w:r>
    </w:p>
    <w:p>
      <w:pPr>
        <w:pStyle w:val="Indenta"/>
      </w:pPr>
      <w:r>
        <w:rPr>
          <w:snapToGrid w:val="0"/>
        </w:rPr>
        <w:tab/>
        <w:t>(a)</w:t>
      </w:r>
      <w:r>
        <w:rPr>
          <w:snapToGrid w:val="0"/>
        </w:rPr>
        <w:tab/>
      </w:r>
      <w:r>
        <w:t>regulation 9A(1) — works canteen;</w:t>
      </w:r>
    </w:p>
    <w:p>
      <w:pPr>
        <w:pStyle w:val="Indenta"/>
      </w:pPr>
      <w:r>
        <w:tab/>
        <w:t>(b)</w:t>
      </w:r>
      <w:r>
        <w:tab/>
        <w:t>regulation 9A(6) — transport;</w:t>
      </w:r>
    </w:p>
    <w:p>
      <w:pPr>
        <w:pStyle w:val="Indenta"/>
      </w:pPr>
      <w:r>
        <w:tab/>
        <w:t>(ca)</w:t>
      </w:r>
      <w:r>
        <w:tab/>
        <w:t>regulation 9A(10) — education and training institution;</w:t>
      </w:r>
    </w:p>
    <w:p>
      <w:pPr>
        <w:pStyle w:val="Indenta"/>
      </w:pPr>
      <w:r>
        <w:tab/>
        <w:t>(cb)</w:t>
      </w:r>
      <w:r>
        <w:tab/>
        <w:t>regulation 9A(10a) — education and training course;</w:t>
      </w:r>
    </w:p>
    <w:p>
      <w:pPr>
        <w:pStyle w:val="Indenta"/>
      </w:pPr>
      <w:r>
        <w:tab/>
        <w:t>(cc)</w:t>
      </w:r>
      <w:r>
        <w:tab/>
        <w:t>regulation 9A(10c) — approved viticulture course;</w:t>
      </w:r>
    </w:p>
    <w:p>
      <w:pPr>
        <w:pStyle w:val="Indenta"/>
      </w:pPr>
      <w:r>
        <w:tab/>
        <w:t>(c)</w:t>
      </w:r>
      <w:r>
        <w:tab/>
        <w:t>regulation 9A(11) — sports arena;</w:t>
      </w:r>
    </w:p>
    <w:p>
      <w:pPr>
        <w:pStyle w:val="Indenta"/>
      </w:pPr>
      <w:r>
        <w:tab/>
        <w:t>(d)</w:t>
      </w:r>
      <w:r>
        <w:tab/>
        <w:t>regulation 9A(12) — foodhall;</w:t>
      </w:r>
    </w:p>
    <w:p>
      <w:pPr>
        <w:pStyle w:val="Indenta"/>
      </w:pPr>
      <w:r>
        <w:tab/>
        <w:t>(e)</w:t>
      </w:r>
      <w:r>
        <w:tab/>
        <w:t>regulation 9A(13) — catering;</w:t>
      </w:r>
    </w:p>
    <w:p>
      <w:pPr>
        <w:pStyle w:val="Indenta"/>
      </w:pPr>
      <w:r>
        <w:tab/>
        <w:t>(f)</w:t>
      </w:r>
      <w:r>
        <w:tab/>
        <w:t>regulation 9A(14) — bed and breakfast facility;</w:t>
      </w:r>
    </w:p>
    <w:p>
      <w:pPr>
        <w:pStyle w:val="Indenta"/>
      </w:pPr>
      <w:r>
        <w:tab/>
        <w:t>(g)</w:t>
      </w:r>
      <w:r>
        <w:tab/>
        <w:t>regulation 9A(15) and (16) — room service restaurant;</w:t>
      </w:r>
    </w:p>
    <w:p>
      <w:pPr>
        <w:pStyle w:val="Ednotepara"/>
        <w:spacing w:before="80"/>
      </w:pPr>
      <w:r>
        <w:rPr>
          <w:snapToGrid w:val="0"/>
        </w:rPr>
        <w:tab/>
        <w:t>[(h)</w:t>
      </w:r>
      <w:r>
        <w:rPr>
          <w:snapToGrid w:val="0"/>
        </w:rPr>
        <w:tab/>
        <w:t>deleted]</w:t>
      </w:r>
    </w:p>
    <w:p>
      <w:pPr>
        <w:pStyle w:val="Indenta"/>
      </w:pPr>
      <w:r>
        <w:tab/>
        <w:t>(i)</w:t>
      </w:r>
      <w:r>
        <w:tab/>
        <w:t>regulation 9A(22) — auction.</w:t>
      </w:r>
    </w:p>
    <w:p>
      <w:pPr>
        <w:pStyle w:val="Footnotesection"/>
      </w:pPr>
      <w:r>
        <w:tab/>
        <w:t>[Regulation 9C inserted in Gazette 4 Jan 2002 p. 11</w:t>
      </w:r>
      <w:r>
        <w:noBreakHyphen/>
        <w:t>12; amended in Gazette 1 May 2007 p. 1871 and 1888</w:t>
      </w:r>
      <w:r>
        <w:noBreakHyphen/>
        <w:t>9; 15 Jan 2010 p. 72.]</w:t>
      </w:r>
    </w:p>
    <w:p>
      <w:pPr>
        <w:pStyle w:val="Heading5"/>
      </w:pPr>
      <w:bookmarkStart w:id="245" w:name="_Toc172713920"/>
      <w:bookmarkStart w:id="246" w:name="_Toc264018264"/>
      <w:bookmarkStart w:id="247" w:name="_Toc303323157"/>
      <w:bookmarkStart w:id="248" w:name="_Toc303926940"/>
      <w:bookmarkStart w:id="249" w:name="_Toc534780036"/>
      <w:bookmarkStart w:id="250" w:name="_Toc3352043"/>
      <w:bookmarkStart w:id="251" w:name="_Toc3352118"/>
      <w:bookmarkStart w:id="252" w:name="_Toc22966220"/>
      <w:bookmarkStart w:id="253" w:name="_Toc66263826"/>
      <w:bookmarkStart w:id="254" w:name="_Toc119294071"/>
      <w:bookmarkStart w:id="255" w:name="_Toc123633164"/>
      <w:r>
        <w:rPr>
          <w:rStyle w:val="CharSectno"/>
        </w:rPr>
        <w:t>9D</w:t>
      </w:r>
      <w:r>
        <w:t>.</w:t>
      </w:r>
      <w:r>
        <w:tab/>
      </w:r>
      <w:r>
        <w:rPr>
          <w:snapToGrid w:val="0"/>
        </w:rPr>
        <w:t>Act s.</w:t>
      </w:r>
      <w:r>
        <w:t> 33(6b) modified in respect of occasional licences</w:t>
      </w:r>
      <w:bookmarkEnd w:id="245"/>
      <w:bookmarkEnd w:id="246"/>
      <w:bookmarkEnd w:id="247"/>
      <w:bookmarkEnd w:id="248"/>
    </w:p>
    <w:p>
      <w:pPr>
        <w:pStyle w:val="Subsection"/>
      </w:pPr>
      <w:r>
        <w:tab/>
        <w:t>(1)</w:t>
      </w:r>
      <w:r>
        <w:tab/>
        <w:t>For the purposes of a determination under section 33(6) in respect of an application for an occasional licence where the anticipated number of patrons is greater than 250, section 33(6b) has effect, unless the Director otherwise determines, as if section 33(6b)(c) were deleted.</w:t>
      </w:r>
    </w:p>
    <w:p>
      <w:pPr>
        <w:pStyle w:val="Subsection"/>
      </w:pPr>
      <w:r>
        <w:tab/>
        <w:t>(2)</w:t>
      </w:r>
      <w:r>
        <w:tab/>
        <w:t>For the purposes of a determination under section 33(6) in respect of an application for an occasional licence where the anticipated number of patrons is not greater than 250, section 33(6b) does not have effect unless the Director otherwise determines.</w:t>
      </w:r>
    </w:p>
    <w:p>
      <w:pPr>
        <w:pStyle w:val="Footnotesection"/>
      </w:pPr>
      <w:r>
        <w:tab/>
        <w:t>[Regulation 9D inserted in Gazette 1 May 2007 p. 1871</w:t>
      </w:r>
      <w:r>
        <w:noBreakHyphen/>
        <w:t>2; amended in Gazette 22 Oct 2010 p. 5226.]</w:t>
      </w:r>
    </w:p>
    <w:p>
      <w:pPr>
        <w:pStyle w:val="Ednotesection"/>
      </w:pPr>
      <w:bookmarkStart w:id="256" w:name="_Toc172713922"/>
      <w:bookmarkStart w:id="257" w:name="_Toc264018266"/>
      <w:r>
        <w:t>[</w:t>
      </w:r>
      <w:r>
        <w:rPr>
          <w:b/>
          <w:bCs/>
        </w:rPr>
        <w:t>9E.</w:t>
      </w:r>
      <w:r>
        <w:tab/>
        <w:t>Deleted in Gazette 3 Jun 2011 p. 1994.]</w:t>
      </w:r>
    </w:p>
    <w:p>
      <w:pPr>
        <w:pStyle w:val="Heading5"/>
      </w:pPr>
      <w:bookmarkStart w:id="258" w:name="_Toc303323158"/>
      <w:bookmarkStart w:id="259" w:name="_Toc303926941"/>
      <w:r>
        <w:rPr>
          <w:rStyle w:val="CharSectno"/>
        </w:rPr>
        <w:t>9F</w:t>
      </w:r>
      <w:r>
        <w:t>.</w:t>
      </w:r>
      <w:r>
        <w:tab/>
        <w:t xml:space="preserve">Licensing authority to be satisfied that applications for certain permits are in public interest </w:t>
      </w:r>
      <w:r>
        <w:rPr>
          <w:snapToGrid w:val="0"/>
        </w:rPr>
        <w:t>(Act s. </w:t>
      </w:r>
      <w:r>
        <w:t>38(1)(b)</w:t>
      </w:r>
      <w:bookmarkEnd w:id="256"/>
      <w:r>
        <w:t>)</w:t>
      </w:r>
      <w:bookmarkEnd w:id="257"/>
      <w:bookmarkEnd w:id="258"/>
      <w:bookmarkEnd w:id="259"/>
    </w:p>
    <w:p>
      <w:pPr>
        <w:pStyle w:val="Subsection"/>
      </w:pPr>
      <w:r>
        <w:tab/>
      </w:r>
      <w:r>
        <w:tab/>
        <w:t>For the purposes of section 38(1)(b) —</w:t>
      </w:r>
    </w:p>
    <w:p>
      <w:pPr>
        <w:pStyle w:val="Indenta"/>
      </w:pPr>
      <w:r>
        <w:tab/>
        <w:t>(a)</w:t>
      </w:r>
      <w:r>
        <w:tab/>
        <w:t>an extended trading permit to be issued for the purposes referred to in section 60(4)(ca) is prescribed; and</w:t>
      </w:r>
    </w:p>
    <w:p>
      <w:pPr>
        <w:pStyle w:val="Indenta"/>
      </w:pPr>
      <w:r>
        <w:tab/>
        <w:t>(b)</w:t>
      </w:r>
      <w:r>
        <w:tab/>
        <w:t>an extended trading permit to be issued for the purposes referred to in section 60(4)(g) and for a specified period exceeding 3 weeks is prescribed.</w:t>
      </w:r>
    </w:p>
    <w:p>
      <w:pPr>
        <w:pStyle w:val="Footnotesection"/>
        <w:ind w:left="890" w:hanging="890"/>
      </w:pPr>
      <w:r>
        <w:tab/>
        <w:t>[Regulation 9F inserted in Gazette 1 May 2007 p. 1873.]</w:t>
      </w:r>
    </w:p>
    <w:p>
      <w:pPr>
        <w:pStyle w:val="Heading5"/>
      </w:pPr>
      <w:bookmarkStart w:id="260" w:name="_Toc172713923"/>
      <w:bookmarkStart w:id="261" w:name="_Toc264018267"/>
      <w:bookmarkStart w:id="262" w:name="_Toc303323159"/>
      <w:bookmarkStart w:id="263" w:name="_Toc303926942"/>
      <w:r>
        <w:rPr>
          <w:rStyle w:val="CharSectno"/>
        </w:rPr>
        <w:t>9G</w:t>
      </w:r>
      <w:r>
        <w:t>.</w:t>
      </w:r>
      <w:r>
        <w:tab/>
        <w:t xml:space="preserve">Reciprocal arrangements for club membership, requirements for </w:t>
      </w:r>
      <w:r>
        <w:rPr>
          <w:snapToGrid w:val="0"/>
        </w:rPr>
        <w:t>(Act s.</w:t>
      </w:r>
      <w:r>
        <w:t> 49(3)(c)(iv)</w:t>
      </w:r>
      <w:bookmarkEnd w:id="260"/>
      <w:r>
        <w:t>)</w:t>
      </w:r>
      <w:bookmarkEnd w:id="261"/>
      <w:bookmarkEnd w:id="262"/>
      <w:bookmarkEnd w:id="263"/>
    </w:p>
    <w:p>
      <w:pPr>
        <w:pStyle w:val="Subsection"/>
      </w:pPr>
      <w:r>
        <w:tab/>
      </w:r>
      <w:r>
        <w:tab/>
        <w:t xml:space="preserve">For the purposes of section 49(3)(c)(iv), the constitution or rules of a club (the </w:t>
      </w:r>
      <w:r>
        <w:rPr>
          <w:rStyle w:val="CharDefText"/>
        </w:rPr>
        <w:t>host club</w:t>
      </w:r>
      <w:r>
        <w:t>) may provide for membership of the host club by reason of reciprocal arrangements relating to the members of —</w:t>
      </w:r>
    </w:p>
    <w:p>
      <w:pPr>
        <w:pStyle w:val="Indenta"/>
      </w:pPr>
      <w:r>
        <w:tab/>
        <w:t>(a)</w:t>
      </w:r>
      <w:r>
        <w:tab/>
        <w:t>another club in the State, but only if the principal objects of that other club are the same as, or include, the principal objects of the host club; or</w:t>
      </w:r>
    </w:p>
    <w:p>
      <w:pPr>
        <w:pStyle w:val="Indenta"/>
      </w:pPr>
      <w:r>
        <w:tab/>
        <w:t>(b)</w:t>
      </w:r>
      <w:r>
        <w:tab/>
        <w:t xml:space="preserve">another club in another State or a Territory or </w:t>
      </w:r>
      <w:smartTag w:uri="urn:schemas-microsoft-com:office:smarttags" w:element="place">
        <w:smartTag w:uri="urn:schemas-microsoft-com:office:smarttags" w:element="country-region">
          <w:r>
            <w:t>New Zealand</w:t>
          </w:r>
        </w:smartTag>
      </w:smartTag>
      <w:r>
        <w:t>.</w:t>
      </w:r>
    </w:p>
    <w:p>
      <w:pPr>
        <w:pStyle w:val="Footnotesection"/>
      </w:pPr>
      <w:r>
        <w:tab/>
        <w:t>[Regulation 9G inserted in Gazette 1 May 2007 p. 1873.]</w:t>
      </w:r>
    </w:p>
    <w:p>
      <w:pPr>
        <w:pStyle w:val="Heading5"/>
        <w:rPr>
          <w:snapToGrid w:val="0"/>
        </w:rPr>
      </w:pPr>
      <w:bookmarkStart w:id="264" w:name="_Toc172713924"/>
      <w:bookmarkStart w:id="265" w:name="_Toc264018268"/>
      <w:bookmarkStart w:id="266" w:name="_Toc303323160"/>
      <w:bookmarkStart w:id="267" w:name="_Toc303926943"/>
      <w:r>
        <w:rPr>
          <w:rStyle w:val="CharSectno"/>
        </w:rPr>
        <w:t>10</w:t>
      </w:r>
      <w:r>
        <w:rPr>
          <w:snapToGrid w:val="0"/>
        </w:rPr>
        <w:t>.</w:t>
      </w:r>
      <w:r>
        <w:rPr>
          <w:snapToGrid w:val="0"/>
        </w:rPr>
        <w:tab/>
        <w:t>Producer’s licence, applicant</w:t>
      </w:r>
      <w:bookmarkEnd w:id="217"/>
      <w:bookmarkEnd w:id="218"/>
      <w:bookmarkEnd w:id="249"/>
      <w:bookmarkEnd w:id="250"/>
      <w:bookmarkEnd w:id="251"/>
      <w:bookmarkEnd w:id="252"/>
      <w:bookmarkEnd w:id="253"/>
      <w:bookmarkEnd w:id="254"/>
      <w:bookmarkEnd w:id="255"/>
      <w:bookmarkEnd w:id="264"/>
      <w:r>
        <w:rPr>
          <w:snapToGrid w:val="0"/>
        </w:rPr>
        <w:t xml:space="preserve"> to meet requirements for (Act s. </w:t>
      </w:r>
      <w:r>
        <w:t>57(2)(d)</w:t>
      </w:r>
      <w:r>
        <w:rPr>
          <w:snapToGrid w:val="0"/>
        </w:rPr>
        <w:t>)</w:t>
      </w:r>
      <w:bookmarkEnd w:id="265"/>
      <w:bookmarkEnd w:id="266"/>
      <w:bookmarkEnd w:id="267"/>
    </w:p>
    <w:p>
      <w:pPr>
        <w:pStyle w:val="Subsection"/>
        <w:spacing w:before="200"/>
        <w:rPr>
          <w:snapToGrid w:val="0"/>
        </w:rPr>
      </w:pPr>
      <w:r>
        <w:rPr>
          <w:snapToGrid w:val="0"/>
        </w:rPr>
        <w:tab/>
      </w:r>
      <w:r>
        <w:rPr>
          <w:snapToGrid w:val="0"/>
        </w:rPr>
        <w:tab/>
        <w:t>For the purposes of section </w:t>
      </w:r>
      <w:r>
        <w:t xml:space="preserve">57(2)(d) </w:t>
      </w:r>
      <w:r>
        <w:rPr>
          <w:snapToGrid w:val="0"/>
        </w:rPr>
        <w:t>the following requirements are prescribed —</w:t>
      </w:r>
    </w:p>
    <w:p>
      <w:pPr>
        <w:pStyle w:val="Indenta"/>
        <w:spacing w:before="120"/>
        <w:rPr>
          <w:snapToGrid w:val="0"/>
        </w:rPr>
      </w:pPr>
      <w:r>
        <w:rPr>
          <w:snapToGrid w:val="0"/>
        </w:rPr>
        <w:tab/>
        <w:t>(a)</w:t>
      </w:r>
      <w:r>
        <w:rPr>
          <w:snapToGrid w:val="0"/>
        </w:rPr>
        <w:tab/>
        <w:t>where the applicant does not have appropriate liquor producing facilities at the premises specified in the application, the applicant —</w:t>
      </w:r>
    </w:p>
    <w:p>
      <w:pPr>
        <w:pStyle w:val="Indenti"/>
        <w:rPr>
          <w:snapToGrid w:val="0"/>
        </w:rPr>
      </w:pPr>
      <w:r>
        <w:rPr>
          <w:snapToGrid w:val="0"/>
        </w:rPr>
        <w:tab/>
        <w:t>(i)</w:t>
      </w:r>
      <w:r>
        <w:rPr>
          <w:snapToGrid w:val="0"/>
        </w:rPr>
        <w:tab/>
        <w:t>has access to such facilities; and</w:t>
      </w:r>
    </w:p>
    <w:p>
      <w:pPr>
        <w:pStyle w:val="Indenti"/>
        <w:rPr>
          <w:snapToGrid w:val="0"/>
        </w:rPr>
      </w:pPr>
      <w:r>
        <w:rPr>
          <w:snapToGrid w:val="0"/>
        </w:rPr>
        <w:tab/>
        <w:t>(ii)</w:t>
      </w:r>
      <w:r>
        <w:rPr>
          <w:snapToGrid w:val="0"/>
        </w:rPr>
        <w:tab/>
        <w:t xml:space="preserve">is the </w:t>
      </w:r>
      <w:r>
        <w:t xml:space="preserve">sole </w:t>
      </w:r>
      <w:r>
        <w:rPr>
          <w:snapToGrid w:val="0"/>
        </w:rPr>
        <w:t xml:space="preserve">occupier of a vineyard, orchard or apiary </w:t>
      </w:r>
      <w:r>
        <w:t xml:space="preserve">to which the application relates and </w:t>
      </w:r>
      <w:r>
        <w:rPr>
          <w:snapToGrid w:val="0"/>
        </w:rPr>
        <w:t>which yields sufficient produce to enable the applicant to be regarded as a genuine producer of liquor;</w:t>
      </w:r>
    </w:p>
    <w:p>
      <w:pPr>
        <w:pStyle w:val="Indenta"/>
        <w:spacing w:before="120"/>
        <w:rPr>
          <w:snapToGrid w:val="0"/>
        </w:rPr>
      </w:pPr>
      <w:r>
        <w:rPr>
          <w:snapToGrid w:val="0"/>
        </w:rPr>
        <w:tab/>
      </w:r>
      <w:r>
        <w:rPr>
          <w:snapToGrid w:val="0"/>
        </w:rPr>
        <w:tab/>
        <w:t>or</w:t>
      </w:r>
    </w:p>
    <w:p>
      <w:pPr>
        <w:pStyle w:val="Indenta"/>
        <w:spacing w:before="120"/>
        <w:rPr>
          <w:snapToGrid w:val="0"/>
        </w:rPr>
      </w:pPr>
      <w:r>
        <w:rPr>
          <w:snapToGrid w:val="0"/>
        </w:rPr>
        <w:tab/>
        <w:t>(b)</w:t>
      </w:r>
      <w:r>
        <w:rPr>
          <w:snapToGrid w:val="0"/>
        </w:rPr>
        <w:tab/>
        <w:t>where the applicant has appropriate liquor producing facilities at premises specified in the application, and is, or will be, a genuine producer of liquor, then —</w:t>
      </w:r>
    </w:p>
    <w:p>
      <w:pPr>
        <w:pStyle w:val="Indenti"/>
        <w:rPr>
          <w:snapToGrid w:val="0"/>
        </w:rPr>
      </w:pPr>
      <w:r>
        <w:rPr>
          <w:snapToGrid w:val="0"/>
        </w:rPr>
        <w:tab/>
        <w:t>(i)</w:t>
      </w:r>
      <w:r>
        <w:rPr>
          <w:snapToGrid w:val="0"/>
        </w:rPr>
        <w:tab/>
        <w:t>those premises; or</w:t>
      </w:r>
    </w:p>
    <w:p>
      <w:pPr>
        <w:pStyle w:val="Indenti"/>
        <w:rPr>
          <w:snapToGrid w:val="0"/>
        </w:rPr>
      </w:pPr>
      <w:r>
        <w:rPr>
          <w:snapToGrid w:val="0"/>
        </w:rPr>
        <w:tab/>
        <w:t>(ii)</w:t>
      </w:r>
      <w:r>
        <w:rPr>
          <w:snapToGrid w:val="0"/>
        </w:rPr>
        <w:tab/>
        <w:t>if those premises are not in a convenient location for the sale of the liquor produced, other premises in reasonable proximity to the premises where the liquor is, or is to be, produced,</w:t>
      </w:r>
    </w:p>
    <w:p>
      <w:pPr>
        <w:pStyle w:val="Indenta"/>
        <w:spacing w:before="120"/>
        <w:rPr>
          <w:snapToGrid w:val="0"/>
        </w:rPr>
      </w:pPr>
      <w:r>
        <w:rPr>
          <w:snapToGrid w:val="0"/>
        </w:rPr>
        <w:tab/>
      </w:r>
      <w:r>
        <w:rPr>
          <w:snapToGrid w:val="0"/>
        </w:rPr>
        <w:tab/>
        <w:t>are suitable premises from which the applicant, as a producer of liquor, may sell the liquor produced.</w:t>
      </w:r>
    </w:p>
    <w:p>
      <w:pPr>
        <w:pStyle w:val="Footnotesection"/>
        <w:spacing w:before="100"/>
        <w:ind w:left="890" w:hanging="890"/>
      </w:pPr>
      <w:r>
        <w:tab/>
        <w:t>[Regulation 10 inserted in Gazette 22 May 1998 p. 2942; amended in Gazette 1 May 2007 p. 1873 and 1888</w:t>
      </w:r>
      <w:r>
        <w:noBreakHyphen/>
        <w:t>9; 6 Feb 2009 p. 248; 3 Jun 2011 p. 1999.]</w:t>
      </w:r>
    </w:p>
    <w:p>
      <w:pPr>
        <w:pStyle w:val="Heading5"/>
        <w:spacing w:before="260"/>
        <w:rPr>
          <w:snapToGrid w:val="0"/>
        </w:rPr>
      </w:pPr>
      <w:bookmarkStart w:id="268" w:name="_Toc460808709"/>
      <w:bookmarkStart w:id="269" w:name="_Toc519934572"/>
      <w:bookmarkStart w:id="270" w:name="_Toc534780037"/>
      <w:bookmarkStart w:id="271" w:name="_Toc3352044"/>
      <w:bookmarkStart w:id="272" w:name="_Toc3352119"/>
      <w:bookmarkStart w:id="273" w:name="_Toc22966221"/>
      <w:bookmarkStart w:id="274" w:name="_Toc66263827"/>
      <w:bookmarkStart w:id="275" w:name="_Toc119294072"/>
      <w:bookmarkStart w:id="276" w:name="_Toc123633165"/>
      <w:bookmarkStart w:id="277" w:name="_Toc172713925"/>
      <w:bookmarkStart w:id="278" w:name="_Toc264018269"/>
      <w:bookmarkStart w:id="279" w:name="_Toc303323161"/>
      <w:bookmarkStart w:id="280" w:name="_Toc303926944"/>
      <w:r>
        <w:rPr>
          <w:rStyle w:val="CharSectno"/>
        </w:rPr>
        <w:t>10A</w:t>
      </w:r>
      <w:r>
        <w:rPr>
          <w:snapToGrid w:val="0"/>
        </w:rPr>
        <w:t>.</w:t>
      </w:r>
      <w:r>
        <w:rPr>
          <w:snapToGrid w:val="0"/>
        </w:rPr>
        <w:tab/>
        <w:t>Producer’s licence condition — blended wines</w:t>
      </w:r>
      <w:bookmarkEnd w:id="268"/>
      <w:bookmarkEnd w:id="269"/>
      <w:bookmarkEnd w:id="270"/>
      <w:bookmarkEnd w:id="271"/>
      <w:bookmarkEnd w:id="272"/>
      <w:bookmarkEnd w:id="273"/>
      <w:bookmarkEnd w:id="274"/>
      <w:bookmarkEnd w:id="275"/>
      <w:bookmarkEnd w:id="276"/>
      <w:bookmarkEnd w:id="277"/>
      <w:r>
        <w:rPr>
          <w:snapToGrid w:val="0"/>
        </w:rPr>
        <w:t xml:space="preserve"> (Act s. 55(2))</w:t>
      </w:r>
      <w:bookmarkEnd w:id="278"/>
      <w:bookmarkEnd w:id="279"/>
      <w:bookmarkEnd w:id="280"/>
    </w:p>
    <w:p>
      <w:pPr>
        <w:pStyle w:val="Subsection"/>
        <w:spacing w:before="200"/>
        <w:rPr>
          <w:snapToGrid w:val="0"/>
        </w:rPr>
      </w:pPr>
      <w:r>
        <w:rPr>
          <w:snapToGrid w:val="0"/>
        </w:rPr>
        <w:tab/>
      </w:r>
      <w:r>
        <w:rPr>
          <w:snapToGrid w:val="0"/>
        </w:rPr>
        <w:tab/>
        <w:t>If the holder of a producer’s licence produces wine by blending, it is a condition of that licence under section 55(2) that at least 50% of the wine produced is fermented by or under the direction of that person, so that the wine is uniquely that person’s own produce.</w:t>
      </w:r>
    </w:p>
    <w:p>
      <w:pPr>
        <w:pStyle w:val="Footnotesection"/>
        <w:spacing w:before="100"/>
        <w:ind w:left="890" w:hanging="890"/>
      </w:pPr>
      <w:r>
        <w:tab/>
        <w:t>[Regulation 10A inserted in Gazette 22 May 1998 p. 2942; amended in Gazette 1 May 2007 p. 1888</w:t>
      </w:r>
      <w:r>
        <w:noBreakHyphen/>
        <w:t>9.]</w:t>
      </w:r>
    </w:p>
    <w:p>
      <w:pPr>
        <w:pStyle w:val="Heading5"/>
        <w:rPr>
          <w:snapToGrid w:val="0"/>
        </w:rPr>
      </w:pPr>
      <w:bookmarkStart w:id="281" w:name="_Toc460808710"/>
      <w:bookmarkStart w:id="282" w:name="_Toc519934573"/>
      <w:bookmarkStart w:id="283" w:name="_Toc534780038"/>
      <w:bookmarkStart w:id="284" w:name="_Toc3352045"/>
      <w:bookmarkStart w:id="285" w:name="_Toc3352120"/>
      <w:bookmarkStart w:id="286" w:name="_Toc22966222"/>
      <w:bookmarkStart w:id="287" w:name="_Toc66263828"/>
      <w:bookmarkStart w:id="288" w:name="_Toc119294073"/>
      <w:bookmarkStart w:id="289" w:name="_Toc123633166"/>
      <w:bookmarkStart w:id="290" w:name="_Toc172713926"/>
      <w:bookmarkStart w:id="291" w:name="_Toc264018270"/>
      <w:bookmarkStart w:id="292" w:name="_Toc303323162"/>
      <w:bookmarkStart w:id="293" w:name="_Toc303926945"/>
      <w:r>
        <w:rPr>
          <w:rStyle w:val="CharSectno"/>
        </w:rPr>
        <w:t>11</w:t>
      </w:r>
      <w:r>
        <w:rPr>
          <w:snapToGrid w:val="0"/>
        </w:rPr>
        <w:t>.</w:t>
      </w:r>
      <w:r>
        <w:rPr>
          <w:snapToGrid w:val="0"/>
        </w:rPr>
        <w:tab/>
        <w:t>Plans and specifications</w:t>
      </w:r>
      <w:bookmarkEnd w:id="281"/>
      <w:bookmarkEnd w:id="282"/>
      <w:bookmarkEnd w:id="283"/>
      <w:bookmarkEnd w:id="284"/>
      <w:bookmarkEnd w:id="285"/>
      <w:bookmarkEnd w:id="286"/>
      <w:bookmarkEnd w:id="287"/>
      <w:bookmarkEnd w:id="288"/>
      <w:bookmarkEnd w:id="289"/>
      <w:bookmarkEnd w:id="290"/>
      <w:bookmarkEnd w:id="291"/>
      <w:bookmarkEnd w:id="292"/>
      <w:bookmarkEnd w:id="293"/>
    </w:p>
    <w:p>
      <w:pPr>
        <w:pStyle w:val="Subsection"/>
      </w:pPr>
      <w:r>
        <w:tab/>
        <w:t>(1)</w:t>
      </w:r>
      <w:r>
        <w:tab/>
        <w:t>In this regulation —</w:t>
      </w:r>
    </w:p>
    <w:p>
      <w:pPr>
        <w:pStyle w:val="Defstart"/>
      </w:pPr>
      <w:r>
        <w:rPr>
          <w:b/>
        </w:rPr>
        <w:tab/>
      </w:r>
      <w:r>
        <w:rPr>
          <w:rStyle w:val="CharDefText"/>
        </w:rPr>
        <w:t>bar</w:t>
      </w:r>
      <w:r>
        <w:t xml:space="preserve"> means an area that contains a fixed structure at which liquor is, or is to be, served and consumed;</w:t>
      </w:r>
    </w:p>
    <w:p>
      <w:pPr>
        <w:pStyle w:val="Defstart"/>
      </w:pPr>
      <w:r>
        <w:rPr>
          <w:b/>
        </w:rPr>
        <w:tab/>
      </w:r>
      <w:r>
        <w:rPr>
          <w:rStyle w:val="CharDefText"/>
        </w:rPr>
        <w:t>relevant lot</w:t>
      </w:r>
      <w:r>
        <w:t xml:space="preserve"> means the area of land on which the relevant premises are, or are to be, situated;</w:t>
      </w:r>
    </w:p>
    <w:p>
      <w:pPr>
        <w:pStyle w:val="Defstart"/>
      </w:pPr>
      <w:r>
        <w:rPr>
          <w:b/>
        </w:rPr>
        <w:tab/>
      </w:r>
      <w:r>
        <w:rPr>
          <w:rStyle w:val="CharDefText"/>
        </w:rPr>
        <w:t>relevant premises</w:t>
      </w:r>
      <w:r>
        <w:t xml:space="preserve"> means the licensed premises, or proposed licensed premises, to which an application referred to in section 66 relates.</w:t>
      </w:r>
    </w:p>
    <w:p>
      <w:pPr>
        <w:pStyle w:val="Subsection"/>
      </w:pPr>
      <w:r>
        <w:tab/>
        <w:t>(1a)</w:t>
      </w:r>
      <w:r>
        <w:tab/>
        <w:t>Subregulations (1b) to (1f) set out the requirements for plans for the purposes of section 66(4).</w:t>
      </w:r>
    </w:p>
    <w:p>
      <w:pPr>
        <w:pStyle w:val="Subsection"/>
      </w:pPr>
      <w:r>
        <w:tab/>
        <w:t>(1b)</w:t>
      </w:r>
      <w:r>
        <w:tab/>
        <w:t>Floor plans are to be submitted in duplicate, drawn on paper of at least A3 size and to a scale of 1:100, of each level of each building forming part of the relevant premises, showing —</w:t>
      </w:r>
    </w:p>
    <w:p>
      <w:pPr>
        <w:pStyle w:val="Indenta"/>
      </w:pPr>
      <w:r>
        <w:tab/>
        <w:t>(a)</w:t>
      </w:r>
      <w:r>
        <w:tab/>
        <w:t>the uses of each room; and</w:t>
      </w:r>
    </w:p>
    <w:p>
      <w:pPr>
        <w:pStyle w:val="Indenta"/>
      </w:pPr>
      <w:r>
        <w:tab/>
        <w:t>(b)</w:t>
      </w:r>
      <w:r>
        <w:tab/>
        <w:t>the location of all doors, windows, servery hatches and toilets; and</w:t>
      </w:r>
    </w:p>
    <w:p>
      <w:pPr>
        <w:pStyle w:val="Indenta"/>
      </w:pPr>
      <w:r>
        <w:tab/>
        <w:t>(c)</w:t>
      </w:r>
      <w:r>
        <w:tab/>
        <w:t>fit out details for all toilets; and</w:t>
      </w:r>
    </w:p>
    <w:p>
      <w:pPr>
        <w:pStyle w:val="Indenta"/>
      </w:pPr>
      <w:r>
        <w:tab/>
        <w:t>(d)</w:t>
      </w:r>
      <w:r>
        <w:tab/>
        <w:t>the floor layout; and</w:t>
      </w:r>
    </w:p>
    <w:p>
      <w:pPr>
        <w:pStyle w:val="Indenta"/>
      </w:pPr>
      <w:r>
        <w:tab/>
        <w:t>(e)</w:t>
      </w:r>
      <w:r>
        <w:tab/>
        <w:t>the location of all bars (but not details of any fittings and fixtures related to the bars); and</w:t>
      </w:r>
    </w:p>
    <w:p>
      <w:pPr>
        <w:pStyle w:val="Indenta"/>
      </w:pPr>
      <w:r>
        <w:tab/>
        <w:t>(f)</w:t>
      </w:r>
      <w:r>
        <w:tab/>
        <w:t>any areas of the relevant premises that are not part of a building, identifying how the boundary of such areas is to be defined (for example, by means of fences, large planter boxes, special inlays in paving or copper log rails); and</w:t>
      </w:r>
    </w:p>
    <w:p>
      <w:pPr>
        <w:pStyle w:val="Indenta"/>
      </w:pPr>
      <w:r>
        <w:tab/>
        <w:t>(g)</w:t>
      </w:r>
      <w:r>
        <w:tab/>
        <w:t>no details other than those that relate to the relevant premises.</w:t>
      </w:r>
    </w:p>
    <w:p>
      <w:pPr>
        <w:pStyle w:val="Subsection"/>
        <w:spacing w:before="120"/>
      </w:pPr>
      <w:r>
        <w:tab/>
        <w:t>(1c)</w:t>
      </w:r>
      <w:r>
        <w:tab/>
        <w:t>A site plan is to be submitted, drawn to a suitable scale according to the size of the relevant lot, showing —</w:t>
      </w:r>
    </w:p>
    <w:p>
      <w:pPr>
        <w:pStyle w:val="Indenta"/>
      </w:pPr>
      <w:r>
        <w:tab/>
        <w:t>(a)</w:t>
      </w:r>
      <w:r>
        <w:tab/>
        <w:t>an outline of every building on the relevant lot; and</w:t>
      </w:r>
    </w:p>
    <w:p>
      <w:pPr>
        <w:pStyle w:val="Indenta"/>
      </w:pPr>
      <w:r>
        <w:tab/>
        <w:t>(b)</w:t>
      </w:r>
      <w:r>
        <w:tab/>
        <w:t>the boundary of the relevant lot; and</w:t>
      </w:r>
    </w:p>
    <w:p>
      <w:pPr>
        <w:pStyle w:val="Indenta"/>
      </w:pPr>
      <w:r>
        <w:tab/>
        <w:t>(c)</w:t>
      </w:r>
      <w:r>
        <w:tab/>
        <w:t>features on the relevant lot such as car parks, vehicle access to adjacent streets and swimming pools; and</w:t>
      </w:r>
    </w:p>
    <w:p>
      <w:pPr>
        <w:pStyle w:val="Indenta"/>
      </w:pPr>
      <w:r>
        <w:tab/>
        <w:t>(d)</w:t>
      </w:r>
      <w:r>
        <w:tab/>
        <w:t>the name and location of any street forming part of the boundary of the relevant lot.</w:t>
      </w:r>
    </w:p>
    <w:p>
      <w:pPr>
        <w:pStyle w:val="Subsection"/>
        <w:keepNext/>
        <w:spacing w:before="120"/>
      </w:pPr>
      <w:r>
        <w:tab/>
        <w:t>(1d)</w:t>
      </w:r>
      <w:r>
        <w:tab/>
        <w:t>A map of the relevant district is to be submitted, showing the locality of the relevant premises.</w:t>
      </w:r>
    </w:p>
    <w:p>
      <w:pPr>
        <w:pStyle w:val="Subsection"/>
        <w:spacing w:before="120"/>
      </w:pPr>
      <w:r>
        <w:tab/>
        <w:t>(1e)</w:t>
      </w:r>
      <w:r>
        <w:tab/>
        <w:t>A plan is to be submitted, drawn to a scale of 1:100, showing the external elevations of the relevant premises or, if the relevant premises comprise one or more existing buildings, photographs of the exterior of the relevant premises may be submitted instead of a plan of that kind.</w:t>
      </w:r>
    </w:p>
    <w:p>
      <w:pPr>
        <w:pStyle w:val="Subsection"/>
        <w:spacing w:before="120"/>
      </w:pPr>
      <w:r>
        <w:tab/>
        <w:t>(1f)</w:t>
      </w:r>
      <w:r>
        <w:tab/>
        <w:t>A plan that is submitted for the purposes of an application under section 77(4) for the alteration or redefinition of licensed premises is to show those premises as they would be if the proposed alteration or redefinition had taken place, distinguishing the areas of the current licensed premises from the areas of the proposed alteration or redefinition.</w:t>
      </w:r>
    </w:p>
    <w:p>
      <w:pPr>
        <w:pStyle w:val="Subsection"/>
        <w:spacing w:before="120"/>
        <w:rPr>
          <w:snapToGrid w:val="0"/>
        </w:rPr>
      </w:pPr>
      <w:r>
        <w:rPr>
          <w:snapToGrid w:val="0"/>
        </w:rPr>
        <w:tab/>
        <w:t>(2)</w:t>
      </w:r>
      <w:r>
        <w:rPr>
          <w:snapToGrid w:val="0"/>
        </w:rPr>
        <w:tab/>
        <w:t xml:space="preserve">A plan referred to in </w:t>
      </w:r>
      <w:r>
        <w:t xml:space="preserve">this regulation </w:t>
      </w:r>
      <w:r>
        <w:rPr>
          <w:snapToGrid w:val="0"/>
        </w:rPr>
        <w:t>shall be drawn —</w:t>
      </w:r>
    </w:p>
    <w:p>
      <w:pPr>
        <w:pStyle w:val="Indenta"/>
        <w:rPr>
          <w:snapToGrid w:val="0"/>
        </w:rPr>
      </w:pPr>
      <w:r>
        <w:rPr>
          <w:snapToGrid w:val="0"/>
        </w:rPr>
        <w:tab/>
        <w:t>(a)</w:t>
      </w:r>
      <w:r>
        <w:rPr>
          <w:snapToGrid w:val="0"/>
        </w:rPr>
        <w:tab/>
      </w:r>
      <w:r>
        <w:t xml:space="preserve">on good quality paper of at least A3 size, </w:t>
      </w:r>
      <w:r>
        <w:rPr>
          <w:snapToGrid w:val="0"/>
        </w:rPr>
        <w:t>or be xerographic photocopies which are of the same size as the original within a tolerance of 5%; and</w:t>
      </w:r>
    </w:p>
    <w:p>
      <w:pPr>
        <w:pStyle w:val="Indenta"/>
        <w:rPr>
          <w:snapToGrid w:val="0"/>
        </w:rPr>
      </w:pPr>
      <w:r>
        <w:rPr>
          <w:snapToGrid w:val="0"/>
        </w:rPr>
        <w:tab/>
        <w:t>(b)</w:t>
      </w:r>
      <w:r>
        <w:rPr>
          <w:snapToGrid w:val="0"/>
        </w:rPr>
        <w:tab/>
        <w:t xml:space="preserve">so as to comply with Australian Standard 1100, Technical Drawing Part 101 — 1984 General Principles and Part 301 — 1985 Architectural Drawing of </w:t>
      </w:r>
      <w:r>
        <w:t>Standards Australia,</w:t>
      </w:r>
    </w:p>
    <w:p>
      <w:pPr>
        <w:pStyle w:val="Subsection"/>
        <w:spacing w:before="120"/>
        <w:rPr>
          <w:snapToGrid w:val="0"/>
        </w:rPr>
      </w:pPr>
      <w:r>
        <w:rPr>
          <w:snapToGrid w:val="0"/>
        </w:rPr>
        <w:tab/>
      </w:r>
      <w:r>
        <w:rPr>
          <w:snapToGrid w:val="0"/>
        </w:rPr>
        <w:tab/>
        <w:t>and shall show the date of preparation, the scale, the direction of north and the name of the person who prepared the plan.</w:t>
      </w:r>
    </w:p>
    <w:p>
      <w:pPr>
        <w:pStyle w:val="Subsection"/>
      </w:pPr>
      <w:bookmarkStart w:id="294" w:name="_Toc460808711"/>
      <w:bookmarkStart w:id="295" w:name="_Toc519934574"/>
      <w:bookmarkStart w:id="296" w:name="_Toc534780039"/>
      <w:bookmarkStart w:id="297" w:name="_Toc3352046"/>
      <w:bookmarkStart w:id="298" w:name="_Toc3352121"/>
      <w:bookmarkStart w:id="299" w:name="_Toc22966223"/>
      <w:bookmarkStart w:id="300" w:name="_Toc66263829"/>
      <w:r>
        <w:tab/>
        <w:t>(3)</w:t>
      </w:r>
      <w:r>
        <w:tab/>
        <w:t>For the purposes of section 66(5), specifications submitted with the plans to which they relate are to provide details of —</w:t>
      </w:r>
    </w:p>
    <w:p>
      <w:pPr>
        <w:pStyle w:val="Indenta"/>
      </w:pPr>
      <w:r>
        <w:tab/>
        <w:t>(a)</w:t>
      </w:r>
      <w:r>
        <w:tab/>
        <w:t>the wall and ceiling finishes; and</w:t>
      </w:r>
    </w:p>
    <w:p>
      <w:pPr>
        <w:pStyle w:val="Indenta"/>
      </w:pPr>
      <w:r>
        <w:tab/>
        <w:t>(b)</w:t>
      </w:r>
      <w:r>
        <w:tab/>
        <w:t>the fit out equipment in any bar, toilet or kitchen.</w:t>
      </w:r>
    </w:p>
    <w:p>
      <w:pPr>
        <w:pStyle w:val="Subsection"/>
      </w:pPr>
      <w:r>
        <w:tab/>
        <w:t>(4)</w:t>
      </w:r>
      <w:r>
        <w:tab/>
        <w:t>Plans and specifications referred to in this regulation may be submitted by email, on a computer disk or by another means acceptable to the Director.</w:t>
      </w:r>
    </w:p>
    <w:p>
      <w:pPr>
        <w:pStyle w:val="Subsection"/>
        <w:keepLines/>
      </w:pPr>
      <w:r>
        <w:tab/>
        <w:t>(5)</w:t>
      </w:r>
      <w:r>
        <w:tab/>
        <w:t>An application under section 62(6), by the holder of a licence conditionally granted under section 62, to vary any plans or specifications the subject of a condition is to be accompanied by the appropriate fee set out in Schedule 3.</w:t>
      </w:r>
    </w:p>
    <w:p>
      <w:pPr>
        <w:pStyle w:val="Footnotesection"/>
      </w:pPr>
      <w:r>
        <w:tab/>
        <w:t>[Regulation 11 amended in Gazette 9 Jul 2004 p. 2778</w:t>
      </w:r>
      <w:r>
        <w:noBreakHyphen/>
        <w:t>9; 1 May 2007 p. 1874</w:t>
      </w:r>
      <w:r>
        <w:noBreakHyphen/>
        <w:t>6 and 1888</w:t>
      </w:r>
      <w:r>
        <w:noBreakHyphen/>
        <w:t>9.]</w:t>
      </w:r>
    </w:p>
    <w:bookmarkEnd w:id="294"/>
    <w:bookmarkEnd w:id="295"/>
    <w:bookmarkEnd w:id="296"/>
    <w:bookmarkEnd w:id="297"/>
    <w:bookmarkEnd w:id="298"/>
    <w:bookmarkEnd w:id="299"/>
    <w:bookmarkEnd w:id="300"/>
    <w:p>
      <w:pPr>
        <w:pStyle w:val="Ednotesection"/>
      </w:pPr>
      <w:r>
        <w:t>[</w:t>
      </w:r>
      <w:r>
        <w:rPr>
          <w:b/>
          <w:bCs/>
        </w:rPr>
        <w:t>12.</w:t>
      </w:r>
      <w:r>
        <w:tab/>
        <w:t>Deleted in Gazette 28 Sep 2007 p. 4928.]</w:t>
      </w:r>
    </w:p>
    <w:p>
      <w:pPr>
        <w:pStyle w:val="Ednotesection"/>
        <w:tabs>
          <w:tab w:val="clear" w:pos="893"/>
        </w:tabs>
        <w:ind w:left="0" w:firstLine="0"/>
      </w:pPr>
      <w:r>
        <w:t>[</w:t>
      </w:r>
      <w:r>
        <w:rPr>
          <w:b/>
        </w:rPr>
        <w:t>12A</w:t>
      </w:r>
      <w:r>
        <w:rPr>
          <w:b/>
        </w:rPr>
        <w:noBreakHyphen/>
        <w:t>12D.</w:t>
      </w:r>
      <w:r>
        <w:tab/>
        <w:t>Omitted under the Reprints Act 1984 s. 7(4)(e).]</w:t>
      </w:r>
    </w:p>
    <w:p>
      <w:pPr>
        <w:pStyle w:val="Heading5"/>
        <w:rPr>
          <w:snapToGrid w:val="0"/>
        </w:rPr>
      </w:pPr>
      <w:bookmarkStart w:id="301" w:name="_Toc460808716"/>
      <w:bookmarkStart w:id="302" w:name="_Toc519934579"/>
      <w:bookmarkStart w:id="303" w:name="_Toc534780044"/>
      <w:bookmarkStart w:id="304" w:name="_Toc3352051"/>
      <w:bookmarkStart w:id="305" w:name="_Toc3352126"/>
      <w:bookmarkStart w:id="306" w:name="_Toc22966228"/>
      <w:bookmarkStart w:id="307" w:name="_Toc66263834"/>
      <w:bookmarkStart w:id="308" w:name="_Toc119294075"/>
      <w:bookmarkStart w:id="309" w:name="_Toc123633168"/>
      <w:bookmarkStart w:id="310" w:name="_Toc172713928"/>
      <w:bookmarkStart w:id="311" w:name="_Toc264018271"/>
      <w:bookmarkStart w:id="312" w:name="_Toc303323163"/>
      <w:bookmarkStart w:id="313" w:name="_Toc303926946"/>
      <w:r>
        <w:rPr>
          <w:rStyle w:val="CharSectno"/>
        </w:rPr>
        <w:t>13</w:t>
      </w:r>
      <w:r>
        <w:rPr>
          <w:snapToGrid w:val="0"/>
        </w:rPr>
        <w:t>.</w:t>
      </w:r>
      <w:r>
        <w:rPr>
          <w:snapToGrid w:val="0"/>
        </w:rPr>
        <w:tab/>
        <w:t>Records (Act s. 68(1)</w:t>
      </w:r>
      <w:bookmarkEnd w:id="301"/>
      <w:bookmarkEnd w:id="302"/>
      <w:bookmarkEnd w:id="303"/>
      <w:bookmarkEnd w:id="304"/>
      <w:bookmarkEnd w:id="305"/>
      <w:bookmarkEnd w:id="306"/>
      <w:bookmarkEnd w:id="307"/>
      <w:bookmarkEnd w:id="308"/>
      <w:bookmarkEnd w:id="309"/>
      <w:bookmarkEnd w:id="310"/>
      <w:r>
        <w:rPr>
          <w:snapToGrid w:val="0"/>
        </w:rPr>
        <w:t>)</w:t>
      </w:r>
      <w:bookmarkEnd w:id="311"/>
      <w:bookmarkEnd w:id="312"/>
      <w:bookmarkEnd w:id="313"/>
    </w:p>
    <w:p>
      <w:pPr>
        <w:pStyle w:val="Subsection"/>
        <w:rPr>
          <w:snapToGrid w:val="0"/>
        </w:rPr>
      </w:pPr>
      <w:r>
        <w:rPr>
          <w:snapToGrid w:val="0"/>
        </w:rPr>
        <w:tab/>
        <w:t>(1)</w:t>
      </w:r>
      <w:r>
        <w:rPr>
          <w:snapToGrid w:val="0"/>
        </w:rPr>
        <w:tab/>
        <w:t>The records required to accompany a notice of application for the grant or transfer of a licence, other than an occasional licence, under section 68(1)(b) shall be in the form of a written statement and shall contain, in respect of each applicant, the details set out in the third column of Schedule 2 opposite the relevant category of applicant described in the second column of that Schedule.</w:t>
      </w:r>
    </w:p>
    <w:p>
      <w:pPr>
        <w:pStyle w:val="Subsection"/>
        <w:rPr>
          <w:snapToGrid w:val="0"/>
        </w:rPr>
      </w:pPr>
      <w:r>
        <w:rPr>
          <w:snapToGrid w:val="0"/>
        </w:rPr>
        <w:tab/>
        <w:t>(2)</w:t>
      </w:r>
      <w:r>
        <w:rPr>
          <w:snapToGrid w:val="0"/>
        </w:rPr>
        <w:tab/>
        <w:t>If the applicant is a body corporate the records referred to in subregulation (1) shall be verified under the seal of the body corporate.</w:t>
      </w:r>
    </w:p>
    <w:p>
      <w:pPr>
        <w:pStyle w:val="Ednotesection"/>
      </w:pPr>
      <w:bookmarkStart w:id="314" w:name="_Toc66263836"/>
      <w:bookmarkStart w:id="315" w:name="_Toc119294077"/>
      <w:bookmarkStart w:id="316" w:name="_Toc123633170"/>
      <w:bookmarkStart w:id="317" w:name="_Toc172713930"/>
      <w:bookmarkStart w:id="318" w:name="_Toc460808718"/>
      <w:bookmarkStart w:id="319" w:name="_Toc519934581"/>
      <w:bookmarkStart w:id="320" w:name="_Toc534780046"/>
      <w:bookmarkStart w:id="321" w:name="_Toc3352053"/>
      <w:bookmarkStart w:id="322" w:name="_Toc3352128"/>
      <w:bookmarkStart w:id="323" w:name="_Toc22966230"/>
      <w:r>
        <w:t>[</w:t>
      </w:r>
      <w:r>
        <w:rPr>
          <w:b/>
          <w:bCs/>
        </w:rPr>
        <w:t>14.</w:t>
      </w:r>
      <w:r>
        <w:tab/>
        <w:t>Deleted in Gazette 28 Sep 2007 p. 4928.]</w:t>
      </w:r>
    </w:p>
    <w:p>
      <w:pPr>
        <w:pStyle w:val="Heading5"/>
      </w:pPr>
      <w:bookmarkStart w:id="324" w:name="_Toc264018272"/>
      <w:bookmarkStart w:id="325" w:name="_Toc303323164"/>
      <w:bookmarkStart w:id="326" w:name="_Toc303926947"/>
      <w:bookmarkStart w:id="327" w:name="_Toc172713931"/>
      <w:bookmarkStart w:id="328" w:name="_Toc66263837"/>
      <w:bookmarkStart w:id="329" w:name="_Toc119294078"/>
      <w:bookmarkStart w:id="330" w:name="_Toc123633171"/>
      <w:bookmarkEnd w:id="314"/>
      <w:bookmarkEnd w:id="315"/>
      <w:bookmarkEnd w:id="316"/>
      <w:bookmarkEnd w:id="317"/>
      <w:r>
        <w:rPr>
          <w:rStyle w:val="CharSectno"/>
        </w:rPr>
        <w:t>14A</w:t>
      </w:r>
      <w:r>
        <w:t>.</w:t>
      </w:r>
      <w:r>
        <w:tab/>
        <w:t xml:space="preserve">Prescribed premises </w:t>
      </w:r>
      <w:r>
        <w:rPr>
          <w:snapToGrid w:val="0"/>
        </w:rPr>
        <w:t>(Act s. 77(5a)(b))</w:t>
      </w:r>
      <w:bookmarkEnd w:id="324"/>
      <w:bookmarkEnd w:id="325"/>
      <w:bookmarkEnd w:id="326"/>
    </w:p>
    <w:p>
      <w:pPr>
        <w:pStyle w:val="Subsection"/>
      </w:pPr>
      <w:r>
        <w:tab/>
      </w:r>
      <w:r>
        <w:tab/>
        <w:t>Premises to which one of the following licences relates are prescribed for the purposes of section 77(5a)(b) —</w:t>
      </w:r>
    </w:p>
    <w:p>
      <w:pPr>
        <w:pStyle w:val="Indenta"/>
      </w:pPr>
      <w:r>
        <w:tab/>
        <w:t>(a)</w:t>
      </w:r>
      <w:r>
        <w:tab/>
        <w:t>a casino liquor licence;</w:t>
      </w:r>
    </w:p>
    <w:p>
      <w:pPr>
        <w:pStyle w:val="Indenta"/>
      </w:pPr>
      <w:r>
        <w:tab/>
        <w:t>(b)</w:t>
      </w:r>
      <w:r>
        <w:tab/>
        <w:t>a club licence;</w:t>
      </w:r>
    </w:p>
    <w:p>
      <w:pPr>
        <w:pStyle w:val="Indenta"/>
        <w:keepNext/>
        <w:keepLines/>
      </w:pPr>
      <w:r>
        <w:tab/>
        <w:t>(c)</w:t>
      </w:r>
      <w:r>
        <w:tab/>
        <w:t>a hotel restricted licence.</w:t>
      </w:r>
    </w:p>
    <w:p>
      <w:pPr>
        <w:pStyle w:val="Footnotesection"/>
      </w:pPr>
      <w:r>
        <w:tab/>
        <w:t>[Regulation 14A inserted in Gazette 2 May 2008 p. 1704.]</w:t>
      </w:r>
    </w:p>
    <w:p>
      <w:pPr>
        <w:pStyle w:val="Heading5"/>
      </w:pPr>
      <w:bookmarkStart w:id="331" w:name="_Toc264018273"/>
      <w:bookmarkStart w:id="332" w:name="_Toc303323165"/>
      <w:bookmarkStart w:id="333" w:name="_Toc303926948"/>
      <w:r>
        <w:rPr>
          <w:rStyle w:val="CharSectno"/>
        </w:rPr>
        <w:t>14AB</w:t>
      </w:r>
      <w:r>
        <w:t>.</w:t>
      </w:r>
      <w:r>
        <w:tab/>
        <w:t>Lodgment periods for applications for certain occasional licences </w:t>
      </w:r>
      <w:r>
        <w:rPr>
          <w:snapToGrid w:val="0"/>
        </w:rPr>
        <w:t>(Act s. </w:t>
      </w:r>
      <w:r>
        <w:t>75(1)(b)</w:t>
      </w:r>
      <w:bookmarkEnd w:id="327"/>
      <w:r>
        <w:t>)</w:t>
      </w:r>
      <w:bookmarkEnd w:id="331"/>
      <w:bookmarkEnd w:id="332"/>
      <w:bookmarkEnd w:id="333"/>
    </w:p>
    <w:p>
      <w:pPr>
        <w:pStyle w:val="Subsection"/>
      </w:pPr>
      <w:r>
        <w:tab/>
      </w:r>
      <w:r>
        <w:tab/>
        <w:t>For the purposes of section 75(1)(b), an application for the grant of an occasional licence is to be lodged with the Director —</w:t>
      </w:r>
    </w:p>
    <w:p>
      <w:pPr>
        <w:pStyle w:val="Indenta"/>
        <w:spacing w:before="100"/>
      </w:pPr>
      <w:r>
        <w:tab/>
        <w:t>(a)</w:t>
      </w:r>
      <w:r>
        <w:tab/>
        <w:t>if the anticipated number of patrons is greater than 500 but not greater than 5 000 — not later than 30 days before the licence is to take effect; or</w:t>
      </w:r>
    </w:p>
    <w:p>
      <w:pPr>
        <w:pStyle w:val="Indenta"/>
        <w:spacing w:before="100"/>
      </w:pPr>
      <w:r>
        <w:tab/>
        <w:t>(b)</w:t>
      </w:r>
      <w:r>
        <w:tab/>
        <w:t>if the anticipated number of patrons is greater than 5 000 — not later than 60 days before the licence is to take effect.</w:t>
      </w:r>
    </w:p>
    <w:p>
      <w:pPr>
        <w:pStyle w:val="Footnotesection"/>
      </w:pPr>
      <w:r>
        <w:tab/>
        <w:t>[Regulation 14AB inserted in Gazette 1 May 2007 p. 1876</w:t>
      </w:r>
      <w:r>
        <w:noBreakHyphen/>
        <w:t>7; amended in Gazette 22 Oct 2010 p. 5227.]</w:t>
      </w:r>
    </w:p>
    <w:p>
      <w:pPr>
        <w:pStyle w:val="Heading5"/>
      </w:pPr>
      <w:bookmarkStart w:id="334" w:name="_Toc172713932"/>
      <w:bookmarkStart w:id="335" w:name="_Toc264018274"/>
      <w:bookmarkStart w:id="336" w:name="_Toc303323166"/>
      <w:bookmarkStart w:id="337" w:name="_Toc303926949"/>
      <w:r>
        <w:rPr>
          <w:rStyle w:val="CharSectno"/>
        </w:rPr>
        <w:t>14AC</w:t>
      </w:r>
      <w:r>
        <w:t>.</w:t>
      </w:r>
      <w:r>
        <w:tab/>
        <w:t>Lodgment periods for applications for certain permits </w:t>
      </w:r>
      <w:r>
        <w:rPr>
          <w:snapToGrid w:val="0"/>
        </w:rPr>
        <w:t>(Act s. </w:t>
      </w:r>
      <w:r>
        <w:t>76(1)(b)</w:t>
      </w:r>
      <w:bookmarkEnd w:id="334"/>
      <w:r>
        <w:t>)</w:t>
      </w:r>
      <w:bookmarkEnd w:id="335"/>
      <w:bookmarkEnd w:id="336"/>
      <w:bookmarkEnd w:id="337"/>
    </w:p>
    <w:p>
      <w:pPr>
        <w:pStyle w:val="Subsection"/>
      </w:pPr>
      <w:r>
        <w:tab/>
        <w:t>(1)</w:t>
      </w:r>
      <w:r>
        <w:tab/>
        <w:t xml:space="preserve">In this regulation — </w:t>
      </w:r>
    </w:p>
    <w:p>
      <w:pPr>
        <w:pStyle w:val="Defstart"/>
      </w:pPr>
      <w:r>
        <w:tab/>
      </w:r>
      <w:r>
        <w:rPr>
          <w:rStyle w:val="CharDefText"/>
        </w:rPr>
        <w:t>anticipated number of patrons</w:t>
      </w:r>
      <w:r>
        <w:t>, in relation to an application for a prescribed permit, means the sum of the maximum number of patrons for each day of the period to which the application relates;</w:t>
      </w:r>
    </w:p>
    <w:p>
      <w:pPr>
        <w:pStyle w:val="Defstart"/>
      </w:pPr>
      <w:r>
        <w:tab/>
      </w:r>
      <w:r>
        <w:rPr>
          <w:rStyle w:val="CharDefText"/>
        </w:rPr>
        <w:t>maximum number of patrons</w:t>
      </w:r>
      <w:r>
        <w:t>, in relation to a day of the period to which an application for a prescribed permit relates, means the maximum number of patrons that the person making the application reasonably expects to be in the permit area at any one time on that day;</w:t>
      </w:r>
    </w:p>
    <w:p>
      <w:pPr>
        <w:pStyle w:val="Defstart"/>
      </w:pPr>
      <w:r>
        <w:tab/>
      </w:r>
      <w:r>
        <w:rPr>
          <w:rStyle w:val="CharDefText"/>
        </w:rPr>
        <w:t>permit area</w:t>
      </w:r>
      <w:r>
        <w:t xml:space="preserve"> means the place or premises in respect of which the application is made;</w:t>
      </w:r>
    </w:p>
    <w:p>
      <w:pPr>
        <w:pStyle w:val="Defstart"/>
      </w:pPr>
      <w:r>
        <w:tab/>
      </w:r>
      <w:r>
        <w:rPr>
          <w:rStyle w:val="CharDefText"/>
        </w:rPr>
        <w:t>prescribed permit</w:t>
      </w:r>
      <w:r>
        <w:t xml:space="preserve"> means an extended trading permit to be issued for a specified period not exceeding 3 weeks and for the purposes referred to in section 60(4)(a), (cb), (f), (g) or (h).</w:t>
      </w:r>
    </w:p>
    <w:p>
      <w:pPr>
        <w:pStyle w:val="Subsection"/>
        <w:spacing w:before="180"/>
      </w:pPr>
      <w:r>
        <w:tab/>
        <w:t>(2)</w:t>
      </w:r>
      <w:r>
        <w:tab/>
        <w:t>For the purposes of section 76(1)(b), an application for the issue of a prescribed permit is to be lodged with the Director —</w:t>
      </w:r>
    </w:p>
    <w:p>
      <w:pPr>
        <w:pStyle w:val="Indenta"/>
        <w:spacing w:before="100"/>
      </w:pPr>
      <w:r>
        <w:tab/>
        <w:t>(a)</w:t>
      </w:r>
      <w:r>
        <w:tab/>
        <w:t>if the anticipated number of patrons is greater than 500 but not greater than 5 000 — not later than 30 days before the permit is to take effect; or</w:t>
      </w:r>
    </w:p>
    <w:p>
      <w:pPr>
        <w:pStyle w:val="Indenta"/>
        <w:spacing w:before="100"/>
      </w:pPr>
      <w:r>
        <w:tab/>
        <w:t>(b)</w:t>
      </w:r>
      <w:r>
        <w:tab/>
        <w:t>if the anticipated number of patrons is greater than 5 000 — not later than 60 days before the permit is to take effect.</w:t>
      </w:r>
    </w:p>
    <w:p>
      <w:pPr>
        <w:pStyle w:val="Footnotesection"/>
        <w:spacing w:before="80"/>
        <w:ind w:left="890" w:hanging="890"/>
      </w:pPr>
      <w:r>
        <w:tab/>
        <w:t>[Regulation 14AC inserted in Gazette 1 May 2007 p. 1877; amended in Gazette 22 Oct 2010 p. 5227.]</w:t>
      </w:r>
    </w:p>
    <w:p>
      <w:pPr>
        <w:pStyle w:val="Heading5"/>
      </w:pPr>
      <w:bookmarkStart w:id="338" w:name="_Toc303323167"/>
      <w:bookmarkStart w:id="339" w:name="_Toc303926950"/>
      <w:bookmarkStart w:id="340" w:name="_Toc172713933"/>
      <w:bookmarkStart w:id="341" w:name="_Toc264018275"/>
      <w:r>
        <w:rPr>
          <w:rStyle w:val="CharSectno"/>
        </w:rPr>
        <w:t>14ADA</w:t>
      </w:r>
      <w:r>
        <w:t>.</w:t>
      </w:r>
      <w:r>
        <w:tab/>
        <w:t>Manager’s approval, application for (Act s. 102B)</w:t>
      </w:r>
      <w:bookmarkEnd w:id="338"/>
      <w:bookmarkEnd w:id="339"/>
    </w:p>
    <w:p>
      <w:pPr>
        <w:pStyle w:val="Subsection"/>
      </w:pPr>
      <w:r>
        <w:tab/>
        <w:t>(1)</w:t>
      </w:r>
      <w:r>
        <w:tab/>
        <w:t xml:space="preserve">In this regulation — </w:t>
      </w:r>
    </w:p>
    <w:p>
      <w:pPr>
        <w:pStyle w:val="Defstart"/>
      </w:pPr>
      <w:r>
        <w:tab/>
      </w:r>
      <w:r>
        <w:rPr>
          <w:rStyle w:val="CharDefText"/>
        </w:rPr>
        <w:t>approval application</w:t>
      </w:r>
      <w:r>
        <w:rPr>
          <w:rStyle w:val="CharDefText"/>
          <w:b w:val="0"/>
          <w:i w:val="0"/>
        </w:rPr>
        <w:t xml:space="preserve"> </w:t>
      </w:r>
      <w:r>
        <w:t>means an application for a manager’s approval under section 102B.</w:t>
      </w:r>
    </w:p>
    <w:p>
      <w:pPr>
        <w:pStyle w:val="Subsection"/>
      </w:pPr>
      <w:r>
        <w:tab/>
        <w:t>(2)</w:t>
      </w:r>
      <w:r>
        <w:tab/>
        <w:t xml:space="preserve">An approval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An approval application must be lodged at an Australia Post office or agency unless it is an approval application to which subregulation (4) applies.</w:t>
      </w:r>
    </w:p>
    <w:p>
      <w:pPr>
        <w:pStyle w:val="Subsection"/>
      </w:pPr>
      <w:r>
        <w:tab/>
        <w:t>(4)</w:t>
      </w:r>
      <w:r>
        <w:tab/>
        <w:t xml:space="preserve">An approval application by an approved restricted manager seeking approval as an approved unrestricted manager must be lodged — </w:t>
      </w:r>
    </w:p>
    <w:p>
      <w:pPr>
        <w:pStyle w:val="Indenta"/>
      </w:pPr>
      <w:r>
        <w:tab/>
        <w:t>(a)</w:t>
      </w:r>
      <w:r>
        <w:tab/>
        <w:t>at an Australia Post office or agency; or</w:t>
      </w:r>
    </w:p>
    <w:p>
      <w:pPr>
        <w:pStyle w:val="Indenta"/>
        <w:keepNext/>
      </w:pPr>
      <w:r>
        <w:tab/>
        <w:t>(b)</w:t>
      </w:r>
      <w:r>
        <w:tab/>
        <w:t>by an electronic means acceptable to the Director.</w:t>
      </w:r>
    </w:p>
    <w:p>
      <w:pPr>
        <w:pStyle w:val="Footnotesection"/>
        <w:ind w:left="890" w:hanging="890"/>
      </w:pPr>
      <w:r>
        <w:tab/>
        <w:t>[Regulation 14ADA inserted in Gazette 3 Jun 2011 p. 1995.]</w:t>
      </w:r>
    </w:p>
    <w:p>
      <w:pPr>
        <w:pStyle w:val="Heading5"/>
      </w:pPr>
      <w:bookmarkStart w:id="342" w:name="_Toc303323168"/>
      <w:bookmarkStart w:id="343" w:name="_Toc303926951"/>
      <w:r>
        <w:rPr>
          <w:rStyle w:val="CharSectno"/>
        </w:rPr>
        <w:t>14ADB</w:t>
      </w:r>
      <w:r>
        <w:t>.</w:t>
      </w:r>
      <w:r>
        <w:tab/>
        <w:t>Manager’s approval, conditions on (Act s. 102C)</w:t>
      </w:r>
      <w:bookmarkEnd w:id="342"/>
      <w:bookmarkEnd w:id="343"/>
    </w:p>
    <w:p>
      <w:pPr>
        <w:pStyle w:val="Subsection"/>
      </w:pPr>
      <w:r>
        <w:tab/>
        <w:t>(1)</w:t>
      </w:r>
      <w:r>
        <w:tab/>
        <w:t xml:space="preserve">The Director may impose a condition on a manager’s approval — </w:t>
      </w:r>
    </w:p>
    <w:p>
      <w:pPr>
        <w:pStyle w:val="Indenta"/>
      </w:pPr>
      <w:r>
        <w:tab/>
        <w:t>(a)</w:t>
      </w:r>
      <w:r>
        <w:tab/>
        <w:t>when the manager’s approval is granted or renewed; or</w:t>
      </w:r>
    </w:p>
    <w:p>
      <w:pPr>
        <w:pStyle w:val="Indenta"/>
      </w:pPr>
      <w:r>
        <w:tab/>
        <w:t>(b)</w:t>
      </w:r>
      <w:r>
        <w:tab/>
        <w:t>at any other time by giving notice in writing to the approved manager.</w:t>
      </w:r>
    </w:p>
    <w:p>
      <w:pPr>
        <w:pStyle w:val="Subsection"/>
      </w:pPr>
      <w:r>
        <w:tab/>
        <w:t>(2)</w:t>
      </w:r>
      <w:r>
        <w:tab/>
        <w:t>The Director may vary or remove a condition on a manager’s approval at any time by giving notice in writing to the approved manager.</w:t>
      </w:r>
    </w:p>
    <w:p>
      <w:pPr>
        <w:pStyle w:val="Subsection"/>
      </w:pPr>
      <w:r>
        <w:tab/>
        <w:t>(3)</w:t>
      </w:r>
      <w:r>
        <w:tab/>
        <w:t xml:space="preserve">The Director may impose, vary or remove a condition on — </w:t>
      </w:r>
    </w:p>
    <w:p>
      <w:pPr>
        <w:pStyle w:val="Indenta"/>
      </w:pPr>
      <w:r>
        <w:tab/>
        <w:t>(a)</w:t>
      </w:r>
      <w:r>
        <w:tab/>
        <w:t>the Director’s own initiative; or</w:t>
      </w:r>
    </w:p>
    <w:p>
      <w:pPr>
        <w:pStyle w:val="Indenta"/>
      </w:pPr>
      <w:r>
        <w:tab/>
        <w:t>(b)</w:t>
      </w:r>
      <w:r>
        <w:tab/>
        <w:t>the application of the approved manager.</w:t>
      </w:r>
    </w:p>
    <w:p>
      <w:pPr>
        <w:pStyle w:val="Subsection"/>
      </w:pPr>
      <w:r>
        <w:tab/>
        <w:t>(4)</w:t>
      </w:r>
      <w:r>
        <w:tab/>
        <w:t xml:space="preserve">Before the Director — </w:t>
      </w:r>
    </w:p>
    <w:p>
      <w:pPr>
        <w:pStyle w:val="Indenta"/>
      </w:pPr>
      <w:r>
        <w:tab/>
        <w:t>(a)</w:t>
      </w:r>
      <w:r>
        <w:tab/>
        <w:t>imposes a condition under subregulation (1)(b); or</w:t>
      </w:r>
    </w:p>
    <w:p>
      <w:pPr>
        <w:pStyle w:val="Indenta"/>
      </w:pPr>
      <w:r>
        <w:tab/>
        <w:t>(b)</w:t>
      </w:r>
      <w:r>
        <w:tab/>
        <w:t>varies a condition,</w:t>
      </w:r>
    </w:p>
    <w:p>
      <w:pPr>
        <w:pStyle w:val="Subsection"/>
      </w:pPr>
      <w:r>
        <w:tab/>
      </w:r>
      <w:r>
        <w:tab/>
        <w:t>on the Director’s own initiative, the Director must give the approved manager a reasonable opportunity to make submissions concerning the proposed condition or variation.</w:t>
      </w:r>
    </w:p>
    <w:p>
      <w:pPr>
        <w:pStyle w:val="Subsection"/>
      </w:pPr>
      <w:r>
        <w:tab/>
        <w:t>(5)</w:t>
      </w:r>
      <w:r>
        <w:tab/>
        <w:t>A notice under subregulation (1)(b) or (2) takes effect on the day specified in it.</w:t>
      </w:r>
    </w:p>
    <w:p>
      <w:pPr>
        <w:pStyle w:val="Footnotesection"/>
        <w:ind w:left="890" w:hanging="890"/>
      </w:pPr>
      <w:r>
        <w:tab/>
        <w:t>[Regulation 14ADB inserted in Gazette 3 Jun 2011 p. 1995</w:t>
      </w:r>
      <w:r>
        <w:noBreakHyphen/>
        <w:t>6.]</w:t>
      </w:r>
    </w:p>
    <w:p>
      <w:pPr>
        <w:pStyle w:val="Heading5"/>
      </w:pPr>
      <w:bookmarkStart w:id="344" w:name="_Toc303323169"/>
      <w:bookmarkStart w:id="345" w:name="_Toc303926952"/>
      <w:r>
        <w:rPr>
          <w:rStyle w:val="CharSectno"/>
        </w:rPr>
        <w:t>14ADC</w:t>
      </w:r>
      <w:r>
        <w:t>.</w:t>
      </w:r>
      <w:r>
        <w:tab/>
        <w:t>Manager’s approval, duration of (Act s. 102D)</w:t>
      </w:r>
      <w:bookmarkEnd w:id="344"/>
      <w:bookmarkEnd w:id="345"/>
      <w:r>
        <w:t> </w:t>
      </w:r>
    </w:p>
    <w:p>
      <w:pPr>
        <w:pStyle w:val="Subsection"/>
      </w:pPr>
      <w:r>
        <w:tab/>
        <w:t>(1)</w:t>
      </w:r>
      <w:r>
        <w:tab/>
        <w:t>A period of 5 years is prescribed for the purposes of section 102D(1)(b).</w:t>
      </w:r>
    </w:p>
    <w:p>
      <w:pPr>
        <w:pStyle w:val="Subsection"/>
        <w:keepNext/>
      </w:pPr>
      <w:r>
        <w:tab/>
        <w:t>(2)</w:t>
      </w:r>
      <w:r>
        <w:tab/>
        <w:t>A duration of 5 years is prescribed for the purposes of section 102D(2).</w:t>
      </w:r>
    </w:p>
    <w:p>
      <w:pPr>
        <w:pStyle w:val="Footnotesection"/>
        <w:ind w:left="890" w:hanging="890"/>
      </w:pPr>
      <w:r>
        <w:tab/>
        <w:t>[Regulation 14ADC inserted in Gazette 3 Jun 2011 p. 1996.]</w:t>
      </w:r>
    </w:p>
    <w:p>
      <w:pPr>
        <w:pStyle w:val="Heading5"/>
      </w:pPr>
      <w:bookmarkStart w:id="346" w:name="_Toc303323170"/>
      <w:bookmarkStart w:id="347" w:name="_Toc303926953"/>
      <w:r>
        <w:rPr>
          <w:rStyle w:val="CharSectno"/>
        </w:rPr>
        <w:t>14ADD</w:t>
      </w:r>
      <w:r>
        <w:t>.</w:t>
      </w:r>
      <w:r>
        <w:tab/>
        <w:t>Manager’s approval, renewal of (Act s. 102E)</w:t>
      </w:r>
      <w:bookmarkEnd w:id="346"/>
      <w:bookmarkEnd w:id="347"/>
    </w:p>
    <w:p>
      <w:pPr>
        <w:pStyle w:val="Subsection"/>
      </w:pPr>
      <w:r>
        <w:tab/>
        <w:t>(1)</w:t>
      </w:r>
      <w:r>
        <w:tab/>
        <w:t xml:space="preserve">In this regulation — </w:t>
      </w:r>
    </w:p>
    <w:p>
      <w:pPr>
        <w:pStyle w:val="Defstart"/>
      </w:pPr>
      <w:r>
        <w:tab/>
      </w:r>
      <w:r>
        <w:rPr>
          <w:rStyle w:val="CharDefText"/>
        </w:rPr>
        <w:t>renewal application</w:t>
      </w:r>
      <w:r>
        <w:t xml:space="preserve"> means an application for the renewal of a manager’s approval under section 102E.</w:t>
      </w:r>
    </w:p>
    <w:p>
      <w:pPr>
        <w:pStyle w:val="Subsection"/>
      </w:pPr>
      <w:r>
        <w:tab/>
        <w:t>(2)</w:t>
      </w:r>
      <w:r>
        <w:tab/>
        <w:t xml:space="preserve">A renewal application must be — </w:t>
      </w:r>
    </w:p>
    <w:p>
      <w:pPr>
        <w:pStyle w:val="Indenta"/>
      </w:pPr>
      <w:r>
        <w:tab/>
        <w:t>(a)</w:t>
      </w:r>
      <w:r>
        <w:tab/>
        <w:t>made in the form approved by the Director; and</w:t>
      </w:r>
    </w:p>
    <w:p>
      <w:pPr>
        <w:pStyle w:val="Indenta"/>
      </w:pPr>
      <w:r>
        <w:tab/>
        <w:t>(b)</w:t>
      </w:r>
      <w:r>
        <w:tab/>
        <w:t>supported by such other documentation or information as the Director may in a particular case require.</w:t>
      </w:r>
    </w:p>
    <w:p>
      <w:pPr>
        <w:pStyle w:val="Subsection"/>
      </w:pPr>
      <w:r>
        <w:tab/>
        <w:t>(3)</w:t>
      </w:r>
      <w:r>
        <w:tab/>
        <w:t xml:space="preserve">A renewal application must be lodged — </w:t>
      </w:r>
    </w:p>
    <w:p>
      <w:pPr>
        <w:pStyle w:val="Indenta"/>
      </w:pPr>
      <w:r>
        <w:tab/>
        <w:t>(a)</w:t>
      </w:r>
      <w:r>
        <w:tab/>
        <w:t>at an Australia Post office or agency; or</w:t>
      </w:r>
    </w:p>
    <w:p>
      <w:pPr>
        <w:pStyle w:val="Indenta"/>
      </w:pPr>
      <w:r>
        <w:tab/>
        <w:t>(b)</w:t>
      </w:r>
      <w:r>
        <w:tab/>
        <w:t>by an electronic means acceptable to the Director.</w:t>
      </w:r>
    </w:p>
    <w:p>
      <w:pPr>
        <w:pStyle w:val="Subsection"/>
      </w:pPr>
      <w:r>
        <w:tab/>
        <w:t>(4)</w:t>
      </w:r>
      <w:r>
        <w:tab/>
        <w:t xml:space="preserve">Unless the Director otherwise determines, if — </w:t>
      </w:r>
    </w:p>
    <w:p>
      <w:pPr>
        <w:pStyle w:val="Indenta"/>
      </w:pPr>
      <w:r>
        <w:tab/>
        <w:t>(a)</w:t>
      </w:r>
      <w:r>
        <w:tab/>
        <w:t>a renewal application has been made; and</w:t>
      </w:r>
    </w:p>
    <w:p>
      <w:pPr>
        <w:pStyle w:val="Indenta"/>
      </w:pPr>
      <w:r>
        <w:tab/>
        <w:t>(b)</w:t>
      </w:r>
      <w:r>
        <w:tab/>
        <w:t>the Director has not, before the day on which the manager’s approval is due to expire, determined the renewal application,</w:t>
      </w:r>
    </w:p>
    <w:p>
      <w:pPr>
        <w:pStyle w:val="Subsection"/>
      </w:pPr>
      <w:r>
        <w:tab/>
      </w:r>
      <w:r>
        <w:tab/>
        <w:t>the applicant is to be taken to be an approved unrestricted manager or an approved restricted manager, as the case requires, until the Director determines the renewal application.</w:t>
      </w:r>
    </w:p>
    <w:p>
      <w:pPr>
        <w:pStyle w:val="Footnotesection"/>
        <w:ind w:left="890" w:hanging="890"/>
      </w:pPr>
      <w:r>
        <w:tab/>
        <w:t>[Regulation 14ADD inserted in Gazette 3 Jun 2011 p. 1996.]</w:t>
      </w:r>
    </w:p>
    <w:p>
      <w:pPr>
        <w:pStyle w:val="Heading5"/>
      </w:pPr>
      <w:bookmarkStart w:id="348" w:name="_Toc303323171"/>
      <w:bookmarkStart w:id="349" w:name="_Toc303926954"/>
      <w:r>
        <w:rPr>
          <w:rStyle w:val="CharSectno"/>
        </w:rPr>
        <w:t>14ADE</w:t>
      </w:r>
      <w:r>
        <w:t>.</w:t>
      </w:r>
      <w:r>
        <w:tab/>
        <w:t>Identification cards</w:t>
      </w:r>
      <w:bookmarkEnd w:id="348"/>
      <w:bookmarkEnd w:id="349"/>
    </w:p>
    <w:p>
      <w:pPr>
        <w:pStyle w:val="Subsection"/>
      </w:pPr>
      <w:r>
        <w:tab/>
        <w:t>(1)</w:t>
      </w:r>
      <w:r>
        <w:tab/>
        <w:t>The Director may issue an identification card to an approved manager.</w:t>
      </w:r>
    </w:p>
    <w:p>
      <w:pPr>
        <w:pStyle w:val="Subsection"/>
      </w:pPr>
      <w:r>
        <w:tab/>
        <w:t>(2)</w:t>
      </w:r>
      <w:r>
        <w:tab/>
        <w:t xml:space="preserve">An identification card — </w:t>
      </w:r>
    </w:p>
    <w:p>
      <w:pPr>
        <w:pStyle w:val="Indenta"/>
      </w:pPr>
      <w:r>
        <w:tab/>
        <w:t>(a)</w:t>
      </w:r>
      <w:r>
        <w:tab/>
        <w:t>must be in the form approved by the Director; and</w:t>
      </w:r>
    </w:p>
    <w:p>
      <w:pPr>
        <w:pStyle w:val="Indenta"/>
      </w:pPr>
      <w:r>
        <w:tab/>
        <w:t>(b)</w:t>
      </w:r>
      <w:r>
        <w:tab/>
        <w:t>may contain such information as the Director considers appropriate.</w:t>
      </w:r>
    </w:p>
    <w:p>
      <w:pPr>
        <w:pStyle w:val="Subsection"/>
      </w:pPr>
      <w:r>
        <w:tab/>
        <w:t>(3)</w:t>
      </w:r>
      <w:r>
        <w:tab/>
        <w:t xml:space="preserve">An authorised officer may direct a person to whom an identification card has been issued to produce the identification card — </w:t>
      </w:r>
    </w:p>
    <w:p>
      <w:pPr>
        <w:pStyle w:val="Indenta"/>
      </w:pPr>
      <w:r>
        <w:tab/>
        <w:t>(a)</w:t>
      </w:r>
      <w:r>
        <w:tab/>
        <w:t>to the authorised officer immediately if the card is in the person’s possession when the direction is given; or</w:t>
      </w:r>
    </w:p>
    <w:p>
      <w:pPr>
        <w:pStyle w:val="Indenta"/>
      </w:pPr>
      <w:r>
        <w:tab/>
        <w:t>(b)</w:t>
      </w:r>
      <w:r>
        <w:tab/>
        <w:t>to an authorised officer or the officer in charge of a police station, within 48 hours after the direction is given, if the card is not in the person’s possession when the direction is given.</w:t>
      </w:r>
    </w:p>
    <w:p>
      <w:pPr>
        <w:pStyle w:val="Subsection"/>
      </w:pPr>
      <w:r>
        <w:tab/>
        <w:t>(4)</w:t>
      </w:r>
      <w:r>
        <w:tab/>
        <w:t>A person who fails to comply with a direction given to the person under subregulation (3) commits an offence.</w:t>
      </w:r>
    </w:p>
    <w:p>
      <w:pPr>
        <w:pStyle w:val="Penstart"/>
      </w:pPr>
      <w:r>
        <w:tab/>
        <w:t>Penalty: a fine of $2 000.</w:t>
      </w:r>
    </w:p>
    <w:p>
      <w:pPr>
        <w:pStyle w:val="Footnotesection"/>
        <w:ind w:left="890" w:hanging="890"/>
      </w:pPr>
      <w:r>
        <w:tab/>
        <w:t>[Regulation 14ADE inserted in Gazette 3 Jun 2011 p. 1996</w:t>
      </w:r>
      <w:r>
        <w:noBreakHyphen/>
        <w:t>7.]</w:t>
      </w:r>
    </w:p>
    <w:p>
      <w:pPr>
        <w:pStyle w:val="Heading5"/>
      </w:pPr>
      <w:bookmarkStart w:id="350" w:name="_Toc303323172"/>
      <w:bookmarkStart w:id="351" w:name="_Toc303926955"/>
      <w:r>
        <w:rPr>
          <w:rStyle w:val="CharSectno"/>
        </w:rPr>
        <w:t>14ADF</w:t>
      </w:r>
      <w:r>
        <w:t>.</w:t>
      </w:r>
      <w:r>
        <w:tab/>
        <w:t>Lost, stolen or destroyed identification cards</w:t>
      </w:r>
      <w:bookmarkEnd w:id="350"/>
      <w:bookmarkEnd w:id="351"/>
    </w:p>
    <w:p>
      <w:pPr>
        <w:pStyle w:val="Subsection"/>
      </w:pPr>
      <w:r>
        <w:tab/>
        <w:t>(1)</w:t>
      </w:r>
      <w:r>
        <w:tab/>
        <w:t>If the Director is satisfied, on an application in accordance with subregulation (2), that an identification card has been lost, stolen or destroyed, the Director may issue a replacement identification card.</w:t>
      </w:r>
    </w:p>
    <w:p>
      <w:pPr>
        <w:pStyle w:val="Subsection"/>
      </w:pPr>
      <w:r>
        <w:tab/>
        <w:t>(2)</w:t>
      </w:r>
      <w:r>
        <w:tab/>
        <w:t xml:space="preserve">An application for a replacement identification card must be — </w:t>
      </w:r>
    </w:p>
    <w:p>
      <w:pPr>
        <w:pStyle w:val="Indenta"/>
      </w:pPr>
      <w:r>
        <w:tab/>
        <w:t>(a)</w:t>
      </w:r>
      <w:r>
        <w:tab/>
        <w:t>made in a form approved by the Director; and</w:t>
      </w:r>
    </w:p>
    <w:p>
      <w:pPr>
        <w:pStyle w:val="Indenta"/>
      </w:pPr>
      <w:r>
        <w:tab/>
        <w:t>(b)</w:t>
      </w:r>
      <w:r>
        <w:tab/>
        <w:t xml:space="preserve">lodged — </w:t>
      </w:r>
    </w:p>
    <w:p>
      <w:pPr>
        <w:pStyle w:val="Indenti"/>
      </w:pPr>
      <w:r>
        <w:tab/>
        <w:t>(i)</w:t>
      </w:r>
      <w:r>
        <w:tab/>
        <w:t>at an Australia Post office or agency; or</w:t>
      </w:r>
    </w:p>
    <w:p>
      <w:pPr>
        <w:pStyle w:val="Indenti"/>
      </w:pPr>
      <w:r>
        <w:tab/>
        <w:t>(ii)</w:t>
      </w:r>
      <w:r>
        <w:tab/>
        <w:t>by an electronic means acceptable to the Director;</w:t>
      </w:r>
    </w:p>
    <w:p>
      <w:pPr>
        <w:pStyle w:val="Indenta"/>
      </w:pPr>
      <w:r>
        <w:tab/>
      </w:r>
      <w:r>
        <w:tab/>
        <w:t>and</w:t>
      </w:r>
    </w:p>
    <w:p>
      <w:pPr>
        <w:pStyle w:val="Indenta"/>
      </w:pPr>
      <w:r>
        <w:tab/>
        <w:t>(c)</w:t>
      </w:r>
      <w:r>
        <w:tab/>
        <w:t>accompanied by the appropriate fee set out in Schedule 3.</w:t>
      </w:r>
    </w:p>
    <w:p>
      <w:pPr>
        <w:pStyle w:val="Footnotesection"/>
        <w:ind w:left="890" w:hanging="890"/>
      </w:pPr>
      <w:r>
        <w:tab/>
        <w:t>[Regulation 14ADF inserted in Gazette 3 Jun 2011 p. 1997.]</w:t>
      </w:r>
    </w:p>
    <w:p>
      <w:pPr>
        <w:pStyle w:val="Heading5"/>
      </w:pPr>
      <w:bookmarkStart w:id="352" w:name="_Toc303323173"/>
      <w:bookmarkStart w:id="353" w:name="_Toc303926956"/>
      <w:r>
        <w:rPr>
          <w:rStyle w:val="CharSectno"/>
        </w:rPr>
        <w:t>14ADG</w:t>
      </w:r>
      <w:r>
        <w:t>.</w:t>
      </w:r>
      <w:r>
        <w:tab/>
        <w:t>Transitioned approvals (Act Sch. 1B)</w:t>
      </w:r>
      <w:bookmarkEnd w:id="352"/>
      <w:bookmarkEnd w:id="353"/>
    </w:p>
    <w:p>
      <w:pPr>
        <w:pStyle w:val="Subsection"/>
      </w:pPr>
      <w:r>
        <w:tab/>
        <w:t>(1)</w:t>
      </w:r>
      <w:r>
        <w:tab/>
        <w:t xml:space="preserve">In this regulation — </w:t>
      </w:r>
    </w:p>
    <w:p>
      <w:pPr>
        <w:pStyle w:val="Defstart"/>
      </w:pPr>
      <w:r>
        <w:tab/>
      </w:r>
      <w:r>
        <w:rPr>
          <w:rStyle w:val="CharDefText"/>
        </w:rPr>
        <w:t>commencement day</w:t>
      </w:r>
      <w:r>
        <w:t xml:space="preserve"> has the meaning given in Schedule 1B clause 1 of the Act;</w:t>
      </w:r>
    </w:p>
    <w:p>
      <w:pPr>
        <w:pStyle w:val="Defstart"/>
      </w:pPr>
      <w:r>
        <w:tab/>
      </w:r>
      <w:r>
        <w:rPr>
          <w:rStyle w:val="CharDefText"/>
        </w:rPr>
        <w:t>transitioned approval</w:t>
      </w:r>
      <w:r>
        <w:t xml:space="preserve"> has the meaning given in Schedule 1B clause 3(1) of the Act.</w:t>
      </w:r>
    </w:p>
    <w:p>
      <w:pPr>
        <w:pStyle w:val="Subsection"/>
      </w:pPr>
      <w:r>
        <w:tab/>
        <w:t>(2)</w:t>
      </w:r>
      <w:r>
        <w:tab/>
        <w:t>The Director is not required to comply with regulation 14ADB(4) before imposing a condition on a transitioned approval if the condition is imposed within 3 months after the commencement day.</w:t>
      </w:r>
    </w:p>
    <w:p>
      <w:pPr>
        <w:pStyle w:val="Subsection"/>
      </w:pPr>
      <w:r>
        <w:tab/>
        <w:t>(3)</w:t>
      </w:r>
      <w:r>
        <w:tab/>
        <w:t xml:space="preserve">Despite section 102D(1)(b) and regulation 14ADC(1), a transitioned approval remains in force for — </w:t>
      </w:r>
    </w:p>
    <w:p>
      <w:pPr>
        <w:pStyle w:val="Indenta"/>
      </w:pPr>
      <w:r>
        <w:tab/>
        <w:t>(a)</w:t>
      </w:r>
      <w:r>
        <w:tab/>
        <w:t>a period of 5 years after the commencement day; or</w:t>
      </w:r>
    </w:p>
    <w:p>
      <w:pPr>
        <w:pStyle w:val="Indenta"/>
      </w:pPr>
      <w:r>
        <w:tab/>
        <w:t>(b)</w:t>
      </w:r>
      <w:r>
        <w:tab/>
        <w:t>any longer period determined by the Director and specified in a notice in writing given to the holder of the transitioned approval,</w:t>
      </w:r>
    </w:p>
    <w:p>
      <w:pPr>
        <w:pStyle w:val="Subsection"/>
      </w:pPr>
      <w:r>
        <w:tab/>
      </w:r>
      <w:r>
        <w:tab/>
        <w:t>unless before then it is revoked under section 102F.</w:t>
      </w:r>
    </w:p>
    <w:p>
      <w:pPr>
        <w:pStyle w:val="Subsection"/>
      </w:pPr>
      <w:r>
        <w:tab/>
        <w:t>(4)</w:t>
      </w:r>
      <w:r>
        <w:tab/>
        <w:t>Despite section 102D(2) and regulation 14ADC(2), the first renewal of a transitioned approval after the commencement day may be for a duration of 1, 3 or 5 years, as chosen by the applicant for renewal.</w:t>
      </w:r>
    </w:p>
    <w:p>
      <w:pPr>
        <w:pStyle w:val="Footnotesection"/>
        <w:ind w:left="890" w:hanging="890"/>
      </w:pPr>
      <w:r>
        <w:tab/>
        <w:t>[Regulation 14ADG inserted in Gazette 3 Jun 2011 p. 1997</w:t>
      </w:r>
      <w:r>
        <w:noBreakHyphen/>
        <w:t>8.]</w:t>
      </w:r>
    </w:p>
    <w:p>
      <w:pPr>
        <w:pStyle w:val="Heading5"/>
      </w:pPr>
      <w:bookmarkStart w:id="354" w:name="_Toc303323174"/>
      <w:bookmarkStart w:id="355" w:name="_Toc303926957"/>
      <w:r>
        <w:rPr>
          <w:rStyle w:val="CharSectno"/>
        </w:rPr>
        <w:t>14AD</w:t>
      </w:r>
      <w:r>
        <w:t>.</w:t>
      </w:r>
      <w:r>
        <w:tab/>
        <w:t>Responsible practices in selling, supply and serving liquor </w:t>
      </w:r>
      <w:r>
        <w:rPr>
          <w:snapToGrid w:val="0"/>
        </w:rPr>
        <w:t>(Act s. </w:t>
      </w:r>
      <w:r>
        <w:t>103A(1)(a)</w:t>
      </w:r>
      <w:bookmarkEnd w:id="340"/>
      <w:r>
        <w:t>)</w:t>
      </w:r>
      <w:bookmarkEnd w:id="341"/>
      <w:bookmarkEnd w:id="354"/>
      <w:bookmarkEnd w:id="355"/>
    </w:p>
    <w:p>
      <w:pPr>
        <w:pStyle w:val="Subsection"/>
      </w:pPr>
      <w:r>
        <w:tab/>
        <w:t>(1)</w:t>
      </w:r>
      <w:r>
        <w:tab/>
        <w:t>This regulation does not apply to a person who is a licensee or a manager.</w:t>
      </w:r>
    </w:p>
    <w:p>
      <w:pPr>
        <w:pStyle w:val="Subsection"/>
      </w:pPr>
      <w:r>
        <w:tab/>
        <w:t>(2)</w:t>
      </w:r>
      <w:r>
        <w:tab/>
        <w:t>A person employed or engaged in the performance of supervisory functions at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(3)</w:t>
      </w:r>
      <w:r>
        <w:tab/>
        <w:t>A person employed or engaged in the service of liquor on or from licensed premises (other than licensed premises under an occasional licence) is required to complete successfully, within 4 weeks after being employed or engaged in that capacity, a course of training or an assessment, approved by the Director for the purposes of this subregulation, in responsible practices in the sale, supply and service of liquor.</w:t>
      </w:r>
    </w:p>
    <w:p>
      <w:pPr>
        <w:pStyle w:val="Subsection"/>
      </w:pPr>
      <w:r>
        <w:tab/>
        <w:t>(4)</w:t>
      </w:r>
      <w:r>
        <w:tab/>
        <w:t>A person employed or engaged in the service of liquor on or from licensed premises under an occasional licence, where the anticipated number of patrons is greater than 300, is required to have completed successfully a course of training or an assessment, approved by the Director for the purposes of this subregulation, in responsible practices in the sale, supply and service of liquor.</w:t>
      </w:r>
    </w:p>
    <w:p>
      <w:pPr>
        <w:pStyle w:val="Subsection"/>
      </w:pPr>
      <w:r>
        <w:tab/>
        <w:t>(5)</w:t>
      </w:r>
      <w:r>
        <w:tab/>
        <w:t>If the Director determines that a person to whom subregulation (2), (3) or (4) would otherwise apply is exempt from that subregulation, that exemption has effect accordingly.</w:t>
      </w:r>
    </w:p>
    <w:p>
      <w:pPr>
        <w:pStyle w:val="Footnotesection"/>
      </w:pPr>
      <w:r>
        <w:tab/>
        <w:t>[Regulation 14AD inserted in Gazette 1 May 2007 p. 1878; amended in Gazette 22 Oct 2010 p. 5227; 3 Jun 2011 p. 1998.]</w:t>
      </w:r>
    </w:p>
    <w:p>
      <w:pPr>
        <w:pStyle w:val="Heading5"/>
      </w:pPr>
      <w:bookmarkStart w:id="356" w:name="_Toc172713934"/>
      <w:bookmarkStart w:id="357" w:name="_Toc264018276"/>
      <w:bookmarkStart w:id="358" w:name="_Toc303323175"/>
      <w:bookmarkStart w:id="359" w:name="_Toc303926958"/>
      <w:r>
        <w:rPr>
          <w:rStyle w:val="CharSectno"/>
        </w:rPr>
        <w:t>14AE</w:t>
      </w:r>
      <w:r>
        <w:t>.</w:t>
      </w:r>
      <w:r>
        <w:tab/>
        <w:t>Offences for r. 14AD</w:t>
      </w:r>
      <w:bookmarkEnd w:id="356"/>
      <w:bookmarkEnd w:id="357"/>
      <w:bookmarkEnd w:id="358"/>
      <w:bookmarkEnd w:id="359"/>
    </w:p>
    <w:p>
      <w:pPr>
        <w:pStyle w:val="Subsection"/>
        <w:keepNext/>
        <w:keepLines/>
      </w:pPr>
      <w:r>
        <w:tab/>
        <w:t>(1)</w:t>
      </w:r>
      <w:r>
        <w:tab/>
        <w:t>A person who —</w:t>
      </w:r>
    </w:p>
    <w:p>
      <w:pPr>
        <w:pStyle w:val="Indenta"/>
      </w:pPr>
      <w:r>
        <w:tab/>
        <w:t>(a)</w:t>
      </w:r>
      <w:r>
        <w:tab/>
        <w:t>has failed to complete successfully a course of training or assessment as required by regulation 14AD(2) or (3); and</w:t>
      </w:r>
    </w:p>
    <w:p>
      <w:pPr>
        <w:pStyle w:val="Indenta"/>
      </w:pPr>
      <w:r>
        <w:tab/>
        <w:t>(b)</w:t>
      </w:r>
      <w:r>
        <w:tab/>
        <w:t>continues to be employed or engaged in the capacity described in that subregulation after the end of the period referred to in that subregulation,</w:t>
      </w:r>
    </w:p>
    <w:p>
      <w:pPr>
        <w:pStyle w:val="Subsection"/>
      </w:pPr>
      <w:r>
        <w:tab/>
      </w:r>
      <w:r>
        <w:tab/>
        <w:t>commits an offence.</w:t>
      </w:r>
    </w:p>
    <w:p>
      <w:pPr>
        <w:pStyle w:val="Penstart"/>
      </w:pPr>
      <w:r>
        <w:tab/>
        <w:t>Penalty: $2 000.</w:t>
      </w:r>
    </w:p>
    <w:p>
      <w:pPr>
        <w:pStyle w:val="Subsection"/>
        <w:keepNext/>
      </w:pPr>
      <w:r>
        <w:tab/>
        <w:t>(2)</w:t>
      </w:r>
      <w:r>
        <w:tab/>
        <w:t>A person who —</w:t>
      </w:r>
    </w:p>
    <w:p>
      <w:pPr>
        <w:pStyle w:val="Indenta"/>
      </w:pPr>
      <w:r>
        <w:tab/>
        <w:t>(a)</w:t>
      </w:r>
      <w:r>
        <w:tab/>
        <w:t>has failed to complete successfully a course of training or an assessment as required by regulation 14AD(4); and</w:t>
      </w:r>
    </w:p>
    <w:p>
      <w:pPr>
        <w:pStyle w:val="Indenta"/>
      </w:pPr>
      <w:r>
        <w:tab/>
        <w:t>(b)</w:t>
      </w:r>
      <w:r>
        <w:tab/>
        <w:t>is employed or engaged in the service of liquor on or from licensed premises under an occasional licence, where the number of patrons is greater than 300,</w:t>
      </w:r>
    </w:p>
    <w:p>
      <w:pPr>
        <w:pStyle w:val="Subsection"/>
        <w:spacing w:before="120"/>
      </w:pPr>
      <w:r>
        <w:tab/>
      </w:r>
      <w:r>
        <w:tab/>
        <w:t>commits an offence.</w:t>
      </w:r>
    </w:p>
    <w:p>
      <w:pPr>
        <w:pStyle w:val="Penstart"/>
      </w:pPr>
      <w:r>
        <w:tab/>
        <w:t>Penalty: $2 000.</w:t>
      </w:r>
    </w:p>
    <w:p>
      <w:pPr>
        <w:pStyle w:val="Subsection"/>
        <w:spacing w:before="120"/>
      </w:pPr>
      <w:r>
        <w:tab/>
        <w:t>(3)</w:t>
      </w:r>
      <w:r>
        <w:tab/>
        <w:t>If a person is convicted of an offence under subregulation (1) or (2) in relation to licensed premises, the licensee is to be taken to have also committed an offence and is liable to a penalty of $5 000.</w:t>
      </w:r>
    </w:p>
    <w:p>
      <w:pPr>
        <w:pStyle w:val="Subsection"/>
        <w:spacing w:before="120"/>
      </w:pPr>
      <w:r>
        <w:tab/>
        <w:t>(4)</w:t>
      </w:r>
      <w:r>
        <w:tab/>
        <w:t>It is a defence to a charge of an offence by a licensee under subregulation (3) in relation to an offence by another person under subregulation (1) or (2) to prove that the licensee could not, by the exercise of reasonable diligence, have prevented the commission of the offence under subregulation (1) or (2).</w:t>
      </w:r>
    </w:p>
    <w:p>
      <w:pPr>
        <w:pStyle w:val="Footnotesection"/>
      </w:pPr>
      <w:r>
        <w:tab/>
        <w:t>[Regulation 14AE inserted in Gazette 1 May 2007 p. 1879; amended in Gazette 2 Oct 2007 p. 4974; 22 Oct 2010 p. 5228.]</w:t>
      </w:r>
    </w:p>
    <w:p>
      <w:pPr>
        <w:pStyle w:val="Heading5"/>
        <w:spacing w:before="180"/>
      </w:pPr>
      <w:bookmarkStart w:id="360" w:name="_Toc172713935"/>
      <w:bookmarkStart w:id="361" w:name="_Toc264018277"/>
      <w:bookmarkStart w:id="362" w:name="_Toc303323176"/>
      <w:bookmarkStart w:id="363" w:name="_Toc303926959"/>
      <w:r>
        <w:rPr>
          <w:rStyle w:val="CharSectno"/>
        </w:rPr>
        <w:t>14AF</w:t>
      </w:r>
      <w:r>
        <w:t>.</w:t>
      </w:r>
      <w:r>
        <w:tab/>
        <w:t>Transitional arrangements for r. 14AD</w:t>
      </w:r>
      <w:bookmarkEnd w:id="360"/>
      <w:bookmarkEnd w:id="361"/>
      <w:bookmarkEnd w:id="362"/>
      <w:bookmarkEnd w:id="363"/>
    </w:p>
    <w:p>
      <w:pPr>
        <w:pStyle w:val="Subsection"/>
        <w:spacing w:before="120"/>
      </w:pPr>
      <w:r>
        <w:tab/>
        <w:t>(1)</w:t>
      </w:r>
      <w:r>
        <w:tab/>
        <w:t xml:space="preserve">A person who, immediately before the commencement of the </w:t>
      </w:r>
      <w:r>
        <w:rPr>
          <w:i/>
          <w:iCs/>
        </w:rPr>
        <w:t>Liquor and Gaming Legislation Amendment Act 2006</w:t>
      </w:r>
      <w:r>
        <w:rPr>
          <w:iCs/>
          <w:vertAlign w:val="superscript"/>
        </w:rPr>
        <w:t> 5</w:t>
      </w:r>
      <w:r>
        <w:rPr>
          <w:vertAlign w:val="superscript"/>
        </w:rPr>
        <w:t xml:space="preserve"> </w:t>
      </w:r>
      <w:r>
        <w:t>section 71, was employed or engaged in the capacity described in regulation 14AD(2) or (3) is not required to comply with that subregulation until the expiry of 12 months after that commencement.</w:t>
      </w:r>
    </w:p>
    <w:p>
      <w:pPr>
        <w:pStyle w:val="Subsection"/>
        <w:spacing w:before="120"/>
      </w:pPr>
      <w:r>
        <w:tab/>
        <w:t>(2)</w:t>
      </w:r>
      <w:r>
        <w:tab/>
        <w:t xml:space="preserve">If, during the 12 months referred to in subregulation (1), a person to whom that subregulation applies ceases to be employed or engaged by the person by whom he or she was employed or engaged immediately before the commencement of the </w:t>
      </w:r>
      <w:r>
        <w:rPr>
          <w:i/>
          <w:iCs/>
        </w:rPr>
        <w:t>Liquor and Gaming Legislation Amendment Act 2006</w:t>
      </w:r>
      <w:r>
        <w:rPr>
          <w:iCs/>
          <w:vertAlign w:val="superscript"/>
        </w:rPr>
        <w:t> 5</w:t>
      </w:r>
      <w:r>
        <w:rPr>
          <w:vertAlign w:val="superscript"/>
        </w:rPr>
        <w:t xml:space="preserve"> </w:t>
      </w:r>
      <w:r>
        <w:t xml:space="preserve"> section 71, subregulation (1) ceases to apply to that person.</w:t>
      </w:r>
    </w:p>
    <w:p>
      <w:pPr>
        <w:pStyle w:val="Footnotesection"/>
        <w:spacing w:before="60"/>
        <w:ind w:left="890" w:hanging="890"/>
      </w:pPr>
      <w:r>
        <w:tab/>
        <w:t>[Regulation 14AF inserted in Gazette 1 May 2007 p. 1879</w:t>
      </w:r>
      <w:r>
        <w:noBreakHyphen/>
        <w:t>80.]</w:t>
      </w:r>
    </w:p>
    <w:p>
      <w:pPr>
        <w:pStyle w:val="Heading5"/>
        <w:spacing w:before="180"/>
      </w:pPr>
      <w:bookmarkStart w:id="364" w:name="_Toc172713936"/>
      <w:bookmarkStart w:id="365" w:name="_Toc264018278"/>
      <w:bookmarkStart w:id="366" w:name="_Toc303323177"/>
      <w:bookmarkStart w:id="367" w:name="_Toc303926960"/>
      <w:r>
        <w:rPr>
          <w:rStyle w:val="CharSectno"/>
        </w:rPr>
        <w:t>14AG</w:t>
      </w:r>
      <w:r>
        <w:t>.</w:t>
      </w:r>
      <w:r>
        <w:tab/>
        <w:t>Licensees to maintain register </w:t>
      </w:r>
      <w:r>
        <w:rPr>
          <w:snapToGrid w:val="0"/>
        </w:rPr>
        <w:t>(Act s. </w:t>
      </w:r>
      <w:r>
        <w:t>103A(1)(b)</w:t>
      </w:r>
      <w:bookmarkEnd w:id="364"/>
      <w:r>
        <w:t>)</w:t>
      </w:r>
      <w:bookmarkEnd w:id="365"/>
      <w:bookmarkEnd w:id="366"/>
      <w:bookmarkEnd w:id="367"/>
    </w:p>
    <w:p>
      <w:pPr>
        <w:pStyle w:val="Subsection"/>
      </w:pPr>
      <w:r>
        <w:tab/>
        <w:t>(1)</w:t>
      </w:r>
      <w:r>
        <w:tab/>
        <w:t>The licensee of licensed premises is required to maintain a register that records in respect of a person employed or engaged at those premises in the capacity described in regulation 14AD(2) or (3) who has successfully completed the required course of training or assessment —</w:t>
      </w:r>
    </w:p>
    <w:p>
      <w:pPr>
        <w:pStyle w:val="Indenta"/>
      </w:pPr>
      <w:r>
        <w:tab/>
        <w:t>(a)</w:t>
      </w:r>
      <w:r>
        <w:tab/>
        <w:t>the name of the person; and</w:t>
      </w:r>
    </w:p>
    <w:p>
      <w:pPr>
        <w:pStyle w:val="Indenta"/>
      </w:pPr>
      <w:r>
        <w:tab/>
        <w:t>(b)</w:t>
      </w:r>
      <w:r>
        <w:tab/>
        <w:t>the date the person began his or her employment or engagement at the licensed premises; and</w:t>
      </w:r>
    </w:p>
    <w:p>
      <w:pPr>
        <w:pStyle w:val="Indenta"/>
      </w:pPr>
      <w:r>
        <w:tab/>
        <w:t>(c)</w:t>
      </w:r>
      <w:r>
        <w:tab/>
        <w:t>the name of the provider of the course of training or assessment; and</w:t>
      </w:r>
    </w:p>
    <w:p>
      <w:pPr>
        <w:pStyle w:val="Indenta"/>
      </w:pPr>
      <w:r>
        <w:tab/>
        <w:t>(d)</w:t>
      </w:r>
      <w:r>
        <w:tab/>
        <w:t>the State or Territory in which the person completed the course of training or assessment; and</w:t>
      </w:r>
    </w:p>
    <w:p>
      <w:pPr>
        <w:pStyle w:val="Indenta"/>
      </w:pPr>
      <w:r>
        <w:tab/>
        <w:t>(e)</w:t>
      </w:r>
      <w:r>
        <w:tab/>
        <w:t>the date of any certificate or other qualification obtained by the person on the completion of the course of training or assessment.</w:t>
      </w:r>
    </w:p>
    <w:p>
      <w:pPr>
        <w:pStyle w:val="Subsection"/>
      </w:pPr>
      <w:r>
        <w:tab/>
        <w:t>(1a)</w:t>
      </w:r>
      <w:r>
        <w:tab/>
        <w:t>A licensee who fails to maintain a register in accordance with subregulation (1) commits an offence.</w:t>
      </w:r>
    </w:p>
    <w:p>
      <w:pPr>
        <w:pStyle w:val="Penstart"/>
      </w:pPr>
      <w:r>
        <w:tab/>
        <w:t>Penalty: $5 000.</w:t>
      </w:r>
    </w:p>
    <w:p>
      <w:pPr>
        <w:pStyle w:val="Subsection"/>
      </w:pPr>
      <w:r>
        <w:tab/>
        <w:t>(2)</w:t>
      </w:r>
      <w:r>
        <w:tab/>
        <w:t>The licensee is required to keep a copy of the certificate or other qualification referred to in subregulation (1)(e).</w:t>
      </w:r>
    </w:p>
    <w:p>
      <w:pPr>
        <w:pStyle w:val="Footnotesection"/>
      </w:pPr>
      <w:r>
        <w:tab/>
        <w:t>[Regulation 14AG inserted in Gazette 1 May 2007 p. 1880; amended in Gazette 28 Sep 2007 p. 4929.]</w:t>
      </w:r>
    </w:p>
    <w:p>
      <w:pPr>
        <w:pStyle w:val="Ednotesection"/>
      </w:pPr>
      <w:bookmarkStart w:id="368" w:name="_Toc460808719"/>
      <w:bookmarkStart w:id="369" w:name="_Toc519934582"/>
      <w:bookmarkStart w:id="370" w:name="_Toc534780047"/>
      <w:bookmarkStart w:id="371" w:name="_Toc3352054"/>
      <w:bookmarkStart w:id="372" w:name="_Toc3352129"/>
      <w:bookmarkStart w:id="373" w:name="_Toc22966231"/>
      <w:bookmarkStart w:id="374" w:name="_Toc66263838"/>
      <w:bookmarkStart w:id="375" w:name="_Toc119294079"/>
      <w:bookmarkStart w:id="376" w:name="_Toc123633172"/>
      <w:bookmarkStart w:id="377" w:name="_Toc172713938"/>
      <w:bookmarkEnd w:id="318"/>
      <w:bookmarkEnd w:id="319"/>
      <w:bookmarkEnd w:id="320"/>
      <w:bookmarkEnd w:id="321"/>
      <w:bookmarkEnd w:id="322"/>
      <w:bookmarkEnd w:id="323"/>
      <w:bookmarkEnd w:id="328"/>
      <w:bookmarkEnd w:id="329"/>
      <w:bookmarkEnd w:id="330"/>
      <w:r>
        <w:t>[</w:t>
      </w:r>
      <w:r>
        <w:rPr>
          <w:b/>
          <w:bCs/>
        </w:rPr>
        <w:t>15.</w:t>
      </w:r>
      <w:r>
        <w:tab/>
        <w:t>Deleted in Gazette 28 Sep 2007 p. 4929.]</w:t>
      </w:r>
    </w:p>
    <w:p>
      <w:pPr>
        <w:pStyle w:val="Heading5"/>
        <w:rPr>
          <w:snapToGrid w:val="0"/>
        </w:rPr>
      </w:pPr>
      <w:bookmarkStart w:id="378" w:name="_Toc264018279"/>
      <w:bookmarkStart w:id="379" w:name="_Toc303323178"/>
      <w:bookmarkStart w:id="380" w:name="_Toc303926961"/>
      <w:r>
        <w:rPr>
          <w:rStyle w:val="CharSectno"/>
        </w:rPr>
        <w:t>16</w:t>
      </w:r>
      <w:r>
        <w:rPr>
          <w:snapToGrid w:val="0"/>
        </w:rPr>
        <w:t>.</w:t>
      </w:r>
      <w:r>
        <w:rPr>
          <w:snapToGrid w:val="0"/>
        </w:rPr>
        <w:tab/>
        <w:t>Liability of licensee — prescribed amount</w:t>
      </w:r>
      <w:bookmarkEnd w:id="368"/>
      <w:bookmarkEnd w:id="369"/>
      <w:bookmarkEnd w:id="370"/>
      <w:bookmarkEnd w:id="371"/>
      <w:bookmarkEnd w:id="372"/>
      <w:bookmarkEnd w:id="373"/>
      <w:bookmarkEnd w:id="374"/>
      <w:bookmarkEnd w:id="375"/>
      <w:bookmarkEnd w:id="376"/>
      <w:bookmarkEnd w:id="377"/>
      <w:r>
        <w:rPr>
          <w:snapToGrid w:val="0"/>
        </w:rPr>
        <w:t xml:space="preserve"> (Act s. 107)</w:t>
      </w:r>
      <w:bookmarkEnd w:id="378"/>
      <w:bookmarkEnd w:id="379"/>
      <w:bookmarkEnd w:id="380"/>
    </w:p>
    <w:p>
      <w:pPr>
        <w:pStyle w:val="Subsection"/>
        <w:rPr>
          <w:snapToGrid w:val="0"/>
        </w:rPr>
      </w:pPr>
      <w:r>
        <w:rPr>
          <w:snapToGrid w:val="0"/>
        </w:rPr>
        <w:tab/>
      </w:r>
      <w:r>
        <w:rPr>
          <w:snapToGrid w:val="0"/>
        </w:rPr>
        <w:tab/>
        <w:t>For the purposes of section 107 a licensee is not liable to a lodger beyond the amount of $200 per item of property lost or damaged.</w:t>
      </w:r>
    </w:p>
    <w:p>
      <w:pPr>
        <w:pStyle w:val="Heading5"/>
        <w:rPr>
          <w:snapToGrid w:val="0"/>
        </w:rPr>
      </w:pPr>
      <w:bookmarkStart w:id="381" w:name="_Toc460808720"/>
      <w:bookmarkStart w:id="382" w:name="_Toc519934583"/>
      <w:bookmarkStart w:id="383" w:name="_Toc534780048"/>
      <w:bookmarkStart w:id="384" w:name="_Toc3352055"/>
      <w:bookmarkStart w:id="385" w:name="_Toc3352130"/>
      <w:bookmarkStart w:id="386" w:name="_Toc22966232"/>
      <w:bookmarkStart w:id="387" w:name="_Toc66263839"/>
      <w:bookmarkStart w:id="388" w:name="_Toc119294080"/>
      <w:bookmarkStart w:id="389" w:name="_Toc123633173"/>
      <w:bookmarkStart w:id="390" w:name="_Toc172713939"/>
      <w:bookmarkStart w:id="391" w:name="_Toc264018280"/>
      <w:bookmarkStart w:id="392" w:name="_Toc303323179"/>
      <w:bookmarkStart w:id="393" w:name="_Toc303926962"/>
      <w:r>
        <w:rPr>
          <w:rStyle w:val="CharSectno"/>
        </w:rPr>
        <w:t>17</w:t>
      </w:r>
      <w:r>
        <w:rPr>
          <w:snapToGrid w:val="0"/>
        </w:rPr>
        <w:t>.</w:t>
      </w:r>
      <w:r>
        <w:rPr>
          <w:snapToGrid w:val="0"/>
        </w:rPr>
        <w:tab/>
        <w:t>Out of bounds area</w:t>
      </w:r>
      <w:bookmarkEnd w:id="381"/>
      <w:bookmarkEnd w:id="382"/>
      <w:bookmarkEnd w:id="383"/>
      <w:bookmarkEnd w:id="384"/>
      <w:bookmarkEnd w:id="385"/>
      <w:bookmarkEnd w:id="386"/>
      <w:bookmarkEnd w:id="387"/>
      <w:bookmarkEnd w:id="388"/>
      <w:bookmarkEnd w:id="389"/>
      <w:bookmarkEnd w:id="390"/>
      <w:r>
        <w:rPr>
          <w:snapToGrid w:val="0"/>
        </w:rPr>
        <w:t>, notice for (Act s. 121(6))</w:t>
      </w:r>
      <w:bookmarkEnd w:id="391"/>
      <w:bookmarkEnd w:id="392"/>
      <w:bookmarkEnd w:id="393"/>
    </w:p>
    <w:p>
      <w:pPr>
        <w:pStyle w:val="Subsection"/>
        <w:keepNext/>
        <w:keepLines/>
        <w:rPr>
          <w:snapToGrid w:val="0"/>
        </w:rPr>
      </w:pPr>
      <w:r>
        <w:rPr>
          <w:snapToGrid w:val="0"/>
        </w:rPr>
        <w:tab/>
      </w:r>
      <w:r>
        <w:rPr>
          <w:snapToGrid w:val="0"/>
        </w:rPr>
        <w:tab/>
        <w:t>A notice for the purposes of section 121(6) shall —</w:t>
      </w:r>
    </w:p>
    <w:p>
      <w:pPr>
        <w:pStyle w:val="Ednotepara"/>
        <w:spacing w:before="80"/>
        <w:rPr>
          <w:snapToGrid w:val="0"/>
        </w:rPr>
      </w:pPr>
      <w:r>
        <w:rPr>
          <w:snapToGrid w:val="0"/>
        </w:rPr>
        <w:tab/>
        <w:t>[(a)</w:t>
      </w:r>
      <w:r>
        <w:rPr>
          <w:snapToGrid w:val="0"/>
        </w:rPr>
        <w:tab/>
        <w:t>deleted]</w:t>
      </w:r>
    </w:p>
    <w:p>
      <w:pPr>
        <w:pStyle w:val="Indenta"/>
        <w:rPr>
          <w:snapToGrid w:val="0"/>
        </w:rPr>
      </w:pPr>
      <w:r>
        <w:rPr>
          <w:snapToGrid w:val="0"/>
        </w:rPr>
        <w:tab/>
        <w:t>(b)</w:t>
      </w:r>
      <w:r>
        <w:rPr>
          <w:snapToGrid w:val="0"/>
        </w:rPr>
        <w:tab/>
        <w:t>be printed, on paper or durable material of at least A4 size, in bold</w:t>
      </w:r>
      <w:r>
        <w:rPr>
          <w:snapToGrid w:val="0"/>
        </w:rPr>
        <w:noBreakHyphen/>
        <w:t>faced, upper case letters —</w:t>
      </w:r>
    </w:p>
    <w:p>
      <w:pPr>
        <w:pStyle w:val="Indenti"/>
        <w:rPr>
          <w:snapToGrid w:val="0"/>
        </w:rPr>
      </w:pPr>
      <w:r>
        <w:rPr>
          <w:snapToGrid w:val="0"/>
        </w:rPr>
        <w:tab/>
        <w:t>(i)</w:t>
      </w:r>
      <w:r>
        <w:rPr>
          <w:snapToGrid w:val="0"/>
        </w:rPr>
        <w:tab/>
        <w:t>in the heading, at least 20 mm in height; and</w:t>
      </w:r>
    </w:p>
    <w:p>
      <w:pPr>
        <w:pStyle w:val="Indenti"/>
        <w:rPr>
          <w:snapToGrid w:val="0"/>
        </w:rPr>
      </w:pPr>
      <w:r>
        <w:rPr>
          <w:snapToGrid w:val="0"/>
        </w:rPr>
        <w:tab/>
        <w:t>(ii)</w:t>
      </w:r>
      <w:r>
        <w:rPr>
          <w:snapToGrid w:val="0"/>
        </w:rPr>
        <w:tab/>
        <w:t>otherwise, at least 10 mm in height.</w:t>
      </w:r>
    </w:p>
    <w:p>
      <w:pPr>
        <w:pStyle w:val="Footnotesection"/>
      </w:pPr>
      <w:r>
        <w:tab/>
        <w:t>[Regulation 17 amended in Gazette 1 May 2007 p. 1881.]</w:t>
      </w:r>
    </w:p>
    <w:p>
      <w:pPr>
        <w:pStyle w:val="Heading5"/>
      </w:pPr>
      <w:bookmarkStart w:id="394" w:name="_Toc303323180"/>
      <w:bookmarkStart w:id="395" w:name="_Toc303926963"/>
      <w:bookmarkStart w:id="396" w:name="_Toc460808721"/>
      <w:bookmarkStart w:id="397" w:name="_Toc519934584"/>
      <w:bookmarkStart w:id="398" w:name="_Toc534780049"/>
      <w:bookmarkStart w:id="399" w:name="_Toc3352056"/>
      <w:bookmarkStart w:id="400" w:name="_Toc3352131"/>
      <w:bookmarkStart w:id="401" w:name="_Toc22966233"/>
      <w:bookmarkStart w:id="402" w:name="_Toc66263840"/>
      <w:bookmarkStart w:id="403" w:name="_Toc119294081"/>
      <w:bookmarkStart w:id="404" w:name="_Toc123633174"/>
      <w:bookmarkStart w:id="405" w:name="_Toc172713940"/>
      <w:bookmarkStart w:id="406" w:name="_Toc264018281"/>
      <w:r>
        <w:rPr>
          <w:rStyle w:val="CharSectno"/>
        </w:rPr>
        <w:t>18</w:t>
      </w:r>
      <w:r>
        <w:t>.</w:t>
      </w:r>
      <w:r>
        <w:tab/>
        <w:t>Regulated premises (Act s. 122(1)(f))</w:t>
      </w:r>
      <w:bookmarkEnd w:id="394"/>
      <w:bookmarkEnd w:id="395"/>
    </w:p>
    <w:p>
      <w:pPr>
        <w:pStyle w:val="Subsection"/>
      </w:pPr>
      <w:r>
        <w:tab/>
      </w:r>
      <w:r>
        <w:tab/>
        <w:t xml:space="preserve">For the purposes of section 122, the following premises are regulated premises — </w:t>
      </w:r>
    </w:p>
    <w:p>
      <w:pPr>
        <w:pStyle w:val="Indenta"/>
      </w:pPr>
      <w:r>
        <w:tab/>
        <w:t>(a)</w:t>
      </w:r>
      <w:r>
        <w:tab/>
        <w:t>a theatre;</w:t>
      </w:r>
    </w:p>
    <w:p>
      <w:pPr>
        <w:pStyle w:val="Indenta"/>
      </w:pPr>
      <w:r>
        <w:tab/>
        <w:t>(b)</w:t>
      </w:r>
      <w:r>
        <w:tab/>
        <w:t>an educational institution, including any grounds surrounding that institution;</w:t>
      </w:r>
    </w:p>
    <w:p>
      <w:pPr>
        <w:pStyle w:val="Indenta"/>
      </w:pPr>
      <w:r>
        <w:tab/>
        <w:t>(c)</w:t>
      </w:r>
      <w:r>
        <w:tab/>
        <w:t>premises on which the consumption of liquor by a person who is at least 18 years of age is exempted from the application of the Act by regulation 8A;</w:t>
      </w:r>
    </w:p>
    <w:p>
      <w:pPr>
        <w:pStyle w:val="Indenta"/>
      </w:pPr>
      <w:r>
        <w:tab/>
        <w:t>(d)</w:t>
      </w:r>
      <w:r>
        <w:tab/>
        <w:t>premises on which the sale or supply of liquor to a person who is at least 18 years of age is exempted from the application of the Act by regulation 8B or 8C;</w:t>
      </w:r>
    </w:p>
    <w:p>
      <w:pPr>
        <w:pStyle w:val="Indenta"/>
      </w:pPr>
      <w:r>
        <w:tab/>
        <w:t>(e)</w:t>
      </w:r>
      <w:r>
        <w:tab/>
        <w:t xml:space="preserve">premises on which the sale or supply of liquor to a person who is at least 18 years of age is exempted from the application of the Act by regulation 8D, consisting of — </w:t>
      </w:r>
    </w:p>
    <w:p>
      <w:pPr>
        <w:pStyle w:val="Indenti"/>
      </w:pPr>
      <w:r>
        <w:tab/>
        <w:t>(i)</w:t>
      </w:r>
      <w:r>
        <w:tab/>
        <w:t>the stall at the farmers’ market from which liquor is sold or supplied; and</w:t>
      </w:r>
    </w:p>
    <w:p>
      <w:pPr>
        <w:pStyle w:val="Indenti"/>
      </w:pPr>
      <w:r>
        <w:tab/>
        <w:t>(ii)</w:t>
      </w:r>
      <w:r>
        <w:tab/>
        <w:t>the area immediately surrounding the stall in which customers of the stall congregate to sample or purchase liquor from the stall;</w:t>
      </w:r>
    </w:p>
    <w:p>
      <w:pPr>
        <w:pStyle w:val="Indenta"/>
      </w:pPr>
      <w:r>
        <w:tab/>
        <w:t>(f)</w:t>
      </w:r>
      <w:r>
        <w:tab/>
        <w:t>premises consisting of a vehicle in which the consumption of liquor by a person who is at least 18 years of age is exempted from the application of the Act by regulation 8F.</w:t>
      </w:r>
    </w:p>
    <w:p>
      <w:pPr>
        <w:pStyle w:val="Footnotesection"/>
      </w:pPr>
      <w:r>
        <w:tab/>
        <w:t>[Regulation 18 inserted in Gazette 15 Jul 2011 p. 2965</w:t>
      </w:r>
      <w:r>
        <w:noBreakHyphen/>
        <w:t>6.]</w:t>
      </w:r>
    </w:p>
    <w:p>
      <w:pPr>
        <w:pStyle w:val="Heading5"/>
        <w:spacing w:before="200"/>
        <w:rPr>
          <w:snapToGrid w:val="0"/>
        </w:rPr>
      </w:pPr>
      <w:bookmarkStart w:id="407" w:name="_Toc460808722"/>
      <w:bookmarkStart w:id="408" w:name="_Toc519934585"/>
      <w:bookmarkStart w:id="409" w:name="_Toc534780050"/>
      <w:bookmarkStart w:id="410" w:name="_Toc3352057"/>
      <w:bookmarkStart w:id="411" w:name="_Toc3352132"/>
      <w:bookmarkStart w:id="412" w:name="_Toc22966234"/>
      <w:bookmarkStart w:id="413" w:name="_Toc66263841"/>
      <w:bookmarkStart w:id="414" w:name="_Toc119294082"/>
      <w:bookmarkStart w:id="415" w:name="_Toc123633175"/>
      <w:bookmarkStart w:id="416" w:name="_Toc172713941"/>
      <w:bookmarkStart w:id="417" w:name="_Toc264018282"/>
      <w:bookmarkStart w:id="418" w:name="_Toc303323181"/>
      <w:bookmarkStart w:id="419" w:name="_Toc303926964"/>
      <w:bookmarkEnd w:id="396"/>
      <w:bookmarkEnd w:id="397"/>
      <w:bookmarkEnd w:id="398"/>
      <w:bookmarkEnd w:id="399"/>
      <w:bookmarkEnd w:id="400"/>
      <w:bookmarkEnd w:id="401"/>
      <w:bookmarkEnd w:id="402"/>
      <w:bookmarkEnd w:id="403"/>
      <w:bookmarkEnd w:id="404"/>
      <w:bookmarkEnd w:id="405"/>
      <w:bookmarkEnd w:id="406"/>
      <w:r>
        <w:rPr>
          <w:rStyle w:val="CharSectno"/>
        </w:rPr>
        <w:t>18A</w:t>
      </w:r>
      <w:r>
        <w:rPr>
          <w:snapToGrid w:val="0"/>
        </w:rPr>
        <w:t>.</w:t>
      </w:r>
      <w:r>
        <w:rPr>
          <w:snapToGrid w:val="0"/>
        </w:rPr>
        <w:tab/>
        <w:t>Evidence of age</w:t>
      </w:r>
      <w:bookmarkEnd w:id="407"/>
      <w:bookmarkEnd w:id="408"/>
      <w:bookmarkEnd w:id="409"/>
      <w:bookmarkEnd w:id="410"/>
      <w:bookmarkEnd w:id="411"/>
      <w:bookmarkEnd w:id="412"/>
      <w:bookmarkEnd w:id="413"/>
      <w:bookmarkEnd w:id="414"/>
      <w:bookmarkEnd w:id="415"/>
      <w:bookmarkEnd w:id="416"/>
      <w:bookmarkEnd w:id="417"/>
      <w:bookmarkEnd w:id="418"/>
      <w:bookmarkEnd w:id="419"/>
    </w:p>
    <w:p>
      <w:pPr>
        <w:pStyle w:val="Subsection"/>
        <w:rPr>
          <w:snapToGrid w:val="0"/>
        </w:rPr>
      </w:pPr>
      <w:r>
        <w:rPr>
          <w:snapToGrid w:val="0"/>
        </w:rPr>
        <w:tab/>
        <w:t>(1)</w:t>
      </w:r>
      <w:r>
        <w:rPr>
          <w:snapToGrid w:val="0"/>
        </w:rPr>
        <w:tab/>
        <w:t>A proof of age card issued under regulation 18B is a prescribed document for the purposes of section 126(1)(b)(i)(III).</w:t>
      </w:r>
    </w:p>
    <w:p>
      <w:pPr>
        <w:pStyle w:val="Subsection"/>
        <w:rPr>
          <w:snapToGrid w:val="0"/>
        </w:rPr>
      </w:pPr>
      <w:r>
        <w:rPr>
          <w:snapToGrid w:val="0"/>
        </w:rPr>
        <w:tab/>
        <w:t>(2)</w:t>
      </w:r>
      <w:r>
        <w:rPr>
          <w:snapToGrid w:val="0"/>
        </w:rPr>
        <w:tab/>
        <w:t>A person who is required to produce evidence of his or her age to an authorised officer, because the age of the person is or may be material to a suspected offence within the meaning of section 160(1), may comply with the requirement by producing a proof of age card issued to the person under regulation 18B.</w:t>
      </w:r>
    </w:p>
    <w:p>
      <w:pPr>
        <w:pStyle w:val="Footnotesection"/>
        <w:ind w:left="890" w:hanging="890"/>
      </w:pPr>
      <w:r>
        <w:tab/>
        <w:t>[Regulation 18A inserted in Gazette 22 May 1998 p. 2943; amended in Gazette 1 May 2007 p. 1888</w:t>
      </w:r>
      <w:r>
        <w:noBreakHyphen/>
        <w:t>9.]</w:t>
      </w:r>
    </w:p>
    <w:p>
      <w:pPr>
        <w:pStyle w:val="Heading5"/>
        <w:rPr>
          <w:snapToGrid w:val="0"/>
        </w:rPr>
      </w:pPr>
      <w:bookmarkStart w:id="420" w:name="_Toc460808723"/>
      <w:bookmarkStart w:id="421" w:name="_Toc519934586"/>
      <w:bookmarkStart w:id="422" w:name="_Toc534780051"/>
      <w:bookmarkStart w:id="423" w:name="_Toc3352058"/>
      <w:bookmarkStart w:id="424" w:name="_Toc3352133"/>
      <w:bookmarkStart w:id="425" w:name="_Toc22966235"/>
      <w:bookmarkStart w:id="426" w:name="_Toc66263842"/>
      <w:bookmarkStart w:id="427" w:name="_Toc119294083"/>
      <w:bookmarkStart w:id="428" w:name="_Toc123633176"/>
      <w:bookmarkStart w:id="429" w:name="_Toc172713942"/>
      <w:bookmarkStart w:id="430" w:name="_Toc264018283"/>
      <w:bookmarkStart w:id="431" w:name="_Toc303323182"/>
      <w:bookmarkStart w:id="432" w:name="_Toc303926965"/>
      <w:r>
        <w:rPr>
          <w:rStyle w:val="CharSectno"/>
        </w:rPr>
        <w:t>18B</w:t>
      </w:r>
      <w:r>
        <w:rPr>
          <w:snapToGrid w:val="0"/>
        </w:rPr>
        <w:t>.</w:t>
      </w:r>
      <w:r>
        <w:rPr>
          <w:snapToGrid w:val="0"/>
        </w:rPr>
        <w:tab/>
        <w:t>Proof of age cards</w:t>
      </w:r>
      <w:bookmarkEnd w:id="420"/>
      <w:bookmarkEnd w:id="421"/>
      <w:bookmarkEnd w:id="422"/>
      <w:bookmarkEnd w:id="423"/>
      <w:bookmarkEnd w:id="424"/>
      <w:bookmarkEnd w:id="425"/>
      <w:bookmarkEnd w:id="426"/>
      <w:bookmarkEnd w:id="427"/>
      <w:bookmarkEnd w:id="428"/>
      <w:bookmarkEnd w:id="429"/>
      <w:bookmarkEnd w:id="430"/>
      <w:bookmarkEnd w:id="431"/>
      <w:bookmarkEnd w:id="432"/>
    </w:p>
    <w:p>
      <w:pPr>
        <w:pStyle w:val="Subsection"/>
        <w:rPr>
          <w:snapToGrid w:val="0"/>
        </w:rPr>
      </w:pPr>
      <w:r>
        <w:rPr>
          <w:snapToGrid w:val="0"/>
        </w:rPr>
        <w:tab/>
        <w:t>(1)</w:t>
      </w:r>
      <w:r>
        <w:rPr>
          <w:snapToGrid w:val="0"/>
        </w:rPr>
        <w:tab/>
        <w:t>The Director may issue a proof of age card to a person if the person is at least 18 years old and applies to the Director in accordance with this regulation.</w:t>
      </w:r>
    </w:p>
    <w:p>
      <w:pPr>
        <w:pStyle w:val="Subsection"/>
      </w:pPr>
      <w:r>
        <w:tab/>
        <w:t>(2)</w:t>
      </w:r>
      <w:r>
        <w:tab/>
        <w:t>An application for a proof of age card is to be made in a form approved by the Director and be accompanied by —</w:t>
      </w:r>
    </w:p>
    <w:p>
      <w:pPr>
        <w:pStyle w:val="Indenta"/>
      </w:pPr>
      <w:r>
        <w:tab/>
        <w:t>(a)</w:t>
      </w:r>
      <w:r>
        <w:tab/>
        <w:t>such proof of the applicant’s identity and residential address in this State as the Director may require; and</w:t>
      </w:r>
    </w:p>
    <w:p>
      <w:pPr>
        <w:pStyle w:val="Indenta"/>
      </w:pPr>
      <w:r>
        <w:tab/>
        <w:t>(b)</w:t>
      </w:r>
      <w:r>
        <w:tab/>
        <w:t>the appropriate fee set out in Schedule 3.</w:t>
      </w:r>
    </w:p>
    <w:p>
      <w:pPr>
        <w:pStyle w:val="Subsection"/>
        <w:rPr>
          <w:snapToGrid w:val="0"/>
        </w:rPr>
      </w:pPr>
      <w:r>
        <w:rPr>
          <w:snapToGrid w:val="0"/>
        </w:rPr>
        <w:tab/>
        <w:t>(3)</w:t>
      </w:r>
      <w:r>
        <w:rPr>
          <w:snapToGrid w:val="0"/>
        </w:rPr>
        <w:tab/>
        <w:t>The applicant shall provide any other information or documents (which may include</w:t>
      </w:r>
      <w:r>
        <w:t xml:space="preserve">, for use on the proof of age card, a photograph of the applicant and, unless subregulation (3AA) applies, </w:t>
      </w:r>
      <w:r>
        <w:rPr>
          <w:snapToGrid w:val="0"/>
        </w:rPr>
        <w:t>an example of the applicant’s signature in a medium specified by the Director) that the Director may require in relation to the application.</w:t>
      </w:r>
    </w:p>
    <w:p>
      <w:pPr>
        <w:pStyle w:val="Subsection"/>
      </w:pPr>
      <w:r>
        <w:tab/>
        <w:t>(3AA)</w:t>
      </w:r>
      <w:r>
        <w:tab/>
        <w:t>This subregulation applies if the applicant is unable to sign because of a permanent disability.</w:t>
      </w:r>
    </w:p>
    <w:p>
      <w:pPr>
        <w:pStyle w:val="Subsection"/>
      </w:pPr>
      <w:r>
        <w:tab/>
        <w:t>(3a)</w:t>
      </w:r>
      <w:r>
        <w:tab/>
        <w:t>In subregulation (3) —</w:t>
      </w:r>
    </w:p>
    <w:p>
      <w:pPr>
        <w:pStyle w:val="Defstart"/>
      </w:pPr>
      <w:r>
        <w:rPr>
          <w:b/>
        </w:rPr>
        <w:tab/>
      </w:r>
      <w:r>
        <w:rPr>
          <w:rStyle w:val="CharDefText"/>
        </w:rPr>
        <w:t>photograph</w:t>
      </w:r>
      <w:r>
        <w:t xml:space="preserve"> includes a negative or an image stored electronically.</w:t>
      </w:r>
    </w:p>
    <w:p>
      <w:pPr>
        <w:pStyle w:val="Subsection"/>
        <w:spacing w:before="120"/>
      </w:pPr>
      <w:r>
        <w:tab/>
        <w:t>(3b)</w:t>
      </w:r>
      <w:r>
        <w:tab/>
        <w:t>The Director is to ensure that any photograph or signature provided under subregulation (3) (including any image or reproduction stored electronically) is destroyed if the photograph or signature, or an image or reproduction of it, has not been used on a proof of age card issued within the period of 10 years after the photograph or signature was provided.</w:t>
      </w:r>
    </w:p>
    <w:p>
      <w:pPr>
        <w:pStyle w:val="Subsection"/>
        <w:spacing w:before="120"/>
      </w:pPr>
      <w:r>
        <w:tab/>
        <w:t>(3c)</w:t>
      </w:r>
      <w:r>
        <w:tab/>
        <w:t>If a photograph of an applicant provided under subregulation (3) is required to be destroyed under subregulation (3b), any photograph of the applicant provided under subregulation (2) is also required to be destroyed.</w:t>
      </w:r>
    </w:p>
    <w:p>
      <w:pPr>
        <w:pStyle w:val="Footnotesection"/>
        <w:keepLines w:val="0"/>
        <w:ind w:left="890" w:hanging="890"/>
      </w:pPr>
      <w:r>
        <w:tab/>
        <w:t>[Regulation 18B inserted in Gazette 3 Dec 1996 p. 6690; amended in Gazette 14 Nov 1997 p. 6446; 30 Jun 2003 p. 2612; 28 Sep 2007 p. 4929</w:t>
      </w:r>
      <w:r>
        <w:noBreakHyphen/>
        <w:t>30; 13 Mar 2009 p. 763</w:t>
      </w:r>
      <w:r>
        <w:noBreakHyphen/>
        <w:t>4; 22 Oct 2010 p. 5228.]</w:t>
      </w:r>
    </w:p>
    <w:p>
      <w:pPr>
        <w:pStyle w:val="Heading5"/>
        <w:spacing w:before="180"/>
        <w:rPr>
          <w:snapToGrid w:val="0"/>
        </w:rPr>
      </w:pPr>
      <w:bookmarkStart w:id="433" w:name="_Toc460808724"/>
      <w:bookmarkStart w:id="434" w:name="_Toc519934587"/>
      <w:bookmarkStart w:id="435" w:name="_Toc534780052"/>
      <w:bookmarkStart w:id="436" w:name="_Toc3352059"/>
      <w:bookmarkStart w:id="437" w:name="_Toc3352134"/>
      <w:bookmarkStart w:id="438" w:name="_Toc22966236"/>
      <w:bookmarkStart w:id="439" w:name="_Toc66263843"/>
      <w:bookmarkStart w:id="440" w:name="_Toc119294084"/>
      <w:bookmarkStart w:id="441" w:name="_Toc123633177"/>
      <w:bookmarkStart w:id="442" w:name="_Toc172713943"/>
      <w:bookmarkStart w:id="443" w:name="_Toc264018284"/>
      <w:bookmarkStart w:id="444" w:name="_Toc303323183"/>
      <w:bookmarkStart w:id="445" w:name="_Toc303926966"/>
      <w:r>
        <w:rPr>
          <w:rStyle w:val="CharSectno"/>
        </w:rPr>
        <w:t>18C</w:t>
      </w:r>
      <w:r>
        <w:rPr>
          <w:snapToGrid w:val="0"/>
        </w:rPr>
        <w:t>.</w:t>
      </w:r>
      <w:r>
        <w:rPr>
          <w:snapToGrid w:val="0"/>
        </w:rPr>
        <w:tab/>
        <w:t>Form and content of proof of age cards</w:t>
      </w:r>
      <w:bookmarkEnd w:id="433"/>
      <w:bookmarkEnd w:id="434"/>
      <w:bookmarkEnd w:id="435"/>
      <w:bookmarkEnd w:id="436"/>
      <w:bookmarkEnd w:id="437"/>
      <w:bookmarkEnd w:id="438"/>
      <w:bookmarkEnd w:id="439"/>
      <w:bookmarkEnd w:id="440"/>
      <w:bookmarkEnd w:id="441"/>
      <w:bookmarkEnd w:id="442"/>
      <w:r>
        <w:rPr>
          <w:snapToGrid w:val="0"/>
        </w:rPr>
        <w:t xml:space="preserve"> (r. 18B)</w:t>
      </w:r>
      <w:bookmarkEnd w:id="443"/>
      <w:bookmarkEnd w:id="444"/>
      <w:bookmarkEnd w:id="445"/>
    </w:p>
    <w:p>
      <w:pPr>
        <w:pStyle w:val="Subsection"/>
        <w:keepNext/>
        <w:keepLines/>
        <w:spacing w:before="120"/>
        <w:rPr>
          <w:snapToGrid w:val="0"/>
        </w:rPr>
      </w:pPr>
      <w:r>
        <w:rPr>
          <w:snapToGrid w:val="0"/>
        </w:rPr>
        <w:tab/>
        <w:t>(1)</w:t>
      </w:r>
      <w:r>
        <w:rPr>
          <w:snapToGrid w:val="0"/>
        </w:rPr>
        <w:tab/>
        <w:t>A proof of age card issued to a person under regulation 18B —</w:t>
      </w:r>
    </w:p>
    <w:p>
      <w:pPr>
        <w:pStyle w:val="Indenta"/>
        <w:rPr>
          <w:snapToGrid w:val="0"/>
        </w:rPr>
      </w:pPr>
      <w:r>
        <w:rPr>
          <w:snapToGrid w:val="0"/>
        </w:rPr>
        <w:tab/>
        <w:t>(a)</w:t>
      </w:r>
      <w:r>
        <w:rPr>
          <w:snapToGrid w:val="0"/>
        </w:rPr>
        <w:tab/>
        <w:t>shall be in a form approved by the Director; and</w:t>
      </w:r>
    </w:p>
    <w:p>
      <w:pPr>
        <w:pStyle w:val="Indenta"/>
      </w:pPr>
      <w:r>
        <w:tab/>
        <w:t>(b)</w:t>
      </w:r>
      <w:r>
        <w:tab/>
        <w:t xml:space="preserve">shall display — </w:t>
      </w:r>
    </w:p>
    <w:p>
      <w:pPr>
        <w:pStyle w:val="Indenti"/>
      </w:pPr>
      <w:r>
        <w:tab/>
        <w:t>(i)</w:t>
      </w:r>
      <w:r>
        <w:tab/>
        <w:t>a photograph of the person; and</w:t>
      </w:r>
    </w:p>
    <w:p>
      <w:pPr>
        <w:pStyle w:val="Indenti"/>
      </w:pPr>
      <w:r>
        <w:tab/>
        <w:t>(ii)</w:t>
      </w:r>
      <w:r>
        <w:tab/>
        <w:t>the person’s date of birth; and</w:t>
      </w:r>
    </w:p>
    <w:p>
      <w:pPr>
        <w:pStyle w:val="Indenti"/>
      </w:pPr>
      <w:r>
        <w:tab/>
        <w:t>(iii)</w:t>
      </w:r>
      <w:r>
        <w:tab/>
        <w:t>unless regulation 18B(3AA) applies, the person’s signature; and</w:t>
      </w:r>
    </w:p>
    <w:p>
      <w:pPr>
        <w:pStyle w:val="Indenti"/>
      </w:pPr>
      <w:r>
        <w:tab/>
        <w:t>(iv)</w:t>
      </w:r>
      <w:r>
        <w:tab/>
        <w:t>any other matter that the Director may approve.</w:t>
      </w:r>
    </w:p>
    <w:p>
      <w:pPr>
        <w:pStyle w:val="Subsection"/>
        <w:keepNext/>
        <w:keepLines/>
        <w:spacing w:before="120"/>
        <w:rPr>
          <w:snapToGrid w:val="0"/>
        </w:rPr>
      </w:pPr>
      <w:r>
        <w:rPr>
          <w:snapToGrid w:val="0"/>
        </w:rPr>
        <w:tab/>
        <w:t>(2)</w:t>
      </w:r>
      <w:r>
        <w:rPr>
          <w:snapToGrid w:val="0"/>
        </w:rPr>
        <w:tab/>
        <w:t>In subregulation (1) —</w:t>
      </w:r>
    </w:p>
    <w:p>
      <w:pPr>
        <w:pStyle w:val="Defstart"/>
      </w:pPr>
      <w:r>
        <w:rPr>
          <w:b/>
        </w:rPr>
        <w:tab/>
      </w:r>
      <w:r>
        <w:rPr>
          <w:rStyle w:val="CharDefText"/>
        </w:rPr>
        <w:t>photograph</w:t>
      </w:r>
      <w:r>
        <w:t xml:space="preserve"> and </w:t>
      </w:r>
      <w:r>
        <w:rPr>
          <w:rStyle w:val="CharDefText"/>
        </w:rPr>
        <w:t>signature</w:t>
      </w:r>
      <w:r>
        <w:t xml:space="preserve"> include a reproduction, produced by any process approved by the Director, of a photograph or signature.</w:t>
      </w:r>
    </w:p>
    <w:p>
      <w:pPr>
        <w:pStyle w:val="Footnotesection"/>
        <w:spacing w:before="60"/>
        <w:ind w:left="890" w:hanging="890"/>
      </w:pPr>
      <w:r>
        <w:tab/>
        <w:t>[Regulation 18C inserted in Gazette 3 Dec 1996 p. 6690</w:t>
      </w:r>
      <w:r>
        <w:noBreakHyphen/>
        <w:t>1; amended in Gazette 22 Oct 2010 p. 5228.]</w:t>
      </w:r>
    </w:p>
    <w:p>
      <w:pPr>
        <w:pStyle w:val="Heading5"/>
        <w:spacing w:before="180"/>
        <w:rPr>
          <w:snapToGrid w:val="0"/>
        </w:rPr>
      </w:pPr>
      <w:bookmarkStart w:id="446" w:name="_Toc460808725"/>
      <w:bookmarkStart w:id="447" w:name="_Toc519934588"/>
      <w:bookmarkStart w:id="448" w:name="_Toc534780053"/>
      <w:bookmarkStart w:id="449" w:name="_Toc3352060"/>
      <w:bookmarkStart w:id="450" w:name="_Toc3352135"/>
      <w:bookmarkStart w:id="451" w:name="_Toc22966237"/>
      <w:bookmarkStart w:id="452" w:name="_Toc66263844"/>
      <w:bookmarkStart w:id="453" w:name="_Toc119294085"/>
      <w:bookmarkStart w:id="454" w:name="_Toc123633178"/>
      <w:bookmarkStart w:id="455" w:name="_Toc172713944"/>
      <w:bookmarkStart w:id="456" w:name="_Toc264018285"/>
      <w:bookmarkStart w:id="457" w:name="_Toc303323184"/>
      <w:bookmarkStart w:id="458" w:name="_Toc303926967"/>
      <w:r>
        <w:rPr>
          <w:rStyle w:val="CharSectno"/>
        </w:rPr>
        <w:t>18D</w:t>
      </w:r>
      <w:r>
        <w:rPr>
          <w:snapToGrid w:val="0"/>
        </w:rPr>
        <w:t>.</w:t>
      </w:r>
      <w:r>
        <w:rPr>
          <w:snapToGrid w:val="0"/>
        </w:rPr>
        <w:tab/>
        <w:t>Lost, stolen or destroyed proof of age cards</w:t>
      </w:r>
      <w:bookmarkEnd w:id="446"/>
      <w:bookmarkEnd w:id="447"/>
      <w:bookmarkEnd w:id="448"/>
      <w:bookmarkEnd w:id="449"/>
      <w:bookmarkEnd w:id="450"/>
      <w:bookmarkEnd w:id="451"/>
      <w:bookmarkEnd w:id="452"/>
      <w:bookmarkEnd w:id="453"/>
      <w:bookmarkEnd w:id="454"/>
      <w:bookmarkEnd w:id="455"/>
      <w:bookmarkEnd w:id="456"/>
      <w:bookmarkEnd w:id="457"/>
      <w:bookmarkEnd w:id="458"/>
    </w:p>
    <w:p>
      <w:pPr>
        <w:pStyle w:val="Subsection"/>
        <w:keepNext/>
        <w:keepLines/>
        <w:rPr>
          <w:snapToGrid w:val="0"/>
        </w:rPr>
      </w:pPr>
      <w:r>
        <w:rPr>
          <w:snapToGrid w:val="0"/>
        </w:rPr>
        <w:tab/>
      </w:r>
      <w:r>
        <w:rPr>
          <w:snapToGrid w:val="0"/>
        </w:rPr>
        <w:tab/>
        <w:t>A person may obtain a replacement for a proof of age card that has been lost, stolen or destroyed, or that otherwise needs to be replaced, by applying to the Director in accordance with regulation 18B.</w:t>
      </w:r>
    </w:p>
    <w:p>
      <w:pPr>
        <w:pStyle w:val="Footnotesection"/>
      </w:pPr>
      <w:r>
        <w:tab/>
        <w:t>[Regulation 18D inserted in Gazette 3 Dec 1996 p. 6691.]</w:t>
      </w:r>
    </w:p>
    <w:p>
      <w:pPr>
        <w:pStyle w:val="Heading5"/>
        <w:keepNext w:val="0"/>
        <w:keepLines w:val="0"/>
        <w:rPr>
          <w:snapToGrid w:val="0"/>
        </w:rPr>
      </w:pPr>
      <w:bookmarkStart w:id="459" w:name="_Toc460808726"/>
      <w:bookmarkStart w:id="460" w:name="_Toc519934589"/>
      <w:bookmarkStart w:id="461" w:name="_Toc534780054"/>
      <w:bookmarkStart w:id="462" w:name="_Toc3352061"/>
      <w:bookmarkStart w:id="463" w:name="_Toc3352136"/>
      <w:bookmarkStart w:id="464" w:name="_Toc22966238"/>
      <w:bookmarkStart w:id="465" w:name="_Toc66263845"/>
      <w:bookmarkStart w:id="466" w:name="_Toc119294086"/>
      <w:bookmarkStart w:id="467" w:name="_Toc123633179"/>
      <w:bookmarkStart w:id="468" w:name="_Toc172713945"/>
      <w:bookmarkStart w:id="469" w:name="_Toc264018286"/>
      <w:bookmarkStart w:id="470" w:name="_Toc303323185"/>
      <w:bookmarkStart w:id="471" w:name="_Toc303926968"/>
      <w:r>
        <w:rPr>
          <w:rStyle w:val="CharSectno"/>
        </w:rPr>
        <w:t>18E</w:t>
      </w:r>
      <w:r>
        <w:rPr>
          <w:snapToGrid w:val="0"/>
        </w:rPr>
        <w:t>.</w:t>
      </w:r>
      <w:r>
        <w:rPr>
          <w:snapToGrid w:val="0"/>
        </w:rPr>
        <w:tab/>
        <w:t>Prescribed agreement or arrangement</w:t>
      </w:r>
      <w:bookmarkEnd w:id="459"/>
      <w:bookmarkEnd w:id="460"/>
      <w:bookmarkEnd w:id="461"/>
      <w:bookmarkEnd w:id="462"/>
      <w:bookmarkEnd w:id="463"/>
      <w:bookmarkEnd w:id="464"/>
      <w:bookmarkEnd w:id="465"/>
      <w:r>
        <w:rPr>
          <w:snapToGrid w:val="0"/>
        </w:rPr>
        <w:t xml:space="preserve"> (Act s. 104(2)</w:t>
      </w:r>
      <w:bookmarkEnd w:id="466"/>
      <w:bookmarkEnd w:id="467"/>
      <w:bookmarkEnd w:id="468"/>
      <w:r>
        <w:rPr>
          <w:snapToGrid w:val="0"/>
        </w:rPr>
        <w:t>)</w:t>
      </w:r>
      <w:bookmarkEnd w:id="469"/>
      <w:bookmarkEnd w:id="470"/>
      <w:bookmarkEnd w:id="471"/>
    </w:p>
    <w:p>
      <w:pPr>
        <w:pStyle w:val="Subsection"/>
        <w:rPr>
          <w:snapToGrid w:val="0"/>
        </w:rPr>
      </w:pPr>
      <w:r>
        <w:rPr>
          <w:snapToGrid w:val="0"/>
        </w:rPr>
        <w:tab/>
      </w:r>
      <w:r>
        <w:rPr>
          <w:snapToGrid w:val="0"/>
        </w:rPr>
        <w:tab/>
        <w:t>For the purposes of section 104(2), an agreement or arrangement entered into by a licensee which is a body corporate under which the proceeds from the business carried on under the licence are distributed by way of dividends to shareholders in the body corporate, is a prescribed agreement or arrangement.</w:t>
      </w:r>
    </w:p>
    <w:p>
      <w:pPr>
        <w:pStyle w:val="Footnotesection"/>
      </w:pPr>
      <w:r>
        <w:tab/>
        <w:t>[Regulation 18E inserted in Gazette 22 May 1998 p. 2943; amended in Gazette 1 May 2007 p. 1888</w:t>
      </w:r>
      <w:r>
        <w:noBreakHyphen/>
        <w:t>9.]</w:t>
      </w:r>
    </w:p>
    <w:p>
      <w:pPr>
        <w:pStyle w:val="Heading5"/>
        <w:spacing w:before="180"/>
      </w:pPr>
      <w:bookmarkStart w:id="472" w:name="_Toc264018287"/>
      <w:bookmarkStart w:id="473" w:name="_Toc303323186"/>
      <w:bookmarkStart w:id="474" w:name="_Toc303926969"/>
      <w:bookmarkStart w:id="475" w:name="_Toc172713946"/>
      <w:bookmarkStart w:id="476" w:name="_Toc460808727"/>
      <w:bookmarkStart w:id="477" w:name="_Toc519934590"/>
      <w:bookmarkStart w:id="478" w:name="_Toc534780055"/>
      <w:bookmarkStart w:id="479" w:name="_Toc3352062"/>
      <w:bookmarkStart w:id="480" w:name="_Toc3352137"/>
      <w:bookmarkStart w:id="481" w:name="_Toc22966239"/>
      <w:bookmarkStart w:id="482" w:name="_Toc66263846"/>
      <w:bookmarkStart w:id="483" w:name="_Toc119294087"/>
      <w:bookmarkStart w:id="484" w:name="_Toc123633180"/>
      <w:r>
        <w:rPr>
          <w:rStyle w:val="CharSectno"/>
        </w:rPr>
        <w:t>18EA</w:t>
      </w:r>
      <w:r>
        <w:t>.</w:t>
      </w:r>
      <w:r>
        <w:tab/>
        <w:t>Information to be included on internet websites of certain licensees (Act s. 113A)</w:t>
      </w:r>
      <w:bookmarkEnd w:id="472"/>
      <w:bookmarkEnd w:id="473"/>
      <w:bookmarkEnd w:id="474"/>
    </w:p>
    <w:p>
      <w:pPr>
        <w:pStyle w:val="Subsection"/>
        <w:keepNext/>
        <w:keepLines/>
        <w:spacing w:before="120"/>
      </w:pPr>
      <w:r>
        <w:tab/>
        <w:t>(1)</w:t>
      </w:r>
      <w:r>
        <w:tab/>
        <w:t>This regulation applies to —</w:t>
      </w:r>
    </w:p>
    <w:p>
      <w:pPr>
        <w:pStyle w:val="Indenta"/>
      </w:pPr>
      <w:r>
        <w:tab/>
        <w:t>(a)</w:t>
      </w:r>
      <w:r>
        <w:tab/>
        <w:t>a hotel licence; and</w:t>
      </w:r>
    </w:p>
    <w:p>
      <w:pPr>
        <w:pStyle w:val="Indenta"/>
      </w:pPr>
      <w:r>
        <w:tab/>
        <w:t>(b)</w:t>
      </w:r>
      <w:r>
        <w:tab/>
        <w:t>a liquor store licence; and</w:t>
      </w:r>
    </w:p>
    <w:p>
      <w:pPr>
        <w:pStyle w:val="Indenta"/>
      </w:pPr>
      <w:r>
        <w:tab/>
        <w:t>(c)</w:t>
      </w:r>
      <w:r>
        <w:tab/>
        <w:t>a producer’s licence; and</w:t>
      </w:r>
    </w:p>
    <w:p>
      <w:pPr>
        <w:pStyle w:val="Indenta"/>
      </w:pPr>
      <w:r>
        <w:tab/>
        <w:t>(d)</w:t>
      </w:r>
      <w:r>
        <w:tab/>
        <w:t>a wholesaler’s licence; and</w:t>
      </w:r>
    </w:p>
    <w:p>
      <w:pPr>
        <w:pStyle w:val="Indenta"/>
      </w:pPr>
      <w:r>
        <w:tab/>
        <w:t>(e)</w:t>
      </w:r>
      <w:r>
        <w:tab/>
        <w:t>a special facility licence that authorises the sale or supply of packaged liquor.</w:t>
      </w:r>
    </w:p>
    <w:p>
      <w:pPr>
        <w:pStyle w:val="Subsection"/>
        <w:keepNext/>
        <w:keepLines/>
      </w:pPr>
      <w:r>
        <w:rPr>
          <w:snapToGrid w:val="0"/>
        </w:rPr>
        <w:tab/>
        <w:t>(2)</w:t>
      </w:r>
      <w:r>
        <w:rPr>
          <w:snapToGrid w:val="0"/>
        </w:rPr>
        <w:tab/>
      </w:r>
      <w:r>
        <w:rPr>
          <w:snapToGrid w:val="0"/>
          <w:spacing w:val="-2"/>
        </w:rPr>
        <w:t>For the purposes of section 113A, the information to be</w:t>
      </w:r>
      <w:r>
        <w:rPr>
          <w:spacing w:val="-2"/>
        </w:rPr>
        <w:t xml:space="preserve"> included on an internet website maintained by or on behalf of a licensee of a licence of a class to which this regulation applies is —</w:t>
      </w:r>
    </w:p>
    <w:p>
      <w:pPr>
        <w:pStyle w:val="Indenta"/>
      </w:pPr>
      <w:r>
        <w:tab/>
        <w:t>(a)</w:t>
      </w:r>
      <w:r>
        <w:tab/>
        <w:t>the licence number; and</w:t>
      </w:r>
    </w:p>
    <w:p>
      <w:pPr>
        <w:pStyle w:val="Indenta"/>
      </w:pPr>
      <w:r>
        <w:tab/>
        <w:t>(b)</w:t>
      </w:r>
      <w:r>
        <w:tab/>
        <w:t>the class of licence; and</w:t>
      </w:r>
    </w:p>
    <w:p>
      <w:pPr>
        <w:pStyle w:val="Indenta"/>
      </w:pPr>
      <w:r>
        <w:tab/>
        <w:t>(c)</w:t>
      </w:r>
      <w:r>
        <w:tab/>
        <w:t>the name of the licensee; and</w:t>
      </w:r>
    </w:p>
    <w:p>
      <w:pPr>
        <w:pStyle w:val="Indenta"/>
      </w:pPr>
      <w:r>
        <w:tab/>
        <w:t>(d)</w:t>
      </w:r>
      <w:r>
        <w:tab/>
        <w:t>the address of and telephone number for the licensed premises; and</w:t>
      </w:r>
    </w:p>
    <w:p>
      <w:pPr>
        <w:pStyle w:val="Indenta"/>
        <w:keepNext/>
        <w:keepLines/>
        <w:spacing w:after="80"/>
      </w:pPr>
      <w:r>
        <w:tab/>
        <w:t>(e)</w:t>
      </w:r>
      <w:r>
        <w:tab/>
        <w:t xml:space="preserve">the following notice — </w:t>
      </w:r>
    </w:p>
    <w:tbl>
      <w:tblPr>
        <w:tblW w:w="0" w:type="auto"/>
        <w:tblInd w:w="13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96"/>
      </w:tblGrid>
      <w:tr>
        <w:trPr>
          <w:trHeight w:val="1796"/>
        </w:trPr>
        <w:tc>
          <w:tcPr>
            <w:tcW w:w="5996" w:type="dxa"/>
            <w:tcBorders>
              <w:bottom w:val="single" w:sz="4" w:space="0" w:color="auto"/>
            </w:tcBorders>
          </w:tcPr>
          <w:p>
            <w:pPr>
              <w:pStyle w:val="TableNAm"/>
              <w:rPr>
                <w:b/>
                <w:bCs/>
                <w:u w:val="single"/>
              </w:rPr>
            </w:pPr>
            <w:r>
              <w:rPr>
                <w:b/>
                <w:bCs/>
                <w:u w:val="single"/>
              </w:rPr>
              <w:t>WARNING</w:t>
            </w:r>
          </w:p>
          <w:p>
            <w:pPr>
              <w:pStyle w:val="TableNAm"/>
              <w:spacing w:before="60"/>
              <w:rPr>
                <w:b/>
                <w:bCs/>
              </w:rPr>
            </w:pPr>
            <w:r>
              <w:rPr>
                <w:b/>
                <w:bCs/>
              </w:rPr>
              <w:t xml:space="preserve">Under the </w:t>
            </w:r>
            <w:r>
              <w:rPr>
                <w:b/>
                <w:bCs/>
                <w:i/>
                <w:iCs/>
              </w:rPr>
              <w:t>Liquor Control Act 1988</w:t>
            </w:r>
            <w:r>
              <w:rPr>
                <w:b/>
                <w:bCs/>
              </w:rPr>
              <w:t>, it is an offence:</w:t>
            </w:r>
          </w:p>
          <w:p>
            <w:pPr>
              <w:pStyle w:val="TableNAm"/>
              <w:numPr>
                <w:ilvl w:val="0"/>
                <w:numId w:val="14"/>
              </w:numPr>
              <w:tabs>
                <w:tab w:val="clear" w:pos="567"/>
                <w:tab w:val="clear" w:pos="720"/>
                <w:tab w:val="left" w:pos="852"/>
              </w:tabs>
              <w:spacing w:before="60"/>
              <w:ind w:left="852" w:hanging="480"/>
              <w:rPr>
                <w:b/>
                <w:bCs/>
              </w:rPr>
            </w:pPr>
            <w:r>
              <w:rPr>
                <w:b/>
                <w:bCs/>
              </w:rPr>
              <w:t>to sell or supply liquor to a person under the age of 18 years on licensed or regulated premises; or</w:t>
            </w:r>
          </w:p>
          <w:p>
            <w:pPr>
              <w:pStyle w:val="TableNAm"/>
              <w:numPr>
                <w:ilvl w:val="0"/>
                <w:numId w:val="14"/>
              </w:numPr>
              <w:tabs>
                <w:tab w:val="clear" w:pos="567"/>
                <w:tab w:val="clear" w:pos="720"/>
                <w:tab w:val="left" w:pos="852"/>
              </w:tabs>
              <w:spacing w:before="60"/>
              <w:ind w:left="852" w:hanging="480"/>
            </w:pPr>
            <w:r>
              <w:rPr>
                <w:b/>
                <w:bCs/>
              </w:rPr>
              <w:t>for a person under the age of 18 years to purchase, or attempt to purchase, liquor on licensed or regulated premises.</w:t>
            </w:r>
          </w:p>
        </w:tc>
      </w:tr>
    </w:tbl>
    <w:p>
      <w:pPr>
        <w:pStyle w:val="Subsection"/>
      </w:pPr>
      <w:r>
        <w:tab/>
        <w:t>(3)</w:t>
      </w:r>
      <w:r>
        <w:tab/>
        <w:t>The information to be included on an internet website under subregulation (2) is to be displayed on the home page or front page of the internet website.</w:t>
      </w:r>
    </w:p>
    <w:p>
      <w:pPr>
        <w:pStyle w:val="Footnotesection"/>
      </w:pPr>
      <w:r>
        <w:tab/>
        <w:t>[Regulation 18EA inserted in Gazette 1 May 2007 p. 1881</w:t>
      </w:r>
      <w:r>
        <w:noBreakHyphen/>
        <w:t>2.]</w:t>
      </w:r>
    </w:p>
    <w:p>
      <w:pPr>
        <w:pStyle w:val="Heading5"/>
      </w:pPr>
      <w:bookmarkStart w:id="485" w:name="_Toc303323187"/>
      <w:bookmarkStart w:id="486" w:name="_Toc303926970"/>
      <w:bookmarkStart w:id="487" w:name="_Toc264018288"/>
      <w:r>
        <w:rPr>
          <w:rStyle w:val="CharSectno"/>
        </w:rPr>
        <w:t>18EBA</w:t>
      </w:r>
      <w:r>
        <w:t>.</w:t>
      </w:r>
      <w:r>
        <w:tab/>
        <w:t>Prescribed persons (Act s. 115AC)</w:t>
      </w:r>
      <w:bookmarkEnd w:id="485"/>
      <w:bookmarkEnd w:id="486"/>
    </w:p>
    <w:p>
      <w:pPr>
        <w:pStyle w:val="Subsection"/>
      </w:pPr>
      <w:r>
        <w:tab/>
      </w:r>
      <w:r>
        <w:tab/>
        <w:t xml:space="preserve">For the purposes of the definition of </w:t>
      </w:r>
      <w:r>
        <w:rPr>
          <w:b/>
          <w:i/>
        </w:rPr>
        <w:t>secure web page</w:t>
      </w:r>
      <w:r>
        <w:t xml:space="preserve"> paragraph (c) in section 115AC(1A), each of the following persons is prescribed — </w:t>
      </w:r>
    </w:p>
    <w:p>
      <w:pPr>
        <w:pStyle w:val="Indenta"/>
      </w:pPr>
      <w:r>
        <w:tab/>
        <w:t>(a)</w:t>
      </w:r>
      <w:r>
        <w:tab/>
        <w:t>an authorised officer;</w:t>
      </w:r>
    </w:p>
    <w:p>
      <w:pPr>
        <w:pStyle w:val="Indenta"/>
      </w:pPr>
      <w:r>
        <w:tab/>
        <w:t>(b)</w:t>
      </w:r>
      <w:r>
        <w:tab/>
        <w:t>a person appointed to assist the Director under section 14(1)(b).</w:t>
      </w:r>
    </w:p>
    <w:p>
      <w:pPr>
        <w:pStyle w:val="Footnotesection"/>
        <w:ind w:left="890" w:hanging="890"/>
      </w:pPr>
      <w:r>
        <w:tab/>
        <w:t>[Regulation 18EBA inserted in Gazette 3 Jun 2011 p. 2000.]</w:t>
      </w:r>
    </w:p>
    <w:p>
      <w:pPr>
        <w:pStyle w:val="Heading5"/>
      </w:pPr>
      <w:bookmarkStart w:id="488" w:name="_Toc303323188"/>
      <w:bookmarkStart w:id="489" w:name="_Toc303926971"/>
      <w:r>
        <w:rPr>
          <w:rStyle w:val="CharSectno"/>
        </w:rPr>
        <w:t>18EB</w:t>
      </w:r>
      <w:r>
        <w:t>.</w:t>
      </w:r>
      <w:r>
        <w:tab/>
        <w:t>Incidents to be included in register (Act s. 116A)</w:t>
      </w:r>
      <w:bookmarkEnd w:id="487"/>
      <w:bookmarkEnd w:id="488"/>
      <w:bookmarkEnd w:id="489"/>
    </w:p>
    <w:p>
      <w:pPr>
        <w:pStyle w:val="Subsection"/>
      </w:pPr>
      <w:r>
        <w:tab/>
        <w:t>(1)</w:t>
      </w:r>
      <w:r>
        <w:tab/>
        <w:t>For the purposes of section 116A(1), the following incidents that take place at licensed premises are prescribed —</w:t>
      </w:r>
    </w:p>
    <w:p>
      <w:pPr>
        <w:pStyle w:val="Indenta"/>
      </w:pPr>
      <w:r>
        <w:tab/>
        <w:t>(aa)</w:t>
      </w:r>
      <w:r>
        <w:tab/>
        <w:t xml:space="preserve">a person is refused entry to the premises because the person is — </w:t>
      </w:r>
    </w:p>
    <w:p>
      <w:pPr>
        <w:pStyle w:val="Indenti"/>
      </w:pPr>
      <w:r>
        <w:tab/>
        <w:t>(i)</w:t>
      </w:r>
      <w:r>
        <w:tab/>
        <w:t>drunk; or</w:t>
      </w:r>
    </w:p>
    <w:p>
      <w:pPr>
        <w:pStyle w:val="Indenti"/>
      </w:pPr>
      <w:r>
        <w:tab/>
        <w:t>(ii)</w:t>
      </w:r>
      <w:r>
        <w:tab/>
        <w:t>behaving in an offensive manner, including violent, quarrelsome, disorderly or indecent behaviour;</w:t>
      </w:r>
    </w:p>
    <w:p>
      <w:pPr>
        <w:pStyle w:val="Indenta"/>
      </w:pPr>
      <w:r>
        <w:tab/>
        <w:t>(ab)</w:t>
      </w:r>
      <w:r>
        <w:tab/>
        <w:t xml:space="preserve">a person who has been refused entry to the premises — </w:t>
      </w:r>
    </w:p>
    <w:p>
      <w:pPr>
        <w:pStyle w:val="Indenti"/>
      </w:pPr>
      <w:r>
        <w:tab/>
        <w:t>(i)</w:t>
      </w:r>
      <w:r>
        <w:tab/>
        <w:t>repeatedly attempts to gain entry to the premises; or</w:t>
      </w:r>
    </w:p>
    <w:p>
      <w:pPr>
        <w:pStyle w:val="Indenti"/>
      </w:pPr>
      <w:r>
        <w:tab/>
        <w:t>(ii)</w:t>
      </w:r>
      <w:r>
        <w:tab/>
        <w:t>behaves in an offensive manner, including violent, quarrelsome, disorderly or indecent behaviour;</w:t>
      </w:r>
    </w:p>
    <w:p>
      <w:pPr>
        <w:pStyle w:val="Indenta"/>
      </w:pPr>
      <w:r>
        <w:tab/>
        <w:t>(a)</w:t>
      </w:r>
      <w:r>
        <w:tab/>
        <w:t>a person is required to leave or is removed from the premises;</w:t>
      </w:r>
    </w:p>
    <w:p>
      <w:pPr>
        <w:pStyle w:val="Indenta"/>
      </w:pPr>
      <w:r>
        <w:tab/>
        <w:t>(b)</w:t>
      </w:r>
      <w:r>
        <w:tab/>
        <w:t>a juvenile or suspected juvenile fails to produce evidence of age when required to do so;</w:t>
      </w:r>
    </w:p>
    <w:p>
      <w:pPr>
        <w:pStyle w:val="Indenta"/>
      </w:pPr>
      <w:r>
        <w:tab/>
        <w:t>(c)</w:t>
      </w:r>
      <w:r>
        <w:tab/>
        <w:t>a document produced by a juvenile or suspected juvenile as evidence of age is suspected to be forged, false or counterfeit;</w:t>
      </w:r>
    </w:p>
    <w:p>
      <w:pPr>
        <w:pStyle w:val="Indenta"/>
      </w:pPr>
      <w:r>
        <w:tab/>
        <w:t>(d)</w:t>
      </w:r>
      <w:r>
        <w:tab/>
        <w:t>a person engages in indecent behaviour;</w:t>
      </w:r>
    </w:p>
    <w:p>
      <w:pPr>
        <w:pStyle w:val="Indenta"/>
      </w:pPr>
      <w:r>
        <w:tab/>
        <w:t>(e)</w:t>
      </w:r>
      <w:r>
        <w:tab/>
        <w:t>a person is drunk;</w:t>
      </w:r>
    </w:p>
    <w:p>
      <w:pPr>
        <w:pStyle w:val="Indenta"/>
      </w:pPr>
      <w:r>
        <w:tab/>
        <w:t>(f)</w:t>
      </w:r>
      <w:r>
        <w:tab/>
        <w:t>a person (including a person employed or engaged in the business conducted under the licence) is injured;</w:t>
      </w:r>
    </w:p>
    <w:p>
      <w:pPr>
        <w:pStyle w:val="Indenta"/>
      </w:pPr>
      <w:r>
        <w:tab/>
        <w:t>(g)</w:t>
      </w:r>
      <w:r>
        <w:tab/>
        <w:t>a local resident or other person complains to the licensee, a manager or an employee about noise or any other matter related to the business conducted under the licence.</w:t>
      </w:r>
    </w:p>
    <w:p>
      <w:pPr>
        <w:pStyle w:val="Subsection"/>
      </w:pPr>
      <w:r>
        <w:tab/>
        <w:t>(2)</w:t>
      </w:r>
      <w:r>
        <w:tab/>
        <w:t>For the purposes of section 116A(2), the following information is prescribed in relation to an incident that takes place at licensed premises —</w:t>
      </w:r>
    </w:p>
    <w:p>
      <w:pPr>
        <w:pStyle w:val="Indenta"/>
        <w:spacing w:before="60"/>
      </w:pPr>
      <w:r>
        <w:tab/>
        <w:t>(a)</w:t>
      </w:r>
      <w:r>
        <w:tab/>
        <w:t>the name of the premises;</w:t>
      </w:r>
    </w:p>
    <w:p>
      <w:pPr>
        <w:pStyle w:val="Indenta"/>
        <w:spacing w:before="60"/>
      </w:pPr>
      <w:r>
        <w:tab/>
        <w:t>(b)</w:t>
      </w:r>
      <w:r>
        <w:tab/>
        <w:t>details of the incident;</w:t>
      </w:r>
    </w:p>
    <w:p>
      <w:pPr>
        <w:pStyle w:val="Indenta"/>
        <w:spacing w:before="60"/>
      </w:pPr>
      <w:r>
        <w:tab/>
        <w:t>(c)</w:t>
      </w:r>
      <w:r>
        <w:tab/>
        <w:t>the date and time when the incident took place;</w:t>
      </w:r>
    </w:p>
    <w:p>
      <w:pPr>
        <w:pStyle w:val="Indenta"/>
        <w:spacing w:before="60"/>
      </w:pPr>
      <w:r>
        <w:tab/>
        <w:t>(d)</w:t>
      </w:r>
      <w:r>
        <w:tab/>
        <w:t>the location at the premises where the incident took place;</w:t>
      </w:r>
    </w:p>
    <w:p>
      <w:pPr>
        <w:pStyle w:val="Indenta"/>
        <w:spacing w:before="60"/>
      </w:pPr>
      <w:r>
        <w:tab/>
        <w:t>(da)</w:t>
      </w:r>
      <w:r>
        <w:tab/>
        <w:t>the full name of any manager who was on duty when the incident took place;</w:t>
      </w:r>
    </w:p>
    <w:p>
      <w:pPr>
        <w:pStyle w:val="Indenta"/>
        <w:spacing w:before="60"/>
      </w:pPr>
      <w:r>
        <w:tab/>
        <w:t>(e)</w:t>
      </w:r>
      <w:r>
        <w:tab/>
        <w:t>the full name of any person employed or engaged in the business conducted under the licence, or any crowd controller, who was present when the incident took place;</w:t>
      </w:r>
    </w:p>
    <w:p>
      <w:pPr>
        <w:pStyle w:val="Indenta"/>
        <w:spacing w:before="60"/>
      </w:pPr>
      <w:r>
        <w:tab/>
        <w:t>(f)</w:t>
      </w:r>
      <w:r>
        <w:tab/>
        <w:t>details of any action taken by the licensee, a manager or an employee in response to the incident, including any action taken to notify the licensing authority or a member of the Police Force or any other person engaged in providing emergency services.</w:t>
      </w:r>
    </w:p>
    <w:p>
      <w:pPr>
        <w:pStyle w:val="Subsection"/>
        <w:keepNext/>
        <w:keepLines/>
      </w:pPr>
      <w:r>
        <w:tab/>
        <w:t>(3)</w:t>
      </w:r>
      <w:r>
        <w:tab/>
        <w:t>In subregulation (2)(e) —</w:t>
      </w:r>
    </w:p>
    <w:p>
      <w:pPr>
        <w:pStyle w:val="Defstart"/>
      </w:pPr>
      <w:r>
        <w:rPr>
          <w:b/>
        </w:rPr>
        <w:tab/>
      </w:r>
      <w:r>
        <w:rPr>
          <w:rStyle w:val="CharDefText"/>
        </w:rPr>
        <w:t>crowd controller</w:t>
      </w:r>
      <w:r>
        <w:t>, in relation to licensed premises, means a person who —</w:t>
      </w:r>
    </w:p>
    <w:p>
      <w:pPr>
        <w:pStyle w:val="Defpara"/>
      </w:pPr>
      <w:r>
        <w:tab/>
        <w:t>(a)</w:t>
      </w:r>
      <w:r>
        <w:tab/>
        <w:t>holds a crowd controller’s licence; and</w:t>
      </w:r>
    </w:p>
    <w:p>
      <w:pPr>
        <w:pStyle w:val="Defpara"/>
      </w:pPr>
      <w:r>
        <w:tab/>
        <w:t>(b)</w:t>
      </w:r>
      <w:r>
        <w:tab/>
        <w:t>is employed by a crowd control agent engaged under a contract for services by the licensee or occupier or a manager of the licensed premises to supply the services of crowd controllers at those premises.</w:t>
      </w:r>
    </w:p>
    <w:p>
      <w:pPr>
        <w:pStyle w:val="Footnotesection"/>
        <w:ind w:left="890" w:hanging="890"/>
      </w:pPr>
      <w:r>
        <w:tab/>
        <w:t>[Regulation 18EB inserted in Gazette 1 May 2007 p. 1882</w:t>
      </w:r>
      <w:r>
        <w:noBreakHyphen/>
        <w:t>4; amended in Gazette 28 Sep 2007 p. 4930; 22 Oct 2010 p. 5228</w:t>
      </w:r>
      <w:r>
        <w:noBreakHyphen/>
        <w:t>9; 3 Jun 2011 p. 1998.]</w:t>
      </w:r>
    </w:p>
    <w:p>
      <w:pPr>
        <w:pStyle w:val="Heading5"/>
      </w:pPr>
      <w:bookmarkStart w:id="490" w:name="_Toc232309358"/>
      <w:bookmarkStart w:id="491" w:name="_Toc264018289"/>
      <w:bookmarkStart w:id="492" w:name="_Toc303323189"/>
      <w:bookmarkStart w:id="493" w:name="_Toc303926972"/>
      <w:bookmarkStart w:id="494" w:name="_Toc172713947"/>
      <w:bookmarkEnd w:id="475"/>
      <w:r>
        <w:rPr>
          <w:rStyle w:val="CharSectno"/>
        </w:rPr>
        <w:t>18F</w:t>
      </w:r>
      <w:r>
        <w:t>.</w:t>
      </w:r>
      <w:r>
        <w:tab/>
        <w:t>Prescribed training courses (Act s. 121(11)(d)(i)</w:t>
      </w:r>
      <w:bookmarkEnd w:id="490"/>
      <w:r>
        <w:t xml:space="preserve"> and (ii))</w:t>
      </w:r>
      <w:bookmarkEnd w:id="491"/>
      <w:bookmarkEnd w:id="492"/>
      <w:bookmarkEnd w:id="493"/>
    </w:p>
    <w:p>
      <w:pPr>
        <w:pStyle w:val="Subsection"/>
        <w:keepNext/>
        <w:keepLines/>
      </w:pPr>
      <w:r>
        <w:tab/>
        <w:t>(1)</w:t>
      </w:r>
      <w:r>
        <w:tab/>
        <w:t xml:space="preserve">In this regulation — </w:t>
      </w:r>
    </w:p>
    <w:p>
      <w:pPr>
        <w:pStyle w:val="Defstart"/>
      </w:pPr>
      <w:r>
        <w:tab/>
      </w:r>
      <w:r>
        <w:rPr>
          <w:rStyle w:val="CharDefText"/>
        </w:rPr>
        <w:t>accredited higher education course</w:t>
      </w:r>
      <w:r>
        <w:t xml:space="preserve"> means a course of study accredited for the purposes of the </w:t>
      </w:r>
      <w:r>
        <w:rPr>
          <w:i/>
          <w:iCs/>
        </w:rPr>
        <w:t>Higher Education Act 2004</w:t>
      </w:r>
      <w:r>
        <w:t>;</w:t>
      </w:r>
    </w:p>
    <w:p>
      <w:pPr>
        <w:pStyle w:val="Defstart"/>
        <w:keepNext/>
        <w:keepLines/>
      </w:pPr>
      <w:r>
        <w:tab/>
      </w:r>
      <w:r>
        <w:rPr>
          <w:rStyle w:val="CharDefText"/>
        </w:rPr>
        <w:t>approved VET course</w:t>
      </w:r>
      <w:r>
        <w:t xml:space="preserve"> has the meaning given in the </w:t>
      </w:r>
      <w:r>
        <w:rPr>
          <w:i/>
        </w:rPr>
        <w:t>Vocational Education and Training Act 1996</w:t>
      </w:r>
      <w:r>
        <w:t xml:space="preserve"> section 5(1).</w:t>
      </w:r>
    </w:p>
    <w:p>
      <w:pPr>
        <w:pStyle w:val="Subsection"/>
      </w:pPr>
      <w:r>
        <w:tab/>
        <w:t>(2)</w:t>
      </w:r>
      <w:r>
        <w:tab/>
        <w:t xml:space="preserve">For the purposes of section 121(11)(d)(i) and (ii) the following are prescribed training courses — </w:t>
      </w:r>
    </w:p>
    <w:p>
      <w:pPr>
        <w:pStyle w:val="Indenta"/>
      </w:pPr>
      <w:r>
        <w:tab/>
        <w:t>(a)</w:t>
      </w:r>
      <w:r>
        <w:tab/>
        <w:t xml:space="preserve">an approved VET course; </w:t>
      </w:r>
    </w:p>
    <w:p>
      <w:pPr>
        <w:pStyle w:val="Indenta"/>
        <w:keepNext/>
      </w:pPr>
      <w:r>
        <w:tab/>
        <w:t>(b)</w:t>
      </w:r>
      <w:r>
        <w:tab/>
        <w:t>an accredited higher education course.</w:t>
      </w:r>
    </w:p>
    <w:p>
      <w:pPr>
        <w:pStyle w:val="Footnotesection"/>
      </w:pPr>
      <w:r>
        <w:tab/>
        <w:t>[Regulation 18F inserted in Gazette 9 Jun 2009 p. 1927</w:t>
      </w:r>
      <w:r>
        <w:noBreakHyphen/>
        <w:t>8; amended in Gazette 15 Jan 2010 p. 72; 3 Jun 2011 p. 2000.]</w:t>
      </w:r>
    </w:p>
    <w:p>
      <w:pPr>
        <w:pStyle w:val="Heading5"/>
        <w:spacing w:before="180"/>
      </w:pPr>
      <w:bookmarkStart w:id="495" w:name="_Toc264018290"/>
      <w:bookmarkStart w:id="496" w:name="_Toc303323190"/>
      <w:bookmarkStart w:id="497" w:name="_Toc303926973"/>
      <w:r>
        <w:rPr>
          <w:rStyle w:val="CharSectno"/>
        </w:rPr>
        <w:t>18G</w:t>
      </w:r>
      <w:r>
        <w:t>.</w:t>
      </w:r>
      <w:r>
        <w:tab/>
        <w:t>Dealing with confiscated documents (Act s. 126(2b)</w:t>
      </w:r>
      <w:bookmarkEnd w:id="494"/>
      <w:r>
        <w:t>)</w:t>
      </w:r>
      <w:bookmarkEnd w:id="495"/>
      <w:bookmarkEnd w:id="496"/>
      <w:bookmarkEnd w:id="497"/>
    </w:p>
    <w:p>
      <w:pPr>
        <w:pStyle w:val="Subsection"/>
      </w:pPr>
      <w:r>
        <w:tab/>
      </w:r>
      <w:r>
        <w:tab/>
        <w:t>For the purposes of section 126(2b), within 72 hours after a document is confiscated by an authorised person under section 126(2a), the authorised person is to —</w:t>
      </w:r>
    </w:p>
    <w:p>
      <w:pPr>
        <w:pStyle w:val="Indenta"/>
      </w:pPr>
      <w:r>
        <w:tab/>
        <w:t>(a)</w:t>
      </w:r>
      <w:r>
        <w:tab/>
        <w:t>deliver the document to a police station; or</w:t>
      </w:r>
    </w:p>
    <w:p>
      <w:pPr>
        <w:pStyle w:val="Indenta"/>
      </w:pPr>
      <w:r>
        <w:tab/>
        <w:t>(b)</w:t>
      </w:r>
      <w:r>
        <w:tab/>
        <w:t>return the document to the person from whom it was confiscated.</w:t>
      </w:r>
    </w:p>
    <w:p>
      <w:pPr>
        <w:pStyle w:val="Footnotesection"/>
        <w:ind w:left="890" w:hanging="890"/>
      </w:pPr>
      <w:r>
        <w:tab/>
        <w:t>[Regulation 18G inserted in Gazette 1 May 2007 p. 1884.]</w:t>
      </w:r>
    </w:p>
    <w:p>
      <w:pPr>
        <w:pStyle w:val="Heading5"/>
      </w:pPr>
      <w:bookmarkStart w:id="498" w:name="_Toc172713948"/>
      <w:bookmarkStart w:id="499" w:name="_Toc264018291"/>
      <w:bookmarkStart w:id="500" w:name="_Toc303323191"/>
      <w:bookmarkStart w:id="501" w:name="_Toc303926974"/>
      <w:r>
        <w:rPr>
          <w:rStyle w:val="CharSectno"/>
        </w:rPr>
        <w:t>18H</w:t>
      </w:r>
      <w:r>
        <w:t>.</w:t>
      </w:r>
      <w:r>
        <w:tab/>
        <w:t>Provisions of Act that may be modified under special event notice (Act s. 126E(4)</w:t>
      </w:r>
      <w:bookmarkEnd w:id="498"/>
      <w:r>
        <w:t>)</w:t>
      </w:r>
      <w:bookmarkEnd w:id="499"/>
      <w:bookmarkEnd w:id="500"/>
      <w:bookmarkEnd w:id="501"/>
    </w:p>
    <w:p>
      <w:pPr>
        <w:pStyle w:val="Subsection"/>
        <w:keepNext/>
        <w:keepLines/>
      </w:pPr>
      <w:r>
        <w:tab/>
      </w:r>
      <w:r>
        <w:tab/>
        <w:t>For the purposes of section 126E(4), section 155(7) is prescribed.</w:t>
      </w:r>
    </w:p>
    <w:p>
      <w:pPr>
        <w:pStyle w:val="Footnotesection"/>
      </w:pPr>
      <w:r>
        <w:tab/>
        <w:t>[Regulation 18H inserted in Gazette 1 May 2007 p. 1884; amended in Gazette 3 Jun 2011 p. 2000.]</w:t>
      </w:r>
    </w:p>
    <w:p>
      <w:pPr>
        <w:pStyle w:val="Heading5"/>
        <w:rPr>
          <w:snapToGrid w:val="0"/>
        </w:rPr>
      </w:pPr>
      <w:bookmarkStart w:id="502" w:name="_Toc172713949"/>
      <w:bookmarkStart w:id="503" w:name="_Toc264018292"/>
      <w:bookmarkStart w:id="504" w:name="_Toc303323192"/>
      <w:bookmarkStart w:id="505" w:name="_Toc303926975"/>
      <w:r>
        <w:rPr>
          <w:rStyle w:val="CharSectno"/>
        </w:rPr>
        <w:t>19</w:t>
      </w:r>
      <w:r>
        <w:rPr>
          <w:snapToGrid w:val="0"/>
        </w:rPr>
        <w:t>.</w:t>
      </w:r>
      <w:r>
        <w:rPr>
          <w:snapToGrid w:val="0"/>
        </w:rPr>
        <w:tab/>
        <w:t>Subsidy, application for (Forms 19 and 19A</w:t>
      </w:r>
      <w:bookmarkEnd w:id="476"/>
      <w:bookmarkEnd w:id="477"/>
      <w:bookmarkEnd w:id="478"/>
      <w:bookmarkEnd w:id="479"/>
      <w:bookmarkEnd w:id="480"/>
      <w:bookmarkEnd w:id="481"/>
      <w:bookmarkEnd w:id="482"/>
      <w:bookmarkEnd w:id="483"/>
      <w:bookmarkEnd w:id="484"/>
      <w:bookmarkEnd w:id="502"/>
      <w:bookmarkEnd w:id="503"/>
      <w:r>
        <w:rPr>
          <w:snapToGrid w:val="0"/>
        </w:rPr>
        <w:t>)</w:t>
      </w:r>
      <w:bookmarkEnd w:id="504"/>
      <w:bookmarkEnd w:id="505"/>
    </w:p>
    <w:p>
      <w:pPr>
        <w:pStyle w:val="Subsection"/>
        <w:rPr>
          <w:snapToGrid w:val="0"/>
        </w:rPr>
      </w:pPr>
      <w:r>
        <w:rPr>
          <w:snapToGrid w:val="0"/>
        </w:rPr>
        <w:tab/>
        <w:t>(1)</w:t>
      </w:r>
      <w:r>
        <w:rPr>
          <w:snapToGrid w:val="0"/>
        </w:rPr>
        <w:tab/>
        <w:t>Application for a subsidy is to be made to the Director —</w:t>
      </w:r>
    </w:p>
    <w:p>
      <w:pPr>
        <w:pStyle w:val="Indenta"/>
        <w:rPr>
          <w:snapToGrid w:val="0"/>
        </w:rPr>
      </w:pPr>
      <w:r>
        <w:rPr>
          <w:snapToGrid w:val="0"/>
        </w:rPr>
        <w:tab/>
        <w:t>(a)</w:t>
      </w:r>
      <w:r>
        <w:rPr>
          <w:snapToGrid w:val="0"/>
        </w:rPr>
        <w:tab/>
        <w:t>by a producer, in the form set out in Form 19 in Schedule 1; or</w:t>
      </w:r>
    </w:p>
    <w:p>
      <w:pPr>
        <w:pStyle w:val="Indenta"/>
        <w:rPr>
          <w:snapToGrid w:val="0"/>
        </w:rPr>
      </w:pPr>
      <w:r>
        <w:rPr>
          <w:snapToGrid w:val="0"/>
        </w:rPr>
        <w:tab/>
        <w:t>(b)</w:t>
      </w:r>
      <w:r>
        <w:rPr>
          <w:snapToGrid w:val="0"/>
        </w:rPr>
        <w:tab/>
        <w:t>by a wholesaler, in the form set out in Form 19A in Schedule 1.</w:t>
      </w:r>
    </w:p>
    <w:p>
      <w:pPr>
        <w:pStyle w:val="Subsection"/>
        <w:rPr>
          <w:snapToGrid w:val="0"/>
        </w:rPr>
      </w:pPr>
      <w:r>
        <w:rPr>
          <w:snapToGrid w:val="0"/>
        </w:rPr>
        <w:tab/>
        <w:t>(2)</w:t>
      </w:r>
      <w:r>
        <w:rPr>
          <w:snapToGrid w:val="0"/>
        </w:rPr>
        <w:tab/>
        <w:t>Application for a subsidy is to be made not later than 2 years after the sale or other disposal, in respect of which the subsidy is claimed, took place.</w:t>
      </w:r>
    </w:p>
    <w:p>
      <w:pPr>
        <w:pStyle w:val="Footnotesection"/>
      </w:pPr>
      <w:r>
        <w:tab/>
        <w:t>[Regulation 19 inserted in Gazette 30 Jan 1998 p. 562; amended in Gazette 22 Oct 2002 p. 5255.]</w:t>
      </w:r>
    </w:p>
    <w:p>
      <w:pPr>
        <w:pStyle w:val="Heading5"/>
        <w:rPr>
          <w:snapToGrid w:val="0"/>
        </w:rPr>
      </w:pPr>
      <w:bookmarkStart w:id="506" w:name="_Toc460808728"/>
      <w:bookmarkStart w:id="507" w:name="_Toc519934591"/>
      <w:bookmarkStart w:id="508" w:name="_Toc534780056"/>
      <w:bookmarkStart w:id="509" w:name="_Toc3352063"/>
      <w:bookmarkStart w:id="510" w:name="_Toc3352138"/>
      <w:bookmarkStart w:id="511" w:name="_Toc22966240"/>
      <w:bookmarkStart w:id="512" w:name="_Toc66263847"/>
      <w:bookmarkStart w:id="513" w:name="_Toc119294088"/>
      <w:bookmarkStart w:id="514" w:name="_Toc123633181"/>
      <w:bookmarkStart w:id="515" w:name="_Toc172713950"/>
      <w:bookmarkStart w:id="516" w:name="_Toc264018293"/>
      <w:bookmarkStart w:id="517" w:name="_Toc303323193"/>
      <w:bookmarkStart w:id="518" w:name="_Toc303926976"/>
      <w:r>
        <w:rPr>
          <w:rStyle w:val="CharSectno"/>
        </w:rPr>
        <w:t>20</w:t>
      </w:r>
      <w:r>
        <w:rPr>
          <w:snapToGrid w:val="0"/>
        </w:rPr>
        <w:t>.</w:t>
      </w:r>
      <w:r>
        <w:rPr>
          <w:snapToGrid w:val="0"/>
        </w:rPr>
        <w:tab/>
        <w:t>Wholesaler, extension of definition of</w:t>
      </w:r>
      <w:bookmarkEnd w:id="506"/>
      <w:bookmarkEnd w:id="507"/>
      <w:bookmarkEnd w:id="508"/>
      <w:bookmarkEnd w:id="509"/>
      <w:bookmarkEnd w:id="510"/>
      <w:bookmarkEnd w:id="511"/>
      <w:bookmarkEnd w:id="512"/>
      <w:bookmarkEnd w:id="513"/>
      <w:bookmarkEnd w:id="514"/>
      <w:bookmarkEnd w:id="515"/>
      <w:bookmarkEnd w:id="516"/>
      <w:bookmarkEnd w:id="517"/>
      <w:bookmarkEnd w:id="518"/>
    </w:p>
    <w:p>
      <w:pPr>
        <w:pStyle w:val="Subsection"/>
        <w:spacing w:before="120"/>
        <w:rPr>
          <w:snapToGrid w:val="0"/>
        </w:rPr>
      </w:pPr>
      <w:r>
        <w:rPr>
          <w:snapToGrid w:val="0"/>
        </w:rPr>
        <w:tab/>
      </w:r>
      <w:r>
        <w:rPr>
          <w:snapToGrid w:val="0"/>
        </w:rPr>
        <w:tab/>
        <w:t xml:space="preserve">The following persons are prescribed for the purposes of the definition of </w:t>
      </w:r>
      <w:r>
        <w:rPr>
          <w:b/>
          <w:bCs/>
          <w:i/>
          <w:iCs/>
          <w:snapToGrid w:val="0"/>
        </w:rPr>
        <w:t>wholesaler</w:t>
      </w:r>
      <w:r>
        <w:rPr>
          <w:snapToGrid w:val="0"/>
        </w:rPr>
        <w:t xml:space="preserve"> in section 129 —</w:t>
      </w:r>
    </w:p>
    <w:p>
      <w:pPr>
        <w:pStyle w:val="Indenta"/>
        <w:spacing w:before="60"/>
        <w:rPr>
          <w:snapToGrid w:val="0"/>
        </w:rPr>
      </w:pPr>
      <w:r>
        <w:rPr>
          <w:snapToGrid w:val="0"/>
        </w:rPr>
        <w:tab/>
        <w:t>(a)</w:t>
      </w:r>
      <w:r>
        <w:rPr>
          <w:snapToGrid w:val="0"/>
        </w:rPr>
        <w:tab/>
        <w:t>a liquor merchant authorised under the law of another State or a Territory to sell liquor;</w:t>
      </w:r>
    </w:p>
    <w:p>
      <w:pPr>
        <w:pStyle w:val="Indenta"/>
        <w:spacing w:before="60"/>
        <w:rPr>
          <w:snapToGrid w:val="0"/>
        </w:rPr>
      </w:pPr>
      <w:r>
        <w:rPr>
          <w:snapToGrid w:val="0"/>
        </w:rPr>
        <w:tab/>
        <w:t>(b)</w:t>
      </w:r>
      <w:r>
        <w:rPr>
          <w:snapToGrid w:val="0"/>
        </w:rPr>
        <w:tab/>
        <w:t>the holder of a special facility licence the conditions of which authorise the sale of liquor in the manner set out in section 58(1).</w:t>
      </w:r>
    </w:p>
    <w:p>
      <w:pPr>
        <w:pStyle w:val="Footnotesection"/>
        <w:ind w:left="890" w:hanging="890"/>
      </w:pPr>
      <w:r>
        <w:tab/>
        <w:t>[Regulation 20 inserted in Gazette 30 Jan 1998 p. 562; amended in Gazette 1 May 2007 p. 1888.]</w:t>
      </w:r>
    </w:p>
    <w:p>
      <w:pPr>
        <w:pStyle w:val="Heading5"/>
        <w:spacing w:before="240"/>
      </w:pPr>
      <w:bookmarkStart w:id="519" w:name="_Toc519934592"/>
      <w:bookmarkStart w:id="520" w:name="_Toc534780057"/>
      <w:bookmarkStart w:id="521" w:name="_Toc3352064"/>
      <w:bookmarkStart w:id="522" w:name="_Toc3352139"/>
      <w:bookmarkStart w:id="523" w:name="_Toc22966241"/>
      <w:bookmarkStart w:id="524" w:name="_Toc66263848"/>
      <w:bookmarkStart w:id="525" w:name="_Toc119294089"/>
      <w:bookmarkStart w:id="526" w:name="_Toc123633182"/>
      <w:bookmarkStart w:id="527" w:name="_Toc172713951"/>
      <w:bookmarkStart w:id="528" w:name="_Toc264018294"/>
      <w:bookmarkStart w:id="529" w:name="_Toc303323194"/>
      <w:bookmarkStart w:id="530" w:name="_Toc303926977"/>
      <w:r>
        <w:rPr>
          <w:rStyle w:val="CharSectno"/>
        </w:rPr>
        <w:t>21</w:t>
      </w:r>
      <w:r>
        <w:t>.</w:t>
      </w:r>
      <w:r>
        <w:tab/>
        <w:t>Wholesaler</w:t>
      </w:r>
      <w:bookmarkEnd w:id="519"/>
      <w:bookmarkEnd w:id="520"/>
      <w:bookmarkEnd w:id="521"/>
      <w:bookmarkEnd w:id="522"/>
      <w:bookmarkEnd w:id="523"/>
      <w:bookmarkEnd w:id="524"/>
      <w:bookmarkEnd w:id="525"/>
      <w:bookmarkEnd w:id="526"/>
      <w:bookmarkEnd w:id="527"/>
      <w:r>
        <w:t>, subsidy for (Act s. 130)</w:t>
      </w:r>
      <w:bookmarkEnd w:id="528"/>
      <w:bookmarkEnd w:id="529"/>
      <w:bookmarkEnd w:id="530"/>
    </w:p>
    <w:p>
      <w:pPr>
        <w:pStyle w:val="Subsection"/>
        <w:spacing w:before="180"/>
      </w:pPr>
      <w:r>
        <w:tab/>
        <w:t>(1)</w:t>
      </w:r>
      <w:r>
        <w:tab/>
        <w:t>For the purposes of section 130(3), the subsidy for a wholesaler in respect of sales of wine in a tax period is to be calculated as follows:</w:t>
      </w:r>
    </w:p>
    <w:p>
      <w:pPr>
        <w:pStyle w:val="Equation"/>
        <w:spacing w:before="80"/>
        <w:jc w:val="center"/>
      </w:pPr>
      <w:r>
        <w:t xml:space="preserve">S </w:t>
      </w:r>
      <w:r>
        <w:rPr>
          <w:snapToGrid w:val="0"/>
        </w:rPr>
        <w:t xml:space="preserve">= (6.18 </w:t>
      </w:r>
      <w:r>
        <w:rPr>
          <w:snapToGrid w:val="0"/>
        </w:rPr>
        <w:sym w:font="Symbol" w:char="F0B8"/>
      </w:r>
      <w:r>
        <w:rPr>
          <w:snapToGrid w:val="0"/>
        </w:rPr>
        <w:t xml:space="preserve"> 29) W</w:t>
      </w:r>
    </w:p>
    <w:p>
      <w:pPr>
        <w:pStyle w:val="Subsection"/>
        <w:spacing w:before="100"/>
        <w:rPr>
          <w:snapToGrid w:val="0"/>
        </w:rPr>
      </w:pPr>
      <w:r>
        <w:rPr>
          <w:snapToGrid w:val="0"/>
        </w:rPr>
        <w:tab/>
      </w:r>
      <w:r>
        <w:rPr>
          <w:snapToGrid w:val="0"/>
        </w:rPr>
        <w:tab/>
        <w:t>where —</w:t>
      </w:r>
    </w:p>
    <w:p>
      <w:pPr>
        <w:pStyle w:val="Subsection"/>
        <w:spacing w:before="100"/>
      </w:pPr>
      <w:r>
        <w:tab/>
      </w:r>
      <w:r>
        <w:tab/>
        <w:t>S =</w:t>
      </w:r>
      <w:r>
        <w:tab/>
        <w:t>the wholesaler’s subsidy payment;</w:t>
      </w:r>
    </w:p>
    <w:p>
      <w:pPr>
        <w:pStyle w:val="Subsection"/>
        <w:spacing w:before="100"/>
        <w:ind w:left="1701" w:hanging="1701"/>
      </w:pPr>
      <w:r>
        <w:tab/>
      </w:r>
      <w:r>
        <w:tab/>
        <w:t>W =</w:t>
      </w:r>
      <w:r>
        <w:tab/>
        <w:t>the total WET paid by the wholesaler on sales of wine that is low alcohol liquor in the tax period, in respect of which the wholesaler is eligible for a subsidy under subregulation (2).</w:t>
      </w:r>
    </w:p>
    <w:p>
      <w:pPr>
        <w:pStyle w:val="Subsection"/>
        <w:spacing w:before="180"/>
      </w:pPr>
      <w:r>
        <w:tab/>
        <w:t>(2)</w:t>
      </w:r>
      <w:r>
        <w:tab/>
        <w:t xml:space="preserve">For the purposes of </w:t>
      </w:r>
      <w:r>
        <w:rPr>
          <w:snapToGrid w:val="0"/>
        </w:rPr>
        <w:t>section</w:t>
      </w:r>
      <w:r>
        <w:t> 130(1), subsidies are payable to a liquor merchant prescribed as a wholesaler by regulation 20 only in respect of wine that is low alcohol liquor —</w:t>
      </w:r>
    </w:p>
    <w:p>
      <w:pPr>
        <w:pStyle w:val="Indenta"/>
      </w:pPr>
      <w:r>
        <w:tab/>
        <w:t>(a)</w:t>
      </w:r>
      <w:r>
        <w:tab/>
        <w:t>sold to —</w:t>
      </w:r>
    </w:p>
    <w:p>
      <w:pPr>
        <w:pStyle w:val="Indenti"/>
      </w:pPr>
      <w:r>
        <w:tab/>
        <w:t>(i)</w:t>
      </w:r>
      <w:r>
        <w:tab/>
        <w:t>unlicensed individuals in this State for their personal consumption; or</w:t>
      </w:r>
    </w:p>
    <w:p>
      <w:pPr>
        <w:pStyle w:val="Indenti"/>
      </w:pPr>
      <w:r>
        <w:tab/>
        <w:t>(ii)</w:t>
      </w:r>
      <w:r>
        <w:tab/>
        <w:t>persons licensed under the Act, otherwise than by an occasional licence only, to sell liquor;</w:t>
      </w:r>
    </w:p>
    <w:p>
      <w:pPr>
        <w:pStyle w:val="Indenta"/>
      </w:pPr>
      <w:r>
        <w:tab/>
      </w:r>
      <w:r>
        <w:tab/>
        <w:t>and</w:t>
      </w:r>
    </w:p>
    <w:p>
      <w:pPr>
        <w:pStyle w:val="Indenta"/>
        <w:keepNext/>
      </w:pPr>
      <w:r>
        <w:tab/>
        <w:t>(b)</w:t>
      </w:r>
      <w:r>
        <w:tab/>
        <w:t>sold at a price that —</w:t>
      </w:r>
    </w:p>
    <w:p>
      <w:pPr>
        <w:pStyle w:val="Ednotesubpara"/>
      </w:pPr>
      <w:r>
        <w:tab/>
        <w:t>[(i)</w:t>
      </w:r>
      <w:r>
        <w:tab/>
        <w:t>deleted]</w:t>
      </w:r>
    </w:p>
    <w:p>
      <w:pPr>
        <w:pStyle w:val="Indenti"/>
        <w:keepNext/>
      </w:pPr>
      <w:r>
        <w:tab/>
        <w:t>(ii)</w:t>
      </w:r>
      <w:r>
        <w:tab/>
        <w:t>for wine, is at least 6.18% less than the notional wholesale selling price of that wine.</w:t>
      </w:r>
    </w:p>
    <w:p>
      <w:pPr>
        <w:pStyle w:val="Footnotesection"/>
        <w:ind w:left="890" w:hanging="890"/>
      </w:pPr>
      <w:r>
        <w:tab/>
        <w:t>[Regulation 21 inserted in Gazette 28 Jul 2000 p. 4030; amended in Gazette 28 Jun 2002 p. 3106</w:t>
      </w:r>
      <w:r>
        <w:rPr>
          <w:rFonts w:ascii="Times" w:hAnsi="Times"/>
        </w:rPr>
        <w:t>; 9</w:t>
      </w:r>
      <w:r>
        <w:t> Jul 2004 p. 2774; 1 May 2007 p. 1888.]</w:t>
      </w:r>
    </w:p>
    <w:p>
      <w:pPr>
        <w:pStyle w:val="Heading5"/>
      </w:pPr>
      <w:bookmarkStart w:id="531" w:name="_Toc519934593"/>
      <w:bookmarkStart w:id="532" w:name="_Toc534780058"/>
      <w:bookmarkStart w:id="533" w:name="_Toc3352065"/>
      <w:bookmarkStart w:id="534" w:name="_Toc3352140"/>
      <w:bookmarkStart w:id="535" w:name="_Toc22966242"/>
      <w:bookmarkStart w:id="536" w:name="_Toc66263849"/>
      <w:bookmarkStart w:id="537" w:name="_Toc119294090"/>
      <w:bookmarkStart w:id="538" w:name="_Toc123633183"/>
      <w:bookmarkStart w:id="539" w:name="_Toc172713952"/>
      <w:bookmarkStart w:id="540" w:name="_Toc264018295"/>
      <w:bookmarkStart w:id="541" w:name="_Toc303323195"/>
      <w:bookmarkStart w:id="542" w:name="_Toc303926978"/>
      <w:r>
        <w:rPr>
          <w:rStyle w:val="CharSectno"/>
        </w:rPr>
        <w:t>21A</w:t>
      </w:r>
      <w:r>
        <w:t>.</w:t>
      </w:r>
      <w:r>
        <w:tab/>
        <w:t>Wine</w:t>
      </w:r>
      <w:bookmarkEnd w:id="531"/>
      <w:bookmarkEnd w:id="532"/>
      <w:bookmarkEnd w:id="533"/>
      <w:bookmarkEnd w:id="534"/>
      <w:bookmarkEnd w:id="535"/>
      <w:bookmarkEnd w:id="536"/>
      <w:bookmarkEnd w:id="537"/>
      <w:bookmarkEnd w:id="538"/>
      <w:bookmarkEnd w:id="539"/>
      <w:r>
        <w:t xml:space="preserve"> producers, subsidy for (Act s. 130)</w:t>
      </w:r>
      <w:bookmarkEnd w:id="540"/>
      <w:bookmarkEnd w:id="541"/>
      <w:bookmarkEnd w:id="542"/>
    </w:p>
    <w:p>
      <w:pPr>
        <w:pStyle w:val="Subsection"/>
        <w:keepNext/>
        <w:keepLines/>
      </w:pPr>
      <w:r>
        <w:tab/>
        <w:t>(1)</w:t>
      </w:r>
      <w:r>
        <w:tab/>
        <w:t>For the purposes of section 130(3), the subsidy for a producer of wine in respect of sales of wine in a tax period is to be calculated as follows:</w:t>
      </w:r>
    </w:p>
    <w:p>
      <w:pPr>
        <w:pStyle w:val="Equation"/>
        <w:spacing w:before="120"/>
        <w:jc w:val="center"/>
        <w:rPr>
          <w:snapToGrid w:val="0"/>
        </w:rPr>
      </w:pPr>
      <w:r>
        <w:rPr>
          <w:snapToGrid w:val="0"/>
        </w:rPr>
        <w:object w:dxaOrig="1560" w:dyaOrig="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8pt;height:15.75pt" o:ole="">
            <v:imagedata r:id="rId21" o:title=""/>
          </v:shape>
          <o:OLEObject Type="Embed" ProgID="Equation.3" ShapeID="_x0000_i1025" DrawAspect="Content" ObjectID="_1644259648" r:id="rId22"/>
        </w:object>
      </w:r>
    </w:p>
    <w:p>
      <w:pPr>
        <w:pStyle w:val="Subsection"/>
        <w:rPr>
          <w:snapToGrid w:val="0"/>
        </w:rPr>
      </w:pPr>
      <w:r>
        <w:rPr>
          <w:snapToGrid w:val="0"/>
        </w:rPr>
        <w:tab/>
      </w:r>
      <w:r>
        <w:rPr>
          <w:snapToGrid w:val="0"/>
        </w:rPr>
        <w:tab/>
        <w:t>where —</w:t>
      </w:r>
    </w:p>
    <w:p>
      <w:pPr>
        <w:pStyle w:val="Subsection"/>
        <w:tabs>
          <w:tab w:val="left" w:pos="1701"/>
        </w:tabs>
        <w:spacing w:before="80"/>
        <w:ind w:left="1701" w:hanging="1701"/>
      </w:pPr>
      <w:r>
        <w:tab/>
      </w:r>
      <w:r>
        <w:tab/>
        <w:t>S =</w:t>
      </w:r>
      <w:r>
        <w:tab/>
        <w:t>the producer’s subsidy payment;</w:t>
      </w:r>
    </w:p>
    <w:p>
      <w:pPr>
        <w:pStyle w:val="Subsection"/>
        <w:tabs>
          <w:tab w:val="left" w:pos="1701"/>
        </w:tabs>
        <w:spacing w:before="80"/>
        <w:ind w:left="1701" w:hanging="1701"/>
      </w:pPr>
      <w:r>
        <w:tab/>
      </w:r>
      <w:r>
        <w:tab/>
        <w:t>W =</w:t>
      </w:r>
      <w:r>
        <w:tab/>
        <w:t>the total WET paid —</w:t>
      </w:r>
    </w:p>
    <w:p>
      <w:pPr>
        <w:pStyle w:val="Indenti"/>
      </w:pPr>
      <w:r>
        <w:tab/>
        <w:t>(a)</w:t>
      </w:r>
      <w:r>
        <w:tab/>
        <w:t>by the producer on sales of wine in the tax period, in respect of which the producer is eligible for a subsidy under subregulation (2); or</w:t>
      </w:r>
    </w:p>
    <w:p>
      <w:pPr>
        <w:pStyle w:val="Indenti"/>
      </w:pPr>
      <w:r>
        <w:tab/>
        <w:t>(b)</w:t>
      </w:r>
      <w:r>
        <w:tab/>
        <w:t>by a wine maker on wine sold to the producer in the tax period, being wine fermented using produce of the producer, in respect of which the producer is eligible for a subsidy under subregulation (2).</w:t>
      </w:r>
    </w:p>
    <w:p>
      <w:pPr>
        <w:pStyle w:val="Subsection"/>
      </w:pPr>
      <w:r>
        <w:tab/>
        <w:t>(2)</w:t>
      </w:r>
      <w:r>
        <w:tab/>
        <w:t>For the purposes of section 130(1), subsidies are payable to a producer only in respect of —</w:t>
      </w:r>
    </w:p>
    <w:p>
      <w:pPr>
        <w:pStyle w:val="Indenta"/>
      </w:pPr>
      <w:r>
        <w:tab/>
        <w:t>(a)</w:t>
      </w:r>
      <w:r>
        <w:tab/>
        <w:t>wine produced by the producer in this State and sold by the producer from licensed premises (including by mail order) to unlicensed individuals for their personal consumption, on which sale WET has been paid by the producer; or</w:t>
      </w:r>
    </w:p>
    <w:p>
      <w:pPr>
        <w:pStyle w:val="Indenta"/>
      </w:pPr>
      <w:r>
        <w:tab/>
        <w:t>(b)</w:t>
      </w:r>
      <w:r>
        <w:tab/>
        <w:t>wine fermented by a wine maker from the produce of the producer in this State and sold by the wine maker to the producer, on which sale WET has been paid by the wine maker.</w:t>
      </w:r>
    </w:p>
    <w:p>
      <w:pPr>
        <w:pStyle w:val="Subsection"/>
        <w:keepNext/>
        <w:keepLines/>
        <w:spacing w:before="200"/>
      </w:pPr>
      <w:r>
        <w:tab/>
        <w:t>(3)</w:t>
      </w:r>
      <w:r>
        <w:tab/>
        <w:t>In subregulation (2) —</w:t>
      </w:r>
    </w:p>
    <w:p>
      <w:pPr>
        <w:pStyle w:val="Defstart"/>
        <w:keepNext/>
        <w:keepLines/>
      </w:pPr>
      <w:r>
        <w:tab/>
      </w:r>
      <w:r>
        <w:rPr>
          <w:rStyle w:val="CharDefText"/>
        </w:rPr>
        <w:t>wine produced by a producer</w:t>
      </w:r>
      <w:r>
        <w:t xml:space="preserve"> does not include wine that is deemed to have been produced by the producer under section 55(3).</w:t>
      </w:r>
    </w:p>
    <w:p>
      <w:pPr>
        <w:pStyle w:val="Footnotesection"/>
        <w:keepLines w:val="0"/>
        <w:ind w:left="890" w:hanging="890"/>
      </w:pPr>
      <w:r>
        <w:tab/>
        <w:t>[Regulation 21A inserted in Gazette 28 Jul 2000 p. 4030</w:t>
      </w:r>
      <w:r>
        <w:noBreakHyphen/>
        <w:t>1; amended in Gazette 9 Jul 2004 p. 2774; 1 May 2007 p. 1888</w:t>
      </w:r>
      <w:r>
        <w:noBreakHyphen/>
        <w:t>9.]</w:t>
      </w:r>
    </w:p>
    <w:p>
      <w:pPr>
        <w:pStyle w:val="Ednotesection"/>
        <w:rPr>
          <w:b/>
        </w:rPr>
      </w:pPr>
      <w:r>
        <w:t>[</w:t>
      </w:r>
      <w:r>
        <w:rPr>
          <w:b/>
        </w:rPr>
        <w:t>21AB.</w:t>
      </w:r>
      <w:r>
        <w:rPr>
          <w:b/>
        </w:rPr>
        <w:tab/>
      </w:r>
      <w:r>
        <w:t>Deleted in Gazette 28 Jun 2002 p. 3106.]</w:t>
      </w:r>
    </w:p>
    <w:p>
      <w:pPr>
        <w:pStyle w:val="Heading5"/>
        <w:rPr>
          <w:snapToGrid w:val="0"/>
        </w:rPr>
      </w:pPr>
      <w:bookmarkStart w:id="543" w:name="_Toc460808732"/>
      <w:bookmarkStart w:id="544" w:name="_Toc519934595"/>
      <w:bookmarkStart w:id="545" w:name="_Toc534780060"/>
      <w:bookmarkStart w:id="546" w:name="_Toc3352067"/>
      <w:bookmarkStart w:id="547" w:name="_Toc3352142"/>
      <w:bookmarkStart w:id="548" w:name="_Toc22966243"/>
      <w:bookmarkStart w:id="549" w:name="_Toc66263850"/>
      <w:bookmarkStart w:id="550" w:name="_Toc119294091"/>
      <w:bookmarkStart w:id="551" w:name="_Toc123633184"/>
      <w:bookmarkStart w:id="552" w:name="_Toc172713953"/>
      <w:bookmarkStart w:id="553" w:name="_Toc264018296"/>
      <w:bookmarkStart w:id="554" w:name="_Toc303323196"/>
      <w:bookmarkStart w:id="555" w:name="_Toc303926979"/>
      <w:r>
        <w:rPr>
          <w:rStyle w:val="CharSectno"/>
        </w:rPr>
        <w:t>21AC</w:t>
      </w:r>
      <w:r>
        <w:rPr>
          <w:snapToGrid w:val="0"/>
        </w:rPr>
        <w:t>.</w:t>
      </w:r>
      <w:r>
        <w:rPr>
          <w:snapToGrid w:val="0"/>
        </w:rPr>
        <w:tab/>
        <w:t>Subsidy payable once in respect of sale of liquor</w:t>
      </w:r>
      <w:bookmarkEnd w:id="543"/>
      <w:bookmarkEnd w:id="544"/>
      <w:bookmarkEnd w:id="545"/>
      <w:bookmarkEnd w:id="546"/>
      <w:bookmarkEnd w:id="547"/>
      <w:bookmarkEnd w:id="548"/>
      <w:bookmarkEnd w:id="549"/>
      <w:bookmarkEnd w:id="550"/>
      <w:bookmarkEnd w:id="551"/>
      <w:bookmarkEnd w:id="552"/>
      <w:bookmarkEnd w:id="553"/>
      <w:bookmarkEnd w:id="554"/>
      <w:bookmarkEnd w:id="555"/>
    </w:p>
    <w:p>
      <w:pPr>
        <w:pStyle w:val="Subsection"/>
        <w:rPr>
          <w:snapToGrid w:val="0"/>
        </w:rPr>
      </w:pPr>
      <w:r>
        <w:rPr>
          <w:snapToGrid w:val="0"/>
        </w:rPr>
        <w:tab/>
      </w:r>
      <w:r>
        <w:rPr>
          <w:snapToGrid w:val="0"/>
        </w:rPr>
        <w:tab/>
        <w:t>A subsidy is only payable once in respect of a sale of liquor.</w:t>
      </w:r>
    </w:p>
    <w:p>
      <w:pPr>
        <w:pStyle w:val="Footnotesection"/>
        <w:ind w:left="890" w:hanging="890"/>
      </w:pPr>
      <w:r>
        <w:tab/>
        <w:t>[Regulation 21AC inserted in Gazette 6 Oct 1998 p. 5565.]</w:t>
      </w:r>
    </w:p>
    <w:p>
      <w:pPr>
        <w:pStyle w:val="Heading5"/>
        <w:rPr>
          <w:snapToGrid w:val="0"/>
        </w:rPr>
      </w:pPr>
      <w:bookmarkStart w:id="556" w:name="_Toc460808733"/>
      <w:bookmarkStart w:id="557" w:name="_Toc519934596"/>
      <w:bookmarkStart w:id="558" w:name="_Toc534780061"/>
      <w:bookmarkStart w:id="559" w:name="_Toc3352068"/>
      <w:bookmarkStart w:id="560" w:name="_Toc3352143"/>
      <w:bookmarkStart w:id="561" w:name="_Toc22966244"/>
      <w:bookmarkStart w:id="562" w:name="_Toc66263851"/>
      <w:bookmarkStart w:id="563" w:name="_Toc119294092"/>
      <w:bookmarkStart w:id="564" w:name="_Toc123633185"/>
      <w:bookmarkStart w:id="565" w:name="_Toc172713954"/>
      <w:bookmarkStart w:id="566" w:name="_Toc264018297"/>
      <w:bookmarkStart w:id="567" w:name="_Toc303323197"/>
      <w:bookmarkStart w:id="568" w:name="_Toc303926980"/>
      <w:r>
        <w:rPr>
          <w:rStyle w:val="CharSectno"/>
        </w:rPr>
        <w:t>21B</w:t>
      </w:r>
      <w:r>
        <w:rPr>
          <w:snapToGrid w:val="0"/>
        </w:rPr>
        <w:t>.</w:t>
      </w:r>
      <w:r>
        <w:rPr>
          <w:snapToGrid w:val="0"/>
        </w:rPr>
        <w:tab/>
        <w:t>Subsidy, conditions imposed by Director as to</w:t>
      </w:r>
      <w:bookmarkEnd w:id="556"/>
      <w:bookmarkEnd w:id="557"/>
      <w:bookmarkEnd w:id="558"/>
      <w:bookmarkEnd w:id="559"/>
      <w:bookmarkEnd w:id="560"/>
      <w:bookmarkEnd w:id="561"/>
      <w:bookmarkEnd w:id="562"/>
      <w:bookmarkEnd w:id="563"/>
      <w:bookmarkEnd w:id="564"/>
      <w:bookmarkEnd w:id="565"/>
      <w:r>
        <w:rPr>
          <w:snapToGrid w:val="0"/>
        </w:rPr>
        <w:t xml:space="preserve"> </w:t>
      </w:r>
      <w:r>
        <w:t>(Act s. 130(2))</w:t>
      </w:r>
      <w:bookmarkEnd w:id="566"/>
      <w:bookmarkEnd w:id="567"/>
      <w:bookmarkEnd w:id="568"/>
    </w:p>
    <w:p>
      <w:pPr>
        <w:pStyle w:val="Subsection"/>
        <w:keepNext/>
        <w:keepLines/>
        <w:rPr>
          <w:snapToGrid w:val="0"/>
        </w:rPr>
      </w:pPr>
      <w:r>
        <w:rPr>
          <w:snapToGrid w:val="0"/>
        </w:rPr>
        <w:tab/>
      </w:r>
      <w:r>
        <w:rPr>
          <w:snapToGrid w:val="0"/>
        </w:rPr>
        <w:tab/>
        <w:t>For the purposes of section 130(2), the Director may impose conditions by notice in writing given to the person on whom the condition is to be imposed.</w:t>
      </w:r>
    </w:p>
    <w:p>
      <w:pPr>
        <w:pStyle w:val="Footnotesection"/>
        <w:ind w:left="890" w:hanging="890"/>
      </w:pPr>
      <w:r>
        <w:tab/>
        <w:t>[Regulation 21B inserted in Gazette 30 Jan 1998 p. 565; amended in Gazette 1 May 2007 p. 1888</w:t>
      </w:r>
      <w:r>
        <w:noBreakHyphen/>
        <w:t>9.]</w:t>
      </w:r>
    </w:p>
    <w:p>
      <w:pPr>
        <w:pStyle w:val="Heading5"/>
        <w:rPr>
          <w:snapToGrid w:val="0"/>
        </w:rPr>
      </w:pPr>
      <w:bookmarkStart w:id="569" w:name="_Toc460808734"/>
      <w:bookmarkStart w:id="570" w:name="_Toc519934597"/>
      <w:bookmarkStart w:id="571" w:name="_Toc534780062"/>
      <w:bookmarkStart w:id="572" w:name="_Toc3352069"/>
      <w:bookmarkStart w:id="573" w:name="_Toc3352144"/>
      <w:bookmarkStart w:id="574" w:name="_Toc22966245"/>
      <w:bookmarkStart w:id="575" w:name="_Toc66263852"/>
      <w:bookmarkStart w:id="576" w:name="_Toc119294093"/>
      <w:bookmarkStart w:id="577" w:name="_Toc123633186"/>
      <w:bookmarkStart w:id="578" w:name="_Toc172713955"/>
      <w:bookmarkStart w:id="579" w:name="_Toc264018298"/>
      <w:bookmarkStart w:id="580" w:name="_Toc303323198"/>
      <w:bookmarkStart w:id="581" w:name="_Toc303926981"/>
      <w:r>
        <w:rPr>
          <w:rStyle w:val="CharSectno"/>
        </w:rPr>
        <w:t>21C</w:t>
      </w:r>
      <w:r>
        <w:rPr>
          <w:snapToGrid w:val="0"/>
        </w:rPr>
        <w:t>.</w:t>
      </w:r>
      <w:r>
        <w:rPr>
          <w:snapToGrid w:val="0"/>
        </w:rPr>
        <w:tab/>
        <w:t>Records, licensees required to keep </w:t>
      </w:r>
      <w:r>
        <w:t>(Act s. </w:t>
      </w:r>
      <w:r>
        <w:rPr>
          <w:snapToGrid w:val="0"/>
        </w:rPr>
        <w:t>145(1)</w:t>
      </w:r>
      <w:bookmarkEnd w:id="569"/>
      <w:bookmarkEnd w:id="570"/>
      <w:bookmarkEnd w:id="571"/>
      <w:bookmarkEnd w:id="572"/>
      <w:bookmarkEnd w:id="573"/>
      <w:bookmarkEnd w:id="574"/>
      <w:bookmarkEnd w:id="575"/>
      <w:bookmarkEnd w:id="576"/>
      <w:bookmarkEnd w:id="577"/>
      <w:bookmarkEnd w:id="578"/>
      <w:r>
        <w:rPr>
          <w:snapToGrid w:val="0"/>
        </w:rPr>
        <w:t>)</w:t>
      </w:r>
      <w:bookmarkEnd w:id="579"/>
      <w:bookmarkEnd w:id="580"/>
      <w:bookmarkEnd w:id="581"/>
    </w:p>
    <w:p>
      <w:pPr>
        <w:pStyle w:val="Subsection"/>
        <w:rPr>
          <w:snapToGrid w:val="0"/>
        </w:rPr>
      </w:pPr>
      <w:r>
        <w:rPr>
          <w:snapToGrid w:val="0"/>
        </w:rPr>
        <w:tab/>
      </w:r>
      <w:r>
        <w:rPr>
          <w:snapToGrid w:val="0"/>
        </w:rPr>
        <w:tab/>
        <w:t>The following licensees are prescribed for the purposes of section 145(1) —</w:t>
      </w:r>
    </w:p>
    <w:p>
      <w:pPr>
        <w:pStyle w:val="Indenta"/>
        <w:rPr>
          <w:snapToGrid w:val="0"/>
        </w:rPr>
      </w:pPr>
      <w:r>
        <w:rPr>
          <w:snapToGrid w:val="0"/>
        </w:rPr>
        <w:tab/>
        <w:t>(a)</w:t>
      </w:r>
      <w:r>
        <w:rPr>
          <w:snapToGrid w:val="0"/>
        </w:rPr>
        <w:tab/>
        <w:t>the holder of a wholesaler’s licence; and</w:t>
      </w:r>
    </w:p>
    <w:p>
      <w:pPr>
        <w:pStyle w:val="Indenta"/>
        <w:rPr>
          <w:snapToGrid w:val="0"/>
        </w:rPr>
      </w:pPr>
      <w:r>
        <w:rPr>
          <w:snapToGrid w:val="0"/>
        </w:rPr>
        <w:tab/>
        <w:t>(b)</w:t>
      </w:r>
      <w:r>
        <w:rPr>
          <w:snapToGrid w:val="0"/>
        </w:rPr>
        <w:tab/>
        <w:t>the holder of a special facility licence the conditions of which authorise the sale of liquor in the manner set out in section 55(1) or 58(1); and</w:t>
      </w:r>
    </w:p>
    <w:p>
      <w:pPr>
        <w:pStyle w:val="Indenta"/>
        <w:keepNext/>
        <w:keepLines/>
        <w:rPr>
          <w:snapToGrid w:val="0"/>
        </w:rPr>
      </w:pPr>
      <w:r>
        <w:rPr>
          <w:snapToGrid w:val="0"/>
        </w:rPr>
        <w:tab/>
        <w:t>(c)</w:t>
      </w:r>
      <w:r>
        <w:rPr>
          <w:snapToGrid w:val="0"/>
        </w:rPr>
        <w:tab/>
        <w:t>the holder of a producer’s licence.</w:t>
      </w:r>
    </w:p>
    <w:p>
      <w:pPr>
        <w:pStyle w:val="Footnotesection"/>
      </w:pPr>
      <w:r>
        <w:tab/>
        <w:t>[Regulation 21C inserted in Gazette 30 Jan 1998 p. 565; amended in Gazette 22 May 1998 p. 2943; 6 Oct 1998 p. 5565; 1 May 2007 p. 1888</w:t>
      </w:r>
      <w:r>
        <w:noBreakHyphen/>
        <w:t>9.]</w:t>
      </w:r>
    </w:p>
    <w:p>
      <w:pPr>
        <w:pStyle w:val="Heading5"/>
        <w:spacing w:before="260"/>
        <w:rPr>
          <w:snapToGrid w:val="0"/>
        </w:rPr>
      </w:pPr>
      <w:bookmarkStart w:id="582" w:name="_Toc460808735"/>
      <w:bookmarkStart w:id="583" w:name="_Toc519934598"/>
      <w:bookmarkStart w:id="584" w:name="_Toc534780063"/>
      <w:bookmarkStart w:id="585" w:name="_Toc3352070"/>
      <w:bookmarkStart w:id="586" w:name="_Toc3352145"/>
      <w:bookmarkStart w:id="587" w:name="_Toc22966246"/>
      <w:bookmarkStart w:id="588" w:name="_Toc66263853"/>
      <w:bookmarkStart w:id="589" w:name="_Toc119294094"/>
      <w:bookmarkStart w:id="590" w:name="_Toc123633187"/>
      <w:bookmarkStart w:id="591" w:name="_Toc172713956"/>
      <w:bookmarkStart w:id="592" w:name="_Toc264018299"/>
      <w:bookmarkStart w:id="593" w:name="_Toc303323199"/>
      <w:bookmarkStart w:id="594" w:name="_Toc303926982"/>
      <w:r>
        <w:rPr>
          <w:rStyle w:val="CharSectno"/>
        </w:rPr>
        <w:t>22</w:t>
      </w:r>
      <w:r>
        <w:rPr>
          <w:snapToGrid w:val="0"/>
        </w:rPr>
        <w:t>.</w:t>
      </w:r>
      <w:r>
        <w:rPr>
          <w:snapToGrid w:val="0"/>
        </w:rPr>
        <w:tab/>
        <w:t>Records, form and content of </w:t>
      </w:r>
      <w:r>
        <w:t>(Act s. </w:t>
      </w:r>
      <w:r>
        <w:rPr>
          <w:snapToGrid w:val="0"/>
        </w:rPr>
        <w:t>145</w:t>
      </w:r>
      <w:bookmarkEnd w:id="582"/>
      <w:bookmarkEnd w:id="583"/>
      <w:bookmarkEnd w:id="584"/>
      <w:bookmarkEnd w:id="585"/>
      <w:bookmarkEnd w:id="586"/>
      <w:bookmarkEnd w:id="587"/>
      <w:bookmarkEnd w:id="588"/>
      <w:bookmarkEnd w:id="589"/>
      <w:bookmarkEnd w:id="590"/>
      <w:bookmarkEnd w:id="591"/>
      <w:r>
        <w:rPr>
          <w:snapToGrid w:val="0"/>
        </w:rPr>
        <w:t>)</w:t>
      </w:r>
      <w:bookmarkEnd w:id="592"/>
      <w:bookmarkEnd w:id="593"/>
      <w:bookmarkEnd w:id="594"/>
    </w:p>
    <w:p>
      <w:pPr>
        <w:pStyle w:val="Subsection"/>
        <w:keepNext/>
        <w:spacing w:before="180"/>
        <w:rPr>
          <w:snapToGrid w:val="0"/>
        </w:rPr>
      </w:pPr>
      <w:r>
        <w:rPr>
          <w:snapToGrid w:val="0"/>
        </w:rPr>
        <w:tab/>
        <w:t>(1)</w:t>
      </w:r>
      <w:r>
        <w:rPr>
          <w:snapToGrid w:val="0"/>
        </w:rPr>
        <w:tab/>
        <w:t>The records to be made and maintained under section 145(1) and (1a) are to contain the following information —</w:t>
      </w:r>
    </w:p>
    <w:p>
      <w:pPr>
        <w:pStyle w:val="Indenta"/>
        <w:spacing w:before="100"/>
        <w:rPr>
          <w:snapToGrid w:val="0"/>
        </w:rPr>
      </w:pPr>
      <w:r>
        <w:rPr>
          <w:snapToGrid w:val="0"/>
        </w:rPr>
        <w:tab/>
        <w:t>(a)</w:t>
      </w:r>
      <w:r>
        <w:rPr>
          <w:snapToGrid w:val="0"/>
        </w:rPr>
        <w:tab/>
        <w:t>in the case of each transaction involving the sale of liquor by the holder of a special facility licence, a wholesaler’s licence or a producer’s licence to a liquor merchant —</w:t>
      </w:r>
    </w:p>
    <w:p>
      <w:pPr>
        <w:pStyle w:val="Indenti"/>
        <w:spacing w:before="100"/>
        <w:rPr>
          <w:snapToGrid w:val="0"/>
        </w:rPr>
      </w:pPr>
      <w:r>
        <w:rPr>
          <w:snapToGrid w:val="0"/>
        </w:rPr>
        <w:tab/>
        <w:t>(i)</w:t>
      </w:r>
      <w:r>
        <w:rPr>
          <w:snapToGrid w:val="0"/>
        </w:rPr>
        <w:tab/>
        <w:t>the name and, where applicable, licence number of the liquor merchant to whom liquor was sold;</w:t>
      </w:r>
    </w:p>
    <w:p>
      <w:pPr>
        <w:pStyle w:val="Indenti"/>
        <w:spacing w:before="100"/>
        <w:rPr>
          <w:snapToGrid w:val="0"/>
        </w:rPr>
      </w:pPr>
      <w:r>
        <w:rPr>
          <w:snapToGrid w:val="0"/>
        </w:rPr>
        <w:tab/>
        <w:t>(ii)</w:t>
      </w:r>
      <w:r>
        <w:rPr>
          <w:snapToGrid w:val="0"/>
        </w:rPr>
        <w:tab/>
        <w:t>the date of the invoice or credit note, and the date on which the goods were sent or returned;</w:t>
      </w:r>
    </w:p>
    <w:p>
      <w:pPr>
        <w:pStyle w:val="Indenti"/>
        <w:spacing w:before="100"/>
        <w:rPr>
          <w:snapToGrid w:val="0"/>
        </w:rPr>
      </w:pPr>
      <w:r>
        <w:rPr>
          <w:snapToGrid w:val="0"/>
        </w:rPr>
        <w:tab/>
        <w:t>(iii)</w:t>
      </w:r>
      <w:r>
        <w:rPr>
          <w:snapToGrid w:val="0"/>
        </w:rPr>
        <w:tab/>
        <w:t>the invoice or credit note number;</w:t>
      </w:r>
    </w:p>
    <w:p>
      <w:pPr>
        <w:pStyle w:val="Indenti"/>
        <w:spacing w:before="100"/>
        <w:rPr>
          <w:snapToGrid w:val="0"/>
        </w:rPr>
      </w:pPr>
      <w:r>
        <w:rPr>
          <w:snapToGrid w:val="0"/>
        </w:rPr>
        <w:tab/>
        <w:t>(iv)</w:t>
      </w:r>
      <w:r>
        <w:rPr>
          <w:snapToGrid w:val="0"/>
        </w:rPr>
        <w:tab/>
        <w:t>the total amount paid or payable to the licensee in respect of the transaction, with a separate statement of the amount for —</w:t>
      </w:r>
    </w:p>
    <w:p>
      <w:pPr>
        <w:pStyle w:val="IndentI0"/>
        <w:spacing w:before="100"/>
        <w:rPr>
          <w:snapToGrid w:val="0"/>
        </w:rPr>
      </w:pPr>
      <w:r>
        <w:rPr>
          <w:snapToGrid w:val="0"/>
        </w:rPr>
        <w:tab/>
        <w:t>(A)</w:t>
      </w:r>
      <w:r>
        <w:rPr>
          <w:snapToGrid w:val="0"/>
        </w:rPr>
        <w:tab/>
        <w:t>low alcohol liquor; and</w:t>
      </w:r>
    </w:p>
    <w:p>
      <w:pPr>
        <w:pStyle w:val="IndentI0"/>
        <w:spacing w:before="100"/>
        <w:rPr>
          <w:snapToGrid w:val="0"/>
        </w:rPr>
      </w:pPr>
      <w:r>
        <w:rPr>
          <w:snapToGrid w:val="0"/>
        </w:rPr>
        <w:tab/>
        <w:t>(B)</w:t>
      </w:r>
      <w:r>
        <w:rPr>
          <w:snapToGrid w:val="0"/>
        </w:rPr>
        <w:tab/>
        <w:t>liquor other than low alcohol liquor; and</w:t>
      </w:r>
    </w:p>
    <w:p>
      <w:pPr>
        <w:pStyle w:val="IndentI0"/>
        <w:spacing w:before="100"/>
        <w:rPr>
          <w:snapToGrid w:val="0"/>
        </w:rPr>
      </w:pPr>
      <w:r>
        <w:rPr>
          <w:snapToGrid w:val="0"/>
        </w:rPr>
        <w:tab/>
        <w:t>(C)</w:t>
      </w:r>
      <w:r>
        <w:rPr>
          <w:snapToGrid w:val="0"/>
        </w:rPr>
        <w:tab/>
        <w:t>goods other than liquor; and</w:t>
      </w:r>
    </w:p>
    <w:p>
      <w:pPr>
        <w:pStyle w:val="IndentI0"/>
        <w:spacing w:before="100"/>
        <w:rPr>
          <w:snapToGrid w:val="0"/>
        </w:rPr>
      </w:pPr>
      <w:r>
        <w:rPr>
          <w:snapToGrid w:val="0"/>
        </w:rPr>
        <w:tab/>
        <w:t>(D)</w:t>
      </w:r>
      <w:r>
        <w:rPr>
          <w:snapToGrid w:val="0"/>
        </w:rPr>
        <w:tab/>
        <w:t>freight and delivery charges, where separate charges are made; and</w:t>
      </w:r>
    </w:p>
    <w:p>
      <w:pPr>
        <w:pStyle w:val="IndentI0"/>
        <w:spacing w:before="100"/>
        <w:rPr>
          <w:snapToGrid w:val="0"/>
        </w:rPr>
      </w:pPr>
      <w:r>
        <w:rPr>
          <w:snapToGrid w:val="0"/>
        </w:rPr>
        <w:tab/>
        <w:t>(E)</w:t>
      </w:r>
      <w:r>
        <w:rPr>
          <w:snapToGrid w:val="0"/>
        </w:rPr>
        <w:tab/>
        <w:t>any discount given; and</w:t>
      </w:r>
    </w:p>
    <w:p>
      <w:pPr>
        <w:pStyle w:val="IndentI0"/>
        <w:spacing w:before="100"/>
        <w:rPr>
          <w:snapToGrid w:val="0"/>
        </w:rPr>
      </w:pPr>
      <w:r>
        <w:rPr>
          <w:snapToGrid w:val="0"/>
        </w:rPr>
        <w:tab/>
        <w:t>(F)</w:t>
      </w:r>
      <w:r>
        <w:rPr>
          <w:snapToGrid w:val="0"/>
        </w:rPr>
        <w:tab/>
      </w:r>
      <w:r>
        <w:rPr>
          <w:snapToGrid w:val="0"/>
          <w:spacing w:val="-2"/>
        </w:rPr>
        <w:t>any liquor or other goods returned or not accepted by the liquor merchant; and</w:t>
      </w:r>
    </w:p>
    <w:p>
      <w:pPr>
        <w:pStyle w:val="IndentI0"/>
        <w:spacing w:before="100"/>
        <w:rPr>
          <w:snapToGrid w:val="0"/>
        </w:rPr>
      </w:pPr>
      <w:r>
        <w:rPr>
          <w:snapToGrid w:val="0"/>
        </w:rPr>
        <w:tab/>
        <w:t>(G)</w:t>
      </w:r>
      <w:r>
        <w:rPr>
          <w:snapToGrid w:val="0"/>
        </w:rPr>
        <w:tab/>
        <w:t>each duty or charge which is payable in respect of the liquor but which is not otherwise included in an item in the invoice;</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(b)</w:t>
      </w:r>
      <w:r>
        <w:rPr>
          <w:snapToGrid w:val="0"/>
        </w:rPr>
        <w:tab/>
        <w:t>in the case of each transaction involving the purchase or other acquisition of liquor by the holder of a licence —</w:t>
      </w:r>
    </w:p>
    <w:p>
      <w:pPr>
        <w:pStyle w:val="Indenti"/>
        <w:spacing w:before="60"/>
        <w:rPr>
          <w:snapToGrid w:val="0"/>
        </w:rPr>
      </w:pPr>
      <w:r>
        <w:rPr>
          <w:snapToGrid w:val="0"/>
        </w:rPr>
        <w:tab/>
        <w:t>(i)</w:t>
      </w:r>
      <w:r>
        <w:rPr>
          <w:snapToGrid w:val="0"/>
        </w:rPr>
        <w:tab/>
        <w:t>the name, address and licence number of the supplier; and</w:t>
      </w:r>
    </w:p>
    <w:p>
      <w:pPr>
        <w:pStyle w:val="Indenti"/>
        <w:spacing w:before="60"/>
        <w:rPr>
          <w:snapToGrid w:val="0"/>
        </w:rPr>
      </w:pPr>
      <w:r>
        <w:rPr>
          <w:snapToGrid w:val="0"/>
        </w:rPr>
        <w:tab/>
        <w:t>(ii)</w:t>
      </w:r>
      <w:r>
        <w:rPr>
          <w:snapToGrid w:val="0"/>
        </w:rPr>
        <w:tab/>
        <w:t>the date of the invoice or credit note, and the date on which the goods were received or returned; and</w:t>
      </w:r>
    </w:p>
    <w:p>
      <w:pPr>
        <w:pStyle w:val="Indenti"/>
        <w:rPr>
          <w:snapToGrid w:val="0"/>
        </w:rPr>
      </w:pPr>
      <w:r>
        <w:rPr>
          <w:snapToGrid w:val="0"/>
        </w:rPr>
        <w:tab/>
        <w:t>(iii)</w:t>
      </w:r>
      <w:r>
        <w:rPr>
          <w:snapToGrid w:val="0"/>
        </w:rPr>
        <w:tab/>
        <w:t>the invoice or credit note number; and</w:t>
      </w:r>
    </w:p>
    <w:p>
      <w:pPr>
        <w:pStyle w:val="Indenti"/>
        <w:rPr>
          <w:snapToGrid w:val="0"/>
        </w:rPr>
      </w:pPr>
      <w:r>
        <w:rPr>
          <w:snapToGrid w:val="0"/>
        </w:rPr>
        <w:tab/>
        <w:t>(iv)</w:t>
      </w:r>
      <w:r>
        <w:rPr>
          <w:snapToGrid w:val="0"/>
        </w:rPr>
        <w:tab/>
        <w:t>the method by which payment was made and, if by cheque, the cheque number and date; and</w:t>
      </w:r>
    </w:p>
    <w:p>
      <w:pPr>
        <w:pStyle w:val="Indenti"/>
        <w:rPr>
          <w:snapToGrid w:val="0"/>
        </w:rPr>
      </w:pPr>
      <w:r>
        <w:rPr>
          <w:snapToGrid w:val="0"/>
        </w:rPr>
        <w:tab/>
        <w:t>(v)</w:t>
      </w:r>
      <w:r>
        <w:rPr>
          <w:snapToGrid w:val="0"/>
        </w:rPr>
        <w:tab/>
        <w:t>the amount paid or payable for low alcohol liquor; and</w:t>
      </w:r>
    </w:p>
    <w:p>
      <w:pPr>
        <w:pStyle w:val="Indenti"/>
        <w:rPr>
          <w:snapToGrid w:val="0"/>
        </w:rPr>
      </w:pPr>
      <w:r>
        <w:rPr>
          <w:snapToGrid w:val="0"/>
        </w:rPr>
        <w:tab/>
        <w:t>(vi)</w:t>
      </w:r>
      <w:r>
        <w:rPr>
          <w:snapToGrid w:val="0"/>
        </w:rPr>
        <w:tab/>
        <w:t>the amount paid or payable for liquor other than low alcohol liquor; and</w:t>
      </w:r>
    </w:p>
    <w:p>
      <w:pPr>
        <w:pStyle w:val="Indenti"/>
        <w:rPr>
          <w:snapToGrid w:val="0"/>
        </w:rPr>
      </w:pPr>
      <w:r>
        <w:rPr>
          <w:snapToGrid w:val="0"/>
        </w:rPr>
        <w:tab/>
        <w:t>(vii)</w:t>
      </w:r>
      <w:r>
        <w:rPr>
          <w:snapToGrid w:val="0"/>
        </w:rPr>
        <w:tab/>
        <w:t>the amount paid or payable for any goods other than liquor;</w:t>
      </w:r>
    </w:p>
    <w:p>
      <w:pPr>
        <w:pStyle w:val="Indenta"/>
        <w:rPr>
          <w:snapToGrid w:val="0"/>
        </w:rPr>
      </w:pPr>
      <w:r>
        <w:rPr>
          <w:snapToGrid w:val="0"/>
        </w:rPr>
        <w:tab/>
      </w:r>
      <w:r>
        <w:rPr>
          <w:snapToGrid w:val="0"/>
        </w:rPr>
        <w:tab/>
        <w:t>and</w:t>
      </w:r>
    </w:p>
    <w:p>
      <w:pPr>
        <w:pStyle w:val="Indenta"/>
        <w:rPr>
          <w:snapToGrid w:val="0"/>
        </w:rPr>
      </w:pPr>
      <w:r>
        <w:rPr>
          <w:snapToGrid w:val="0"/>
        </w:rPr>
        <w:tab/>
        <w:t>(ba)</w:t>
      </w:r>
      <w:r>
        <w:rPr>
          <w:snapToGrid w:val="0"/>
        </w:rPr>
        <w:tab/>
        <w:t>in the case of each transaction involving the sale or other disposal of liquor by the holder of a producer’s licence, a separate statement of the amount for —</w:t>
      </w:r>
    </w:p>
    <w:p>
      <w:pPr>
        <w:pStyle w:val="Indenti"/>
        <w:rPr>
          <w:snapToGrid w:val="0"/>
        </w:rPr>
      </w:pPr>
      <w:r>
        <w:rPr>
          <w:snapToGrid w:val="0"/>
        </w:rPr>
        <w:tab/>
        <w:t>(i)</w:t>
      </w:r>
      <w:r>
        <w:rPr>
          <w:snapToGrid w:val="0"/>
        </w:rPr>
        <w:tab/>
        <w:t>sales to persons other than liquor merchants (including sales made in any restaurant on the licensed premises); and</w:t>
      </w:r>
    </w:p>
    <w:p>
      <w:pPr>
        <w:pStyle w:val="Indenti"/>
        <w:rPr>
          <w:snapToGrid w:val="0"/>
        </w:rPr>
      </w:pPr>
      <w:r>
        <w:rPr>
          <w:snapToGrid w:val="0"/>
        </w:rPr>
        <w:tab/>
        <w:t>(ii)</w:t>
      </w:r>
      <w:r>
        <w:rPr>
          <w:snapToGrid w:val="0"/>
        </w:rPr>
        <w:tab/>
        <w:t>mail order sales; and</w:t>
      </w:r>
    </w:p>
    <w:p>
      <w:pPr>
        <w:pStyle w:val="Indenti"/>
        <w:rPr>
          <w:snapToGrid w:val="0"/>
        </w:rPr>
      </w:pPr>
      <w:r>
        <w:rPr>
          <w:snapToGrid w:val="0"/>
        </w:rPr>
        <w:tab/>
        <w:t>(iii)</w:t>
      </w:r>
      <w:r>
        <w:rPr>
          <w:snapToGrid w:val="0"/>
        </w:rPr>
        <w:tab/>
        <w:t>tastings, promotions and donations,</w:t>
      </w:r>
    </w:p>
    <w:p>
      <w:pPr>
        <w:pStyle w:val="Indenta"/>
        <w:rPr>
          <w:snapToGrid w:val="0"/>
        </w:rPr>
      </w:pPr>
      <w:r>
        <w:rPr>
          <w:snapToGrid w:val="0"/>
        </w:rPr>
        <w:tab/>
      </w:r>
      <w:r>
        <w:rPr>
          <w:snapToGrid w:val="0"/>
        </w:rPr>
        <w:tab/>
        <w:t>and a separate statement is to be kept of the amount of liquor sold or otherwise disposed of as referred to in subparagraphs (i) and (ii) where, in respect of one sale or other disposal, the aggregate quantity sold or disposed of exceeds 45 L; and</w:t>
      </w:r>
    </w:p>
    <w:p>
      <w:pPr>
        <w:pStyle w:val="Indenta"/>
        <w:rPr>
          <w:snapToGrid w:val="0"/>
        </w:rPr>
      </w:pPr>
      <w:r>
        <w:rPr>
          <w:snapToGrid w:val="0"/>
        </w:rPr>
        <w:tab/>
        <w:t>(c)</w:t>
      </w:r>
      <w:r>
        <w:rPr>
          <w:snapToGrid w:val="0"/>
        </w:rPr>
        <w:tab/>
        <w:t>in the case of transactions involving the sale or other disposal of liquor by the holder of a wholesaler’s licence, special facility licence or a producer’s licence otherwise than to liquor merchants — the weekly aggregate of the gross amounts paid or payable to the licensee in respect of such transactions.</w:t>
      </w:r>
    </w:p>
    <w:p>
      <w:pPr>
        <w:pStyle w:val="Ednotesubsection"/>
        <w:keepNext/>
      </w:pPr>
      <w:r>
        <w:tab/>
        <w:t>[(2)</w:t>
      </w:r>
      <w:r>
        <w:tab/>
        <w:t>deleted]</w:t>
      </w:r>
    </w:p>
    <w:p>
      <w:pPr>
        <w:pStyle w:val="Footnotesection"/>
        <w:keepLines w:val="0"/>
        <w:ind w:left="890" w:hanging="890"/>
      </w:pPr>
      <w:r>
        <w:tab/>
        <w:t>[Regulation 22 amended in Gazette 30 Jan 1998 p. 565</w:t>
      </w:r>
      <w:r>
        <w:noBreakHyphen/>
        <w:t>6; 22 May 1998 p. 2943; 6 Oct 1998 p. 5565</w:t>
      </w:r>
      <w:r>
        <w:noBreakHyphen/>
        <w:t>6; 1 May 2007 p. 1888</w:t>
      </w:r>
      <w:r>
        <w:noBreakHyphen/>
        <w:t>9.]</w:t>
      </w:r>
    </w:p>
    <w:p>
      <w:pPr>
        <w:pStyle w:val="Heading5"/>
        <w:rPr>
          <w:snapToGrid w:val="0"/>
        </w:rPr>
      </w:pPr>
      <w:bookmarkStart w:id="595" w:name="_Toc460808736"/>
      <w:bookmarkStart w:id="596" w:name="_Toc519934599"/>
      <w:bookmarkStart w:id="597" w:name="_Toc534780064"/>
      <w:bookmarkStart w:id="598" w:name="_Toc3352071"/>
      <w:bookmarkStart w:id="599" w:name="_Toc3352146"/>
      <w:bookmarkStart w:id="600" w:name="_Toc22966247"/>
      <w:bookmarkStart w:id="601" w:name="_Toc66263854"/>
      <w:bookmarkStart w:id="602" w:name="_Toc119294095"/>
      <w:bookmarkStart w:id="603" w:name="_Toc123633188"/>
      <w:bookmarkStart w:id="604" w:name="_Toc172713957"/>
      <w:bookmarkStart w:id="605" w:name="_Toc264018300"/>
      <w:bookmarkStart w:id="606" w:name="_Toc303323200"/>
      <w:bookmarkStart w:id="607" w:name="_Toc303926983"/>
      <w:r>
        <w:rPr>
          <w:rStyle w:val="CharSectno"/>
        </w:rPr>
        <w:t>23</w:t>
      </w:r>
      <w:r>
        <w:rPr>
          <w:snapToGrid w:val="0"/>
        </w:rPr>
        <w:t>.</w:t>
      </w:r>
      <w:r>
        <w:rPr>
          <w:snapToGrid w:val="0"/>
        </w:rPr>
        <w:tab/>
        <w:t>Returns, verification and lodgment of</w:t>
      </w:r>
      <w:bookmarkEnd w:id="595"/>
      <w:bookmarkEnd w:id="596"/>
      <w:bookmarkEnd w:id="597"/>
      <w:bookmarkEnd w:id="598"/>
      <w:bookmarkEnd w:id="599"/>
      <w:bookmarkEnd w:id="600"/>
      <w:bookmarkEnd w:id="601"/>
      <w:bookmarkEnd w:id="602"/>
      <w:bookmarkEnd w:id="603"/>
      <w:bookmarkEnd w:id="604"/>
      <w:r>
        <w:rPr>
          <w:snapToGrid w:val="0"/>
        </w:rPr>
        <w:t xml:space="preserve"> </w:t>
      </w:r>
      <w:r>
        <w:t>(Act s. 146)</w:t>
      </w:r>
      <w:bookmarkEnd w:id="605"/>
      <w:bookmarkEnd w:id="606"/>
      <w:bookmarkEnd w:id="607"/>
    </w:p>
    <w:p>
      <w:pPr>
        <w:pStyle w:val="Subsection"/>
        <w:rPr>
          <w:snapToGrid w:val="0"/>
        </w:rPr>
      </w:pPr>
      <w:r>
        <w:rPr>
          <w:snapToGrid w:val="0"/>
        </w:rPr>
        <w:tab/>
        <w:t>(1)</w:t>
      </w:r>
      <w:r>
        <w:rPr>
          <w:snapToGrid w:val="0"/>
        </w:rPr>
        <w:tab/>
        <w:t>For the purposes of section 146(2)(c) returns required under section 146 shall be verified in accordance with subregulation (1a) as being an accurate and complete statement of the transactions or other matters to which the returns relate —</w:t>
      </w:r>
    </w:p>
    <w:p>
      <w:pPr>
        <w:pStyle w:val="Indenta"/>
        <w:rPr>
          <w:snapToGrid w:val="0"/>
        </w:rPr>
      </w:pPr>
      <w:r>
        <w:rPr>
          <w:snapToGrid w:val="0"/>
        </w:rPr>
        <w:tab/>
        <w:t>(a)</w:t>
      </w:r>
      <w:r>
        <w:rPr>
          <w:snapToGrid w:val="0"/>
        </w:rPr>
        <w:tab/>
        <w:t>by at least one licensee, where the licence is held by one or more licensees; or</w:t>
      </w:r>
    </w:p>
    <w:p>
      <w:pPr>
        <w:pStyle w:val="Indenta"/>
        <w:rPr>
          <w:snapToGrid w:val="0"/>
        </w:rPr>
      </w:pPr>
      <w:r>
        <w:rPr>
          <w:snapToGrid w:val="0"/>
        </w:rPr>
        <w:tab/>
        <w:t>(b)</w:t>
      </w:r>
      <w:r>
        <w:rPr>
          <w:snapToGrid w:val="0"/>
        </w:rPr>
        <w:tab/>
        <w:t>by the trustee, where the licence is held by a trustee on behalf of an unincorporated body of persons who are not joint holders of the licence.</w:t>
      </w:r>
    </w:p>
    <w:p>
      <w:pPr>
        <w:pStyle w:val="Subsection"/>
        <w:rPr>
          <w:snapToGrid w:val="0"/>
        </w:rPr>
      </w:pPr>
      <w:r>
        <w:rPr>
          <w:snapToGrid w:val="0"/>
        </w:rPr>
        <w:tab/>
        <w:t>(1a)</w:t>
      </w:r>
      <w:r>
        <w:rPr>
          <w:snapToGrid w:val="0"/>
        </w:rPr>
        <w:tab/>
        <w:t>A return is verified —</w:t>
      </w:r>
    </w:p>
    <w:p>
      <w:pPr>
        <w:pStyle w:val="Indenta"/>
        <w:rPr>
          <w:snapToGrid w:val="0"/>
        </w:rPr>
      </w:pPr>
      <w:r>
        <w:rPr>
          <w:snapToGrid w:val="0"/>
        </w:rPr>
        <w:tab/>
        <w:t>(a)</w:t>
      </w:r>
      <w:r>
        <w:rPr>
          <w:snapToGrid w:val="0"/>
        </w:rPr>
        <w:tab/>
        <w:t>by a natural person, where the return is signed by that person, and witnessed; and</w:t>
      </w:r>
    </w:p>
    <w:p>
      <w:pPr>
        <w:pStyle w:val="Indenta"/>
        <w:rPr>
          <w:snapToGrid w:val="0"/>
        </w:rPr>
      </w:pPr>
      <w:r>
        <w:rPr>
          <w:snapToGrid w:val="0"/>
        </w:rPr>
        <w:tab/>
        <w:t>(b)</w:t>
      </w:r>
      <w:r>
        <w:rPr>
          <w:snapToGrid w:val="0"/>
        </w:rPr>
        <w:tab/>
        <w:t>by a body corporate, by the affixing of the common seal of that body corporate.</w:t>
      </w:r>
    </w:p>
    <w:p>
      <w:pPr>
        <w:pStyle w:val="Subsection"/>
        <w:rPr>
          <w:snapToGrid w:val="0"/>
        </w:rPr>
      </w:pPr>
      <w:r>
        <w:rPr>
          <w:snapToGrid w:val="0"/>
        </w:rPr>
        <w:tab/>
        <w:t>(2)</w:t>
      </w:r>
      <w:r>
        <w:rPr>
          <w:snapToGrid w:val="0"/>
        </w:rPr>
        <w:tab/>
        <w:t>Returns required to be lodged under the Act shall be lodged at the office of the Director.</w:t>
      </w:r>
    </w:p>
    <w:p>
      <w:pPr>
        <w:pStyle w:val="Subsection"/>
        <w:rPr>
          <w:snapToGrid w:val="0"/>
        </w:rPr>
      </w:pPr>
      <w:r>
        <w:rPr>
          <w:snapToGrid w:val="0"/>
        </w:rPr>
        <w:tab/>
        <w:t>(2a)</w:t>
      </w:r>
      <w:r>
        <w:rPr>
          <w:snapToGrid w:val="0"/>
        </w:rPr>
        <w:tab/>
        <w:t>Returns to be lodged under the Act are to be lodged within one month after 30 June in each year and are to relate to the financial year ending on that date.</w:t>
      </w:r>
    </w:p>
    <w:p>
      <w:pPr>
        <w:pStyle w:val="Subsection"/>
        <w:keepNext/>
        <w:rPr>
          <w:snapToGrid w:val="0"/>
        </w:rPr>
      </w:pPr>
      <w:r>
        <w:rPr>
          <w:snapToGrid w:val="0"/>
        </w:rPr>
        <w:tab/>
        <w:t>(3)</w:t>
      </w:r>
      <w:r>
        <w:rPr>
          <w:snapToGrid w:val="0"/>
        </w:rPr>
        <w:tab/>
        <w:t>Where a return required to be lodged under the Act —</w:t>
      </w:r>
    </w:p>
    <w:p>
      <w:pPr>
        <w:pStyle w:val="Indenta"/>
        <w:spacing w:before="120"/>
        <w:rPr>
          <w:snapToGrid w:val="0"/>
        </w:rPr>
      </w:pPr>
      <w:r>
        <w:rPr>
          <w:snapToGrid w:val="0"/>
        </w:rPr>
        <w:tab/>
        <w:t>(a)</w:t>
      </w:r>
      <w:r>
        <w:rPr>
          <w:snapToGrid w:val="0"/>
        </w:rPr>
        <w:tab/>
        <w:t>is not lodged as required under subregulation (2a); or</w:t>
      </w:r>
    </w:p>
    <w:p>
      <w:pPr>
        <w:pStyle w:val="Indenta"/>
        <w:spacing w:before="120"/>
        <w:rPr>
          <w:snapToGrid w:val="0"/>
        </w:rPr>
      </w:pPr>
      <w:r>
        <w:rPr>
          <w:snapToGrid w:val="0"/>
        </w:rPr>
        <w:tab/>
        <w:t>(b)</w:t>
      </w:r>
      <w:r>
        <w:rPr>
          <w:snapToGrid w:val="0"/>
        </w:rPr>
        <w:tab/>
        <w:t>does not include the required information; or</w:t>
      </w:r>
    </w:p>
    <w:p>
      <w:pPr>
        <w:pStyle w:val="Indenta"/>
        <w:spacing w:before="120"/>
        <w:rPr>
          <w:snapToGrid w:val="0"/>
        </w:rPr>
      </w:pPr>
      <w:r>
        <w:rPr>
          <w:snapToGrid w:val="0"/>
        </w:rPr>
        <w:tab/>
        <w:t>(c)</w:t>
      </w:r>
      <w:r>
        <w:rPr>
          <w:snapToGrid w:val="0"/>
        </w:rPr>
        <w:tab/>
        <w:t>is otherwise incomplete or is not verified as required,</w:t>
      </w:r>
    </w:p>
    <w:p>
      <w:pPr>
        <w:pStyle w:val="Subsection"/>
        <w:spacing w:before="180"/>
        <w:rPr>
          <w:snapToGrid w:val="0"/>
        </w:rPr>
      </w:pPr>
      <w:r>
        <w:rPr>
          <w:snapToGrid w:val="0"/>
        </w:rPr>
        <w:tab/>
      </w:r>
      <w:r>
        <w:rPr>
          <w:snapToGrid w:val="0"/>
        </w:rPr>
        <w:tab/>
        <w:t>if a person who is required to lodge the return, or who is the director of a company required to lodge the return, fails to take all reasonable steps to comply with, or secure compliance with, or has knowingly been the cause of any default under, the provisions of the Act or these regulations, the person commits an offence.</w:t>
      </w:r>
    </w:p>
    <w:p>
      <w:pPr>
        <w:pStyle w:val="Penstart"/>
        <w:spacing w:before="120"/>
        <w:rPr>
          <w:snapToGrid w:val="0"/>
        </w:rPr>
      </w:pPr>
      <w:r>
        <w:rPr>
          <w:snapToGrid w:val="0"/>
        </w:rPr>
        <w:tab/>
        <w:t>Penalty: $1 000.</w:t>
      </w:r>
    </w:p>
    <w:p>
      <w:pPr>
        <w:pStyle w:val="Subsection"/>
        <w:spacing w:before="180"/>
        <w:rPr>
          <w:snapToGrid w:val="0"/>
        </w:rPr>
      </w:pPr>
      <w:r>
        <w:rPr>
          <w:snapToGrid w:val="0"/>
        </w:rPr>
        <w:tab/>
        <w:t>(4)</w:t>
      </w:r>
      <w:r>
        <w:rPr>
          <w:snapToGrid w:val="0"/>
        </w:rPr>
        <w:tab/>
        <w:t xml:space="preserve">Where, under section 71 of the </w:t>
      </w:r>
      <w:r>
        <w:rPr>
          <w:i/>
          <w:snapToGrid w:val="0"/>
        </w:rPr>
        <w:t>Interpretation Act 1984</w:t>
      </w:r>
      <w:r>
        <w:rPr>
          <w:snapToGrid w:val="0"/>
        </w:rPr>
        <w:t>, a person becomes liable to a penalty in respect of an offence constituted by a failure to do an act or thing required by the Act, this regulation or regulation 24 in relation to any return or information thereby required, the penalty applicable to each such offence is $100.</w:t>
      </w:r>
    </w:p>
    <w:p>
      <w:pPr>
        <w:pStyle w:val="Footnotesection"/>
      </w:pPr>
      <w:r>
        <w:tab/>
        <w:t>[Regulation 23 amended in Gazette 30 Jan 1998 p. 566; 22 May 1998 p. 2943; 6 Oct 1998 p. 5566.]</w:t>
      </w:r>
    </w:p>
    <w:p>
      <w:pPr>
        <w:pStyle w:val="Heading5"/>
        <w:spacing w:before="260"/>
        <w:rPr>
          <w:snapToGrid w:val="0"/>
        </w:rPr>
      </w:pPr>
      <w:bookmarkStart w:id="608" w:name="_Toc460808737"/>
      <w:bookmarkStart w:id="609" w:name="_Toc519934600"/>
      <w:bookmarkStart w:id="610" w:name="_Toc534780065"/>
      <w:bookmarkStart w:id="611" w:name="_Toc3352072"/>
      <w:bookmarkStart w:id="612" w:name="_Toc3352147"/>
      <w:bookmarkStart w:id="613" w:name="_Toc22966248"/>
      <w:bookmarkStart w:id="614" w:name="_Toc66263855"/>
      <w:bookmarkStart w:id="615" w:name="_Toc119294096"/>
      <w:bookmarkStart w:id="616" w:name="_Toc123633189"/>
      <w:bookmarkStart w:id="617" w:name="_Toc172713958"/>
      <w:bookmarkStart w:id="618" w:name="_Toc264018301"/>
      <w:bookmarkStart w:id="619" w:name="_Toc303323201"/>
      <w:bookmarkStart w:id="620" w:name="_Toc303926984"/>
      <w:r>
        <w:rPr>
          <w:rStyle w:val="CharSectno"/>
        </w:rPr>
        <w:t>24</w:t>
      </w:r>
      <w:r>
        <w:rPr>
          <w:snapToGrid w:val="0"/>
        </w:rPr>
        <w:t>.</w:t>
      </w:r>
      <w:r>
        <w:rPr>
          <w:snapToGrid w:val="0"/>
        </w:rPr>
        <w:tab/>
        <w:t>Returns, information prescribed</w:t>
      </w:r>
      <w:bookmarkEnd w:id="608"/>
      <w:bookmarkEnd w:id="609"/>
      <w:bookmarkEnd w:id="610"/>
      <w:bookmarkEnd w:id="611"/>
      <w:bookmarkEnd w:id="612"/>
      <w:bookmarkEnd w:id="613"/>
      <w:bookmarkEnd w:id="614"/>
      <w:bookmarkEnd w:id="615"/>
      <w:bookmarkEnd w:id="616"/>
      <w:bookmarkEnd w:id="617"/>
      <w:r>
        <w:rPr>
          <w:snapToGrid w:val="0"/>
        </w:rPr>
        <w:t xml:space="preserve"> </w:t>
      </w:r>
      <w:r>
        <w:t>(Act s. 145)</w:t>
      </w:r>
      <w:bookmarkEnd w:id="618"/>
      <w:bookmarkEnd w:id="619"/>
      <w:bookmarkEnd w:id="620"/>
    </w:p>
    <w:p>
      <w:pPr>
        <w:pStyle w:val="Subsection"/>
        <w:spacing w:before="180"/>
        <w:rPr>
          <w:snapToGrid w:val="0"/>
        </w:rPr>
      </w:pPr>
      <w:r>
        <w:rPr>
          <w:snapToGrid w:val="0"/>
        </w:rPr>
        <w:tab/>
        <w:t>(1)</w:t>
      </w:r>
      <w:r>
        <w:rPr>
          <w:snapToGrid w:val="0"/>
        </w:rPr>
        <w:tab/>
        <w:t>Each person required to make a record under section 145 shall lodge a return with the Director containing the following information —</w:t>
      </w:r>
    </w:p>
    <w:p>
      <w:pPr>
        <w:pStyle w:val="Indenta"/>
        <w:spacing w:before="100"/>
        <w:rPr>
          <w:snapToGrid w:val="0"/>
        </w:rPr>
      </w:pPr>
      <w:r>
        <w:rPr>
          <w:snapToGrid w:val="0"/>
        </w:rPr>
        <w:tab/>
        <w:t>(a)</w:t>
      </w:r>
      <w:r>
        <w:rPr>
          <w:snapToGrid w:val="0"/>
        </w:rPr>
        <w:tab/>
        <w:t>in respect of each aggregate amount that is stated, the amount which relates to low alcohol liquor and the amount which relates to liquor other than low alcohol liquor; and</w:t>
      </w:r>
    </w:p>
    <w:p>
      <w:pPr>
        <w:pStyle w:val="Indenta"/>
        <w:spacing w:before="100"/>
        <w:rPr>
          <w:snapToGrid w:val="0"/>
        </w:rPr>
      </w:pPr>
      <w:r>
        <w:rPr>
          <w:snapToGrid w:val="0"/>
        </w:rPr>
        <w:tab/>
        <w:t>(b)</w:t>
      </w:r>
      <w:r>
        <w:rPr>
          <w:snapToGrid w:val="0"/>
        </w:rPr>
        <w:tab/>
        <w:t>where the licensee is the holder of a special facility licence, a producer’s licence or a wholesaler’s licence, the aggregate amounts paid or payable to the licensee in respect of transactions involving the sale or other disposal of liquor —</w:t>
      </w:r>
    </w:p>
    <w:p>
      <w:pPr>
        <w:pStyle w:val="Indenti"/>
        <w:rPr>
          <w:snapToGrid w:val="0"/>
        </w:rPr>
      </w:pPr>
      <w:r>
        <w:rPr>
          <w:snapToGrid w:val="0"/>
        </w:rPr>
        <w:tab/>
        <w:t>(i)</w:t>
      </w:r>
      <w:r>
        <w:rPr>
          <w:snapToGrid w:val="0"/>
        </w:rPr>
        <w:tab/>
        <w:t>to liquor merchants who in the relevant period held or hold a licence under the Act; and</w:t>
      </w:r>
    </w:p>
    <w:p>
      <w:pPr>
        <w:pStyle w:val="Indenti"/>
        <w:rPr>
          <w:snapToGrid w:val="0"/>
        </w:rPr>
      </w:pPr>
      <w:r>
        <w:rPr>
          <w:snapToGrid w:val="0"/>
        </w:rPr>
        <w:tab/>
        <w:t>(ii)</w:t>
      </w:r>
      <w:r>
        <w:rPr>
          <w:snapToGrid w:val="0"/>
        </w:rPr>
        <w:tab/>
        <w:t>to persons other than liquor merchants, including transactions involving the sale of liquor —</w:t>
      </w:r>
    </w:p>
    <w:p>
      <w:pPr>
        <w:pStyle w:val="IndentI0"/>
        <w:rPr>
          <w:snapToGrid w:val="0"/>
        </w:rPr>
      </w:pPr>
      <w:r>
        <w:rPr>
          <w:snapToGrid w:val="0"/>
        </w:rPr>
        <w:tab/>
        <w:t>(A)</w:t>
      </w:r>
      <w:r>
        <w:rPr>
          <w:snapToGrid w:val="0"/>
        </w:rPr>
        <w:tab/>
        <w:t xml:space="preserve">to any person who held or holds only an occasional licence under the Act; or </w:t>
      </w:r>
    </w:p>
    <w:p>
      <w:pPr>
        <w:pStyle w:val="IndentI0"/>
        <w:rPr>
          <w:snapToGrid w:val="0"/>
        </w:rPr>
      </w:pPr>
      <w:r>
        <w:rPr>
          <w:snapToGrid w:val="0"/>
        </w:rPr>
        <w:tab/>
        <w:t>(B)</w:t>
      </w:r>
      <w:r>
        <w:rPr>
          <w:snapToGrid w:val="0"/>
        </w:rPr>
        <w:tab/>
        <w:t xml:space="preserve">by auction in </w:t>
      </w:r>
      <w:smartTag w:uri="urn:schemas-microsoft-com:office:smarttags" w:element="place">
        <w:smartTag w:uri="urn:schemas-microsoft-com:office:smarttags" w:element="State">
          <w:r>
            <w:rPr>
              <w:snapToGrid w:val="0"/>
            </w:rPr>
            <w:t>Western Australia</w:t>
          </w:r>
        </w:smartTag>
      </w:smartTag>
      <w:r>
        <w:rPr>
          <w:snapToGrid w:val="0"/>
        </w:rPr>
        <w:t>; or</w:t>
      </w:r>
    </w:p>
    <w:p>
      <w:pPr>
        <w:pStyle w:val="IndentI0"/>
        <w:rPr>
          <w:snapToGrid w:val="0"/>
        </w:rPr>
      </w:pPr>
      <w:r>
        <w:rPr>
          <w:snapToGrid w:val="0"/>
        </w:rPr>
        <w:tab/>
        <w:t>(C)</w:t>
      </w:r>
      <w:r>
        <w:rPr>
          <w:snapToGrid w:val="0"/>
        </w:rPr>
        <w:tab/>
        <w:t>pursuant to an occasional licence held by the licensee; or</w:t>
      </w:r>
    </w:p>
    <w:p>
      <w:pPr>
        <w:pStyle w:val="IndentI0"/>
        <w:keepLines/>
        <w:rPr>
          <w:snapToGrid w:val="0"/>
        </w:rPr>
      </w:pPr>
      <w:r>
        <w:rPr>
          <w:snapToGrid w:val="0"/>
        </w:rPr>
        <w:tab/>
        <w:t>(D)</w:t>
      </w:r>
      <w:r>
        <w:rPr>
          <w:snapToGrid w:val="0"/>
        </w:rPr>
        <w:tab/>
        <w:t>of a particular type to a person who held a licence under the Act but not a licence authorising the sale of liquor of that type; or</w:t>
      </w:r>
    </w:p>
    <w:p>
      <w:pPr>
        <w:pStyle w:val="IndentI0"/>
        <w:rPr>
          <w:snapToGrid w:val="0"/>
        </w:rPr>
      </w:pPr>
      <w:r>
        <w:rPr>
          <w:snapToGrid w:val="0"/>
        </w:rPr>
        <w:tab/>
        <w:t>(E)</w:t>
      </w:r>
      <w:r>
        <w:rPr>
          <w:snapToGrid w:val="0"/>
        </w:rPr>
        <w:tab/>
        <w:t>to any person, sales of liquor by whom were or are not subject to the Act, or who was or is otherwise exempt from the application of the Act;</w:t>
      </w:r>
    </w:p>
    <w:p>
      <w:pPr>
        <w:pStyle w:val="Indenti"/>
        <w:rPr>
          <w:snapToGrid w:val="0"/>
        </w:rPr>
      </w:pPr>
      <w:r>
        <w:rPr>
          <w:snapToGrid w:val="0"/>
        </w:rPr>
        <w:tab/>
      </w:r>
      <w:r>
        <w:rPr>
          <w:snapToGrid w:val="0"/>
        </w:rPr>
        <w:tab/>
        <w:t>and</w:t>
      </w:r>
      <w:r>
        <w:rPr>
          <w:snapToGrid w:val="0"/>
        </w:rPr>
        <w:tab/>
      </w:r>
    </w:p>
    <w:p>
      <w:pPr>
        <w:pStyle w:val="Indenti"/>
        <w:rPr>
          <w:snapToGrid w:val="0"/>
        </w:rPr>
      </w:pPr>
      <w:r>
        <w:rPr>
          <w:snapToGrid w:val="0"/>
        </w:rPr>
        <w:tab/>
        <w:t>(iii)</w:t>
      </w:r>
      <w:r>
        <w:rPr>
          <w:snapToGrid w:val="0"/>
        </w:rPr>
        <w:tab/>
        <w:t>to liquor merchants not licensed under the Act; and</w:t>
      </w:r>
    </w:p>
    <w:p>
      <w:pPr>
        <w:pStyle w:val="Indenti"/>
        <w:rPr>
          <w:snapToGrid w:val="0"/>
        </w:rPr>
      </w:pPr>
      <w:r>
        <w:rPr>
          <w:snapToGrid w:val="0"/>
        </w:rPr>
        <w:tab/>
        <w:t>(iv)</w:t>
      </w:r>
      <w:r>
        <w:rPr>
          <w:snapToGrid w:val="0"/>
        </w:rPr>
        <w:tab/>
        <w:t>to employees of the licensee; and</w:t>
      </w:r>
    </w:p>
    <w:p>
      <w:pPr>
        <w:pStyle w:val="Indenti"/>
        <w:rPr>
          <w:snapToGrid w:val="0"/>
        </w:rPr>
      </w:pPr>
      <w:r>
        <w:rPr>
          <w:snapToGrid w:val="0"/>
        </w:rPr>
        <w:tab/>
        <w:t>(v)</w:t>
      </w:r>
      <w:r>
        <w:rPr>
          <w:snapToGrid w:val="0"/>
        </w:rPr>
        <w:tab/>
        <w:t xml:space="preserve">to persons outside </w:t>
      </w:r>
      <w:smartTag w:uri="urn:schemas-microsoft-com:office:smarttags" w:element="place">
        <w:smartTag w:uri="urn:schemas-microsoft-com:office:smarttags" w:element="country-region">
          <w:r>
            <w:rPr>
              <w:snapToGrid w:val="0"/>
            </w:rPr>
            <w:t>Australia</w:t>
          </w:r>
        </w:smartTag>
      </w:smartTag>
      <w:r>
        <w:rPr>
          <w:snapToGrid w:val="0"/>
        </w:rPr>
        <w:t>;</w:t>
      </w:r>
    </w:p>
    <w:p>
      <w:pPr>
        <w:pStyle w:val="Indenta"/>
        <w:rPr>
          <w:snapToGrid w:val="0"/>
        </w:rPr>
      </w:pPr>
      <w:r>
        <w:rPr>
          <w:snapToGrid w:val="0"/>
        </w:rPr>
        <w:tab/>
      </w:r>
      <w:r>
        <w:rPr>
          <w:snapToGrid w:val="0"/>
        </w:rPr>
        <w:tab/>
        <w:t>and</w:t>
      </w:r>
      <w:r>
        <w:rPr>
          <w:snapToGrid w:val="0"/>
        </w:rPr>
        <w:tab/>
      </w:r>
    </w:p>
    <w:p>
      <w:pPr>
        <w:pStyle w:val="Indenta"/>
        <w:rPr>
          <w:snapToGrid w:val="0"/>
        </w:rPr>
      </w:pPr>
      <w:r>
        <w:rPr>
          <w:snapToGrid w:val="0"/>
        </w:rPr>
        <w:tab/>
        <w:t>(c)</w:t>
      </w:r>
      <w:r>
        <w:rPr>
          <w:snapToGrid w:val="0"/>
        </w:rPr>
        <w:tab/>
        <w:t>where the licensee is the holder of a producer’s licence, a special facility licence or a wholesaler’s licence, the name and address of each liquor merchant to whom liquor was sold or otherwise disposed of, and the gross amount paid or payable to the licensee in respect of each such sale or other disposal; and</w:t>
      </w:r>
    </w:p>
    <w:p>
      <w:pPr>
        <w:pStyle w:val="Ednotepara"/>
        <w:keepNext/>
        <w:spacing w:before="80"/>
        <w:ind w:left="1610" w:hanging="1610"/>
        <w:rPr>
          <w:snapToGrid w:val="0"/>
        </w:rPr>
      </w:pPr>
      <w:r>
        <w:rPr>
          <w:snapToGrid w:val="0"/>
        </w:rPr>
        <w:tab/>
        <w:t>[(d)</w:t>
      </w:r>
      <w:r>
        <w:rPr>
          <w:snapToGrid w:val="0"/>
        </w:rPr>
        <w:tab/>
        <w:t>deleted]</w:t>
      </w:r>
    </w:p>
    <w:p>
      <w:pPr>
        <w:pStyle w:val="Indenta"/>
        <w:rPr>
          <w:snapToGrid w:val="0"/>
        </w:rPr>
      </w:pPr>
      <w:r>
        <w:rPr>
          <w:snapToGrid w:val="0"/>
        </w:rPr>
        <w:tab/>
        <w:t>(e)</w:t>
      </w:r>
      <w:r>
        <w:rPr>
          <w:snapToGrid w:val="0"/>
        </w:rPr>
        <w:tab/>
        <w:t>where the licensee is an auctioneer who sells liquor under an occasional licence, whether a person on whose behalf liquor was sold at auction, or who purchased liquor, was a liquor merchant and, if so, the name and class of any licence held by the liquor merchant; and</w:t>
      </w:r>
    </w:p>
    <w:p>
      <w:pPr>
        <w:pStyle w:val="Indenta"/>
        <w:rPr>
          <w:snapToGrid w:val="0"/>
        </w:rPr>
      </w:pPr>
      <w:r>
        <w:rPr>
          <w:snapToGrid w:val="0"/>
        </w:rPr>
        <w:tab/>
        <w:t>(f)</w:t>
      </w:r>
      <w:r>
        <w:rPr>
          <w:snapToGrid w:val="0"/>
        </w:rPr>
        <w:tab/>
        <w:t>where the licensee is a body corporate —</w:t>
      </w:r>
    </w:p>
    <w:p>
      <w:pPr>
        <w:pStyle w:val="Indenti"/>
        <w:rPr>
          <w:snapToGrid w:val="0"/>
        </w:rPr>
      </w:pPr>
      <w:r>
        <w:rPr>
          <w:snapToGrid w:val="0"/>
        </w:rPr>
        <w:tab/>
        <w:t>(i)</w:t>
      </w:r>
      <w:r>
        <w:rPr>
          <w:snapToGrid w:val="0"/>
        </w:rPr>
        <w:tab/>
        <w:t>the full name and address of each person who occupied a position of authority in the body corporate, and a description of that position, on the last day of the financial year to which the return relates; and</w:t>
      </w:r>
    </w:p>
    <w:p>
      <w:pPr>
        <w:pStyle w:val="Indenti"/>
        <w:rPr>
          <w:snapToGrid w:val="0"/>
        </w:rPr>
      </w:pPr>
      <w:r>
        <w:rPr>
          <w:snapToGrid w:val="0"/>
        </w:rPr>
        <w:tab/>
        <w:t>(ii)</w:t>
      </w:r>
      <w:r>
        <w:rPr>
          <w:snapToGrid w:val="0"/>
        </w:rPr>
        <w:tab/>
        <w:t>the registered office of the body corporate; and</w:t>
      </w:r>
    </w:p>
    <w:p>
      <w:pPr>
        <w:pStyle w:val="Indenti"/>
        <w:rPr>
          <w:snapToGrid w:val="0"/>
        </w:rPr>
      </w:pPr>
      <w:r>
        <w:rPr>
          <w:snapToGrid w:val="0"/>
        </w:rPr>
        <w:tab/>
        <w:t>(iii)</w:t>
      </w:r>
      <w:r>
        <w:rPr>
          <w:snapToGrid w:val="0"/>
        </w:rPr>
        <w:tab/>
        <w:t>in the case of a proprietary company, the number of shares held by each shareholder, and whether any of those shares is held in trust for another person;</w:t>
      </w:r>
    </w:p>
    <w:p>
      <w:pPr>
        <w:pStyle w:val="Indenta"/>
        <w:rPr>
          <w:snapToGrid w:val="0"/>
        </w:rPr>
      </w:pPr>
      <w:r>
        <w:rPr>
          <w:snapToGrid w:val="0"/>
        </w:rPr>
        <w:tab/>
      </w:r>
      <w:r>
        <w:rPr>
          <w:snapToGrid w:val="0"/>
        </w:rPr>
        <w:tab/>
      </w:r>
      <w:r>
        <w:rPr>
          <w:snapToGrid w:val="0"/>
        </w:rPr>
        <w:tab/>
        <w:t>and</w:t>
      </w:r>
    </w:p>
    <w:p>
      <w:pPr>
        <w:pStyle w:val="Ednotepara"/>
        <w:rPr>
          <w:snapToGrid w:val="0"/>
        </w:rPr>
      </w:pPr>
      <w:r>
        <w:rPr>
          <w:snapToGrid w:val="0"/>
        </w:rPr>
        <w:tab/>
        <w:t>[(g)</w:t>
      </w:r>
      <w:r>
        <w:rPr>
          <w:snapToGrid w:val="0"/>
        </w:rPr>
        <w:noBreakHyphen/>
        <w:t>(j)</w:t>
      </w:r>
      <w:r>
        <w:rPr>
          <w:snapToGrid w:val="0"/>
        </w:rPr>
        <w:tab/>
        <w:t>deleted]</w:t>
      </w:r>
    </w:p>
    <w:p>
      <w:pPr>
        <w:pStyle w:val="Indenta"/>
        <w:rPr>
          <w:snapToGrid w:val="0"/>
        </w:rPr>
      </w:pPr>
      <w:r>
        <w:rPr>
          <w:snapToGrid w:val="0"/>
        </w:rPr>
        <w:tab/>
        <w:t>(k)</w:t>
      </w:r>
      <w:r>
        <w:rPr>
          <w:snapToGrid w:val="0"/>
        </w:rPr>
        <w:tab/>
        <w:t>where the licence is held jointly by 2 or more persons, the full name and address of each such person, and of the person who was the manager of the business conducted under the licence, on the last day of the financial year to which the return relates; and</w:t>
      </w:r>
    </w:p>
    <w:p>
      <w:pPr>
        <w:pStyle w:val="Indenta"/>
        <w:rPr>
          <w:snapToGrid w:val="0"/>
        </w:rPr>
      </w:pPr>
      <w:r>
        <w:rPr>
          <w:snapToGrid w:val="0"/>
        </w:rPr>
        <w:tab/>
        <w:t>(m)</w:t>
      </w:r>
      <w:r>
        <w:rPr>
          <w:snapToGrid w:val="0"/>
        </w:rPr>
        <w:tab/>
        <w:t>where the licence is held by one natural person, the full name and address of that person, and of the person who was the manager of the business conducted under the licence, on the last day of the financial year to which the return relates; and</w:t>
      </w:r>
    </w:p>
    <w:p>
      <w:pPr>
        <w:pStyle w:val="Indenta"/>
        <w:rPr>
          <w:snapToGrid w:val="0"/>
        </w:rPr>
      </w:pPr>
      <w:r>
        <w:rPr>
          <w:snapToGrid w:val="0"/>
        </w:rPr>
        <w:tab/>
        <w:t>(n)</w:t>
      </w:r>
      <w:r>
        <w:rPr>
          <w:snapToGrid w:val="0"/>
        </w:rPr>
        <w:tab/>
        <w:t>the name and address of the owner of the licensed premises.</w:t>
      </w:r>
    </w:p>
    <w:p>
      <w:pPr>
        <w:pStyle w:val="Subsection"/>
        <w:rPr>
          <w:snapToGrid w:val="0"/>
        </w:rPr>
      </w:pPr>
      <w:r>
        <w:rPr>
          <w:snapToGrid w:val="0"/>
        </w:rPr>
        <w:tab/>
        <w:t>(2)</w:t>
      </w:r>
      <w:r>
        <w:rPr>
          <w:snapToGrid w:val="0"/>
        </w:rPr>
        <w:tab/>
        <w:t xml:space="preserve">In this regulation, </w:t>
      </w:r>
      <w:r>
        <w:rPr>
          <w:rStyle w:val="CharDefText"/>
        </w:rPr>
        <w:t>aggregate amount</w:t>
      </w:r>
      <w:r>
        <w:rPr>
          <w:snapToGrid w:val="0"/>
        </w:rPr>
        <w:t xml:space="preserve"> means the sum of the individual gross amounts paid or payable to or by the licensee (as the case may be) and, where the aggregate amount is to be advised in respect of different categories of transaction, the aggregate in respect of each such category.</w:t>
      </w:r>
    </w:p>
    <w:p>
      <w:pPr>
        <w:pStyle w:val="Footnotesection"/>
      </w:pPr>
      <w:r>
        <w:tab/>
        <w:t>[Regulation 24 amended in Gazette 30 Jan 1998 p. 566</w:t>
      </w:r>
      <w:r>
        <w:noBreakHyphen/>
        <w:t>7; 22 May 1998 p. 2943; 1 May 2007 p. 1888</w:t>
      </w:r>
      <w:r>
        <w:noBreakHyphen/>
        <w:t>9.]</w:t>
      </w:r>
    </w:p>
    <w:p>
      <w:pPr>
        <w:pStyle w:val="Heading5"/>
        <w:rPr>
          <w:snapToGrid w:val="0"/>
        </w:rPr>
      </w:pPr>
      <w:bookmarkStart w:id="621" w:name="_Toc460808738"/>
      <w:bookmarkStart w:id="622" w:name="_Toc519934601"/>
      <w:bookmarkStart w:id="623" w:name="_Toc534780066"/>
      <w:bookmarkStart w:id="624" w:name="_Toc3352073"/>
      <w:bookmarkStart w:id="625" w:name="_Toc3352148"/>
      <w:bookmarkStart w:id="626" w:name="_Toc22966249"/>
      <w:bookmarkStart w:id="627" w:name="_Toc66263856"/>
      <w:bookmarkStart w:id="628" w:name="_Toc119294097"/>
      <w:bookmarkStart w:id="629" w:name="_Toc123633190"/>
      <w:bookmarkStart w:id="630" w:name="_Toc172713959"/>
      <w:bookmarkStart w:id="631" w:name="_Toc264018302"/>
      <w:bookmarkStart w:id="632" w:name="_Toc303323202"/>
      <w:bookmarkStart w:id="633" w:name="_Toc303926985"/>
      <w:r>
        <w:rPr>
          <w:rStyle w:val="CharSectno"/>
        </w:rPr>
        <w:t>25</w:t>
      </w:r>
      <w:r>
        <w:rPr>
          <w:snapToGrid w:val="0"/>
        </w:rPr>
        <w:t>.</w:t>
      </w:r>
      <w:r>
        <w:rPr>
          <w:snapToGrid w:val="0"/>
        </w:rPr>
        <w:tab/>
        <w:t>Payment of moneys</w:t>
      </w:r>
      <w:bookmarkEnd w:id="621"/>
      <w:bookmarkEnd w:id="622"/>
      <w:bookmarkEnd w:id="623"/>
      <w:bookmarkEnd w:id="624"/>
      <w:bookmarkEnd w:id="625"/>
      <w:bookmarkEnd w:id="626"/>
      <w:bookmarkEnd w:id="627"/>
      <w:bookmarkEnd w:id="628"/>
      <w:bookmarkEnd w:id="629"/>
      <w:bookmarkEnd w:id="630"/>
      <w:bookmarkEnd w:id="631"/>
      <w:bookmarkEnd w:id="632"/>
      <w:bookmarkEnd w:id="633"/>
    </w:p>
    <w:p>
      <w:pPr>
        <w:pStyle w:val="Subsection"/>
        <w:rPr>
          <w:snapToGrid w:val="0"/>
        </w:rPr>
      </w:pPr>
      <w:r>
        <w:rPr>
          <w:snapToGrid w:val="0"/>
        </w:rPr>
        <w:tab/>
        <w:t>(1)</w:t>
      </w:r>
      <w:r>
        <w:rPr>
          <w:snapToGrid w:val="0"/>
        </w:rPr>
        <w:tab/>
        <w:t>The Director may require in a particular case that moneys payable under the Act be paid by bank or other financial institution cheque or in cash.</w:t>
      </w:r>
    </w:p>
    <w:p>
      <w:pPr>
        <w:pStyle w:val="Subsection"/>
        <w:rPr>
          <w:snapToGrid w:val="0"/>
        </w:rPr>
      </w:pPr>
      <w:r>
        <w:rPr>
          <w:snapToGrid w:val="0"/>
        </w:rPr>
        <w:tab/>
        <w:t>(2)</w:t>
      </w:r>
      <w:r>
        <w:rPr>
          <w:snapToGrid w:val="0"/>
        </w:rPr>
        <w:tab/>
        <w:t>All moneys payable under the Act shall be payable —</w:t>
      </w:r>
    </w:p>
    <w:p>
      <w:pPr>
        <w:pStyle w:val="Indenta"/>
        <w:rPr>
          <w:snapToGrid w:val="0"/>
        </w:rPr>
      </w:pPr>
      <w:r>
        <w:rPr>
          <w:snapToGrid w:val="0"/>
        </w:rPr>
        <w:tab/>
        <w:t>(a)</w:t>
      </w:r>
      <w:r>
        <w:rPr>
          <w:snapToGrid w:val="0"/>
        </w:rPr>
        <w:tab/>
        <w:t>at the office of the Director; or</w:t>
      </w:r>
    </w:p>
    <w:p>
      <w:pPr>
        <w:pStyle w:val="Indenta"/>
      </w:pPr>
      <w:r>
        <w:tab/>
        <w:t>(b)</w:t>
      </w:r>
      <w:r>
        <w:tab/>
        <w:t>at a place determined by the Director.</w:t>
      </w:r>
    </w:p>
    <w:p>
      <w:pPr>
        <w:pStyle w:val="Footnotesection"/>
        <w:ind w:left="890" w:hanging="890"/>
      </w:pPr>
      <w:r>
        <w:tab/>
        <w:t>[Regulation 25 amended in Gazette 24 Aug 1990 p. 4337; 30 Oct 1998 p. 6015; 1 May 2007 p. 1885.]</w:t>
      </w:r>
    </w:p>
    <w:p>
      <w:pPr>
        <w:pStyle w:val="Heading5"/>
        <w:keepLines w:val="0"/>
        <w:rPr>
          <w:snapToGrid w:val="0"/>
        </w:rPr>
      </w:pPr>
      <w:bookmarkStart w:id="634" w:name="_Toc460808739"/>
      <w:bookmarkStart w:id="635" w:name="_Toc519934602"/>
      <w:bookmarkStart w:id="636" w:name="_Toc534780067"/>
      <w:bookmarkStart w:id="637" w:name="_Toc3352074"/>
      <w:bookmarkStart w:id="638" w:name="_Toc3352149"/>
      <w:bookmarkStart w:id="639" w:name="_Toc22966250"/>
      <w:bookmarkStart w:id="640" w:name="_Toc66263857"/>
      <w:bookmarkStart w:id="641" w:name="_Toc119294098"/>
      <w:bookmarkStart w:id="642" w:name="_Toc123633191"/>
      <w:bookmarkStart w:id="643" w:name="_Toc172713960"/>
      <w:bookmarkStart w:id="644" w:name="_Toc264018303"/>
      <w:bookmarkStart w:id="645" w:name="_Toc303323203"/>
      <w:bookmarkStart w:id="646" w:name="_Toc303926986"/>
      <w:r>
        <w:rPr>
          <w:rStyle w:val="CharSectno"/>
        </w:rPr>
        <w:t>26</w:t>
      </w:r>
      <w:r>
        <w:rPr>
          <w:snapToGrid w:val="0"/>
        </w:rPr>
        <w:t>.</w:t>
      </w:r>
      <w:r>
        <w:rPr>
          <w:snapToGrid w:val="0"/>
        </w:rPr>
        <w:tab/>
        <w:t>Fees generally</w:t>
      </w:r>
      <w:bookmarkEnd w:id="634"/>
      <w:bookmarkEnd w:id="635"/>
      <w:bookmarkEnd w:id="636"/>
      <w:bookmarkEnd w:id="637"/>
      <w:bookmarkEnd w:id="638"/>
      <w:bookmarkEnd w:id="639"/>
      <w:bookmarkEnd w:id="640"/>
      <w:bookmarkEnd w:id="641"/>
      <w:bookmarkEnd w:id="642"/>
      <w:bookmarkEnd w:id="643"/>
      <w:bookmarkEnd w:id="644"/>
      <w:bookmarkEnd w:id="645"/>
      <w:bookmarkEnd w:id="646"/>
    </w:p>
    <w:p>
      <w:pPr>
        <w:pStyle w:val="Subsection"/>
      </w:pPr>
      <w:r>
        <w:tab/>
        <w:t>(1)</w:t>
      </w:r>
      <w:r>
        <w:tab/>
        <w:t>Except as stated in subregulation (2A), the fees set out in column 3 of Schedule 3 are payable in respect of the corresponding matter set out in column 2 of that Schedule.</w:t>
      </w:r>
    </w:p>
    <w:p>
      <w:pPr>
        <w:pStyle w:val="Subsection"/>
      </w:pPr>
      <w:r>
        <w:tab/>
        <w:t>(1aa)</w:t>
      </w:r>
      <w:r>
        <w:tab/>
        <w:t>If one or more extended trading permits have been issued in respect of the licensed premises, each of which is current and for a specified period exceeding 3 weeks, the licence fee payable under item 4 or 5 of Schedule 3 is the fee specified in that item and —</w:t>
      </w:r>
    </w:p>
    <w:p>
      <w:pPr>
        <w:pStyle w:val="Indenta"/>
      </w:pPr>
      <w:r>
        <w:tab/>
        <w:t>(a)</w:t>
      </w:r>
      <w:r>
        <w:tab/>
        <w:t>if no more than 2 such permits have been issued — an additional amount of $205; or</w:t>
      </w:r>
    </w:p>
    <w:p>
      <w:pPr>
        <w:pStyle w:val="Indenta"/>
      </w:pPr>
      <w:r>
        <w:tab/>
        <w:t>(b)</w:t>
      </w:r>
      <w:r>
        <w:tab/>
        <w:t>if 3 or more such permits have been issued — an additional amount of $410.</w:t>
      </w:r>
    </w:p>
    <w:p>
      <w:pPr>
        <w:pStyle w:val="Subsection"/>
        <w:rPr>
          <w:snapToGrid w:val="0"/>
        </w:rPr>
      </w:pPr>
      <w:r>
        <w:rPr>
          <w:snapToGrid w:val="0"/>
        </w:rPr>
        <w:tab/>
        <w:t>(1ab)</w:t>
      </w:r>
      <w:r>
        <w:rPr>
          <w:snapToGrid w:val="0"/>
        </w:rPr>
        <w:tab/>
        <w:t>In subregulation (1aa) —</w:t>
      </w:r>
    </w:p>
    <w:p>
      <w:pPr>
        <w:pStyle w:val="Defstart"/>
      </w:pPr>
      <w:r>
        <w:rPr>
          <w:b/>
        </w:rPr>
        <w:tab/>
      </w:r>
      <w:r>
        <w:rPr>
          <w:rStyle w:val="CharDefText"/>
        </w:rPr>
        <w:t>current</w:t>
      </w:r>
      <w:r>
        <w:t xml:space="preserve"> means current on the day not later than which the relevant licence fee is payable under subregulation (1a).</w:t>
      </w:r>
    </w:p>
    <w:p>
      <w:pPr>
        <w:pStyle w:val="Subsection"/>
        <w:rPr>
          <w:snapToGrid w:val="0"/>
        </w:rPr>
      </w:pPr>
      <w:r>
        <w:rPr>
          <w:snapToGrid w:val="0"/>
        </w:rPr>
        <w:tab/>
        <w:t>(1a)</w:t>
      </w:r>
      <w:r>
        <w:rPr>
          <w:snapToGrid w:val="0"/>
        </w:rPr>
        <w:tab/>
        <w:t>The licence fees specified in items </w:t>
      </w:r>
      <w:r>
        <w:t>4 and 5</w:t>
      </w:r>
      <w:r>
        <w:rPr>
          <w:snapToGrid w:val="0"/>
        </w:rPr>
        <w:t xml:space="preserve"> of Schedule 3</w:t>
      </w:r>
      <w:r>
        <w:t>, with any additional amount required under subregulation (1aa),</w:t>
      </w:r>
      <w:r>
        <w:rPr>
          <w:snapToGrid w:val="0"/>
        </w:rPr>
        <w:t xml:space="preserve"> are payable not later than 1 January in each year in respect of each licence in force.</w:t>
      </w:r>
    </w:p>
    <w:p>
      <w:pPr>
        <w:pStyle w:val="Subsection"/>
        <w:rPr>
          <w:snapToGrid w:val="0"/>
        </w:rPr>
      </w:pPr>
      <w:r>
        <w:rPr>
          <w:snapToGrid w:val="0"/>
        </w:rPr>
        <w:tab/>
        <w:t>(1b)</w:t>
      </w:r>
      <w:r>
        <w:rPr>
          <w:snapToGrid w:val="0"/>
        </w:rPr>
        <w:tab/>
        <w:t>A licensee who has not paid a licence fee payable under subregulation (1a) by 8 January in any year shall, in addition to the licence fee, pay to the Director a penalty of an amount equal to</w:t>
      </w:r>
      <w:r>
        <w:t xml:space="preserve"> half</w:t>
      </w:r>
      <w:r>
        <w:rPr>
          <w:snapToGrid w:val="0"/>
        </w:rPr>
        <w:t xml:space="preserve"> the fee.</w:t>
      </w:r>
    </w:p>
    <w:p>
      <w:pPr>
        <w:pStyle w:val="Subsection"/>
        <w:spacing w:before="120"/>
        <w:rPr>
          <w:snapToGrid w:val="0"/>
        </w:rPr>
      </w:pPr>
      <w:r>
        <w:rPr>
          <w:snapToGrid w:val="0"/>
        </w:rPr>
        <w:tab/>
        <w:t>(1c)</w:t>
      </w:r>
      <w:r>
        <w:rPr>
          <w:snapToGrid w:val="0"/>
        </w:rPr>
        <w:tab/>
        <w:t>Where a licensee has not paid a licence fee payable under subregulation (1a) by 15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suspend the operation of the licence to which the fee relates until the amount outstanding is paid.</w:t>
      </w:r>
    </w:p>
    <w:p>
      <w:pPr>
        <w:pStyle w:val="Subsection"/>
        <w:rPr>
          <w:snapToGrid w:val="0"/>
        </w:rPr>
      </w:pPr>
      <w:r>
        <w:rPr>
          <w:snapToGrid w:val="0"/>
        </w:rPr>
        <w:tab/>
        <w:t>(1d)</w:t>
      </w:r>
      <w:r>
        <w:rPr>
          <w:snapToGrid w:val="0"/>
        </w:rPr>
        <w:tab/>
        <w:t>Where a licensee has not paid a licence fee payable under subregulation (1a) by 29 January in any year, the Director may serve on the licensee a notice requiring payment of the fee, and any penalty under subregulation (1b), within 7 days after service of the notice and, if the requirement in the notice is not complied with, the Director may, whether or not a complaint is, or is to be, lodged under section 95 in respect of that non</w:t>
      </w:r>
      <w:r>
        <w:rPr>
          <w:snapToGrid w:val="0"/>
        </w:rPr>
        <w:noBreakHyphen/>
        <w:t>payment, cancel the licence to which the fee relates.</w:t>
      </w:r>
    </w:p>
    <w:p>
      <w:pPr>
        <w:pStyle w:val="Subsection"/>
      </w:pPr>
      <w:r>
        <w:tab/>
        <w:t>(2A)</w:t>
      </w:r>
      <w:r>
        <w:tab/>
        <w:t>If a fee is set out in column 4 of Schedule 3 in respect of an item, that fee is payable instead of the corresponding fee set out in column 3 if the application to which the relevant item applies is lodged by an electronic means acceptable to the Director.</w:t>
      </w:r>
    </w:p>
    <w:p>
      <w:pPr>
        <w:pStyle w:val="Subsection"/>
      </w:pPr>
      <w:r>
        <w:tab/>
        <w:t>(2B)</w:t>
      </w:r>
      <w:r>
        <w:tab/>
        <w:t>Subregulation (2A) does not limit the operation of subregulation (2).</w:t>
      </w:r>
    </w:p>
    <w:p>
      <w:pPr>
        <w:pStyle w:val="Subsection"/>
        <w:rPr>
          <w:snapToGrid w:val="0"/>
        </w:rPr>
      </w:pPr>
      <w:r>
        <w:rPr>
          <w:snapToGrid w:val="0"/>
        </w:rPr>
        <w:tab/>
        <w:t>(2)</w:t>
      </w:r>
      <w:r>
        <w:rPr>
          <w:snapToGrid w:val="0"/>
        </w:rPr>
        <w:tab/>
        <w:t>The Director may reduce, waive or refund, in whole or in part, any moneys due under this regulation.</w:t>
      </w:r>
    </w:p>
    <w:p>
      <w:pPr>
        <w:pStyle w:val="Subsection"/>
      </w:pPr>
      <w:r>
        <w:tab/>
        <w:t>(3)</w:t>
      </w:r>
      <w:r>
        <w:tab/>
        <w:t>If a fee is payable under subregulation (1) or (2A) for or in respect of the lodgment of a document and the document is submitted for lodgment without payment of the fee, the document is taken not to have been lodged until the fee has been paid.</w:t>
      </w:r>
    </w:p>
    <w:p>
      <w:pPr>
        <w:pStyle w:val="Subsection"/>
      </w:pPr>
      <w:r>
        <w:tab/>
        <w:t>(4)</w:t>
      </w:r>
      <w:r>
        <w:tab/>
        <w:t xml:space="preserve">If — </w:t>
      </w:r>
    </w:p>
    <w:p>
      <w:pPr>
        <w:pStyle w:val="Indenta"/>
      </w:pPr>
      <w:r>
        <w:tab/>
        <w:t>(a)</w:t>
      </w:r>
      <w:r>
        <w:tab/>
        <w:t xml:space="preserve">under the Act a person is required to lodge a document within a particular period of time (the </w:t>
      </w:r>
      <w:r>
        <w:rPr>
          <w:rStyle w:val="CharDefText"/>
        </w:rPr>
        <w:t>lodgment period</w:t>
      </w:r>
      <w:r>
        <w:t>); and</w:t>
      </w:r>
    </w:p>
    <w:p>
      <w:pPr>
        <w:pStyle w:val="Indenta"/>
      </w:pPr>
      <w:r>
        <w:tab/>
        <w:t>(b)</w:t>
      </w:r>
      <w:r>
        <w:tab/>
        <w:t xml:space="preserve">a fee (the </w:t>
      </w:r>
      <w:r>
        <w:rPr>
          <w:rStyle w:val="CharDefText"/>
        </w:rPr>
        <w:t>lodgment fee</w:t>
      </w:r>
      <w:r>
        <w:t>) is payable under subregulation (1) or (2A) for or in respect of the lodgment of the document; and</w:t>
      </w:r>
    </w:p>
    <w:p>
      <w:pPr>
        <w:pStyle w:val="Indenta"/>
      </w:pPr>
      <w:r>
        <w:tab/>
        <w:t>(c)</w:t>
      </w:r>
      <w:r>
        <w:tab/>
        <w:t>the document is submitted for lodgment after the expiry of the lodgment period,</w:t>
      </w:r>
    </w:p>
    <w:p>
      <w:pPr>
        <w:pStyle w:val="Subsection"/>
      </w:pPr>
      <w:r>
        <w:tab/>
      </w:r>
      <w:r>
        <w:tab/>
        <w:t>then a late lodgment fee is payable in addition to the lodgment fee.</w:t>
      </w:r>
    </w:p>
    <w:p>
      <w:pPr>
        <w:pStyle w:val="Subsection"/>
      </w:pPr>
      <w:r>
        <w:tab/>
        <w:t>(5)</w:t>
      </w:r>
      <w:r>
        <w:tab/>
        <w:t xml:space="preserve">For the purposes of subregulation (4), the late lodgment fee is — </w:t>
      </w:r>
    </w:p>
    <w:p>
      <w:pPr>
        <w:pStyle w:val="Indenta"/>
      </w:pPr>
      <w:r>
        <w:tab/>
        <w:t>(a)</w:t>
      </w:r>
      <w:r>
        <w:tab/>
        <w:t>an amount equal to the lodgment fee, or $115, whichever is the lesser amount, if the document is submitted for lodgment not later than one month after the expiry of the lodgment period; or</w:t>
      </w:r>
    </w:p>
    <w:p>
      <w:pPr>
        <w:pStyle w:val="Indenta"/>
      </w:pPr>
      <w:r>
        <w:tab/>
        <w:t>(b)</w:t>
      </w:r>
      <w:r>
        <w:tab/>
        <w:t>an amount equal to 3 times the lodgment fee, if the document is submitted for lodgment more than one month after the expiry of the lodgment period.</w:t>
      </w:r>
    </w:p>
    <w:p>
      <w:pPr>
        <w:pStyle w:val="Footnotesection"/>
      </w:pPr>
      <w:r>
        <w:tab/>
        <w:t>[Regulation 26 amended in Gazette 30 Jan 1998 p. 567</w:t>
      </w:r>
      <w:r>
        <w:noBreakHyphen/>
        <w:t>8; 21 Dec 1999 p. 6419; 28 Jul 2000 p. 4032; 1 May 2007 p. 1885 and 1888</w:t>
      </w:r>
      <w:r>
        <w:noBreakHyphen/>
        <w:t>9; 9 Oct 2007 p. 5352; 24 Oct 2008 p. 4683; 28 Oct 2008 p. 4729; 20 Nov 2009 p. 4662</w:t>
      </w:r>
      <w:r>
        <w:noBreakHyphen/>
        <w:t>3; 22 Oct 2010 p. 5229; 19 Nov 2010 p. 5744; 3 Jun 2011 p. 2000</w:t>
      </w:r>
      <w:r>
        <w:noBreakHyphen/>
        <w:t>1.]</w:t>
      </w:r>
    </w:p>
    <w:p>
      <w:pPr>
        <w:pStyle w:val="Heading5"/>
        <w:rPr>
          <w:snapToGrid w:val="0"/>
        </w:rPr>
      </w:pPr>
      <w:bookmarkStart w:id="647" w:name="_Toc460808740"/>
      <w:bookmarkStart w:id="648" w:name="_Toc519934603"/>
      <w:bookmarkStart w:id="649" w:name="_Toc534780068"/>
      <w:bookmarkStart w:id="650" w:name="_Toc3352075"/>
      <w:bookmarkStart w:id="651" w:name="_Toc3352150"/>
      <w:bookmarkStart w:id="652" w:name="_Toc22966251"/>
      <w:bookmarkStart w:id="653" w:name="_Toc66263858"/>
      <w:bookmarkStart w:id="654" w:name="_Toc119294099"/>
      <w:bookmarkStart w:id="655" w:name="_Toc123633192"/>
      <w:bookmarkStart w:id="656" w:name="_Toc172713961"/>
      <w:bookmarkStart w:id="657" w:name="_Toc264018304"/>
      <w:bookmarkStart w:id="658" w:name="_Toc303323204"/>
      <w:bookmarkStart w:id="659" w:name="_Toc303926987"/>
      <w:r>
        <w:rPr>
          <w:rStyle w:val="CharSectno"/>
        </w:rPr>
        <w:t>27</w:t>
      </w:r>
      <w:r>
        <w:rPr>
          <w:snapToGrid w:val="0"/>
        </w:rPr>
        <w:t>.</w:t>
      </w:r>
      <w:r>
        <w:rPr>
          <w:snapToGrid w:val="0"/>
        </w:rPr>
        <w:tab/>
        <w:t>Infringement notices</w:t>
      </w:r>
      <w:bookmarkEnd w:id="647"/>
      <w:bookmarkEnd w:id="648"/>
      <w:bookmarkEnd w:id="649"/>
      <w:bookmarkEnd w:id="650"/>
      <w:bookmarkEnd w:id="651"/>
      <w:bookmarkEnd w:id="652"/>
      <w:bookmarkEnd w:id="653"/>
      <w:bookmarkEnd w:id="654"/>
      <w:bookmarkEnd w:id="655"/>
      <w:bookmarkEnd w:id="656"/>
      <w:r>
        <w:rPr>
          <w:snapToGrid w:val="0"/>
        </w:rPr>
        <w:t xml:space="preserve"> (Act s. 167)</w:t>
      </w:r>
      <w:bookmarkEnd w:id="657"/>
      <w:bookmarkEnd w:id="658"/>
      <w:bookmarkEnd w:id="659"/>
    </w:p>
    <w:p>
      <w:pPr>
        <w:pStyle w:val="Subsection"/>
        <w:keepNext/>
        <w:rPr>
          <w:snapToGrid w:val="0"/>
        </w:rPr>
      </w:pPr>
      <w:r>
        <w:rPr>
          <w:snapToGrid w:val="0"/>
        </w:rPr>
        <w:tab/>
        <w:t>(1)</w:t>
      </w:r>
      <w:r>
        <w:rPr>
          <w:snapToGrid w:val="0"/>
        </w:rPr>
        <w:tab/>
        <w:t>For the purposes of section 167 —</w:t>
      </w:r>
    </w:p>
    <w:p>
      <w:pPr>
        <w:pStyle w:val="Indenta"/>
        <w:rPr>
          <w:snapToGrid w:val="0"/>
        </w:rPr>
      </w:pPr>
      <w:r>
        <w:rPr>
          <w:snapToGrid w:val="0"/>
        </w:rPr>
        <w:tab/>
        <w:t>(a)</w:t>
      </w:r>
      <w:r>
        <w:rPr>
          <w:snapToGrid w:val="0"/>
        </w:rPr>
        <w:tab/>
        <w:t>the notice to be given to a person under section 167(2) shall be in the form set out in Form 21 in Schedule 1; and</w:t>
      </w:r>
    </w:p>
    <w:p>
      <w:pPr>
        <w:pStyle w:val="Indenta"/>
        <w:rPr>
          <w:snapToGrid w:val="0"/>
        </w:rPr>
      </w:pPr>
      <w:r>
        <w:rPr>
          <w:snapToGrid w:val="0"/>
        </w:rPr>
        <w:tab/>
        <w:t>(b)</w:t>
      </w:r>
      <w:r>
        <w:rPr>
          <w:snapToGrid w:val="0"/>
        </w:rPr>
        <w:tab/>
        <w:t>the description of the offence set out in the form is for convenience of reference only, and shall not be taken to alter or otherwise affect the nature or elements of the offence or the operation of these regulations, notwithstanding that the nature or any element of the offence in relation to which a notice is served may not be, or may not properly be, set out in the description; and</w:t>
      </w:r>
    </w:p>
    <w:p>
      <w:pPr>
        <w:pStyle w:val="Indenta"/>
        <w:rPr>
          <w:snapToGrid w:val="0"/>
        </w:rPr>
      </w:pPr>
      <w:r>
        <w:rPr>
          <w:snapToGrid w:val="0"/>
        </w:rPr>
        <w:tab/>
        <w:t>(c)</w:t>
      </w:r>
      <w:r>
        <w:rPr>
          <w:snapToGrid w:val="0"/>
        </w:rPr>
        <w:tab/>
        <w:t>the notice withdrawing an infringement notice under section 167(5) shall be in the form set out in Form 22 in Schedule 1.</w:t>
      </w:r>
    </w:p>
    <w:p>
      <w:pPr>
        <w:pStyle w:val="Subsection"/>
      </w:pPr>
      <w:r>
        <w:tab/>
        <w:t>(2)</w:t>
      </w:r>
      <w:r>
        <w:tab/>
        <w:t>For the purposes of section 167(2)(a), an offence against a provision of the Act listed in the Table to this subregulation is a prescribed offence.</w:t>
      </w:r>
    </w:p>
    <w:p>
      <w:pPr>
        <w:pStyle w:val="MiscellaneousHeading"/>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ind w:left="170" w:hanging="170"/>
            </w:pPr>
            <w:r>
              <w:t>s. 37A</w:t>
            </w:r>
          </w:p>
        </w:tc>
        <w:tc>
          <w:tcPr>
            <w:tcW w:w="2693" w:type="dxa"/>
          </w:tcPr>
          <w:p>
            <w:pPr>
              <w:pStyle w:val="TableNAm"/>
              <w:spacing w:before="60"/>
              <w:ind w:left="170" w:hanging="170"/>
            </w:pPr>
            <w:r>
              <w:t>s. 119(2)</w:t>
            </w:r>
          </w:p>
        </w:tc>
      </w:tr>
      <w:tr>
        <w:tc>
          <w:tcPr>
            <w:tcW w:w="2693" w:type="dxa"/>
          </w:tcPr>
          <w:p>
            <w:pPr>
              <w:pStyle w:val="TableNAm"/>
              <w:spacing w:before="60"/>
              <w:ind w:left="170" w:hanging="170"/>
            </w:pPr>
            <w:r>
              <w:t>s. 51(2)</w:t>
            </w:r>
          </w:p>
        </w:tc>
        <w:tc>
          <w:tcPr>
            <w:tcW w:w="2693" w:type="dxa"/>
          </w:tcPr>
          <w:p>
            <w:pPr>
              <w:pStyle w:val="TableNAm"/>
              <w:spacing w:before="60"/>
              <w:ind w:left="170" w:hanging="170"/>
            </w:pPr>
            <w:r>
              <w:t>s. 119(4)</w:t>
            </w:r>
          </w:p>
        </w:tc>
      </w:tr>
      <w:tr>
        <w:tc>
          <w:tcPr>
            <w:tcW w:w="2693" w:type="dxa"/>
          </w:tcPr>
          <w:p>
            <w:pPr>
              <w:pStyle w:val="TableNAm"/>
              <w:spacing w:before="60"/>
              <w:ind w:left="170" w:hanging="170"/>
            </w:pPr>
            <w:r>
              <w:t>s. 51(4)</w:t>
            </w:r>
          </w:p>
        </w:tc>
        <w:tc>
          <w:tcPr>
            <w:tcW w:w="2693" w:type="dxa"/>
          </w:tcPr>
          <w:p>
            <w:pPr>
              <w:pStyle w:val="TableNAm"/>
              <w:spacing w:before="60"/>
              <w:ind w:left="170" w:hanging="170"/>
            </w:pPr>
            <w:r>
              <w:t>s. 119(5)</w:t>
            </w:r>
          </w:p>
        </w:tc>
      </w:tr>
      <w:tr>
        <w:tc>
          <w:tcPr>
            <w:tcW w:w="2693" w:type="dxa"/>
          </w:tcPr>
          <w:p>
            <w:pPr>
              <w:pStyle w:val="TableNAm"/>
              <w:spacing w:before="60"/>
              <w:ind w:left="170" w:hanging="170"/>
            </w:pPr>
            <w:r>
              <w:t>s. 65(1)</w:t>
            </w:r>
          </w:p>
        </w:tc>
        <w:tc>
          <w:tcPr>
            <w:tcW w:w="2693" w:type="dxa"/>
          </w:tcPr>
          <w:p>
            <w:pPr>
              <w:pStyle w:val="TableNAm"/>
              <w:spacing w:before="60"/>
              <w:ind w:left="170" w:hanging="170"/>
            </w:pPr>
            <w:r>
              <w:t>s. 119(7)</w:t>
            </w:r>
          </w:p>
        </w:tc>
      </w:tr>
      <w:tr>
        <w:tc>
          <w:tcPr>
            <w:tcW w:w="2693" w:type="dxa"/>
          </w:tcPr>
          <w:p>
            <w:pPr>
              <w:pStyle w:val="TableNAm"/>
              <w:spacing w:before="60"/>
              <w:ind w:left="170" w:hanging="170"/>
            </w:pPr>
            <w:r>
              <w:t>s. 77(1)</w:t>
            </w:r>
          </w:p>
        </w:tc>
        <w:tc>
          <w:tcPr>
            <w:tcW w:w="2693" w:type="dxa"/>
          </w:tcPr>
          <w:p>
            <w:pPr>
              <w:pStyle w:val="TableNAm"/>
              <w:spacing w:before="60"/>
              <w:ind w:left="170" w:hanging="170"/>
            </w:pPr>
            <w:r>
              <w:t>s. 119(11)</w:t>
            </w:r>
          </w:p>
        </w:tc>
      </w:tr>
      <w:tr>
        <w:tc>
          <w:tcPr>
            <w:tcW w:w="2693" w:type="dxa"/>
          </w:tcPr>
          <w:p>
            <w:pPr>
              <w:pStyle w:val="TableNAm"/>
              <w:spacing w:before="60"/>
              <w:ind w:left="170" w:hanging="170"/>
            </w:pPr>
            <w:r>
              <w:t>s. 100(2)</w:t>
            </w:r>
          </w:p>
        </w:tc>
        <w:tc>
          <w:tcPr>
            <w:tcW w:w="2693" w:type="dxa"/>
          </w:tcPr>
          <w:p>
            <w:pPr>
              <w:pStyle w:val="TableNAm"/>
              <w:spacing w:before="60"/>
              <w:ind w:left="170" w:hanging="170"/>
            </w:pPr>
            <w:r>
              <w:t>s. 119A(4)</w:t>
            </w:r>
          </w:p>
        </w:tc>
      </w:tr>
      <w:tr>
        <w:tc>
          <w:tcPr>
            <w:tcW w:w="2693" w:type="dxa"/>
          </w:tcPr>
          <w:p>
            <w:pPr>
              <w:pStyle w:val="TableNAm"/>
              <w:spacing w:before="60"/>
              <w:ind w:left="170" w:hanging="170"/>
            </w:pPr>
            <w:r>
              <w:t>s. 100(2a)</w:t>
            </w:r>
          </w:p>
        </w:tc>
        <w:tc>
          <w:tcPr>
            <w:tcW w:w="2693" w:type="dxa"/>
          </w:tcPr>
          <w:p>
            <w:pPr>
              <w:pStyle w:val="TableNAm"/>
              <w:spacing w:before="60"/>
              <w:ind w:left="170" w:hanging="170"/>
            </w:pPr>
            <w:r>
              <w:t>s. 119A(5)</w:t>
            </w:r>
          </w:p>
        </w:tc>
      </w:tr>
      <w:tr>
        <w:tc>
          <w:tcPr>
            <w:tcW w:w="2693" w:type="dxa"/>
          </w:tcPr>
          <w:p>
            <w:pPr>
              <w:pStyle w:val="TableNAm"/>
              <w:spacing w:before="60"/>
              <w:ind w:left="170" w:hanging="170"/>
            </w:pPr>
            <w:r>
              <w:t>s. 100(5)</w:t>
            </w:r>
          </w:p>
        </w:tc>
        <w:tc>
          <w:tcPr>
            <w:tcW w:w="2693" w:type="dxa"/>
          </w:tcPr>
          <w:p>
            <w:pPr>
              <w:pStyle w:val="TableNAm"/>
              <w:spacing w:before="60"/>
              <w:ind w:left="170" w:hanging="170"/>
            </w:pPr>
            <w:r>
              <w:t>s. 121(1)</w:t>
            </w:r>
          </w:p>
        </w:tc>
      </w:tr>
      <w:tr>
        <w:tc>
          <w:tcPr>
            <w:tcW w:w="2693" w:type="dxa"/>
          </w:tcPr>
          <w:p>
            <w:pPr>
              <w:pStyle w:val="TableNAm"/>
              <w:spacing w:before="60"/>
              <w:ind w:left="170" w:hanging="170"/>
            </w:pPr>
            <w:r>
              <w:t>s. 100(8)</w:t>
            </w:r>
          </w:p>
        </w:tc>
        <w:tc>
          <w:tcPr>
            <w:tcW w:w="2693" w:type="dxa"/>
          </w:tcPr>
          <w:p>
            <w:pPr>
              <w:pStyle w:val="TableNAm"/>
              <w:spacing w:before="60"/>
              <w:ind w:left="170" w:hanging="170"/>
            </w:pPr>
            <w:r>
              <w:t>s. 121(2)</w:t>
            </w:r>
          </w:p>
        </w:tc>
      </w:tr>
      <w:tr>
        <w:tc>
          <w:tcPr>
            <w:tcW w:w="2693" w:type="dxa"/>
          </w:tcPr>
          <w:p>
            <w:pPr>
              <w:pStyle w:val="TableNAm"/>
              <w:spacing w:before="60"/>
              <w:ind w:left="170" w:hanging="170"/>
            </w:pPr>
            <w:r>
              <w:t>s. 101(3)</w:t>
            </w:r>
          </w:p>
        </w:tc>
        <w:tc>
          <w:tcPr>
            <w:tcW w:w="2693" w:type="dxa"/>
          </w:tcPr>
          <w:p>
            <w:pPr>
              <w:pStyle w:val="TableNAm"/>
              <w:spacing w:before="60"/>
              <w:ind w:left="170" w:hanging="170"/>
            </w:pPr>
            <w:r>
              <w:t>s. 121(3)</w:t>
            </w:r>
          </w:p>
        </w:tc>
      </w:tr>
      <w:tr>
        <w:trPr>
          <w:cantSplit/>
        </w:trPr>
        <w:tc>
          <w:tcPr>
            <w:tcW w:w="2693" w:type="dxa"/>
          </w:tcPr>
          <w:p>
            <w:pPr>
              <w:pStyle w:val="TableNAm"/>
              <w:keepNext/>
              <w:keepLines/>
              <w:spacing w:before="60"/>
              <w:ind w:left="170" w:hanging="170"/>
            </w:pPr>
            <w:r>
              <w:t>s. 102(1)</w:t>
            </w:r>
          </w:p>
        </w:tc>
        <w:tc>
          <w:tcPr>
            <w:tcW w:w="2693" w:type="dxa"/>
            <w:vMerge w:val="restart"/>
          </w:tcPr>
          <w:p>
            <w:pPr>
              <w:pStyle w:val="TableNAm"/>
              <w:spacing w:before="60"/>
              <w:ind w:left="170" w:hanging="170"/>
            </w:pPr>
            <w:r>
              <w:t>s. 121(4) (where the alleged offender is the licensee or a juvenile)</w:t>
            </w:r>
          </w:p>
        </w:tc>
      </w:tr>
      <w:tr>
        <w:tc>
          <w:tcPr>
            <w:tcW w:w="2693" w:type="dxa"/>
          </w:tcPr>
          <w:p>
            <w:pPr>
              <w:pStyle w:val="TableNAm"/>
              <w:keepNext/>
              <w:keepLines/>
              <w:spacing w:before="60"/>
              <w:ind w:left="170" w:hanging="170"/>
            </w:pPr>
            <w:r>
              <w:t>s. 103(3)</w:t>
            </w:r>
          </w:p>
        </w:tc>
        <w:tc>
          <w:tcPr>
            <w:tcW w:w="2693" w:type="dxa"/>
            <w:vMerge/>
          </w:tcPr>
          <w:p>
            <w:pPr>
              <w:pStyle w:val="TableNAm"/>
              <w:spacing w:before="60"/>
              <w:ind w:left="170" w:hanging="170"/>
            </w:pPr>
          </w:p>
        </w:tc>
      </w:tr>
      <w:tr>
        <w:tc>
          <w:tcPr>
            <w:tcW w:w="2693" w:type="dxa"/>
          </w:tcPr>
          <w:p>
            <w:pPr>
              <w:pStyle w:val="TableNAm"/>
              <w:keepNext/>
              <w:keepLines/>
              <w:spacing w:before="60"/>
              <w:ind w:left="170" w:hanging="170"/>
            </w:pPr>
            <w:r>
              <w:t>s. 104(1)</w:t>
            </w:r>
          </w:p>
        </w:tc>
        <w:tc>
          <w:tcPr>
            <w:tcW w:w="2693" w:type="dxa"/>
            <w:vMerge/>
          </w:tcPr>
          <w:p>
            <w:pPr>
              <w:pStyle w:val="TableNAm"/>
              <w:spacing w:before="60"/>
              <w:ind w:left="170" w:hanging="170"/>
            </w:pPr>
          </w:p>
        </w:tc>
      </w:tr>
      <w:tr>
        <w:tc>
          <w:tcPr>
            <w:tcW w:w="2693" w:type="dxa"/>
            <w:vMerge w:val="restart"/>
          </w:tcPr>
          <w:p>
            <w:pPr>
              <w:pStyle w:val="TableNAm"/>
              <w:spacing w:before="60"/>
              <w:ind w:left="170" w:hanging="170"/>
            </w:pPr>
            <w:r>
              <w:t>s. 106(1) (where the alleged offender is a lodger)</w:t>
            </w:r>
          </w:p>
        </w:tc>
        <w:tc>
          <w:tcPr>
            <w:tcW w:w="2693" w:type="dxa"/>
          </w:tcPr>
          <w:p>
            <w:pPr>
              <w:pStyle w:val="TableNAm"/>
              <w:spacing w:before="60"/>
              <w:ind w:left="170" w:hanging="170"/>
            </w:pPr>
            <w:r>
              <w:t>s. 121(7)</w:t>
            </w:r>
          </w:p>
        </w:tc>
      </w:tr>
      <w:tr>
        <w:tc>
          <w:tcPr>
            <w:tcW w:w="2693" w:type="dxa"/>
            <w:vMerge/>
          </w:tcPr>
          <w:p>
            <w:pPr>
              <w:pStyle w:val="TableNAm"/>
              <w:spacing w:before="60"/>
              <w:ind w:left="170" w:hanging="170"/>
            </w:pPr>
          </w:p>
        </w:tc>
        <w:tc>
          <w:tcPr>
            <w:tcW w:w="2693" w:type="dxa"/>
          </w:tcPr>
          <w:p>
            <w:pPr>
              <w:pStyle w:val="TableNAm"/>
              <w:spacing w:before="60"/>
              <w:ind w:left="170" w:hanging="170"/>
            </w:pPr>
            <w:r>
              <w:t>s. 121(7a)</w:t>
            </w:r>
          </w:p>
        </w:tc>
      </w:tr>
      <w:tr>
        <w:tc>
          <w:tcPr>
            <w:tcW w:w="2693" w:type="dxa"/>
            <w:vMerge/>
          </w:tcPr>
          <w:p>
            <w:pPr>
              <w:pStyle w:val="TableNAm"/>
              <w:spacing w:before="60"/>
              <w:ind w:left="170" w:hanging="170"/>
            </w:pPr>
          </w:p>
        </w:tc>
        <w:tc>
          <w:tcPr>
            <w:tcW w:w="2693" w:type="dxa"/>
          </w:tcPr>
          <w:p>
            <w:pPr>
              <w:pStyle w:val="TableNAm"/>
              <w:spacing w:before="60"/>
              <w:ind w:left="170" w:hanging="170"/>
            </w:pPr>
            <w:r>
              <w:t>s. 121(9)</w:t>
            </w:r>
          </w:p>
        </w:tc>
      </w:tr>
      <w:tr>
        <w:tc>
          <w:tcPr>
            <w:tcW w:w="2693" w:type="dxa"/>
          </w:tcPr>
          <w:p>
            <w:pPr>
              <w:pStyle w:val="TableNAm"/>
              <w:spacing w:before="60"/>
              <w:ind w:left="170" w:hanging="170"/>
            </w:pPr>
            <w:r>
              <w:t>s. 106(3)</w:t>
            </w:r>
          </w:p>
        </w:tc>
        <w:tc>
          <w:tcPr>
            <w:tcW w:w="2693" w:type="dxa"/>
          </w:tcPr>
          <w:p>
            <w:pPr>
              <w:pStyle w:val="TableNAm"/>
              <w:spacing w:before="60"/>
              <w:ind w:left="170" w:hanging="170"/>
            </w:pPr>
            <w:r>
              <w:t>s. 121(10)</w:t>
            </w:r>
          </w:p>
        </w:tc>
      </w:tr>
      <w:tr>
        <w:tc>
          <w:tcPr>
            <w:tcW w:w="2693" w:type="dxa"/>
          </w:tcPr>
          <w:p>
            <w:pPr>
              <w:pStyle w:val="TableNAm"/>
              <w:spacing w:before="60"/>
              <w:ind w:left="170" w:hanging="170"/>
            </w:pPr>
            <w:r>
              <w:t>s. 108</w:t>
            </w:r>
          </w:p>
        </w:tc>
        <w:tc>
          <w:tcPr>
            <w:tcW w:w="2693" w:type="dxa"/>
          </w:tcPr>
          <w:p>
            <w:pPr>
              <w:pStyle w:val="TableNAm"/>
              <w:spacing w:before="60"/>
              <w:ind w:left="170" w:hanging="170"/>
            </w:pPr>
            <w:r>
              <w:t>s. 122(2)</w:t>
            </w:r>
          </w:p>
        </w:tc>
      </w:tr>
      <w:tr>
        <w:tc>
          <w:tcPr>
            <w:tcW w:w="2693" w:type="dxa"/>
          </w:tcPr>
          <w:p>
            <w:pPr>
              <w:pStyle w:val="TableNAm"/>
              <w:spacing w:before="60"/>
              <w:ind w:left="170" w:hanging="170"/>
            </w:pPr>
            <w:r>
              <w:t>s. 110(1)</w:t>
            </w:r>
          </w:p>
        </w:tc>
        <w:tc>
          <w:tcPr>
            <w:tcW w:w="2693" w:type="dxa"/>
          </w:tcPr>
          <w:p>
            <w:pPr>
              <w:pStyle w:val="TableNAm"/>
              <w:spacing w:before="60"/>
              <w:ind w:left="170" w:hanging="170"/>
            </w:pPr>
            <w:r>
              <w:t>s. 122(3)</w:t>
            </w:r>
          </w:p>
        </w:tc>
      </w:tr>
      <w:tr>
        <w:tc>
          <w:tcPr>
            <w:tcW w:w="2693" w:type="dxa"/>
          </w:tcPr>
          <w:p>
            <w:pPr>
              <w:pStyle w:val="TableNAm"/>
              <w:spacing w:before="60"/>
              <w:ind w:left="170" w:hanging="170"/>
            </w:pPr>
            <w:r>
              <w:t>s. 110(2)</w:t>
            </w:r>
          </w:p>
        </w:tc>
        <w:tc>
          <w:tcPr>
            <w:tcW w:w="2693" w:type="dxa"/>
          </w:tcPr>
          <w:p>
            <w:pPr>
              <w:pStyle w:val="TableNAm"/>
              <w:spacing w:before="60"/>
              <w:ind w:left="170" w:hanging="170"/>
            </w:pPr>
            <w:r>
              <w:t>s. 123(1)</w:t>
            </w:r>
          </w:p>
        </w:tc>
      </w:tr>
      <w:tr>
        <w:tc>
          <w:tcPr>
            <w:tcW w:w="2693" w:type="dxa"/>
          </w:tcPr>
          <w:p>
            <w:pPr>
              <w:pStyle w:val="TableNAm"/>
              <w:spacing w:before="60"/>
              <w:ind w:left="170" w:hanging="170"/>
            </w:pPr>
            <w:r>
              <w:t>s. 110(3)</w:t>
            </w:r>
          </w:p>
        </w:tc>
        <w:tc>
          <w:tcPr>
            <w:tcW w:w="2693" w:type="dxa"/>
          </w:tcPr>
          <w:p>
            <w:pPr>
              <w:pStyle w:val="TableNAm"/>
              <w:spacing w:before="60"/>
              <w:ind w:left="170" w:hanging="170"/>
            </w:pPr>
            <w:r>
              <w:t>s. 123(2)</w:t>
            </w:r>
          </w:p>
        </w:tc>
      </w:tr>
      <w:tr>
        <w:tc>
          <w:tcPr>
            <w:tcW w:w="2693" w:type="dxa"/>
          </w:tcPr>
          <w:p>
            <w:pPr>
              <w:pStyle w:val="TableNAm"/>
              <w:spacing w:before="60"/>
              <w:ind w:left="170" w:hanging="170"/>
            </w:pPr>
            <w:r>
              <w:t>s. 110(4A)</w:t>
            </w:r>
          </w:p>
        </w:tc>
        <w:tc>
          <w:tcPr>
            <w:tcW w:w="2693" w:type="dxa"/>
          </w:tcPr>
          <w:p>
            <w:pPr>
              <w:pStyle w:val="TableNAm"/>
              <w:spacing w:before="60"/>
              <w:ind w:left="170" w:hanging="170"/>
            </w:pPr>
            <w:r>
              <w:t>s. 124</w:t>
            </w:r>
          </w:p>
        </w:tc>
      </w:tr>
      <w:tr>
        <w:tc>
          <w:tcPr>
            <w:tcW w:w="2693" w:type="dxa"/>
          </w:tcPr>
          <w:p>
            <w:pPr>
              <w:pStyle w:val="TableNAm"/>
              <w:spacing w:before="60"/>
              <w:ind w:left="170" w:hanging="170"/>
            </w:pPr>
            <w:r>
              <w:t>s. 110(4)</w:t>
            </w:r>
          </w:p>
        </w:tc>
        <w:tc>
          <w:tcPr>
            <w:tcW w:w="2693" w:type="dxa"/>
          </w:tcPr>
          <w:p>
            <w:pPr>
              <w:pStyle w:val="TableNAm"/>
              <w:spacing w:before="60"/>
              <w:ind w:left="170" w:hanging="170"/>
            </w:pPr>
            <w:r>
              <w:t>s. 126(2)</w:t>
            </w:r>
          </w:p>
        </w:tc>
      </w:tr>
      <w:tr>
        <w:tc>
          <w:tcPr>
            <w:tcW w:w="2693" w:type="dxa"/>
          </w:tcPr>
          <w:p>
            <w:pPr>
              <w:pStyle w:val="TableNAm"/>
              <w:spacing w:before="60"/>
              <w:ind w:left="170" w:hanging="170"/>
            </w:pPr>
            <w:r>
              <w:t>s. 110(5)</w:t>
            </w:r>
          </w:p>
        </w:tc>
        <w:tc>
          <w:tcPr>
            <w:tcW w:w="2693" w:type="dxa"/>
          </w:tcPr>
          <w:p>
            <w:pPr>
              <w:pStyle w:val="TableNAm"/>
              <w:spacing w:before="60"/>
              <w:ind w:left="170" w:hanging="170"/>
            </w:pPr>
            <w:r>
              <w:t>s. 126(4)</w:t>
            </w:r>
          </w:p>
        </w:tc>
      </w:tr>
      <w:tr>
        <w:tc>
          <w:tcPr>
            <w:tcW w:w="2693" w:type="dxa"/>
          </w:tcPr>
          <w:p>
            <w:pPr>
              <w:pStyle w:val="TableNAm"/>
              <w:spacing w:before="60"/>
              <w:ind w:left="170" w:hanging="170"/>
            </w:pPr>
            <w:r>
              <w:t>s. 110(7)</w:t>
            </w:r>
          </w:p>
        </w:tc>
        <w:tc>
          <w:tcPr>
            <w:tcW w:w="2693" w:type="dxa"/>
          </w:tcPr>
          <w:p>
            <w:pPr>
              <w:pStyle w:val="TableNAm"/>
              <w:spacing w:before="60"/>
              <w:ind w:left="170" w:hanging="170"/>
            </w:pPr>
            <w:r>
              <w:t>s. 126(5)</w:t>
            </w:r>
          </w:p>
        </w:tc>
      </w:tr>
      <w:tr>
        <w:tc>
          <w:tcPr>
            <w:tcW w:w="2693" w:type="dxa"/>
          </w:tcPr>
          <w:p>
            <w:pPr>
              <w:pStyle w:val="TableNAm"/>
              <w:spacing w:before="60"/>
              <w:ind w:left="170" w:hanging="170"/>
            </w:pPr>
            <w:r>
              <w:t>s. 111(1)</w:t>
            </w:r>
          </w:p>
        </w:tc>
        <w:tc>
          <w:tcPr>
            <w:tcW w:w="2693" w:type="dxa"/>
          </w:tcPr>
          <w:p>
            <w:pPr>
              <w:pStyle w:val="TableNAm"/>
              <w:spacing w:before="60"/>
              <w:ind w:left="170" w:hanging="170"/>
            </w:pPr>
            <w:r>
              <w:t>s. 126D(2)</w:t>
            </w:r>
          </w:p>
        </w:tc>
      </w:tr>
      <w:tr>
        <w:tc>
          <w:tcPr>
            <w:tcW w:w="2693" w:type="dxa"/>
          </w:tcPr>
          <w:p>
            <w:pPr>
              <w:pStyle w:val="TableNAm"/>
              <w:spacing w:before="60"/>
              <w:ind w:left="170" w:hanging="170"/>
            </w:pPr>
            <w:r>
              <w:t>s. 111(2)</w:t>
            </w:r>
          </w:p>
        </w:tc>
        <w:tc>
          <w:tcPr>
            <w:tcW w:w="2693" w:type="dxa"/>
          </w:tcPr>
          <w:p>
            <w:pPr>
              <w:pStyle w:val="TableNAm"/>
              <w:spacing w:before="60"/>
              <w:ind w:left="170" w:hanging="170"/>
            </w:pPr>
            <w:r>
              <w:t>s. 135(3)</w:t>
            </w:r>
          </w:p>
        </w:tc>
      </w:tr>
      <w:tr>
        <w:tc>
          <w:tcPr>
            <w:tcW w:w="2693" w:type="dxa"/>
          </w:tcPr>
          <w:p>
            <w:pPr>
              <w:pStyle w:val="TableNAm"/>
              <w:spacing w:before="60"/>
              <w:ind w:left="170" w:hanging="170"/>
            </w:pPr>
            <w:r>
              <w:t>s. 113A</w:t>
            </w:r>
          </w:p>
        </w:tc>
        <w:tc>
          <w:tcPr>
            <w:tcW w:w="2693" w:type="dxa"/>
          </w:tcPr>
          <w:p>
            <w:pPr>
              <w:pStyle w:val="TableNAm"/>
              <w:spacing w:before="60"/>
              <w:ind w:left="170" w:hanging="170"/>
            </w:pPr>
            <w:r>
              <w:t>s. 145(4)</w:t>
            </w:r>
          </w:p>
        </w:tc>
      </w:tr>
      <w:tr>
        <w:tc>
          <w:tcPr>
            <w:tcW w:w="2693" w:type="dxa"/>
          </w:tcPr>
          <w:p>
            <w:pPr>
              <w:pStyle w:val="TableNAm"/>
              <w:spacing w:before="60"/>
              <w:ind w:left="170" w:hanging="170"/>
            </w:pPr>
            <w:r>
              <w:t>s. 115(1)</w:t>
            </w:r>
          </w:p>
        </w:tc>
        <w:tc>
          <w:tcPr>
            <w:tcW w:w="2693" w:type="dxa"/>
          </w:tcPr>
          <w:p>
            <w:pPr>
              <w:pStyle w:val="TableNAm"/>
              <w:spacing w:before="60"/>
              <w:ind w:left="170" w:hanging="170"/>
            </w:pPr>
            <w:r>
              <w:t>s. 146(1)</w:t>
            </w:r>
          </w:p>
        </w:tc>
      </w:tr>
      <w:tr>
        <w:tc>
          <w:tcPr>
            <w:tcW w:w="2693" w:type="dxa"/>
          </w:tcPr>
          <w:p>
            <w:pPr>
              <w:pStyle w:val="TableNAm"/>
              <w:spacing w:before="60"/>
              <w:ind w:left="170" w:hanging="170"/>
            </w:pPr>
            <w:r>
              <w:t>s. 115(2)</w:t>
            </w:r>
          </w:p>
        </w:tc>
        <w:tc>
          <w:tcPr>
            <w:tcW w:w="2693" w:type="dxa"/>
          </w:tcPr>
          <w:p>
            <w:pPr>
              <w:pStyle w:val="TableNAm"/>
              <w:spacing w:before="60"/>
              <w:ind w:left="170" w:hanging="170"/>
            </w:pPr>
            <w:r>
              <w:t>s. 150(2)</w:t>
            </w:r>
          </w:p>
        </w:tc>
      </w:tr>
      <w:tr>
        <w:tc>
          <w:tcPr>
            <w:tcW w:w="2693" w:type="dxa"/>
          </w:tcPr>
          <w:p>
            <w:pPr>
              <w:pStyle w:val="TableNAm"/>
              <w:spacing w:before="60"/>
              <w:ind w:left="170" w:hanging="170"/>
            </w:pPr>
            <w:r>
              <w:t>s. 115(5)</w:t>
            </w:r>
          </w:p>
        </w:tc>
        <w:tc>
          <w:tcPr>
            <w:tcW w:w="2693" w:type="dxa"/>
          </w:tcPr>
          <w:p>
            <w:pPr>
              <w:pStyle w:val="TableNAm"/>
              <w:spacing w:before="60"/>
              <w:ind w:left="170" w:hanging="170"/>
            </w:pPr>
            <w:r>
              <w:t>s. 152L(1)</w:t>
            </w:r>
          </w:p>
        </w:tc>
      </w:tr>
      <w:tr>
        <w:tc>
          <w:tcPr>
            <w:tcW w:w="2693" w:type="dxa"/>
          </w:tcPr>
          <w:p>
            <w:pPr>
              <w:pStyle w:val="TableNAm"/>
              <w:spacing w:before="60"/>
              <w:ind w:left="170" w:hanging="170"/>
            </w:pPr>
            <w:r>
              <w:t>s. 115(6)</w:t>
            </w:r>
          </w:p>
        </w:tc>
        <w:tc>
          <w:tcPr>
            <w:tcW w:w="2693" w:type="dxa"/>
          </w:tcPr>
          <w:p>
            <w:pPr>
              <w:pStyle w:val="TableNAm"/>
              <w:spacing w:before="60"/>
              <w:ind w:left="170" w:hanging="170"/>
            </w:pPr>
            <w:r>
              <w:t>s. 152L(2)</w:t>
            </w:r>
          </w:p>
        </w:tc>
      </w:tr>
      <w:tr>
        <w:tc>
          <w:tcPr>
            <w:tcW w:w="2693" w:type="dxa"/>
          </w:tcPr>
          <w:p>
            <w:pPr>
              <w:pStyle w:val="TableNAm"/>
              <w:spacing w:before="60"/>
              <w:ind w:left="170" w:hanging="170"/>
            </w:pPr>
            <w:r>
              <w:t>s. 115(7)</w:t>
            </w:r>
          </w:p>
        </w:tc>
        <w:tc>
          <w:tcPr>
            <w:tcW w:w="2693" w:type="dxa"/>
          </w:tcPr>
          <w:p>
            <w:pPr>
              <w:pStyle w:val="TableNAm"/>
              <w:spacing w:before="60"/>
              <w:ind w:left="170" w:hanging="170"/>
            </w:pPr>
            <w:r>
              <w:t>s. 154(3)</w:t>
            </w:r>
          </w:p>
        </w:tc>
      </w:tr>
      <w:tr>
        <w:tc>
          <w:tcPr>
            <w:tcW w:w="2693" w:type="dxa"/>
          </w:tcPr>
          <w:p>
            <w:pPr>
              <w:pStyle w:val="TableNAm"/>
              <w:spacing w:before="60"/>
              <w:ind w:left="170" w:hanging="170"/>
            </w:pPr>
            <w:r>
              <w:t>s. 115A(2)</w:t>
            </w:r>
          </w:p>
        </w:tc>
        <w:tc>
          <w:tcPr>
            <w:tcW w:w="2693" w:type="dxa"/>
          </w:tcPr>
          <w:p>
            <w:pPr>
              <w:pStyle w:val="TableNAm"/>
              <w:spacing w:before="60"/>
              <w:ind w:left="170" w:hanging="170"/>
            </w:pPr>
            <w:r>
              <w:t>s. 158(1)</w:t>
            </w:r>
          </w:p>
        </w:tc>
      </w:tr>
      <w:tr>
        <w:tc>
          <w:tcPr>
            <w:tcW w:w="2693" w:type="dxa"/>
          </w:tcPr>
          <w:p>
            <w:pPr>
              <w:pStyle w:val="TableNAm"/>
              <w:spacing w:before="60"/>
              <w:ind w:left="170" w:hanging="170"/>
            </w:pPr>
            <w:r>
              <w:t>s. 116</w:t>
            </w:r>
          </w:p>
        </w:tc>
        <w:tc>
          <w:tcPr>
            <w:tcW w:w="2693" w:type="dxa"/>
          </w:tcPr>
          <w:p>
            <w:pPr>
              <w:pStyle w:val="TableNAm"/>
              <w:spacing w:before="60"/>
              <w:ind w:left="170" w:hanging="170"/>
            </w:pPr>
            <w:r>
              <w:t>s. 159(1)</w:t>
            </w:r>
          </w:p>
        </w:tc>
      </w:tr>
      <w:tr>
        <w:tc>
          <w:tcPr>
            <w:tcW w:w="2693" w:type="dxa"/>
          </w:tcPr>
          <w:p>
            <w:pPr>
              <w:pStyle w:val="TableNAm"/>
              <w:spacing w:before="60"/>
              <w:ind w:left="170" w:hanging="170"/>
            </w:pPr>
            <w:r>
              <w:t>s. 116A(1)</w:t>
            </w:r>
          </w:p>
        </w:tc>
        <w:tc>
          <w:tcPr>
            <w:tcW w:w="2693" w:type="dxa"/>
          </w:tcPr>
          <w:p>
            <w:pPr>
              <w:pStyle w:val="TableNAm"/>
              <w:spacing w:before="60"/>
              <w:ind w:left="170" w:hanging="170"/>
            </w:pPr>
            <w:r>
              <w:t>s. 159(3)</w:t>
            </w:r>
          </w:p>
        </w:tc>
      </w:tr>
      <w:tr>
        <w:tc>
          <w:tcPr>
            <w:tcW w:w="2693" w:type="dxa"/>
          </w:tcPr>
          <w:p>
            <w:pPr>
              <w:pStyle w:val="TableNAm"/>
              <w:spacing w:before="60"/>
              <w:ind w:left="170" w:hanging="170"/>
            </w:pPr>
            <w:r>
              <w:t>s. 116A(3)</w:t>
            </w:r>
          </w:p>
        </w:tc>
        <w:tc>
          <w:tcPr>
            <w:tcW w:w="2693" w:type="dxa"/>
          </w:tcPr>
          <w:p>
            <w:pPr>
              <w:pStyle w:val="TableNAm"/>
              <w:spacing w:before="60"/>
              <w:ind w:left="170" w:hanging="170"/>
            </w:pPr>
            <w:r>
              <w:t>s. 160(4)</w:t>
            </w:r>
          </w:p>
        </w:tc>
      </w:tr>
      <w:tr>
        <w:tc>
          <w:tcPr>
            <w:tcW w:w="2693" w:type="dxa"/>
          </w:tcPr>
          <w:p>
            <w:pPr>
              <w:pStyle w:val="TableNAm"/>
              <w:spacing w:before="60"/>
              <w:ind w:left="170" w:hanging="170"/>
            </w:pPr>
            <w:r>
              <w:t>s. 118(3)</w:t>
            </w:r>
          </w:p>
        </w:tc>
        <w:tc>
          <w:tcPr>
            <w:tcW w:w="2693" w:type="dxa"/>
          </w:tcPr>
          <w:p>
            <w:pPr>
              <w:pStyle w:val="TableNAm"/>
              <w:spacing w:before="60"/>
              <w:ind w:left="170" w:hanging="170"/>
            </w:pPr>
            <w:r>
              <w:t>s. 161(7)</w:t>
            </w:r>
          </w:p>
        </w:tc>
      </w:tr>
      <w:tr>
        <w:tc>
          <w:tcPr>
            <w:tcW w:w="2693" w:type="dxa"/>
          </w:tcPr>
          <w:p>
            <w:pPr>
              <w:pStyle w:val="TableNAm"/>
              <w:spacing w:before="60"/>
              <w:ind w:left="170" w:hanging="170"/>
            </w:pPr>
            <w:r>
              <w:t>s. 119(1)</w:t>
            </w:r>
          </w:p>
        </w:tc>
        <w:tc>
          <w:tcPr>
            <w:tcW w:w="2693" w:type="dxa"/>
          </w:tcPr>
          <w:p>
            <w:pPr>
              <w:pStyle w:val="TableNAm"/>
              <w:spacing w:before="60"/>
              <w:ind w:left="170" w:hanging="170"/>
            </w:pPr>
          </w:p>
        </w:tc>
      </w:tr>
    </w:tbl>
    <w:p>
      <w:pPr>
        <w:pStyle w:val="Subsection"/>
      </w:pPr>
      <w:r>
        <w:tab/>
        <w:t>(3)</w:t>
      </w:r>
      <w:r>
        <w:tab/>
        <w:t>For the purposes of section 167(2)(a), an offence against a provision of these regulations listed in the Table to this subregulation is a prescribed offence.</w:t>
      </w:r>
    </w:p>
    <w:p>
      <w:pPr>
        <w:pStyle w:val="MiscellaneousHeading"/>
        <w:keepLines/>
        <w:spacing w:after="120"/>
        <w:rPr>
          <w:b/>
        </w:rPr>
      </w:pPr>
      <w:r>
        <w:rPr>
          <w:b/>
        </w:rPr>
        <w:t>Table</w:t>
      </w:r>
    </w:p>
    <w:tbl>
      <w:tblPr>
        <w:tblW w:w="0" w:type="auto"/>
        <w:tblInd w:w="1526" w:type="dxa"/>
        <w:tblLayout w:type="fixed"/>
        <w:tblLook w:val="0000" w:firstRow="0" w:lastRow="0" w:firstColumn="0" w:lastColumn="0" w:noHBand="0" w:noVBand="0"/>
      </w:tblPr>
      <w:tblGrid>
        <w:gridCol w:w="2693"/>
        <w:gridCol w:w="2693"/>
      </w:tblGrid>
      <w:tr>
        <w:tc>
          <w:tcPr>
            <w:tcW w:w="2693" w:type="dxa"/>
          </w:tcPr>
          <w:p>
            <w:pPr>
              <w:pStyle w:val="TableNAm"/>
              <w:spacing w:before="60"/>
            </w:pPr>
            <w:r>
              <w:t>r. 14ADE(4)</w:t>
            </w:r>
          </w:p>
        </w:tc>
        <w:tc>
          <w:tcPr>
            <w:tcW w:w="2693" w:type="dxa"/>
          </w:tcPr>
          <w:p>
            <w:pPr>
              <w:pStyle w:val="TableNAm"/>
              <w:spacing w:before="60"/>
            </w:pPr>
            <w:r>
              <w:t>r. 14AE(3)</w:t>
            </w:r>
          </w:p>
        </w:tc>
      </w:tr>
      <w:tr>
        <w:tc>
          <w:tcPr>
            <w:tcW w:w="2693" w:type="dxa"/>
          </w:tcPr>
          <w:p>
            <w:pPr>
              <w:pStyle w:val="TableNAm"/>
              <w:spacing w:before="60"/>
            </w:pPr>
            <w:r>
              <w:t>r. 14AE(1)</w:t>
            </w:r>
          </w:p>
        </w:tc>
        <w:tc>
          <w:tcPr>
            <w:tcW w:w="2693" w:type="dxa"/>
          </w:tcPr>
          <w:p>
            <w:pPr>
              <w:pStyle w:val="TableNAm"/>
              <w:spacing w:before="60"/>
            </w:pPr>
            <w:r>
              <w:t>r. 14AG(1a)</w:t>
            </w:r>
          </w:p>
        </w:tc>
      </w:tr>
      <w:tr>
        <w:tc>
          <w:tcPr>
            <w:tcW w:w="2693" w:type="dxa"/>
          </w:tcPr>
          <w:p>
            <w:pPr>
              <w:pStyle w:val="TableNAm"/>
              <w:spacing w:before="60"/>
            </w:pPr>
            <w:r>
              <w:t>r. 14AE(2)</w:t>
            </w:r>
          </w:p>
        </w:tc>
        <w:tc>
          <w:tcPr>
            <w:tcW w:w="2693" w:type="dxa"/>
          </w:tcPr>
          <w:p>
            <w:pPr>
              <w:pStyle w:val="TableNAm"/>
              <w:spacing w:before="60"/>
            </w:pPr>
            <w:r>
              <w:t>r. 23(3)</w:t>
            </w:r>
          </w:p>
        </w:tc>
      </w:tr>
    </w:tbl>
    <w:p>
      <w:pPr>
        <w:pStyle w:val="Subsection"/>
      </w:pPr>
      <w:r>
        <w:tab/>
        <w:t>(4)</w:t>
      </w:r>
      <w:r>
        <w:tab/>
        <w:t>For the purposes of section 167(2)(a), an offence against a provision listed in the Table is a prescribed offence.</w:t>
      </w:r>
    </w:p>
    <w:p>
      <w:pPr>
        <w:pStyle w:val="THeadingNAm"/>
      </w:pPr>
      <w:r>
        <w:t>Table</w:t>
      </w:r>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245"/>
      </w:tblGrid>
      <w:tr>
        <w:tc>
          <w:tcPr>
            <w:tcW w:w="5245" w:type="dxa"/>
          </w:tcPr>
          <w:p>
            <w:pPr>
              <w:pStyle w:val="TableNAm"/>
              <w:rPr>
                <w:i/>
                <w:iCs/>
              </w:rPr>
            </w:pPr>
            <w:r>
              <w:rPr>
                <w:i/>
                <w:iCs/>
              </w:rPr>
              <w:t xml:space="preserve">Liquor Control (Bayulu Restricted Area) Regulations 2010 </w:t>
            </w:r>
            <w:r>
              <w:t>regulation 7(1)</w:t>
            </w:r>
          </w:p>
        </w:tc>
      </w:tr>
      <w:tr>
        <w:tc>
          <w:tcPr>
            <w:tcW w:w="5245" w:type="dxa"/>
          </w:tcPr>
          <w:p>
            <w:pPr>
              <w:pStyle w:val="TableNAm"/>
              <w:rPr>
                <w:i/>
                <w:iCs/>
              </w:rPr>
            </w:pPr>
            <w:r>
              <w:rPr>
                <w:i/>
                <w:iCs/>
              </w:rPr>
              <w:t>Liquor Control (Irrungadji Restricted Area) Regulations 2010</w:t>
            </w:r>
            <w:r>
              <w:t xml:space="preserve"> regulation 7(1)</w:t>
            </w:r>
          </w:p>
        </w:tc>
      </w:tr>
      <w:tr>
        <w:tc>
          <w:tcPr>
            <w:tcW w:w="5245" w:type="dxa"/>
          </w:tcPr>
          <w:p>
            <w:pPr>
              <w:pStyle w:val="TableNAm"/>
            </w:pPr>
            <w:r>
              <w:rPr>
                <w:i/>
                <w:iCs/>
              </w:rPr>
              <w:t>Liquor Control (Jigalong Restricted Area) Regulations 2009</w:t>
            </w:r>
            <w:r>
              <w:t xml:space="preserve"> regulation 7(1)</w:t>
            </w:r>
          </w:p>
        </w:tc>
      </w:tr>
      <w:tr>
        <w:tc>
          <w:tcPr>
            <w:tcW w:w="5245" w:type="dxa"/>
          </w:tcPr>
          <w:p>
            <w:pPr>
              <w:pStyle w:val="TableNAm"/>
              <w:rPr>
                <w:i/>
                <w:iCs/>
              </w:rPr>
            </w:pPr>
            <w:r>
              <w:rPr>
                <w:i/>
              </w:rPr>
              <w:t>Liquor Control (Juwurlinji Restricted Area) Regulations 2009</w:t>
            </w:r>
            <w:r>
              <w:t xml:space="preserve"> regulation 7(1)</w:t>
            </w:r>
          </w:p>
        </w:tc>
      </w:tr>
      <w:tr>
        <w:tc>
          <w:tcPr>
            <w:tcW w:w="5245" w:type="dxa"/>
          </w:tcPr>
          <w:p>
            <w:pPr>
              <w:pStyle w:val="TableNAm"/>
              <w:rPr>
                <w:i/>
              </w:rPr>
            </w:pPr>
            <w:r>
              <w:rPr>
                <w:i/>
              </w:rPr>
              <w:t>Liquor Control (</w:t>
            </w:r>
            <w:smartTag w:uri="urn:schemas-microsoft-com:office:smarttags" w:element="place">
              <w:smartTag w:uri="urn:schemas-microsoft-com:office:smarttags" w:element="PlaceName">
                <w:r>
                  <w:rPr>
                    <w:i/>
                  </w:rPr>
                  <w:t>Koongie</w:t>
                </w:r>
              </w:smartTag>
              <w:r>
                <w:rPr>
                  <w:i/>
                </w:rPr>
                <w:t xml:space="preserve"> </w:t>
              </w:r>
              <w:smartTag w:uri="urn:schemas-microsoft-com:office:smarttags" w:element="PlaceType">
                <w:r>
                  <w:rPr>
                    <w:i/>
                  </w:rPr>
                  <w:t>Park</w:t>
                </w:r>
              </w:smartTag>
            </w:smartTag>
            <w:r>
              <w:rPr>
                <w:i/>
              </w:rPr>
              <w:t xml:space="preserve"> Restricted Area) Regulations 2010</w:t>
            </w:r>
            <w:r>
              <w:t xml:space="preserve"> regulation 7(1)</w:t>
            </w:r>
          </w:p>
        </w:tc>
      </w:tr>
      <w:tr>
        <w:tc>
          <w:tcPr>
            <w:tcW w:w="5245" w:type="dxa"/>
          </w:tcPr>
          <w:p>
            <w:pPr>
              <w:pStyle w:val="TableNAm"/>
              <w:rPr>
                <w:i/>
              </w:rPr>
            </w:pPr>
            <w:r>
              <w:rPr>
                <w:i/>
              </w:rPr>
              <w:t>Liquor Control (Kunawarritji Restricted Area) Regulations 2011</w:t>
            </w:r>
            <w:r>
              <w:t xml:space="preserve"> regulation 7(1)</w:t>
            </w:r>
          </w:p>
        </w:tc>
      </w:tr>
      <w:tr>
        <w:tc>
          <w:tcPr>
            <w:tcW w:w="5245" w:type="dxa"/>
          </w:tcPr>
          <w:p>
            <w:pPr>
              <w:pStyle w:val="TableNAm"/>
              <w:rPr>
                <w:i/>
              </w:rPr>
            </w:pPr>
            <w:r>
              <w:rPr>
                <w:i/>
              </w:rPr>
              <w:t>Liquor Control (Kundat Djaru Restricted Area) Regulations 2010</w:t>
            </w:r>
            <w:r>
              <w:t xml:space="preserve"> regulation 7(1)</w:t>
            </w:r>
          </w:p>
        </w:tc>
      </w:tr>
      <w:tr>
        <w:tc>
          <w:tcPr>
            <w:tcW w:w="5245" w:type="dxa"/>
          </w:tcPr>
          <w:p>
            <w:pPr>
              <w:pStyle w:val="TableNAm"/>
              <w:rPr>
                <w:i/>
              </w:rPr>
            </w:pPr>
            <w:r>
              <w:rPr>
                <w:i/>
              </w:rPr>
              <w:t>Liquor Control (Looma Restricted Area) Regulations 2011</w:t>
            </w:r>
            <w:r>
              <w:t xml:space="preserve"> </w:t>
            </w:r>
            <w:r>
              <w:rPr>
                <w:iCs/>
              </w:rPr>
              <w:t>regulation 7(1)</w:t>
            </w:r>
          </w:p>
        </w:tc>
      </w:tr>
      <w:tr>
        <w:tc>
          <w:tcPr>
            <w:tcW w:w="5245" w:type="dxa"/>
          </w:tcPr>
          <w:p>
            <w:pPr>
              <w:pStyle w:val="TableNAm"/>
              <w:rPr>
                <w:i/>
              </w:rPr>
            </w:pPr>
            <w:r>
              <w:rPr>
                <w:i/>
              </w:rPr>
              <w:t>Liquor Control (Nicholson Block Restricted Area) Regulations 2010</w:t>
            </w:r>
            <w:r>
              <w:t xml:space="preserve"> regulation 7(1)</w:t>
            </w:r>
          </w:p>
        </w:tc>
      </w:tr>
      <w:tr>
        <w:trPr>
          <w:cantSplit/>
        </w:trPr>
        <w:tc>
          <w:tcPr>
            <w:tcW w:w="5245" w:type="dxa"/>
          </w:tcPr>
          <w:p>
            <w:pPr>
              <w:pStyle w:val="TableNAm"/>
              <w:rPr>
                <w:i/>
              </w:rPr>
            </w:pPr>
            <w:r>
              <w:rPr>
                <w:i/>
              </w:rPr>
              <w:t>Liquor Control (Noonkanbah Restricted Area) Regulations 2009</w:t>
            </w:r>
            <w:r>
              <w:t xml:space="preserve"> regulation 7(1)</w:t>
            </w:r>
          </w:p>
        </w:tc>
      </w:tr>
      <w:tr>
        <w:trPr>
          <w:cantSplit/>
        </w:trPr>
        <w:tc>
          <w:tcPr>
            <w:tcW w:w="5245" w:type="dxa"/>
          </w:tcPr>
          <w:p>
            <w:pPr>
              <w:pStyle w:val="TableNAm"/>
            </w:pPr>
            <w:r>
              <w:rPr>
                <w:i/>
                <w:iCs/>
              </w:rPr>
              <w:t>Liquor Control (Oombulgurri Restricted Area) Regulations 2008</w:t>
            </w:r>
            <w:r>
              <w:t xml:space="preserve"> regulation 7(1)</w:t>
            </w:r>
          </w:p>
        </w:tc>
      </w:tr>
      <w:tr>
        <w:trPr>
          <w:cantSplit/>
        </w:trPr>
        <w:tc>
          <w:tcPr>
            <w:tcW w:w="5245" w:type="dxa"/>
          </w:tcPr>
          <w:p>
            <w:pPr>
              <w:pStyle w:val="TableNAm"/>
              <w:rPr>
                <w:i/>
                <w:iCs/>
              </w:rPr>
            </w:pPr>
            <w:r>
              <w:rPr>
                <w:i/>
                <w:iCs/>
              </w:rPr>
              <w:t>Liquor Control (</w:t>
            </w:r>
            <w:smartTag w:uri="urn:schemas-microsoft-com:office:smarttags" w:element="place">
              <w:smartTag w:uri="urn:schemas-microsoft-com:office:smarttags" w:element="PlaceName">
                <w:r>
                  <w:rPr>
                    <w:i/>
                    <w:iCs/>
                  </w:rPr>
                  <w:t>Pandanus</w:t>
                </w:r>
              </w:smartTag>
              <w:r>
                <w:rPr>
                  <w:i/>
                  <w:iCs/>
                </w:rPr>
                <w:t xml:space="preserve"> </w:t>
              </w:r>
              <w:smartTag w:uri="urn:schemas-microsoft-com:office:smarttags" w:element="PlaceType">
                <w:r>
                  <w:rPr>
                    <w:i/>
                    <w:iCs/>
                  </w:rPr>
                  <w:t>Park</w:t>
                </w:r>
              </w:smartTag>
            </w:smartTag>
            <w:r>
              <w:rPr>
                <w:i/>
                <w:iCs/>
              </w:rPr>
              <w:t xml:space="preserve"> Restricted Area) Regulations 2011 </w:t>
            </w:r>
            <w:r>
              <w:t>regulation 7(1)</w:t>
            </w:r>
          </w:p>
        </w:tc>
      </w:tr>
      <w:tr>
        <w:trPr>
          <w:cantSplit/>
        </w:trPr>
        <w:tc>
          <w:tcPr>
            <w:tcW w:w="5245" w:type="dxa"/>
          </w:tcPr>
          <w:p>
            <w:pPr>
              <w:pStyle w:val="TableNAm"/>
              <w:rPr>
                <w:i/>
                <w:iCs/>
              </w:rPr>
            </w:pPr>
            <w:r>
              <w:rPr>
                <w:i/>
                <w:iCs/>
              </w:rPr>
              <w:t>Liquor Control (Punmu Restricted Area) Regulations 2010</w:t>
            </w:r>
            <w:r>
              <w:t xml:space="preserve"> regulation 7(2)</w:t>
            </w:r>
          </w:p>
        </w:tc>
      </w:tr>
      <w:tr>
        <w:tc>
          <w:tcPr>
            <w:tcW w:w="5245" w:type="dxa"/>
          </w:tcPr>
          <w:p>
            <w:pPr>
              <w:pStyle w:val="TableNAm"/>
            </w:pPr>
            <w:r>
              <w:rPr>
                <w:i/>
                <w:iCs/>
              </w:rPr>
              <w:t>Liquor Control (Wangkatjungka Restricted Area) Regulations 2008</w:t>
            </w:r>
            <w:r>
              <w:t xml:space="preserve"> regulation 7(1)</w:t>
            </w:r>
          </w:p>
        </w:tc>
      </w:tr>
      <w:tr>
        <w:tc>
          <w:tcPr>
            <w:tcW w:w="5245" w:type="dxa"/>
          </w:tcPr>
          <w:p>
            <w:pPr>
              <w:pStyle w:val="TableNAm"/>
              <w:rPr>
                <w:i/>
                <w:iCs/>
              </w:rPr>
            </w:pPr>
            <w:r>
              <w:rPr>
                <w:i/>
                <w:iCs/>
              </w:rPr>
              <w:t xml:space="preserve">Liquor Control (Yakanarra Restricted Area) Regulations 2010 </w:t>
            </w:r>
            <w:r>
              <w:t>regulation 7(1)</w:t>
            </w:r>
          </w:p>
        </w:tc>
      </w:tr>
    </w:tbl>
    <w:p>
      <w:pPr>
        <w:pStyle w:val="Footnotesection"/>
      </w:pPr>
      <w:r>
        <w:tab/>
        <w:t>[Regulation 27 amended in Gazette 1 May 2007 p. 1886</w:t>
      </w:r>
      <w:r>
        <w:noBreakHyphen/>
        <w:t>7 and 1888</w:t>
      </w:r>
      <w:r>
        <w:noBreakHyphen/>
        <w:t>9; 28 Sep 2007 p. 4930; 22 Apr 2008 p. 1545; 7 Nov 2008 p. 4822; 1 May 2009 p. 1438; 24 Jul 2009 p. 2949 and p. 2952; 28 May 2010 p. 2301; 8 Jun 2010 p. 2619; 17 Sep 2010 p. 4762, 4765 and 4768; 3 Dec 2010 p. 6060 and 6063; 3 May 2011 p. 1600; 27 May 2011 p. 1932 and 1935; 3 Jun 2011 p. 1998 and 2001.]</w:t>
      </w:r>
    </w:p>
    <w:p>
      <w:pPr>
        <w:pStyle w:val="Ednotesection"/>
        <w:spacing w:before="180"/>
        <w:ind w:left="890" w:hanging="890"/>
      </w:pPr>
      <w:r>
        <w:t>[</w:t>
      </w:r>
      <w:r>
        <w:rPr>
          <w:b/>
        </w:rPr>
        <w:t>28.</w:t>
      </w:r>
      <w:r>
        <w:rPr>
          <w:b/>
        </w:rPr>
        <w:tab/>
      </w:r>
      <w:r>
        <w:t>Deleted in Gazette 30 Jan 1998 p. 568.]</w:t>
      </w:r>
    </w:p>
    <w:p>
      <w:pPr>
        <w:sectPr>
          <w:headerReference w:type="even" r:id="rId23"/>
          <w:headerReference w:type="default" r:id="rId24"/>
          <w:footerReference w:type="even" r:id="rId25"/>
          <w:footerReference w:type="default" r:id="rId26"/>
          <w:headerReference w:type="first" r:id="rId27"/>
          <w:footerReference w:type="first" r:id="rId28"/>
          <w:pgSz w:w="11906" w:h="16838" w:code="9"/>
          <w:pgMar w:top="2381" w:right="2409" w:bottom="3543" w:left="2409" w:header="720" w:footer="3380" w:gutter="0"/>
          <w:pgNumType w:start="1"/>
          <w:cols w:space="720"/>
          <w:noEndnote/>
          <w:titlePg/>
          <w:docGrid w:linePitch="326"/>
        </w:sectPr>
      </w:pPr>
    </w:p>
    <w:p>
      <w:pPr>
        <w:pStyle w:val="yScheduleHeading"/>
      </w:pPr>
      <w:bookmarkStart w:id="660" w:name="_Toc534780069"/>
      <w:bookmarkStart w:id="661" w:name="_Toc3352151"/>
      <w:bookmarkStart w:id="662" w:name="_Toc22966252"/>
      <w:bookmarkStart w:id="663" w:name="_Toc66263859"/>
      <w:bookmarkStart w:id="664" w:name="_Toc67978809"/>
      <w:bookmarkStart w:id="665" w:name="_Toc79826631"/>
      <w:bookmarkStart w:id="666" w:name="_Toc113176298"/>
      <w:bookmarkStart w:id="667" w:name="_Toc113180387"/>
      <w:bookmarkStart w:id="668" w:name="_Toc114391762"/>
      <w:bookmarkStart w:id="669" w:name="_Toc115171739"/>
      <w:bookmarkStart w:id="670" w:name="_Toc118609141"/>
      <w:bookmarkStart w:id="671" w:name="_Toc119294100"/>
      <w:bookmarkStart w:id="672" w:name="_Toc123633193"/>
      <w:bookmarkStart w:id="673" w:name="_Toc123633280"/>
      <w:bookmarkStart w:id="674" w:name="_Toc127594637"/>
      <w:bookmarkStart w:id="675" w:name="_Toc155066800"/>
      <w:bookmarkStart w:id="676" w:name="_Toc155084698"/>
      <w:bookmarkStart w:id="677" w:name="_Toc166316640"/>
      <w:bookmarkStart w:id="678" w:name="_Toc169665139"/>
      <w:bookmarkStart w:id="679" w:name="_Toc169672017"/>
      <w:bookmarkStart w:id="680" w:name="_Toc171323205"/>
      <w:bookmarkStart w:id="681" w:name="_Toc172713669"/>
      <w:bookmarkStart w:id="682" w:name="_Toc172713962"/>
      <w:bookmarkStart w:id="683" w:name="_Toc173550873"/>
      <w:bookmarkStart w:id="684" w:name="_Toc173560586"/>
      <w:bookmarkStart w:id="685" w:name="_Toc178676593"/>
      <w:bookmarkStart w:id="686" w:name="_Toc178676873"/>
      <w:bookmarkStart w:id="687" w:name="_Toc178677070"/>
      <w:bookmarkStart w:id="688" w:name="_Toc178734884"/>
      <w:bookmarkStart w:id="689" w:name="_Toc178741343"/>
      <w:bookmarkStart w:id="690" w:name="_Toc179100283"/>
      <w:bookmarkStart w:id="691" w:name="_Toc179103249"/>
      <w:bookmarkStart w:id="692" w:name="_Toc179708631"/>
      <w:bookmarkStart w:id="693" w:name="_Toc179708737"/>
      <w:bookmarkStart w:id="694" w:name="_Toc185652746"/>
      <w:bookmarkStart w:id="695" w:name="_Toc185654451"/>
      <w:bookmarkStart w:id="696" w:name="_Toc196630684"/>
      <w:bookmarkStart w:id="697" w:name="_Toc197489584"/>
      <w:bookmarkStart w:id="698" w:name="_Toc197489655"/>
      <w:bookmarkStart w:id="699" w:name="_Toc197493322"/>
      <w:bookmarkStart w:id="700" w:name="_Toc201728696"/>
      <w:bookmarkStart w:id="701" w:name="_Toc201738254"/>
      <w:bookmarkStart w:id="702" w:name="_Toc201738324"/>
      <w:bookmarkStart w:id="703" w:name="_Toc201741262"/>
      <w:bookmarkStart w:id="704" w:name="_Toc201741453"/>
      <w:bookmarkStart w:id="705" w:name="_Toc202058819"/>
      <w:bookmarkStart w:id="706" w:name="_Toc202842898"/>
      <w:bookmarkStart w:id="707" w:name="_Toc212535052"/>
      <w:bookmarkStart w:id="708" w:name="_Toc212605403"/>
      <w:bookmarkStart w:id="709" w:name="_Toc212947104"/>
      <w:bookmarkStart w:id="710" w:name="_Toc213749826"/>
      <w:bookmarkStart w:id="711" w:name="_Toc231026184"/>
      <w:bookmarkStart w:id="712" w:name="_Toc231026255"/>
      <w:bookmarkStart w:id="713" w:name="_Toc231694208"/>
      <w:bookmarkStart w:id="714" w:name="_Toc233777098"/>
      <w:bookmarkStart w:id="715" w:name="_Toc234034471"/>
      <w:bookmarkStart w:id="716" w:name="_Toc234036699"/>
      <w:bookmarkStart w:id="717" w:name="_Toc236127827"/>
      <w:bookmarkStart w:id="718" w:name="_Toc246401792"/>
      <w:bookmarkStart w:id="719" w:name="_Toc246403942"/>
      <w:bookmarkStart w:id="720" w:name="_Toc249257448"/>
      <w:bookmarkStart w:id="721" w:name="_Toc251246184"/>
      <w:bookmarkStart w:id="722" w:name="_Toc255309760"/>
      <w:bookmarkStart w:id="723" w:name="_Toc259617853"/>
      <w:bookmarkStart w:id="724" w:name="_Toc260654289"/>
      <w:bookmarkStart w:id="725" w:name="_Toc262460751"/>
      <w:bookmarkStart w:id="726" w:name="_Toc262656767"/>
      <w:bookmarkStart w:id="727" w:name="_Toc262718309"/>
      <w:bookmarkStart w:id="728" w:name="_Toc262718754"/>
      <w:bookmarkStart w:id="729" w:name="_Toc263073553"/>
      <w:bookmarkStart w:id="730" w:name="_Toc264018305"/>
      <w:bookmarkStart w:id="731" w:name="_Toc272322666"/>
      <w:bookmarkStart w:id="732" w:name="_Toc272411022"/>
      <w:bookmarkStart w:id="733" w:name="_Toc272411093"/>
      <w:bookmarkStart w:id="734" w:name="_Toc275443542"/>
      <w:bookmarkStart w:id="735" w:name="_Toc279141665"/>
      <w:bookmarkStart w:id="736" w:name="_Toc281463891"/>
      <w:bookmarkStart w:id="737" w:name="_Toc292112291"/>
      <w:bookmarkStart w:id="738" w:name="_Toc292112362"/>
      <w:bookmarkStart w:id="739" w:name="_Toc294260092"/>
      <w:bookmarkStart w:id="740" w:name="_Toc294860733"/>
      <w:bookmarkStart w:id="741" w:name="_Toc298410637"/>
      <w:bookmarkStart w:id="742" w:name="_Toc300583791"/>
      <w:bookmarkStart w:id="743" w:name="_Toc300837727"/>
      <w:bookmarkStart w:id="744" w:name="_Toc300926170"/>
      <w:bookmarkStart w:id="745" w:name="_Toc301770415"/>
      <w:bookmarkStart w:id="746" w:name="_Toc302391554"/>
      <w:bookmarkStart w:id="747" w:name="_Toc303261623"/>
      <w:bookmarkStart w:id="748" w:name="_Toc303261707"/>
      <w:bookmarkStart w:id="749" w:name="_Toc303323205"/>
      <w:bookmarkStart w:id="750" w:name="_Toc303323522"/>
      <w:bookmarkStart w:id="751" w:name="_Toc303323606"/>
      <w:bookmarkStart w:id="752" w:name="_Toc303323690"/>
      <w:bookmarkStart w:id="753" w:name="_Toc303323774"/>
      <w:bookmarkStart w:id="754" w:name="_Toc303323858"/>
      <w:bookmarkStart w:id="755" w:name="_Toc303323942"/>
      <w:bookmarkStart w:id="756" w:name="_Toc303926988"/>
      <w:r>
        <w:rPr>
          <w:rStyle w:val="CharSchNo"/>
        </w:rPr>
        <w:t>Schedule 1</w:t>
      </w:r>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p>
    <w:p>
      <w:pPr>
        <w:pStyle w:val="yShoulderClause"/>
        <w:spacing w:before="60"/>
        <w:rPr>
          <w:snapToGrid w:val="0"/>
        </w:rPr>
      </w:pPr>
      <w:r>
        <w:rPr>
          <w:snapToGrid w:val="0"/>
        </w:rPr>
        <w:t>[Regulation 3]</w:t>
      </w:r>
    </w:p>
    <w:p>
      <w:pPr>
        <w:pStyle w:val="yHeading2"/>
        <w:outlineLvl w:val="9"/>
      </w:pPr>
      <w:bookmarkStart w:id="757" w:name="_Toc113176299"/>
      <w:bookmarkStart w:id="758" w:name="_Toc113180388"/>
      <w:bookmarkStart w:id="759" w:name="_Toc114391763"/>
      <w:bookmarkStart w:id="760" w:name="_Toc115171740"/>
      <w:bookmarkStart w:id="761" w:name="_Toc118609142"/>
      <w:bookmarkStart w:id="762" w:name="_Toc119294101"/>
      <w:bookmarkStart w:id="763" w:name="_Toc123633194"/>
      <w:bookmarkStart w:id="764" w:name="_Toc123633281"/>
      <w:bookmarkStart w:id="765" w:name="_Toc127594638"/>
      <w:bookmarkStart w:id="766" w:name="_Toc155066801"/>
      <w:bookmarkStart w:id="767" w:name="_Toc155084699"/>
      <w:bookmarkStart w:id="768" w:name="_Toc166316641"/>
      <w:bookmarkStart w:id="769" w:name="_Toc169665140"/>
      <w:bookmarkStart w:id="770" w:name="_Toc169672018"/>
      <w:bookmarkStart w:id="771" w:name="_Toc171323206"/>
      <w:bookmarkStart w:id="772" w:name="_Toc172713670"/>
      <w:bookmarkStart w:id="773" w:name="_Toc172713963"/>
      <w:bookmarkStart w:id="774" w:name="_Toc173550874"/>
      <w:bookmarkStart w:id="775" w:name="_Toc173560587"/>
      <w:bookmarkStart w:id="776" w:name="_Toc178676594"/>
      <w:bookmarkStart w:id="777" w:name="_Toc178676874"/>
      <w:bookmarkStart w:id="778" w:name="_Toc178677071"/>
      <w:bookmarkStart w:id="779" w:name="_Toc178734885"/>
      <w:bookmarkStart w:id="780" w:name="_Toc178741344"/>
      <w:bookmarkStart w:id="781" w:name="_Toc179100284"/>
      <w:bookmarkStart w:id="782" w:name="_Toc179103250"/>
      <w:bookmarkStart w:id="783" w:name="_Toc179708632"/>
      <w:bookmarkStart w:id="784" w:name="_Toc179708738"/>
      <w:bookmarkStart w:id="785" w:name="_Toc185652747"/>
      <w:bookmarkStart w:id="786" w:name="_Toc185654452"/>
      <w:bookmarkStart w:id="787" w:name="_Toc196630685"/>
      <w:bookmarkStart w:id="788" w:name="_Toc197489585"/>
      <w:bookmarkStart w:id="789" w:name="_Toc197489656"/>
      <w:bookmarkStart w:id="790" w:name="_Toc197493323"/>
      <w:bookmarkStart w:id="791" w:name="_Toc201728697"/>
      <w:bookmarkStart w:id="792" w:name="_Toc201738255"/>
      <w:bookmarkStart w:id="793" w:name="_Toc201738325"/>
      <w:bookmarkStart w:id="794" w:name="_Toc201741263"/>
      <w:bookmarkStart w:id="795" w:name="_Toc201741454"/>
      <w:bookmarkStart w:id="796" w:name="_Toc202058820"/>
      <w:bookmarkStart w:id="797" w:name="_Toc202842899"/>
      <w:bookmarkStart w:id="798" w:name="_Toc212535053"/>
      <w:bookmarkStart w:id="799" w:name="_Toc212605404"/>
      <w:bookmarkStart w:id="800" w:name="_Toc212947105"/>
      <w:bookmarkStart w:id="801" w:name="_Toc213749827"/>
      <w:bookmarkStart w:id="802" w:name="_Toc231026185"/>
      <w:bookmarkStart w:id="803" w:name="_Toc231026256"/>
      <w:bookmarkStart w:id="804" w:name="_Toc231694209"/>
      <w:bookmarkStart w:id="805" w:name="_Toc233777099"/>
      <w:bookmarkStart w:id="806" w:name="_Toc234034472"/>
      <w:bookmarkStart w:id="807" w:name="_Toc234036700"/>
      <w:bookmarkStart w:id="808" w:name="_Toc236127828"/>
      <w:bookmarkStart w:id="809" w:name="_Toc246401793"/>
      <w:bookmarkStart w:id="810" w:name="_Toc246403943"/>
      <w:bookmarkStart w:id="811" w:name="_Toc249257449"/>
      <w:bookmarkStart w:id="812" w:name="_Toc251246185"/>
      <w:bookmarkStart w:id="813" w:name="_Toc255309761"/>
      <w:bookmarkStart w:id="814" w:name="_Toc259617854"/>
      <w:bookmarkStart w:id="815" w:name="_Toc260654290"/>
      <w:bookmarkStart w:id="816" w:name="_Toc262460752"/>
      <w:bookmarkStart w:id="817" w:name="_Toc262656768"/>
      <w:bookmarkStart w:id="818" w:name="_Toc262718310"/>
      <w:bookmarkStart w:id="819" w:name="_Toc262718755"/>
      <w:bookmarkStart w:id="820" w:name="_Toc263073554"/>
      <w:bookmarkStart w:id="821" w:name="_Toc264018306"/>
      <w:bookmarkStart w:id="822" w:name="_Toc272322667"/>
      <w:bookmarkStart w:id="823" w:name="_Toc272411023"/>
      <w:bookmarkStart w:id="824" w:name="_Toc272411094"/>
      <w:bookmarkStart w:id="825" w:name="_Toc275443543"/>
      <w:bookmarkStart w:id="826" w:name="_Toc279141666"/>
      <w:bookmarkStart w:id="827" w:name="_Toc281463892"/>
      <w:bookmarkStart w:id="828" w:name="_Toc292112292"/>
      <w:bookmarkStart w:id="829" w:name="_Toc292112363"/>
      <w:bookmarkStart w:id="830" w:name="_Toc294260093"/>
      <w:bookmarkStart w:id="831" w:name="_Toc294860734"/>
      <w:bookmarkStart w:id="832" w:name="_Toc298410638"/>
      <w:bookmarkStart w:id="833" w:name="_Toc300583792"/>
      <w:bookmarkStart w:id="834" w:name="_Toc300837728"/>
      <w:bookmarkStart w:id="835" w:name="_Toc300926171"/>
      <w:bookmarkStart w:id="836" w:name="_Toc301770416"/>
      <w:bookmarkStart w:id="837" w:name="_Toc302391555"/>
      <w:bookmarkStart w:id="838" w:name="_Toc303261624"/>
      <w:bookmarkStart w:id="839" w:name="_Toc303261708"/>
      <w:bookmarkStart w:id="840" w:name="_Toc303323206"/>
      <w:bookmarkStart w:id="841" w:name="_Toc303323523"/>
      <w:bookmarkStart w:id="842" w:name="_Toc303323607"/>
      <w:bookmarkStart w:id="843" w:name="_Toc303323691"/>
      <w:bookmarkStart w:id="844" w:name="_Toc303323775"/>
      <w:bookmarkStart w:id="845" w:name="_Toc303323859"/>
      <w:bookmarkStart w:id="846" w:name="_Toc303323943"/>
      <w:bookmarkStart w:id="847" w:name="_Toc303926989"/>
      <w:r>
        <w:rPr>
          <w:rStyle w:val="CharSchText"/>
        </w:rPr>
        <w:t>Forms</w:t>
      </w:r>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bookmarkEnd w:id="846"/>
      <w:bookmarkEnd w:id="847"/>
    </w:p>
    <w:p>
      <w:pPr>
        <w:pStyle w:val="yEdnotedivision"/>
      </w:pPr>
      <w:r>
        <w:t>[Forms 1</w:t>
      </w:r>
      <w:r>
        <w:noBreakHyphen/>
        <w:t>18 deleted in Gazette 1 May 2007 p. 1887.]</w:t>
      </w:r>
    </w:p>
    <w:p>
      <w:pPr>
        <w:pStyle w:val="yMiscellaneousBody"/>
        <w:jc w:val="center"/>
        <w:rPr>
          <w:b/>
          <w:bCs/>
          <w:snapToGrid w:val="0"/>
        </w:rPr>
      </w:pPr>
      <w:r>
        <w:rPr>
          <w:b/>
          <w:bCs/>
          <w:snapToGrid w:val="0"/>
        </w:rPr>
        <w:t xml:space="preserve">Form </w:t>
      </w:r>
      <w:r>
        <w:rPr>
          <w:rStyle w:val="CharSClsNo"/>
          <w:b/>
        </w:rPr>
        <w:t>19</w:t>
      </w:r>
    </w:p>
    <w:p>
      <w:pPr>
        <w:pStyle w:val="yMiscellaneousHeading"/>
        <w:rPr>
          <w:snapToGrid w:val="0"/>
        </w:rPr>
      </w:pPr>
      <w:r>
        <w:rPr>
          <w:i/>
          <w:iCs/>
          <w:snapToGrid w:val="0"/>
          <w:sz w:val="20"/>
        </w:rPr>
        <w:t>Liquor Control Act 1988</w:t>
      </w:r>
      <w:r>
        <w:rPr>
          <w:i/>
          <w:iCs/>
          <w:sz w:val="20"/>
          <w:vertAlign w:val="superscript"/>
        </w:rPr>
        <w:t> </w:t>
      </w:r>
      <w:r>
        <w:rPr>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498"/>
        <w:gridCol w:w="13"/>
        <w:gridCol w:w="420"/>
        <w:gridCol w:w="460"/>
        <w:gridCol w:w="436"/>
        <w:gridCol w:w="426"/>
        <w:gridCol w:w="425"/>
        <w:gridCol w:w="425"/>
        <w:gridCol w:w="9"/>
        <w:gridCol w:w="416"/>
        <w:gridCol w:w="332"/>
        <w:gridCol w:w="94"/>
        <w:gridCol w:w="278"/>
        <w:gridCol w:w="712"/>
      </w:tblGrid>
      <w:tr>
        <w:tc>
          <w:tcPr>
            <w:tcW w:w="6942" w:type="dxa"/>
            <w:gridSpan w:val="14"/>
            <w:tcBorders>
              <w:top w:val="single" w:sz="8" w:space="0" w:color="auto"/>
              <w:left w:val="single" w:sz="8" w:space="0" w:color="auto"/>
              <w:bottom w:val="single" w:sz="8" w:space="0" w:color="auto"/>
              <w:right w:val="single" w:sz="8" w:space="0" w:color="auto"/>
            </w:tcBorders>
            <w:shd w:val="pct10" w:color="auto" w:fill="auto"/>
          </w:tcPr>
          <w:p>
            <w:pPr>
              <w:pStyle w:val="yTableNAm"/>
              <w:jc w:val="center"/>
              <w:rPr>
                <w:b/>
                <w:bCs/>
                <w:sz w:val="20"/>
              </w:rPr>
            </w:pPr>
            <w:r>
              <w:rPr>
                <w:b/>
                <w:bCs/>
                <w:sz w:val="20"/>
              </w:rPr>
              <w:t>Application Form for Liquor Subsidy</w:t>
            </w:r>
          </w:p>
          <w:p>
            <w:pPr>
              <w:pStyle w:val="yTableNAm"/>
              <w:spacing w:before="60"/>
              <w:jc w:val="center"/>
              <w:rPr>
                <w:spacing w:val="-2"/>
                <w:sz w:val="20"/>
              </w:rPr>
            </w:pPr>
            <w:r>
              <w:rPr>
                <w:spacing w:val="-2"/>
                <w:sz w:val="20"/>
              </w:rPr>
              <w:t>(WA Producers Only)</w:t>
            </w:r>
          </w:p>
        </w:tc>
      </w:tr>
      <w:tr>
        <w:tc>
          <w:tcPr>
            <w:tcW w:w="2498" w:type="dxa"/>
            <w:tcBorders>
              <w:top w:val="single" w:sz="8" w:space="0" w:color="auto"/>
            </w:tcBorders>
          </w:tcPr>
          <w:p>
            <w:pPr>
              <w:pStyle w:val="yTableNAm"/>
              <w:rPr>
                <w:b/>
                <w:bCs/>
                <w:spacing w:val="-2"/>
                <w:sz w:val="20"/>
              </w:rPr>
            </w:pPr>
          </w:p>
        </w:tc>
        <w:tc>
          <w:tcPr>
            <w:tcW w:w="2614" w:type="dxa"/>
            <w:gridSpan w:val="8"/>
            <w:tcBorders>
              <w:top w:val="single" w:sz="8" w:space="0" w:color="auto"/>
              <w:bottom w:val="single" w:sz="8" w:space="0" w:color="auto"/>
            </w:tcBorders>
          </w:tcPr>
          <w:p>
            <w:pPr>
              <w:pStyle w:val="yTableNAm"/>
              <w:rPr>
                <w:spacing w:val="-2"/>
              </w:rPr>
            </w:pPr>
          </w:p>
        </w:tc>
        <w:tc>
          <w:tcPr>
            <w:tcW w:w="746" w:type="dxa"/>
            <w:gridSpan w:val="2"/>
            <w:tcBorders>
              <w:top w:val="single" w:sz="8" w:space="0" w:color="auto"/>
              <w:bottom w:val="single" w:sz="8" w:space="0" w:color="auto"/>
            </w:tcBorders>
          </w:tcPr>
          <w:p>
            <w:pPr>
              <w:pStyle w:val="yTableNAm"/>
              <w:rPr>
                <w:spacing w:val="-2"/>
              </w:rPr>
            </w:pPr>
          </w:p>
        </w:tc>
        <w:tc>
          <w:tcPr>
            <w:tcW w:w="1084" w:type="dxa"/>
            <w:gridSpan w:val="3"/>
            <w:tcBorders>
              <w:top w:val="single" w:sz="8" w:space="0" w:color="auto"/>
              <w:bottom w:val="single" w:sz="8" w:space="0" w:color="auto"/>
            </w:tcBorders>
          </w:tcPr>
          <w:p>
            <w:pPr>
              <w:pStyle w:val="yTableNAm"/>
              <w:rPr>
                <w:spacing w:val="-2"/>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1.</w:t>
            </w:r>
            <w:r>
              <w:rPr>
                <w:b/>
                <w:bCs/>
                <w:spacing w:val="-2"/>
                <w:sz w:val="16"/>
              </w:rPr>
              <w:tab/>
              <w:t>CLAIM FOR THE MONTH/PERIOD OF:</w:t>
            </w:r>
          </w:p>
        </w:tc>
        <w:tc>
          <w:tcPr>
            <w:tcW w:w="3360" w:type="dxa"/>
            <w:gridSpan w:val="10"/>
            <w:tcBorders>
              <w:top w:val="single" w:sz="8" w:space="0" w:color="auto"/>
              <w:left w:val="single" w:sz="8" w:space="0" w:color="auto"/>
              <w:bottom w:val="single" w:sz="8" w:space="0" w:color="auto"/>
              <w:right w:val="single" w:sz="8" w:space="0" w:color="auto"/>
            </w:tcBorders>
          </w:tcPr>
          <w:p>
            <w:pPr>
              <w:pStyle w:val="yTableNAm"/>
              <w:rPr>
                <w:spacing w:val="-2"/>
                <w:sz w:val="16"/>
              </w:rPr>
            </w:pPr>
          </w:p>
        </w:tc>
        <w:tc>
          <w:tcPr>
            <w:tcW w:w="1084" w:type="dxa"/>
            <w:gridSpan w:val="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227"/>
        </w:trPr>
        <w:tc>
          <w:tcPr>
            <w:tcW w:w="2498" w:type="dxa"/>
          </w:tcPr>
          <w:p>
            <w:pPr>
              <w:pStyle w:val="yTableNAm"/>
              <w:tabs>
                <w:tab w:val="clear" w:pos="567"/>
                <w:tab w:val="left" w:pos="218"/>
              </w:tabs>
              <w:spacing w:before="60"/>
              <w:ind w:left="218" w:hanging="218"/>
              <w:jc w:val="center"/>
              <w:rPr>
                <w:sz w:val="16"/>
              </w:rPr>
            </w:pPr>
          </w:p>
        </w:tc>
        <w:tc>
          <w:tcPr>
            <w:tcW w:w="3360" w:type="dxa"/>
            <w:gridSpan w:val="10"/>
            <w:tcBorders>
              <w:top w:val="single" w:sz="8" w:space="0" w:color="auto"/>
              <w:bottom w:val="single" w:sz="8" w:space="0" w:color="auto"/>
            </w:tcBorders>
          </w:tcPr>
          <w:p>
            <w:pPr>
              <w:pStyle w:val="yTableNAm"/>
              <w:spacing w:before="0"/>
              <w:jc w:val="center"/>
              <w:rPr>
                <w:sz w:val="16"/>
              </w:rPr>
            </w:pPr>
            <w:r>
              <w:rPr>
                <w:sz w:val="16"/>
              </w:rPr>
              <w:t>Month/Quarter</w:t>
            </w:r>
          </w:p>
        </w:tc>
        <w:tc>
          <w:tcPr>
            <w:tcW w:w="1084" w:type="dxa"/>
            <w:gridSpan w:val="3"/>
            <w:tcBorders>
              <w:top w:val="single" w:sz="7" w:space="0" w:color="auto"/>
              <w:bottom w:val="single" w:sz="8" w:space="0" w:color="auto"/>
            </w:tcBorders>
            <w:vAlign w:val="center"/>
          </w:tcPr>
          <w:p>
            <w:pPr>
              <w:pStyle w:val="yTableNAm"/>
              <w:spacing w:before="0"/>
              <w:jc w:val="center"/>
              <w:rPr>
                <w:spacing w:val="-2"/>
                <w:sz w:val="16"/>
              </w:rPr>
            </w:pPr>
            <w:r>
              <w:rPr>
                <w:spacing w:val="-2"/>
                <w:sz w:val="16"/>
              </w:rPr>
              <w:t>Year</w:t>
            </w: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2.</w:t>
            </w:r>
            <w:r>
              <w:rPr>
                <w:b/>
                <w:bCs/>
                <w:spacing w:val="-2"/>
                <w:sz w:val="16"/>
              </w:rPr>
              <w:tab/>
              <w:t>AUSTRALIAN BUSINESS NUMBER:</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top w:val="single" w:sz="8" w:space="0" w:color="auto"/>
            </w:tcBorders>
          </w:tcPr>
          <w:p>
            <w:pPr>
              <w:pStyle w:val="yTableNAm"/>
              <w:rPr>
                <w:spacing w:val="-2"/>
                <w:sz w:val="16"/>
              </w:rPr>
            </w:pPr>
          </w:p>
        </w:tc>
        <w:tc>
          <w:tcPr>
            <w:tcW w:w="748" w:type="dxa"/>
            <w:gridSpan w:val="2"/>
            <w:tcBorders>
              <w:top w:val="single" w:sz="8" w:space="0" w:color="auto"/>
            </w:tcBorders>
          </w:tcPr>
          <w:p>
            <w:pPr>
              <w:pStyle w:val="yTableNAm"/>
              <w:rPr>
                <w:spacing w:val="-2"/>
                <w:sz w:val="16"/>
              </w:rPr>
            </w:pPr>
          </w:p>
        </w:tc>
        <w:tc>
          <w:tcPr>
            <w:tcW w:w="1082" w:type="dxa"/>
            <w:gridSpan w:val="3"/>
            <w:tcBorders>
              <w:top w:val="single" w:sz="8" w:space="0" w:color="auto"/>
            </w:tcBorders>
          </w:tcPr>
          <w:p>
            <w:pPr>
              <w:pStyle w:val="yTableNAm"/>
              <w:rPr>
                <w:spacing w:val="-2"/>
                <w:sz w:val="16"/>
              </w:rPr>
            </w:pPr>
          </w:p>
        </w:tc>
      </w:tr>
      <w:tr>
        <w:trPr>
          <w:gridAfter w:val="2"/>
          <w:wAfter w:w="988" w:type="dxa"/>
          <w:cantSplit/>
        </w:trPr>
        <w:tc>
          <w:tcPr>
            <w:tcW w:w="2511" w:type="dxa"/>
            <w:gridSpan w:val="2"/>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3.</w:t>
            </w:r>
            <w:r>
              <w:rPr>
                <w:b/>
                <w:bCs/>
                <w:spacing w:val="-2"/>
                <w:sz w:val="16"/>
              </w:rPr>
              <w:tab/>
              <w:t>LIQUOR LICENCE NUMBER:</w:t>
            </w:r>
          </w:p>
        </w:tc>
        <w:tc>
          <w:tcPr>
            <w:tcW w:w="42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5"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c>
          <w:tcPr>
            <w:tcW w:w="426" w:type="dxa"/>
            <w:gridSpan w:val="2"/>
            <w:tcBorders>
              <w:top w:val="single" w:sz="8" w:space="0" w:color="auto"/>
              <w:left w:val="single" w:sz="8" w:space="0" w:color="auto"/>
              <w:bottom w:val="single" w:sz="8" w:space="0" w:color="auto"/>
              <w:right w:val="single" w:sz="8" w:space="0" w:color="auto"/>
            </w:tcBorders>
          </w:tcPr>
          <w:p>
            <w:pPr>
              <w:pStyle w:val="yTableNAm"/>
              <w:tabs>
                <w:tab w:val="clear" w:pos="567"/>
                <w:tab w:val="left" w:pos="218"/>
              </w:tabs>
              <w:spacing w:before="60"/>
              <w:ind w:left="218" w:hanging="218"/>
              <w:rPr>
                <w:b/>
                <w:bCs/>
                <w:spacing w:val="-2"/>
                <w:sz w:val="16"/>
              </w:rPr>
            </w:pPr>
          </w:p>
        </w:tc>
      </w:tr>
      <w:tr>
        <w:trPr>
          <w:trHeight w:hRule="exact" w:val="112"/>
        </w:trPr>
        <w:tc>
          <w:tcPr>
            <w:tcW w:w="2498" w:type="dxa"/>
          </w:tcPr>
          <w:p>
            <w:pPr>
              <w:pStyle w:val="yTableNAm"/>
              <w:tabs>
                <w:tab w:val="clear" w:pos="567"/>
                <w:tab w:val="left" w:pos="218"/>
              </w:tabs>
              <w:spacing w:before="60"/>
              <w:ind w:left="218" w:hanging="218"/>
              <w:rPr>
                <w:b/>
                <w:bCs/>
                <w:spacing w:val="-2"/>
                <w:sz w:val="16"/>
              </w:rPr>
            </w:pPr>
          </w:p>
        </w:tc>
        <w:tc>
          <w:tcPr>
            <w:tcW w:w="2614" w:type="dxa"/>
            <w:gridSpan w:val="8"/>
            <w:tcBorders>
              <w:bottom w:val="single" w:sz="8" w:space="0" w:color="auto"/>
            </w:tcBorders>
          </w:tcPr>
          <w:p>
            <w:pPr>
              <w:pStyle w:val="yTableNAm"/>
              <w:rPr>
                <w:spacing w:val="-2"/>
                <w:sz w:val="16"/>
              </w:rPr>
            </w:pPr>
          </w:p>
        </w:tc>
        <w:tc>
          <w:tcPr>
            <w:tcW w:w="748" w:type="dxa"/>
            <w:gridSpan w:val="2"/>
            <w:tcBorders>
              <w:bottom w:val="single" w:sz="8" w:space="0" w:color="auto"/>
            </w:tcBorders>
          </w:tcPr>
          <w:p>
            <w:pPr>
              <w:pStyle w:val="yTableNAm"/>
              <w:rPr>
                <w:spacing w:val="-2"/>
                <w:sz w:val="16"/>
              </w:rPr>
            </w:pPr>
          </w:p>
        </w:tc>
        <w:tc>
          <w:tcPr>
            <w:tcW w:w="1082" w:type="dxa"/>
            <w:gridSpan w:val="3"/>
            <w:tcBorders>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4.</w:t>
            </w:r>
            <w:r>
              <w:rPr>
                <w:b/>
                <w:bCs/>
                <w:spacing w:val="-2"/>
                <w:sz w:val="16"/>
              </w:rPr>
              <w:tab/>
              <w:t>NAME OF 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hRule="exact" w:val="112"/>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120" w:type="dxa"/>
            <w:gridSpan w:val="4"/>
            <w:tcBorders>
              <w:top w:val="single" w:sz="8" w:space="0" w:color="auto"/>
              <w:bottom w:val="single" w:sz="8" w:space="0" w:color="auto"/>
            </w:tcBorders>
          </w:tcPr>
          <w:p>
            <w:pPr>
              <w:pStyle w:val="yTableNAm"/>
              <w:rPr>
                <w:spacing w:val="-2"/>
                <w:sz w:val="16"/>
              </w:rPr>
            </w:pPr>
          </w:p>
        </w:tc>
        <w:tc>
          <w:tcPr>
            <w:tcW w:w="710" w:type="dxa"/>
            <w:tcBorders>
              <w:top w:val="single" w:sz="8" w:space="0" w:color="auto"/>
              <w:bottom w:val="single" w:sz="8" w:space="0" w:color="auto"/>
            </w:tcBorders>
          </w:tcPr>
          <w:p>
            <w:pPr>
              <w:pStyle w:val="yTableNAm"/>
              <w:rPr>
                <w:spacing w:val="-2"/>
                <w:sz w:val="16"/>
              </w:rPr>
            </w:pPr>
          </w:p>
        </w:tc>
      </w:tr>
      <w:tr>
        <w:trPr>
          <w:cantSplit/>
        </w:trP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5.</w:t>
            </w:r>
            <w:r>
              <w:rPr>
                <w:b/>
                <w:bCs/>
                <w:spacing w:val="-2"/>
                <w:sz w:val="16"/>
              </w:rPr>
              <w:tab/>
              <w:t xml:space="preserve">NAME OF LICENSEE: </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val="restart"/>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ab/>
              <w:t>ADDRESS OF LICENSED</w:t>
            </w:r>
          </w:p>
          <w:p>
            <w:pPr>
              <w:pStyle w:val="yTableNAm"/>
              <w:tabs>
                <w:tab w:val="left" w:pos="458"/>
              </w:tabs>
              <w:spacing w:before="0"/>
              <w:ind w:left="340" w:hanging="340"/>
              <w:rPr>
                <w:b/>
                <w:bCs/>
                <w:spacing w:val="-2"/>
                <w:sz w:val="16"/>
              </w:rPr>
            </w:pPr>
            <w:r>
              <w:rPr>
                <w:b/>
                <w:bCs/>
                <w:spacing w:val="-2"/>
                <w:sz w:val="16"/>
              </w:rPr>
              <w:tab/>
              <w:t>PREMISES:</w:t>
            </w: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cantSplit/>
        </w:trPr>
        <w:tc>
          <w:tcPr>
            <w:tcW w:w="2498" w:type="dxa"/>
            <w:vMerge/>
            <w:tcBorders>
              <w:right w:val="single" w:sz="8" w:space="0" w:color="auto"/>
            </w:tcBorders>
          </w:tcPr>
          <w:p>
            <w:pPr>
              <w:pStyle w:val="yTableNAm"/>
              <w:tabs>
                <w:tab w:val="clear" w:pos="567"/>
                <w:tab w:val="left" w:pos="458"/>
              </w:tabs>
              <w:spacing w:before="60"/>
              <w:ind w:left="338" w:hanging="338"/>
              <w:rPr>
                <w:b/>
                <w:bCs/>
                <w:spacing w:val="-2"/>
                <w:sz w:val="16"/>
              </w:rPr>
            </w:pPr>
          </w:p>
        </w:tc>
        <w:tc>
          <w:tcPr>
            <w:tcW w:w="4444" w:type="dxa"/>
            <w:gridSpan w:val="13"/>
            <w:tcBorders>
              <w:top w:val="single" w:sz="8" w:space="0" w:color="auto"/>
              <w:left w:val="single" w:sz="8" w:space="0" w:color="auto"/>
              <w:bottom w:val="single" w:sz="8" w:space="0" w:color="auto"/>
              <w:right w:val="single" w:sz="8" w:space="0" w:color="auto"/>
            </w:tcBorders>
          </w:tcPr>
          <w:p>
            <w:pPr>
              <w:pStyle w:val="yTableNAm"/>
              <w:rPr>
                <w:spacing w:val="-2"/>
                <w:sz w:val="16"/>
              </w:rPr>
            </w:pPr>
          </w:p>
        </w:tc>
      </w:tr>
      <w:tr>
        <w:trPr>
          <w:trHeight w:val="226"/>
        </w:trPr>
        <w:tc>
          <w:tcPr>
            <w:tcW w:w="2498" w:type="dxa"/>
          </w:tcPr>
          <w:p>
            <w:pPr>
              <w:pStyle w:val="yTableNAm"/>
              <w:tabs>
                <w:tab w:val="clear" w:pos="567"/>
                <w:tab w:val="left" w:pos="458"/>
              </w:tabs>
              <w:spacing w:before="60"/>
              <w:ind w:left="338" w:hanging="338"/>
              <w:rPr>
                <w:b/>
                <w:bCs/>
                <w:spacing w:val="-2"/>
                <w:sz w:val="16"/>
              </w:rPr>
            </w:pPr>
          </w:p>
        </w:tc>
        <w:tc>
          <w:tcPr>
            <w:tcW w:w="2614" w:type="dxa"/>
            <w:gridSpan w:val="8"/>
            <w:tcBorders>
              <w:top w:val="single" w:sz="8" w:space="0" w:color="auto"/>
              <w:bottom w:val="single" w:sz="8" w:space="0" w:color="auto"/>
            </w:tcBorders>
          </w:tcPr>
          <w:p>
            <w:pPr>
              <w:pStyle w:val="yTableNAm"/>
              <w:rPr>
                <w:spacing w:val="-2"/>
                <w:sz w:val="16"/>
              </w:rPr>
            </w:pPr>
          </w:p>
        </w:tc>
        <w:tc>
          <w:tcPr>
            <w:tcW w:w="1830" w:type="dxa"/>
            <w:gridSpan w:val="5"/>
            <w:tcBorders>
              <w:top w:val="single" w:sz="8" w:space="0" w:color="auto"/>
              <w:bottom w:val="single" w:sz="8" w:space="0" w:color="auto"/>
            </w:tcBorders>
          </w:tcPr>
          <w:p>
            <w:pPr>
              <w:pStyle w:val="yTableNAm"/>
              <w:spacing w:before="0"/>
              <w:rPr>
                <w:spacing w:val="-2"/>
                <w:sz w:val="16"/>
              </w:rPr>
            </w:pPr>
            <w:r>
              <w:rPr>
                <w:spacing w:val="-2"/>
                <w:sz w:val="16"/>
              </w:rPr>
              <w:tab/>
              <w:t>Postcode</w:t>
            </w:r>
          </w:p>
        </w:tc>
      </w:tr>
      <w:tr>
        <w:tc>
          <w:tcPr>
            <w:tcW w:w="2498" w:type="dxa"/>
            <w:tcBorders>
              <w:right w:val="single" w:sz="8" w:space="0" w:color="auto"/>
            </w:tcBorders>
          </w:tcPr>
          <w:p>
            <w:pPr>
              <w:pStyle w:val="yTableNAm"/>
              <w:tabs>
                <w:tab w:val="clear" w:pos="567"/>
                <w:tab w:val="left" w:pos="458"/>
              </w:tabs>
              <w:spacing w:before="60"/>
              <w:ind w:left="338" w:hanging="338"/>
              <w:rPr>
                <w:b/>
                <w:bCs/>
                <w:spacing w:val="-2"/>
                <w:sz w:val="16"/>
              </w:rPr>
            </w:pPr>
            <w:r>
              <w:rPr>
                <w:b/>
                <w:bCs/>
                <w:spacing w:val="-2"/>
                <w:sz w:val="16"/>
              </w:rPr>
              <w:t>6.</w:t>
            </w:r>
            <w:r>
              <w:rPr>
                <w:b/>
                <w:bCs/>
                <w:spacing w:val="-2"/>
                <w:sz w:val="16"/>
              </w:rPr>
              <w:tab/>
              <w:t>AMOUNT OF SUBSIDY CLAIM:</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(a)</w:t>
            </w:r>
            <w:r>
              <w:rPr>
                <w:spacing w:val="-2"/>
                <w:sz w:val="16"/>
              </w:rPr>
              <w:tab/>
              <w:t>WET subsidy claimable for Cellar door sales to persons other than liquor merchants (including sales made in a restaurant on the licensed premises).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ind w:left="338" w:hanging="338"/>
              <w:rPr>
                <w:spacing w:val="-2"/>
                <w:sz w:val="16"/>
              </w:rPr>
            </w:pP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(b)</w:t>
            </w:r>
            <w:r>
              <w:rPr>
                <w:spacing w:val="-2"/>
                <w:sz w:val="16"/>
              </w:rPr>
              <w:tab/>
              <w:t>WET subsidy claimable for Mail Order Sales.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br/>
              <w:t>$</w:t>
            </w:r>
          </w:p>
        </w:tc>
      </w:tr>
      <w:tr>
        <w:tc>
          <w:tcPr>
            <w:tcW w:w="2498" w:type="dxa"/>
            <w:tcBorders>
              <w:right w:val="single" w:sz="8" w:space="0" w:color="auto"/>
            </w:tcBorders>
          </w:tcPr>
          <w:p>
            <w:pPr>
              <w:pStyle w:val="yTableNAm"/>
              <w:tabs>
                <w:tab w:val="left" w:pos="458"/>
              </w:tabs>
              <w:spacing w:before="60"/>
              <w:ind w:left="340" w:hanging="340"/>
              <w:rPr>
                <w:spacing w:val="-2"/>
                <w:sz w:val="16"/>
              </w:rPr>
            </w:pPr>
            <w:r>
              <w:rPr>
                <w:i/>
                <w:spacing w:val="-2"/>
                <w:sz w:val="16"/>
              </w:rPr>
              <w:t xml:space="preserve">(a) + (b) + (c) = Total for this </w:t>
            </w:r>
            <w:r>
              <w:rPr>
                <w:i/>
                <w:spacing w:val="-2"/>
                <w:sz w:val="16"/>
              </w:rPr>
              <w:tab/>
            </w:r>
            <w:r>
              <w:rPr>
                <w:i/>
                <w:spacing w:val="-2"/>
                <w:sz w:val="16"/>
              </w:rPr>
              <w:tab/>
            </w:r>
            <w:r>
              <w:rPr>
                <w:i/>
                <w:spacing w:val="-2"/>
                <w:sz w:val="16"/>
              </w:rPr>
              <w:tab/>
              <w:t>period</w:t>
            </w:r>
          </w:p>
        </w:tc>
        <w:tc>
          <w:tcPr>
            <w:tcW w:w="3362" w:type="dxa"/>
            <w:gridSpan w:val="10"/>
            <w:tcBorders>
              <w:top w:val="single" w:sz="8" w:space="0" w:color="auto"/>
              <w:left w:val="single" w:sz="8" w:space="0" w:color="auto"/>
              <w:bottom w:val="double" w:sz="4" w:space="0" w:color="auto"/>
              <w:right w:val="single" w:sz="8" w:space="0" w:color="auto"/>
            </w:tcBorders>
          </w:tcPr>
          <w:p>
            <w:pPr>
              <w:pStyle w:val="yTableNAm"/>
              <w:tabs>
                <w:tab w:val="clear" w:pos="567"/>
                <w:tab w:val="left" w:pos="379"/>
              </w:tabs>
              <w:spacing w:before="60"/>
              <w:ind w:left="380" w:hanging="380"/>
              <w:rPr>
                <w:spacing w:val="-2"/>
                <w:sz w:val="16"/>
              </w:rPr>
            </w:pPr>
            <w:r>
              <w:rPr>
                <w:spacing w:val="-2"/>
                <w:sz w:val="16"/>
              </w:rPr>
              <w:t>(c)</w:t>
            </w:r>
            <w:r>
              <w:rPr>
                <w:spacing w:val="-2"/>
                <w:sz w:val="16"/>
              </w:rPr>
              <w:tab/>
              <w:t>WET subsidy claimable for Tastings, promotions and donations for which no charge has been made. ................................</w:t>
            </w:r>
          </w:p>
        </w:tc>
        <w:tc>
          <w:tcPr>
            <w:tcW w:w="1082" w:type="dxa"/>
            <w:gridSpan w:val="3"/>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br/>
            </w:r>
            <w:r>
              <w:rPr>
                <w:spacing w:val="-2"/>
                <w:sz w:val="16"/>
              </w:rPr>
              <w:br/>
              <w:t>$</w:t>
            </w:r>
          </w:p>
        </w:tc>
      </w:tr>
      <w:tr>
        <w:tc>
          <w:tcPr>
            <w:tcW w:w="2498" w:type="dxa"/>
            <w:tcBorders>
              <w:right w:val="single" w:sz="8" w:space="0" w:color="auto"/>
            </w:tcBorders>
          </w:tcPr>
          <w:p>
            <w:pPr>
              <w:pStyle w:val="yTableNAm"/>
              <w:tabs>
                <w:tab w:val="left" w:pos="458"/>
              </w:tabs>
              <w:spacing w:before="60"/>
              <w:ind w:left="338" w:hanging="338"/>
              <w:rPr>
                <w:spacing w:val="-2"/>
                <w:sz w:val="16"/>
              </w:rPr>
            </w:pPr>
          </w:p>
        </w:tc>
        <w:tc>
          <w:tcPr>
            <w:tcW w:w="3362" w:type="dxa"/>
            <w:gridSpan w:val="10"/>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082" w:type="dxa"/>
            <w:gridSpan w:val="3"/>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498" w:type="dxa"/>
            <w:tcBorders>
              <w:right w:val="single" w:sz="8" w:space="0" w:color="auto"/>
            </w:tcBorders>
          </w:tcPr>
          <w:p>
            <w:pPr>
              <w:pStyle w:val="yTableNAm"/>
              <w:keepNext/>
              <w:keepLines/>
              <w:tabs>
                <w:tab w:val="left" w:pos="458"/>
              </w:tabs>
              <w:spacing w:before="60"/>
              <w:ind w:left="338" w:hanging="338"/>
              <w:rPr>
                <w:spacing w:val="-2"/>
                <w:sz w:val="16"/>
              </w:rPr>
            </w:pPr>
            <w:r>
              <w:rPr>
                <w:b/>
                <w:bCs/>
                <w:spacing w:val="-2"/>
                <w:sz w:val="16"/>
              </w:rPr>
              <w:t>7.</w:t>
            </w:r>
            <w:r>
              <w:rPr>
                <w:b/>
                <w:bCs/>
                <w:spacing w:val="-2"/>
                <w:sz w:val="16"/>
              </w:rPr>
              <w:tab/>
              <w:t>ADJUSTMENTS (IF APPLICABLE):</w:t>
            </w:r>
          </w:p>
        </w:tc>
        <w:tc>
          <w:tcPr>
            <w:tcW w:w="3362" w:type="dxa"/>
            <w:gridSpan w:val="10"/>
            <w:tcBorders>
              <w:top w:val="single" w:sz="8" w:space="0" w:color="auto"/>
              <w:left w:val="single" w:sz="8" w:space="0" w:color="auto"/>
              <w:bottom w:val="single" w:sz="8" w:space="0" w:color="auto"/>
              <w:right w:val="single" w:sz="8" w:space="0" w:color="auto"/>
            </w:tcBorders>
          </w:tcPr>
          <w:p>
            <w:pPr>
              <w:pStyle w:val="yTableNAm"/>
              <w:keepNext/>
              <w:keepLines/>
              <w:spacing w:before="60"/>
              <w:ind w:left="567" w:hanging="567"/>
              <w:rPr>
                <w:spacing w:val="-2"/>
                <w:sz w:val="16"/>
              </w:rPr>
            </w:pPr>
            <w:r>
              <w:rPr>
                <w:spacing w:val="-2"/>
                <w:sz w:val="16"/>
              </w:rPr>
              <w:t>(e)</w:t>
            </w:r>
            <w:r>
              <w:rPr>
                <w:spacing w:val="-2"/>
                <w:sz w:val="16"/>
              </w:rPr>
              <w:tab/>
              <w:t>Amount overpaid/underpaid for the month of ..................................................</w:t>
            </w:r>
          </w:p>
        </w:tc>
        <w:tc>
          <w:tcPr>
            <w:tcW w:w="1082" w:type="dxa"/>
            <w:gridSpan w:val="3"/>
            <w:tcBorders>
              <w:top w:val="single" w:sz="8" w:space="0" w:color="auto"/>
              <w:left w:val="single" w:sz="8" w:space="0" w:color="auto"/>
              <w:bottom w:val="single" w:sz="8" w:space="0" w:color="auto"/>
              <w:right w:val="single" w:sz="8" w:space="0" w:color="auto"/>
            </w:tcBorders>
          </w:tcPr>
          <w:p>
            <w:pPr>
              <w:pStyle w:val="yTableNAm"/>
              <w:keepNext/>
              <w:keepLines/>
              <w:spacing w:before="60"/>
              <w:rPr>
                <w:spacing w:val="-2"/>
                <w:sz w:val="16"/>
              </w:rPr>
            </w:pPr>
            <w:r>
              <w:rPr>
                <w:spacing w:val="-2"/>
                <w:sz w:val="16"/>
              </w:rPr>
              <w:br/>
              <w:t>$</w:t>
            </w:r>
          </w:p>
        </w:tc>
      </w:tr>
      <w:tr>
        <w:tc>
          <w:tcPr>
            <w:tcW w:w="2498" w:type="dxa"/>
            <w:tcBorders>
              <w:right w:val="single" w:sz="8" w:space="0" w:color="auto"/>
            </w:tcBorders>
          </w:tcPr>
          <w:p>
            <w:pPr>
              <w:pStyle w:val="yTableNAm"/>
              <w:spacing w:before="60"/>
              <w:rPr>
                <w:spacing w:val="-2"/>
                <w:sz w:val="16"/>
              </w:rPr>
            </w:pPr>
          </w:p>
        </w:tc>
        <w:tc>
          <w:tcPr>
            <w:tcW w:w="3362" w:type="dxa"/>
            <w:gridSpan w:val="10"/>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082" w:type="dxa"/>
            <w:gridSpan w:val="3"/>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MiscellaneousBody"/>
        <w:spacing w:before="200" w:after="60"/>
        <w:ind w:left="238"/>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tabs>
          <w:tab w:val="clear" w:pos="567"/>
          <w:tab w:val="left" w:pos="218"/>
        </w:tabs>
        <w:spacing w:before="60"/>
        <w:ind w:left="218" w:hanging="218"/>
        <w:rPr>
          <w:b/>
          <w:bCs/>
          <w:spacing w:val="-2"/>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
        <w:spacing w:before="0"/>
        <w:rPr>
          <w:snapToGrid w:val="0"/>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tabs>
                <w:tab w:val="clear" w:pos="567"/>
                <w:tab w:val="left" w:pos="350"/>
              </w:tabs>
              <w:rPr>
                <w:b/>
                <w:snapToGrid w:val="0"/>
                <w:sz w:val="16"/>
              </w:rPr>
            </w:pPr>
            <w:r>
              <w:rPr>
                <w:b/>
                <w:snapToGrid w:val="0"/>
                <w:sz w:val="16"/>
              </w:rPr>
              <w:t>8.</w:t>
            </w:r>
            <w:r>
              <w:rPr>
                <w:b/>
                <w:snapToGrid w:val="0"/>
                <w:sz w:val="16"/>
              </w:rPr>
              <w:tab/>
              <w:t xml:space="preserve">DECLARATION:  </w:t>
            </w:r>
            <w:r>
              <w:rPr>
                <w:snapToGrid w:val="0"/>
                <w:sz w:val="16"/>
              </w:rPr>
              <w:t>I,</w:t>
            </w:r>
            <w:r>
              <w:rPr>
                <w:b/>
                <w:snapToGrid w:val="0"/>
                <w:sz w:val="16"/>
              </w:rPr>
              <w:t xml:space="preserve"> </w:t>
            </w:r>
            <w:r>
              <w:rPr>
                <w:snapToGrid w:val="0"/>
                <w:sz w:val="16"/>
              </w:rPr>
              <w:t>_______________________________________________</w:t>
            </w:r>
            <w:r>
              <w:rPr>
                <w:b/>
                <w:snapToGrid w:val="0"/>
                <w:sz w:val="16"/>
              </w:rPr>
              <w:t xml:space="preserve"> </w:t>
            </w:r>
            <w:r>
              <w:rPr>
                <w:snapToGrid w:val="0"/>
                <w:sz w:val="16"/>
              </w:rPr>
              <w:t>certify that:</w:t>
            </w:r>
          </w:p>
          <w:p>
            <w:pPr>
              <w:pStyle w:val="yTableNAm"/>
              <w:spacing w:before="0" w:after="60"/>
              <w:jc w:val="center"/>
              <w:rPr>
                <w:snapToGrid w:val="0"/>
                <w:sz w:val="16"/>
              </w:rPr>
            </w:pPr>
            <w:r>
              <w:rPr>
                <w:snapToGrid w:val="0"/>
                <w:sz w:val="16"/>
              </w:rPr>
              <w:t>name of licensee</w:t>
            </w:r>
          </w:p>
        </w:tc>
      </w:tr>
      <w:tr>
        <w:trPr>
          <w:cantSplit/>
        </w:trPr>
        <w:tc>
          <w:tcPr>
            <w:tcW w:w="5245" w:type="dxa"/>
          </w:tcPr>
          <w:p>
            <w:pPr>
              <w:pStyle w:val="yTableNAm"/>
              <w:tabs>
                <w:tab w:val="clear" w:pos="567"/>
                <w:tab w:val="left" w:pos="350"/>
              </w:tabs>
              <w:spacing w:before="40"/>
              <w:ind w:left="352" w:hanging="352"/>
              <w:rPr>
                <w:snapToGrid w:val="0"/>
                <w:sz w:val="16"/>
              </w:rPr>
            </w:pPr>
            <w:r>
              <w:rPr>
                <w:snapToGrid w:val="0"/>
                <w:sz w:val="16"/>
              </w:rPr>
              <w:t>(a)</w:t>
            </w:r>
            <w:r>
              <w:rPr>
                <w:snapToGrid w:val="0"/>
                <w:sz w:val="16"/>
              </w:rPr>
              <w:tab/>
              <w:t>I am the licensee of the above named premises; and</w:t>
            </w:r>
          </w:p>
          <w:p>
            <w:pPr>
              <w:pStyle w:val="yTableNAm"/>
              <w:tabs>
                <w:tab w:val="clear" w:pos="567"/>
                <w:tab w:val="left" w:pos="350"/>
              </w:tabs>
              <w:spacing w:before="100"/>
              <w:ind w:left="352" w:hanging="352"/>
              <w:rPr>
                <w:snapToGrid w:val="0"/>
                <w:sz w:val="16"/>
              </w:rPr>
            </w:pPr>
            <w:r>
              <w:rPr>
                <w:snapToGrid w:val="0"/>
                <w:sz w:val="16"/>
              </w:rPr>
              <w:t>(b)</w:t>
            </w:r>
            <w:r>
              <w:rPr>
                <w:snapToGrid w:val="0"/>
                <w:sz w:val="16"/>
              </w:rPr>
              <w:tab/>
              <w:t>the claim I am making for liquor subsidy is complete, true and correct; and</w:t>
            </w:r>
          </w:p>
          <w:p>
            <w:pPr>
              <w:pStyle w:val="yTableNAm"/>
              <w:tabs>
                <w:tab w:val="clear" w:pos="567"/>
                <w:tab w:val="left" w:pos="350"/>
              </w:tabs>
              <w:spacing w:before="100"/>
              <w:ind w:left="352" w:hanging="352"/>
              <w:rPr>
                <w:snapToGrid w:val="0"/>
                <w:sz w:val="16"/>
              </w:rPr>
            </w:pPr>
            <w:r>
              <w:rPr>
                <w:snapToGrid w:val="0"/>
                <w:sz w:val="16"/>
              </w:rPr>
              <w:t>(c)</w:t>
            </w:r>
            <w:r>
              <w:rPr>
                <w:snapToGrid w:val="0"/>
                <w:sz w:val="16"/>
              </w:rPr>
              <w:tab/>
              <w:t>the claim I am making is honestly based on my WET obligations; and</w:t>
            </w:r>
          </w:p>
          <w:p>
            <w:pPr>
              <w:pStyle w:val="yTableNAm"/>
              <w:tabs>
                <w:tab w:val="clear" w:pos="567"/>
                <w:tab w:val="left" w:pos="350"/>
              </w:tabs>
              <w:spacing w:before="100"/>
              <w:ind w:left="352" w:hanging="352"/>
              <w:rPr>
                <w:b/>
                <w:snapToGrid w:val="0"/>
                <w:sz w:val="16"/>
              </w:rPr>
            </w:pPr>
            <w:r>
              <w:rPr>
                <w:snapToGrid w:val="0"/>
                <w:sz w:val="16"/>
              </w:rPr>
              <w:t>(d)</w:t>
            </w:r>
            <w:r>
              <w:rPr>
                <w:snapToGrid w:val="0"/>
                <w:sz w:val="16"/>
              </w:rPr>
              <w:tab/>
              <w:t>I have all the necessary records to provide information to substantiate my claim; and</w:t>
            </w:r>
          </w:p>
        </w:tc>
        <w:tc>
          <w:tcPr>
            <w:tcW w:w="1701" w:type="dxa"/>
            <w:shd w:val="clear" w:color="auto" w:fill="000000"/>
          </w:tcPr>
          <w:p>
            <w:pPr>
              <w:pStyle w:val="yTableNAm"/>
              <w:jc w:val="center"/>
              <w:rPr>
                <w:snapToGrid w:val="0"/>
                <w:sz w:val="16"/>
              </w:rPr>
            </w:pPr>
            <w:r>
              <w:rPr>
                <w:snapToGrid w:val="0"/>
                <w:sz w:val="16"/>
              </w:rPr>
              <w:t>WARNING</w:t>
            </w:r>
          </w:p>
          <w:p>
            <w:pPr>
              <w:pStyle w:val="yTableNAm"/>
              <w:spacing w:before="60"/>
              <w:jc w:val="center"/>
              <w:rPr>
                <w:snapToGrid w:val="0"/>
              </w:rPr>
            </w:pPr>
            <w:r>
              <w:rPr>
                <w:snapToGrid w:val="0"/>
                <w:sz w:val="16"/>
              </w:rPr>
              <w:t xml:space="preserve">Penalties apply if you provide false or misleading information </w:t>
            </w:r>
          </w:p>
        </w:tc>
      </w:tr>
      <w:tr>
        <w:trPr>
          <w:cantSplit/>
        </w:trPr>
        <w:tc>
          <w:tcPr>
            <w:tcW w:w="5245" w:type="dxa"/>
          </w:tcPr>
          <w:p>
            <w:pPr>
              <w:pStyle w:val="yTableNAm"/>
              <w:tabs>
                <w:tab w:val="clear" w:pos="567"/>
                <w:tab w:val="left" w:pos="350"/>
              </w:tabs>
              <w:spacing w:before="100"/>
              <w:ind w:left="352" w:hanging="352"/>
              <w:rPr>
                <w:snapToGrid w:val="0"/>
                <w:sz w:val="16"/>
              </w:rPr>
            </w:pPr>
            <w:r>
              <w:rPr>
                <w:snapToGrid w:val="0"/>
                <w:sz w:val="16"/>
              </w:rPr>
              <w:t>(e)</w:t>
            </w:r>
            <w:r>
              <w:rPr>
                <w:snapToGrid w:val="0"/>
                <w:sz w:val="16"/>
              </w:rPr>
              <w:tab/>
              <w:t>I will provide information to substantiate my claim, if requested, at any time by the relevant authorities; and</w:t>
            </w:r>
          </w:p>
          <w:p>
            <w:pPr>
              <w:pStyle w:val="yTableNAm"/>
              <w:tabs>
                <w:tab w:val="clear" w:pos="567"/>
                <w:tab w:val="left" w:pos="350"/>
              </w:tabs>
              <w:spacing w:before="100"/>
              <w:ind w:left="352" w:hanging="352"/>
              <w:rPr>
                <w:snapToGrid w:val="0"/>
                <w:sz w:val="16"/>
              </w:rPr>
            </w:pPr>
            <w:r>
              <w:rPr>
                <w:snapToGrid w:val="0"/>
                <w:sz w:val="16"/>
              </w:rPr>
              <w:t>(f)</w:t>
            </w:r>
            <w:r>
              <w:rPr>
                <w:snapToGrid w:val="0"/>
                <w:sz w:val="16"/>
              </w:rPr>
              <w:tab/>
              <w:t>I have prepared and issued invoices reflecting the liquor subsidy in accordance with requirements of the Australian Taxation Office; and</w:t>
            </w:r>
          </w:p>
          <w:p>
            <w:pPr>
              <w:pStyle w:val="yTableNAm"/>
              <w:tabs>
                <w:tab w:val="clear" w:pos="567"/>
                <w:tab w:val="left" w:pos="350"/>
              </w:tabs>
              <w:spacing w:before="100"/>
              <w:ind w:left="352" w:hanging="352"/>
              <w:rPr>
                <w:snapToGrid w:val="0"/>
                <w:sz w:val="16"/>
              </w:rPr>
            </w:pPr>
            <w:r>
              <w:rPr>
                <w:snapToGrid w:val="0"/>
                <w:sz w:val="16"/>
              </w:rPr>
              <w:t>(g)</w:t>
            </w:r>
            <w:r>
              <w:rPr>
                <w:snapToGrid w:val="0"/>
                <w:sz w:val="16"/>
              </w:rPr>
              <w:tab/>
              <w:t>my prices to my customers incorporate the amount of the subsidy.</w:t>
            </w:r>
          </w:p>
        </w:tc>
        <w:tc>
          <w:tcPr>
            <w:tcW w:w="1701" w:type="dxa"/>
          </w:tcPr>
          <w:p>
            <w:pPr>
              <w:pStyle w:val="yTableNAm"/>
              <w:rPr>
                <w:snapToGrid w:val="0"/>
                <w:color w:val="FFFFFF"/>
              </w:rPr>
            </w:pPr>
          </w:p>
        </w:tc>
      </w:tr>
    </w:tbl>
    <w:p>
      <w:pPr>
        <w:pStyle w:val="yTableNAm"/>
        <w:spacing w:before="160"/>
        <w:rPr>
          <w:b/>
          <w:bCs/>
          <w:snapToGrid w:val="0"/>
          <w:sz w:val="16"/>
        </w:rPr>
      </w:pPr>
      <w:r>
        <w:rPr>
          <w:b/>
          <w:bCs/>
          <w:snapToGrid w:val="0"/>
          <w:sz w:val="16"/>
        </w:rPr>
        <w:t>WHERE THE LICENSEE IS A COMPANY:</w:t>
      </w:r>
    </w:p>
    <w:p>
      <w:pPr>
        <w:pStyle w:val="yTableNAm"/>
        <w:spacing w:before="80"/>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tabs>
          <w:tab w:val="left" w:pos="4440"/>
        </w:tabs>
        <w:spacing w:before="60"/>
        <w:jc w:val="center"/>
        <w:rPr>
          <w:sz w:val="2"/>
        </w:rPr>
      </w:pPr>
      <w:r>
        <w:rPr>
          <w:sz w:val="20"/>
        </w:rPr>
        <w:tab/>
      </w:r>
      <w:r>
        <w:rPr>
          <w:sz w:val="20"/>
        </w:rPr>
        <w:tab/>
      </w:r>
      <w:r>
        <w:rPr>
          <w:noProof/>
          <w:spacing w:val="-2"/>
          <w:sz w:val="16"/>
          <w:lang w:eastAsia="en-AU"/>
        </w:rPr>
        <w:drawing>
          <wp:inline distT="0" distB="0" distL="0" distR="0">
            <wp:extent cx="771525" cy="6572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NAm"/>
        <w:tabs>
          <w:tab w:val="left" w:pos="2760"/>
          <w:tab w:val="left" w:pos="5280"/>
        </w:tabs>
        <w:spacing w:before="60"/>
        <w:rPr>
          <w:snapToGrid w:val="0"/>
          <w:sz w:val="16"/>
        </w:rPr>
      </w:pPr>
      <w:r>
        <w:rPr>
          <w:snapToGrid w:val="0"/>
          <w:sz w:val="16"/>
        </w:rPr>
        <w:t>Name and Signature of Director(s)</w:t>
      </w:r>
      <w:r>
        <w:rPr>
          <w:snapToGrid w:val="0"/>
          <w:sz w:val="16"/>
        </w:rPr>
        <w:tab/>
      </w:r>
      <w:r>
        <w:rPr>
          <w:snapToGrid w:val="0"/>
          <w:sz w:val="16"/>
        </w:rPr>
        <w:tab/>
        <w:t>Common Seal</w:t>
      </w:r>
    </w:p>
    <w:p>
      <w:pPr>
        <w:pStyle w:val="yTableNAm"/>
        <w:spacing w:before="60"/>
        <w:rPr>
          <w:snapToGrid w:val="0"/>
          <w:sz w:val="16"/>
        </w:rPr>
      </w:pPr>
      <w:r>
        <w:rPr>
          <w:snapToGrid w:val="0"/>
          <w:sz w:val="16"/>
        </w:rPr>
        <w:t>________________________________</w:t>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160"/>
        <w:rPr>
          <w:b/>
          <w:snapToGrid w:val="0"/>
          <w:sz w:val="16"/>
        </w:rPr>
      </w:pPr>
      <w:r>
        <w:rPr>
          <w:b/>
          <w:snapToGrid w:val="0"/>
          <w:sz w:val="16"/>
        </w:rPr>
        <w:t>WHERE THE LICENSEE IS ONE OR MORE INDIVIDUAL PERSONS:</w:t>
      </w:r>
    </w:p>
    <w:p>
      <w:pPr>
        <w:pStyle w:val="yTableNAm"/>
        <w:tabs>
          <w:tab w:val="left" w:pos="2760"/>
        </w:tabs>
        <w:spacing w:before="60"/>
        <w:rPr>
          <w:snapToGrid w:val="0"/>
          <w:sz w:val="16"/>
        </w:rPr>
      </w:pPr>
      <w:r>
        <w:rPr>
          <w:snapToGrid w:val="0"/>
          <w:sz w:val="16"/>
        </w:rPr>
        <w:t>Signature(s)</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r>
        <w:rPr>
          <w:snapToGrid w:val="0"/>
          <w:sz w:val="16"/>
        </w:rPr>
        <w:t>________________________________</w:t>
      </w:r>
      <w:r>
        <w:rPr>
          <w:snapToGrid w:val="0"/>
          <w:sz w:val="16"/>
        </w:rPr>
        <w:tab/>
      </w:r>
      <w:r>
        <w:rPr>
          <w:snapToGrid w:val="0"/>
          <w:sz w:val="16"/>
        </w:rPr>
        <w:tab/>
        <w:t>Date: ____ / ____ / ____</w:t>
      </w:r>
      <w:r>
        <w:rPr>
          <w:snapToGrid w:val="0"/>
          <w:sz w:val="16"/>
        </w:rPr>
        <w:tab/>
      </w:r>
      <w:r>
        <w:rPr>
          <w:snapToGrid w:val="0"/>
          <w:sz w:val="16"/>
        </w:rPr>
        <w:tab/>
        <w:t>Ph No: _________________</w:t>
      </w:r>
    </w:p>
    <w:p>
      <w:pPr>
        <w:pStyle w:val="yTableNAm"/>
        <w:tabs>
          <w:tab w:val="left" w:pos="2760"/>
        </w:tabs>
        <w:spacing w:before="6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8"/>
        <w:gridCol w:w="3240"/>
        <w:gridCol w:w="2288"/>
      </w:tblGrid>
      <w:tr>
        <w:tc>
          <w:tcPr>
            <w:tcW w:w="1418" w:type="dxa"/>
            <w:tcBorders>
              <w:bottom w:val="nil"/>
            </w:tcBorders>
            <w:shd w:val="pct10" w:color="auto" w:fill="auto"/>
          </w:tcPr>
          <w:p>
            <w:pPr>
              <w:pStyle w:val="yTableNAm"/>
              <w:keepNext/>
              <w:keepLines/>
              <w:tabs>
                <w:tab w:val="left" w:pos="2760"/>
              </w:tabs>
              <w:spacing w:before="0"/>
              <w:rPr>
                <w:b/>
                <w:snapToGrid w:val="0"/>
                <w:sz w:val="16"/>
              </w:rPr>
            </w:pPr>
            <w:r>
              <w:rPr>
                <w:b/>
                <w:snapToGrid w:val="0"/>
                <w:sz w:val="16"/>
              </w:rPr>
              <w:t>FOR OFFICE</w:t>
            </w:r>
          </w:p>
        </w:tc>
        <w:tc>
          <w:tcPr>
            <w:tcW w:w="3240" w:type="dxa"/>
            <w:shd w:val="pct10" w:color="auto" w:fill="auto"/>
          </w:tcPr>
          <w:p>
            <w:pPr>
              <w:pStyle w:val="yTableNAm"/>
              <w:keepNext/>
              <w:keepLines/>
              <w:tabs>
                <w:tab w:val="left" w:pos="1572"/>
                <w:tab w:val="left" w:pos="2760"/>
              </w:tabs>
              <w:spacing w:before="0"/>
              <w:rPr>
                <w:b/>
                <w:snapToGrid w:val="0"/>
                <w:sz w:val="16"/>
              </w:rPr>
            </w:pPr>
            <w:r>
              <w:rPr>
                <w:b/>
                <w:snapToGrid w:val="0"/>
                <w:sz w:val="16"/>
              </w:rPr>
              <w:t>DATE RECEIVED:</w:t>
            </w:r>
            <w:r>
              <w:rPr>
                <w:b/>
                <w:snapToGrid w:val="0"/>
                <w:sz w:val="16"/>
              </w:rPr>
              <w:tab/>
            </w:r>
            <w:r>
              <w:rPr>
                <w:snapToGrid w:val="0"/>
                <w:sz w:val="16"/>
              </w:rPr>
              <w:t>____</w:t>
            </w:r>
            <w:r>
              <w:rPr>
                <w:b/>
                <w:snapToGrid w:val="0"/>
                <w:sz w:val="16"/>
              </w:rPr>
              <w:t xml:space="preserve"> / </w:t>
            </w:r>
            <w:r>
              <w:rPr>
                <w:snapToGrid w:val="0"/>
                <w:sz w:val="16"/>
              </w:rPr>
              <w:t>____</w:t>
            </w:r>
            <w:r>
              <w:rPr>
                <w:b/>
                <w:snapToGrid w:val="0"/>
                <w:sz w:val="16"/>
              </w:rPr>
              <w:t xml:space="preserve"> / _</w:t>
            </w:r>
            <w:r>
              <w:rPr>
                <w:snapToGrid w:val="0"/>
                <w:sz w:val="16"/>
              </w:rPr>
              <w:t>___</w:t>
            </w:r>
          </w:p>
        </w:tc>
        <w:tc>
          <w:tcPr>
            <w:tcW w:w="2288" w:type="dxa"/>
            <w:shd w:val="pct10" w:color="auto" w:fill="auto"/>
          </w:tcPr>
          <w:p>
            <w:pPr>
              <w:pStyle w:val="yTableNAm"/>
              <w:keepNext/>
              <w:keepLines/>
              <w:tabs>
                <w:tab w:val="left" w:pos="2760"/>
              </w:tabs>
              <w:spacing w:before="0"/>
              <w:rPr>
                <w:b/>
                <w:snapToGrid w:val="0"/>
                <w:sz w:val="16"/>
              </w:rPr>
            </w:pPr>
            <w:r>
              <w:rPr>
                <w:b/>
                <w:snapToGrid w:val="0"/>
                <w:sz w:val="16"/>
              </w:rPr>
              <w:t>AMOUNT PAYABLE: $</w:t>
            </w:r>
          </w:p>
        </w:tc>
      </w:tr>
      <w:tr>
        <w:tc>
          <w:tcPr>
            <w:tcW w:w="1418" w:type="dxa"/>
            <w:tcBorders>
              <w:top w:val="nil"/>
              <w:bottom w:val="single" w:sz="4" w:space="0" w:color="auto"/>
            </w:tcBorders>
            <w:shd w:val="pct10" w:color="auto" w:fill="auto"/>
          </w:tcPr>
          <w:p>
            <w:pPr>
              <w:pStyle w:val="yTableNAm"/>
              <w:tabs>
                <w:tab w:val="left" w:pos="2760"/>
              </w:tabs>
              <w:spacing w:before="0"/>
              <w:rPr>
                <w:b/>
                <w:snapToGrid w:val="0"/>
                <w:sz w:val="16"/>
              </w:rPr>
            </w:pPr>
            <w:r>
              <w:rPr>
                <w:b/>
                <w:snapToGrid w:val="0"/>
                <w:sz w:val="16"/>
              </w:rPr>
              <w:t>USE ONLY</w:t>
            </w:r>
          </w:p>
        </w:tc>
        <w:tc>
          <w:tcPr>
            <w:tcW w:w="3240" w:type="dxa"/>
            <w:shd w:val="pct10" w:color="auto" w:fill="auto"/>
          </w:tcPr>
          <w:p>
            <w:pPr>
              <w:pStyle w:val="yTableNAm"/>
              <w:tabs>
                <w:tab w:val="left" w:pos="1572"/>
                <w:tab w:val="left" w:pos="2760"/>
              </w:tabs>
              <w:spacing w:before="0"/>
              <w:rPr>
                <w:b/>
                <w:snapToGrid w:val="0"/>
                <w:sz w:val="16"/>
              </w:rPr>
            </w:pPr>
            <w:r>
              <w:rPr>
                <w:b/>
                <w:snapToGrid w:val="0"/>
                <w:sz w:val="16"/>
              </w:rPr>
              <w:t xml:space="preserve">DATE PAID: </w:t>
            </w:r>
            <w:r>
              <w:rPr>
                <w:b/>
                <w:snapToGrid w:val="0"/>
                <w:sz w:val="16"/>
              </w:rPr>
              <w:tab/>
            </w:r>
            <w:r>
              <w:rPr>
                <w:snapToGrid w:val="0"/>
                <w:sz w:val="16"/>
              </w:rPr>
              <w:t>____ / ____ / ____</w:t>
            </w:r>
          </w:p>
        </w:tc>
        <w:tc>
          <w:tcPr>
            <w:tcW w:w="2288" w:type="dxa"/>
            <w:shd w:val="pct10" w:color="auto" w:fill="auto"/>
          </w:tcPr>
          <w:p>
            <w:pPr>
              <w:pStyle w:val="yTableNAm"/>
              <w:tabs>
                <w:tab w:val="left" w:pos="2760"/>
              </w:tabs>
              <w:spacing w:before="0"/>
              <w:rPr>
                <w:b/>
                <w:snapToGrid w:val="0"/>
                <w:sz w:val="16"/>
              </w:rPr>
            </w:pPr>
            <w:r>
              <w:rPr>
                <w:b/>
                <w:snapToGrid w:val="0"/>
                <w:sz w:val="16"/>
              </w:rPr>
              <w:t>PAYMENT DETAILS:</w:t>
            </w:r>
          </w:p>
        </w:tc>
      </w:tr>
    </w:tbl>
    <w:p>
      <w:pPr>
        <w:pStyle w:val="yFootnotesection"/>
      </w:pPr>
      <w:r>
        <w:tab/>
        <w:t>[Form 19 inserted in Gazette 9 Jul 2004 p. 2774</w:t>
      </w:r>
      <w:r>
        <w:noBreakHyphen/>
        <w:t>5.]</w:t>
      </w:r>
    </w:p>
    <w:p>
      <w:pPr>
        <w:pStyle w:val="yMiscellaneousBody"/>
        <w:jc w:val="center"/>
        <w:rPr>
          <w:b/>
          <w:bCs/>
          <w:snapToGrid w:val="0"/>
        </w:rPr>
      </w:pPr>
      <w:r>
        <w:rPr>
          <w:b/>
          <w:bCs/>
          <w:snapToGrid w:val="0"/>
        </w:rPr>
        <w:t xml:space="preserve">Form </w:t>
      </w:r>
      <w:r>
        <w:rPr>
          <w:rStyle w:val="CharSClsNo"/>
          <w:b/>
        </w:rPr>
        <w:t>19A</w:t>
      </w:r>
    </w:p>
    <w:p>
      <w:pPr>
        <w:pStyle w:val="yMiscellaneousHeading"/>
        <w:rPr>
          <w:i/>
          <w:iCs/>
          <w:snapToGrid w:val="0"/>
          <w:sz w:val="20"/>
        </w:rPr>
      </w:pPr>
      <w:r>
        <w:rPr>
          <w:i/>
          <w:iCs/>
          <w:snapToGrid w:val="0"/>
          <w:sz w:val="20"/>
        </w:rPr>
        <w:t>Liquor Control Act 1988 </w:t>
      </w:r>
      <w:r>
        <w:rPr>
          <w:snapToGrid w:val="0"/>
          <w:sz w:val="20"/>
          <w:vertAlign w:val="superscript"/>
        </w:rPr>
        <w:t>2</w:t>
      </w:r>
    </w:p>
    <w:p>
      <w:pPr>
        <w:pStyle w:val="yShoulderClause"/>
        <w:spacing w:after="40"/>
        <w:rPr>
          <w:snapToGrid w:val="0"/>
          <w:sz w:val="20"/>
        </w:rPr>
      </w:pPr>
      <w:r>
        <w:rPr>
          <w:snapToGrid w:val="0"/>
          <w:sz w:val="20"/>
        </w:rPr>
        <w:t>[Regulation 19(1)]</w:t>
      </w:r>
    </w:p>
    <w:tbl>
      <w:tblPr>
        <w:tblW w:w="0" w:type="auto"/>
        <w:tblInd w:w="262" w:type="dxa"/>
        <w:tblLayout w:type="fixed"/>
        <w:tblCellMar>
          <w:left w:w="120" w:type="dxa"/>
          <w:right w:w="120" w:type="dxa"/>
        </w:tblCellMar>
        <w:tblLook w:val="0000" w:firstRow="0" w:lastRow="0" w:firstColumn="0" w:lastColumn="0" w:noHBand="0" w:noVBand="0"/>
      </w:tblPr>
      <w:tblGrid>
        <w:gridCol w:w="2511"/>
        <w:gridCol w:w="41"/>
        <w:gridCol w:w="379"/>
        <w:gridCol w:w="460"/>
        <w:gridCol w:w="436"/>
        <w:gridCol w:w="426"/>
        <w:gridCol w:w="425"/>
        <w:gridCol w:w="236"/>
        <w:gridCol w:w="47"/>
        <w:gridCol w:w="142"/>
        <w:gridCol w:w="425"/>
        <w:gridCol w:w="66"/>
        <w:gridCol w:w="142"/>
        <w:gridCol w:w="218"/>
        <w:gridCol w:w="992"/>
      </w:tblGrid>
      <w:tr>
        <w:tc>
          <w:tcPr>
            <w:tcW w:w="6946" w:type="dxa"/>
            <w:gridSpan w:val="15"/>
            <w:tcBorders>
              <w:top w:val="single" w:sz="2" w:space="0" w:color="auto"/>
              <w:left w:val="single" w:sz="2" w:space="0" w:color="auto"/>
              <w:bottom w:val="single" w:sz="2" w:space="0" w:color="auto"/>
              <w:right w:val="single" w:sz="2" w:space="0" w:color="auto"/>
            </w:tcBorders>
            <w:shd w:val="pct10" w:color="auto" w:fill="auto"/>
          </w:tcPr>
          <w:p>
            <w:pPr>
              <w:pStyle w:val="yTableNAm"/>
              <w:spacing w:before="60"/>
              <w:jc w:val="center"/>
              <w:rPr>
                <w:b/>
                <w:bCs/>
                <w:sz w:val="20"/>
              </w:rPr>
            </w:pPr>
            <w:r>
              <w:rPr>
                <w:b/>
                <w:bCs/>
                <w:sz w:val="20"/>
              </w:rPr>
              <w:t>Application for Liquor Subsidy — Low Alcohol</w:t>
            </w:r>
          </w:p>
          <w:p>
            <w:pPr>
              <w:pStyle w:val="yTableNAm"/>
              <w:spacing w:before="60"/>
              <w:jc w:val="center"/>
              <w:rPr>
                <w:spacing w:val="-2"/>
              </w:rPr>
            </w:pPr>
            <w:r>
              <w:rPr>
                <w:spacing w:val="-2"/>
                <w:sz w:val="20"/>
              </w:rPr>
              <w:t>(WA Wholesalers/Beer Producers)</w:t>
            </w:r>
          </w:p>
        </w:tc>
      </w:tr>
      <w:tr>
        <w:tc>
          <w:tcPr>
            <w:tcW w:w="2552" w:type="dxa"/>
            <w:gridSpan w:val="2"/>
          </w:tcPr>
          <w:p>
            <w:pPr>
              <w:pStyle w:val="yTableNAm"/>
              <w:spacing w:before="60"/>
              <w:rPr>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1.</w:t>
            </w:r>
            <w:r>
              <w:rPr>
                <w:b/>
                <w:bCs/>
                <w:spacing w:val="-2"/>
                <w:sz w:val="16"/>
              </w:rPr>
              <w:tab/>
              <w:t>CLAIM FOR THE MONTH/PERIOD OF:</w:t>
            </w:r>
          </w:p>
        </w:tc>
        <w:tc>
          <w:tcPr>
            <w:tcW w:w="3042" w:type="dxa"/>
            <w:gridSpan w:val="10"/>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1352"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226"/>
        </w:trPr>
        <w:tc>
          <w:tcPr>
            <w:tcW w:w="2552" w:type="dxa"/>
            <w:gridSpan w:val="2"/>
          </w:tcPr>
          <w:p>
            <w:pPr>
              <w:pStyle w:val="yTableNAm"/>
              <w:tabs>
                <w:tab w:val="clear" w:pos="567"/>
                <w:tab w:val="left" w:pos="338"/>
              </w:tabs>
              <w:spacing w:before="60"/>
              <w:ind w:left="340" w:hanging="340"/>
              <w:rPr>
                <w:b/>
                <w:bCs/>
                <w:spacing w:val="-2"/>
                <w:sz w:val="16"/>
              </w:rPr>
            </w:pPr>
          </w:p>
        </w:tc>
        <w:tc>
          <w:tcPr>
            <w:tcW w:w="3042" w:type="dxa"/>
            <w:gridSpan w:val="10"/>
            <w:tcBorders>
              <w:top w:val="single" w:sz="8" w:space="0" w:color="auto"/>
              <w:bottom w:val="single" w:sz="8" w:space="0" w:color="auto"/>
            </w:tcBorders>
          </w:tcPr>
          <w:p>
            <w:pPr>
              <w:pStyle w:val="yTableNAm"/>
              <w:spacing w:before="0"/>
              <w:jc w:val="center"/>
              <w:rPr>
                <w:spacing w:val="-2"/>
                <w:sz w:val="16"/>
              </w:rPr>
            </w:pPr>
            <w:r>
              <w:rPr>
                <w:spacing w:val="-2"/>
                <w:sz w:val="16"/>
              </w:rPr>
              <w:t>Month/Quarter</w:t>
            </w:r>
          </w:p>
        </w:tc>
        <w:tc>
          <w:tcPr>
            <w:tcW w:w="1352" w:type="dxa"/>
            <w:gridSpan w:val="3"/>
            <w:tcBorders>
              <w:top w:val="single" w:sz="8" w:space="0" w:color="auto"/>
              <w:bottom w:val="single" w:sz="8" w:space="0" w:color="auto"/>
            </w:tcBorders>
          </w:tcPr>
          <w:p>
            <w:pPr>
              <w:pStyle w:val="yTableNAm"/>
              <w:spacing w:before="0"/>
              <w:jc w:val="center"/>
              <w:rPr>
                <w:spacing w:val="-2"/>
                <w:sz w:val="16"/>
              </w:rPr>
            </w:pPr>
            <w:r>
              <w:rPr>
                <w:spacing w:val="-2"/>
                <w:sz w:val="16"/>
              </w:rPr>
              <w:t>Year</w:t>
            </w:r>
          </w:p>
          <w:p>
            <w:pPr>
              <w:pStyle w:val="yTableNAm"/>
              <w:spacing w:before="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2.</w:t>
            </w:r>
            <w:r>
              <w:rPr>
                <w:b/>
                <w:bCs/>
                <w:spacing w:val="-2"/>
                <w:sz w:val="16"/>
              </w:rPr>
              <w:tab/>
              <w:t>AUSTRALIAN BUSINESS NUMBER:</w:t>
            </w:r>
          </w:p>
        </w:tc>
        <w:tc>
          <w:tcPr>
            <w:tcW w:w="3042" w:type="dxa"/>
            <w:gridSpan w:val="10"/>
            <w:tcBorders>
              <w:top w:val="single" w:sz="8" w:space="0" w:color="auto"/>
              <w:left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tcBorders>
          </w:tcPr>
          <w:p>
            <w:pPr>
              <w:pStyle w:val="yTableNAm"/>
              <w:spacing w:before="60"/>
              <w:rPr>
                <w:spacing w:val="-2"/>
                <w:sz w:val="16"/>
              </w:rPr>
            </w:pPr>
          </w:p>
        </w:tc>
        <w:tc>
          <w:tcPr>
            <w:tcW w:w="680" w:type="dxa"/>
            <w:gridSpan w:val="4"/>
            <w:tcBorders>
              <w:top w:val="single" w:sz="8" w:space="0" w:color="auto"/>
            </w:tcBorders>
          </w:tcPr>
          <w:p>
            <w:pPr>
              <w:pStyle w:val="yTableNAm"/>
              <w:spacing w:before="60"/>
              <w:rPr>
                <w:spacing w:val="-2"/>
                <w:sz w:val="16"/>
              </w:rPr>
            </w:pPr>
          </w:p>
        </w:tc>
        <w:tc>
          <w:tcPr>
            <w:tcW w:w="1352" w:type="dxa"/>
            <w:gridSpan w:val="3"/>
            <w:tcBorders>
              <w:top w:val="single" w:sz="8" w:space="0" w:color="auto"/>
            </w:tcBorders>
          </w:tcPr>
          <w:p>
            <w:pPr>
              <w:pStyle w:val="yTableNAm"/>
              <w:spacing w:before="60"/>
              <w:rPr>
                <w:spacing w:val="-2"/>
                <w:sz w:val="16"/>
              </w:rPr>
            </w:pPr>
          </w:p>
        </w:tc>
      </w:tr>
      <w:tr>
        <w:trPr>
          <w:gridAfter w:val="1"/>
          <w:wAfter w:w="992" w:type="dxa"/>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3.</w:t>
            </w:r>
            <w:r>
              <w:rPr>
                <w:b/>
                <w:bCs/>
                <w:spacing w:val="-2"/>
                <w:sz w:val="16"/>
              </w:rPr>
              <w:tab/>
              <w:t>LIQUOR LICENCE NUMBER:</w:t>
            </w:r>
          </w:p>
        </w:tc>
        <w:tc>
          <w:tcPr>
            <w:tcW w:w="379"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60"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3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5" w:type="dxa"/>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c>
          <w:tcPr>
            <w:tcW w:w="426" w:type="dxa"/>
            <w:gridSpan w:val="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bottom w:val="single" w:sz="8" w:space="0" w:color="auto"/>
            </w:tcBorders>
          </w:tcPr>
          <w:p>
            <w:pPr>
              <w:pStyle w:val="yTableNAm"/>
              <w:spacing w:before="60"/>
              <w:rPr>
                <w:spacing w:val="-2"/>
                <w:sz w:val="16"/>
              </w:rPr>
            </w:pPr>
          </w:p>
        </w:tc>
        <w:tc>
          <w:tcPr>
            <w:tcW w:w="680" w:type="dxa"/>
            <w:gridSpan w:val="4"/>
            <w:tcBorders>
              <w:bottom w:val="single" w:sz="8" w:space="0" w:color="auto"/>
            </w:tcBorders>
          </w:tcPr>
          <w:p>
            <w:pPr>
              <w:pStyle w:val="yTableNAm"/>
              <w:spacing w:before="60"/>
              <w:rPr>
                <w:spacing w:val="-2"/>
                <w:sz w:val="16"/>
              </w:rPr>
            </w:pPr>
          </w:p>
        </w:tc>
        <w:tc>
          <w:tcPr>
            <w:tcW w:w="1352" w:type="dxa"/>
            <w:gridSpan w:val="3"/>
            <w:tcBorders>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4.</w:t>
            </w:r>
            <w:r>
              <w:rPr>
                <w:b/>
                <w:bCs/>
                <w:spacing w:val="-2"/>
                <w:sz w:val="16"/>
              </w:rPr>
              <w:tab/>
              <w:t>NAME OF 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hRule="exact" w:val="112"/>
        </w:trPr>
        <w:tc>
          <w:tcPr>
            <w:tcW w:w="2552" w:type="dxa"/>
            <w:gridSpan w:val="2"/>
          </w:tcPr>
          <w:p>
            <w:pPr>
              <w:pStyle w:val="yTableNAm"/>
              <w:tabs>
                <w:tab w:val="clear" w:pos="567"/>
                <w:tab w:val="left" w:pos="338"/>
              </w:tabs>
              <w:spacing w:before="60"/>
              <w:ind w:left="340" w:hanging="340"/>
              <w:rPr>
                <w:b/>
                <w:bCs/>
                <w:spacing w:val="-2"/>
                <w:sz w:val="16"/>
              </w:rPr>
            </w:pPr>
          </w:p>
        </w:tc>
        <w:tc>
          <w:tcPr>
            <w:tcW w:w="2362" w:type="dxa"/>
            <w:gridSpan w:val="6"/>
            <w:tcBorders>
              <w:top w:val="single" w:sz="8" w:space="0" w:color="auto"/>
              <w:bottom w:val="single" w:sz="8" w:space="0" w:color="auto"/>
            </w:tcBorders>
          </w:tcPr>
          <w:p>
            <w:pPr>
              <w:pStyle w:val="yTableNAm"/>
              <w:spacing w:before="60"/>
              <w:rPr>
                <w:spacing w:val="-2"/>
                <w:sz w:val="16"/>
              </w:rPr>
            </w:pPr>
          </w:p>
        </w:tc>
        <w:tc>
          <w:tcPr>
            <w:tcW w:w="680" w:type="dxa"/>
            <w:gridSpan w:val="4"/>
            <w:tcBorders>
              <w:top w:val="single" w:sz="8" w:space="0" w:color="auto"/>
              <w:bottom w:val="single" w:sz="8" w:space="0" w:color="auto"/>
            </w:tcBorders>
          </w:tcPr>
          <w:p>
            <w:pPr>
              <w:pStyle w:val="yTableNAm"/>
              <w:spacing w:before="60"/>
              <w:rPr>
                <w:spacing w:val="-2"/>
                <w:sz w:val="16"/>
              </w:rPr>
            </w:pPr>
          </w:p>
        </w:tc>
        <w:tc>
          <w:tcPr>
            <w:tcW w:w="1352" w:type="dxa"/>
            <w:gridSpan w:val="3"/>
            <w:tcBorders>
              <w:top w:val="single" w:sz="8" w:space="0" w:color="auto"/>
              <w:bottom w:val="single" w:sz="8" w:space="0" w:color="auto"/>
            </w:tcBorders>
          </w:tcPr>
          <w:p>
            <w:pPr>
              <w:pStyle w:val="yTableNAm"/>
              <w:spacing w:before="60"/>
              <w:rPr>
                <w:spacing w:val="-2"/>
                <w:sz w:val="16"/>
              </w:rPr>
            </w:pPr>
          </w:p>
        </w:tc>
      </w:tr>
      <w:tr>
        <w:trPr>
          <w:cantSplit/>
        </w:trPr>
        <w:tc>
          <w:tcPr>
            <w:tcW w:w="2552" w:type="dxa"/>
            <w:gridSpan w:val="2"/>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5.</w:t>
            </w:r>
            <w:r>
              <w:rPr>
                <w:b/>
                <w:bCs/>
                <w:spacing w:val="-2"/>
                <w:sz w:val="16"/>
              </w:rPr>
              <w:tab/>
              <w:t xml:space="preserve">NAME OF LICENSEE: </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ab/>
              <w:t>ADDRESS OF LICENSED</w:t>
            </w:r>
          </w:p>
          <w:p>
            <w:pPr>
              <w:pStyle w:val="yTableNAm"/>
              <w:tabs>
                <w:tab w:val="left" w:pos="338"/>
              </w:tabs>
              <w:spacing w:before="0"/>
              <w:ind w:left="340" w:hanging="340"/>
              <w:rPr>
                <w:b/>
                <w:bCs/>
                <w:spacing w:val="-2"/>
                <w:sz w:val="16"/>
              </w:rPr>
            </w:pPr>
            <w:r>
              <w:rPr>
                <w:b/>
                <w:bCs/>
                <w:spacing w:val="-2"/>
                <w:sz w:val="16"/>
              </w:rPr>
              <w:tab/>
              <w:t>PREMISES:</w:t>
            </w: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cantSplit/>
        </w:trPr>
        <w:tc>
          <w:tcPr>
            <w:tcW w:w="2552" w:type="dxa"/>
            <w:gridSpan w:val="2"/>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4394" w:type="dxa"/>
            <w:gridSpan w:val="13"/>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tc>
      </w:tr>
      <w:tr>
        <w:trPr>
          <w:trHeight w:val="226"/>
        </w:trPr>
        <w:tc>
          <w:tcPr>
            <w:tcW w:w="2552" w:type="dxa"/>
            <w:gridSpan w:val="2"/>
          </w:tcPr>
          <w:p>
            <w:pPr>
              <w:pStyle w:val="yTableNAm"/>
              <w:tabs>
                <w:tab w:val="clear" w:pos="567"/>
                <w:tab w:val="left" w:pos="338"/>
              </w:tabs>
              <w:spacing w:before="60"/>
              <w:ind w:left="340" w:hanging="340"/>
              <w:rPr>
                <w:b/>
                <w:bCs/>
                <w:spacing w:val="-2"/>
                <w:sz w:val="16"/>
              </w:rPr>
            </w:pPr>
          </w:p>
        </w:tc>
        <w:tc>
          <w:tcPr>
            <w:tcW w:w="2409" w:type="dxa"/>
            <w:gridSpan w:val="7"/>
            <w:tcBorders>
              <w:top w:val="single" w:sz="8" w:space="0" w:color="auto"/>
            </w:tcBorders>
          </w:tcPr>
          <w:p>
            <w:pPr>
              <w:pStyle w:val="yTableNAm"/>
              <w:spacing w:before="60"/>
              <w:rPr>
                <w:spacing w:val="-2"/>
                <w:sz w:val="16"/>
              </w:rPr>
            </w:pPr>
          </w:p>
        </w:tc>
        <w:tc>
          <w:tcPr>
            <w:tcW w:w="1985" w:type="dxa"/>
            <w:gridSpan w:val="6"/>
            <w:tcBorders>
              <w:top w:val="single" w:sz="8" w:space="0" w:color="auto"/>
            </w:tcBorders>
          </w:tcPr>
          <w:p>
            <w:pPr>
              <w:pStyle w:val="yTableNAm"/>
              <w:spacing w:before="0" w:after="60"/>
              <w:jc w:val="center"/>
              <w:rPr>
                <w:spacing w:val="-2"/>
                <w:sz w:val="16"/>
              </w:rPr>
            </w:pPr>
            <w:r>
              <w:rPr>
                <w:spacing w:val="-2"/>
                <w:sz w:val="16"/>
              </w:rPr>
              <w:t>Postcode</w:t>
            </w:r>
          </w:p>
        </w:tc>
      </w:tr>
      <w:tr>
        <w:trPr>
          <w:cantSplit/>
        </w:trPr>
        <w:tc>
          <w:tcPr>
            <w:tcW w:w="2511" w:type="dxa"/>
            <w:vMerge w:val="restart"/>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6.</w:t>
            </w:r>
            <w:r>
              <w:rPr>
                <w:b/>
                <w:bCs/>
                <w:spacing w:val="-2"/>
                <w:sz w:val="16"/>
              </w:rPr>
              <w:tab/>
              <w:t>AMOUNT OF SUBSIDY CLAIM:</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b/>
              <w:t>Low Alcohol Beer</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w:t>
            </w:r>
          </w:p>
        </w:tc>
      </w:tr>
      <w:tr>
        <w:trPr>
          <w:cantSplit/>
        </w:trPr>
        <w:tc>
          <w:tcPr>
            <w:tcW w:w="2511" w:type="dxa"/>
            <w:vMerge/>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ab/>
              <w:t>Low Alcohol Wine</w:t>
            </w:r>
          </w:p>
        </w:tc>
        <w:tc>
          <w:tcPr>
            <w:tcW w:w="1210" w:type="dxa"/>
            <w:gridSpan w:val="2"/>
            <w:tcBorders>
              <w:top w:val="single" w:sz="8" w:space="0" w:color="auto"/>
              <w:left w:val="single" w:sz="8" w:space="0" w:color="auto"/>
              <w:bottom w:val="double" w:sz="4" w:space="0" w:color="auto"/>
              <w:right w:val="single" w:sz="8" w:space="0" w:color="auto"/>
            </w:tcBorders>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p>
        </w:tc>
        <w:tc>
          <w:tcPr>
            <w:tcW w:w="3225" w:type="dxa"/>
            <w:gridSpan w:val="1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b/>
                <w:bCs/>
                <w:spacing w:val="-2"/>
                <w:sz w:val="16"/>
              </w:rPr>
            </w:pPr>
            <w:r>
              <w:rPr>
                <w:b/>
                <w:bCs/>
                <w:spacing w:val="-2"/>
                <w:sz w:val="16"/>
              </w:rPr>
              <w:t>TOTAL FOR THIS PERIOD:</w:t>
            </w:r>
          </w:p>
        </w:tc>
        <w:tc>
          <w:tcPr>
            <w:tcW w:w="1210" w:type="dxa"/>
            <w:gridSpan w:val="2"/>
            <w:tcBorders>
              <w:top w:val="double" w:sz="4" w:space="0" w:color="auto"/>
              <w:left w:val="single" w:sz="8" w:space="0" w:color="auto"/>
              <w:bottom w:val="single" w:sz="8" w:space="0" w:color="auto"/>
              <w:right w:val="single" w:sz="8" w:space="0" w:color="auto"/>
            </w:tcBorders>
            <w:shd w:val="pct10" w:color="auto" w:fill="auto"/>
          </w:tcPr>
          <w:p>
            <w:pPr>
              <w:pStyle w:val="yTableNAm"/>
              <w:spacing w:before="60"/>
              <w:rPr>
                <w:spacing w:val="-2"/>
                <w:sz w:val="16"/>
              </w:rPr>
            </w:pPr>
            <w:r>
              <w:rPr>
                <w:spacing w:val="-2"/>
                <w:sz w:val="16"/>
              </w:rPr>
              <w:t>$</w:t>
            </w:r>
          </w:p>
        </w:tc>
      </w:tr>
      <w:tr>
        <w:tc>
          <w:tcPr>
            <w:tcW w:w="2511" w:type="dxa"/>
            <w:tcBorders>
              <w:right w:val="single" w:sz="8" w:space="0" w:color="auto"/>
            </w:tcBorders>
          </w:tcPr>
          <w:p>
            <w:pPr>
              <w:pStyle w:val="yTableNAm"/>
              <w:tabs>
                <w:tab w:val="clear" w:pos="567"/>
                <w:tab w:val="left" w:pos="338"/>
              </w:tabs>
              <w:spacing w:before="60"/>
              <w:ind w:left="340" w:hanging="340"/>
              <w:rPr>
                <w:b/>
                <w:bCs/>
                <w:spacing w:val="-2"/>
                <w:sz w:val="16"/>
              </w:rPr>
            </w:pPr>
            <w:r>
              <w:rPr>
                <w:b/>
                <w:bCs/>
                <w:spacing w:val="-2"/>
                <w:sz w:val="16"/>
              </w:rPr>
              <w:t>7.</w:t>
            </w:r>
            <w:r>
              <w:rPr>
                <w:b/>
                <w:bCs/>
                <w:spacing w:val="-2"/>
                <w:sz w:val="16"/>
              </w:rPr>
              <w:tab/>
              <w:t>ADJUSTMENTS (IF APPLICABLE):</w:t>
            </w:r>
          </w:p>
        </w:tc>
        <w:tc>
          <w:tcPr>
            <w:tcW w:w="3225" w:type="dxa"/>
            <w:gridSpan w:val="1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r>
              <w:rPr>
                <w:spacing w:val="-2"/>
                <w:sz w:val="16"/>
              </w:rPr>
              <w:t>Amount overpaid/underpaid for the month of ...................................................</w:t>
            </w:r>
          </w:p>
        </w:tc>
        <w:tc>
          <w:tcPr>
            <w:tcW w:w="1210" w:type="dxa"/>
            <w:gridSpan w:val="2"/>
            <w:tcBorders>
              <w:top w:val="single" w:sz="8" w:space="0" w:color="auto"/>
              <w:left w:val="single" w:sz="8" w:space="0" w:color="auto"/>
              <w:bottom w:val="single" w:sz="8" w:space="0" w:color="auto"/>
              <w:right w:val="single" w:sz="8" w:space="0" w:color="auto"/>
            </w:tcBorders>
          </w:tcPr>
          <w:p>
            <w:pPr>
              <w:pStyle w:val="yTableNAm"/>
              <w:spacing w:before="60"/>
              <w:rPr>
                <w:spacing w:val="-2"/>
                <w:sz w:val="16"/>
              </w:rPr>
            </w:pPr>
          </w:p>
          <w:p>
            <w:pPr>
              <w:pStyle w:val="yTableNAm"/>
              <w:spacing w:before="0"/>
              <w:rPr>
                <w:spacing w:val="-2"/>
                <w:sz w:val="16"/>
              </w:rPr>
            </w:pPr>
            <w:r>
              <w:rPr>
                <w:spacing w:val="-2"/>
                <w:sz w:val="16"/>
              </w:rPr>
              <w:t>$</w:t>
            </w:r>
          </w:p>
        </w:tc>
      </w:tr>
      <w:tr>
        <w:tc>
          <w:tcPr>
            <w:tcW w:w="2511" w:type="dxa"/>
            <w:tcBorders>
              <w:right w:val="single" w:sz="8" w:space="0" w:color="auto"/>
            </w:tcBorders>
          </w:tcPr>
          <w:p>
            <w:pPr>
              <w:pStyle w:val="yTableNAm"/>
              <w:spacing w:before="60"/>
              <w:rPr>
                <w:spacing w:val="-2"/>
                <w:sz w:val="16"/>
              </w:rPr>
            </w:pPr>
          </w:p>
        </w:tc>
        <w:tc>
          <w:tcPr>
            <w:tcW w:w="3225" w:type="dxa"/>
            <w:gridSpan w:val="1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b/>
                <w:bCs/>
                <w:spacing w:val="-2"/>
                <w:sz w:val="16"/>
              </w:rPr>
            </w:pPr>
            <w:r>
              <w:rPr>
                <w:b/>
                <w:bCs/>
                <w:spacing w:val="-2"/>
                <w:sz w:val="16"/>
              </w:rPr>
              <w:t>TOTAL AMOUNT CLAIMED:</w:t>
            </w:r>
          </w:p>
        </w:tc>
        <w:tc>
          <w:tcPr>
            <w:tcW w:w="1210" w:type="dxa"/>
            <w:gridSpan w:val="2"/>
            <w:tcBorders>
              <w:top w:val="single" w:sz="8" w:space="0" w:color="auto"/>
              <w:left w:val="single" w:sz="8" w:space="0" w:color="auto"/>
              <w:bottom w:val="double" w:sz="4" w:space="0" w:color="auto"/>
              <w:right w:val="single" w:sz="8" w:space="0" w:color="auto"/>
            </w:tcBorders>
            <w:shd w:val="pct10" w:color="auto" w:fill="auto"/>
          </w:tcPr>
          <w:p>
            <w:pPr>
              <w:pStyle w:val="yTableNAm"/>
              <w:spacing w:before="60"/>
              <w:rPr>
                <w:spacing w:val="-2"/>
                <w:sz w:val="16"/>
              </w:rPr>
            </w:pPr>
            <w:r>
              <w:rPr>
                <w:spacing w:val="-2"/>
                <w:sz w:val="16"/>
              </w:rPr>
              <w:t>$</w:t>
            </w:r>
          </w:p>
        </w:tc>
      </w:tr>
    </w:tbl>
    <w:p>
      <w:pPr>
        <w:pStyle w:val="yTableNAm"/>
        <w:spacing w:before="0"/>
        <w:rPr>
          <w:snapToGrid w:val="0"/>
          <w:sz w:val="16"/>
        </w:rPr>
      </w:pPr>
    </w:p>
    <w:p>
      <w:pPr>
        <w:pStyle w:val="yMiscellaneousBody"/>
        <w:spacing w:before="60" w:after="60"/>
        <w:ind w:left="119"/>
        <w:rPr>
          <w:snapToGrid w:val="0"/>
          <w:sz w:val="16"/>
        </w:rPr>
      </w:pPr>
      <w:r>
        <w:rPr>
          <w:snapToGrid w:val="0"/>
          <w:sz w:val="16"/>
        </w:rPr>
        <w:t xml:space="preserve">Have your bank details changed?  No </w:t>
      </w:r>
      <w:r>
        <w:rPr>
          <w:sz w:val="16"/>
        </w:rPr>
        <w:sym w:font="Wingdings" w:char="F072"/>
      </w:r>
      <w:r>
        <w:rPr>
          <w:sz w:val="16"/>
        </w:rPr>
        <w:t xml:space="preserve">   Yes </w:t>
      </w:r>
      <w:r>
        <w:rPr>
          <w:sz w:val="16"/>
        </w:rPr>
        <w:sym w:font="Wingdings" w:char="F072"/>
      </w:r>
      <w:r>
        <w:rPr>
          <w:sz w:val="16"/>
        </w:rPr>
        <w:t xml:space="preserve">  If </w:t>
      </w:r>
      <w:r>
        <w:rPr>
          <w:b/>
          <w:sz w:val="16"/>
        </w:rPr>
        <w:t>yes</w:t>
      </w:r>
      <w:r>
        <w:rPr>
          <w:sz w:val="16"/>
        </w:rPr>
        <w:t xml:space="preserve"> please provide new bank details below:</w:t>
      </w: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BANK NAME:</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BRANCH NAME:</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tbl>
      <w:tblPr>
        <w:tblW w:w="0" w:type="auto"/>
        <w:tblInd w:w="262" w:type="dxa"/>
        <w:tblLayout w:type="fixed"/>
        <w:tblCellMar>
          <w:left w:w="120" w:type="dxa"/>
          <w:right w:w="120" w:type="dxa"/>
        </w:tblCellMar>
        <w:tblLook w:val="0000" w:firstRow="0" w:lastRow="0" w:firstColumn="0" w:lastColumn="0" w:noHBand="0" w:noVBand="0"/>
      </w:tblPr>
      <w:tblGrid>
        <w:gridCol w:w="1701"/>
        <w:gridCol w:w="1985"/>
        <w:gridCol w:w="1559"/>
        <w:gridCol w:w="1701"/>
      </w:tblGrid>
      <w:tr>
        <w:tc>
          <w:tcPr>
            <w:tcW w:w="1701" w:type="dxa"/>
            <w:tcBorders>
              <w:right w:val="single" w:sz="8" w:space="0" w:color="auto"/>
            </w:tcBorders>
          </w:tcPr>
          <w:p>
            <w:pPr>
              <w:pStyle w:val="yTableNAm"/>
              <w:rPr>
                <w:sz w:val="16"/>
              </w:rPr>
            </w:pPr>
            <w:r>
              <w:rPr>
                <w:sz w:val="16"/>
              </w:rPr>
              <w:t>BSB No.</w:t>
            </w:r>
          </w:p>
        </w:tc>
        <w:tc>
          <w:tcPr>
            <w:tcW w:w="1985" w:type="dxa"/>
            <w:tcBorders>
              <w:top w:val="single" w:sz="8" w:space="0" w:color="auto"/>
              <w:left w:val="single" w:sz="8" w:space="0" w:color="auto"/>
              <w:bottom w:val="single" w:sz="8" w:space="0" w:color="auto"/>
              <w:right w:val="single" w:sz="8" w:space="0" w:color="auto"/>
            </w:tcBorders>
          </w:tcPr>
          <w:p>
            <w:pPr>
              <w:pStyle w:val="yTableNAm"/>
              <w:rPr>
                <w:sz w:val="16"/>
              </w:rPr>
            </w:pPr>
          </w:p>
        </w:tc>
        <w:tc>
          <w:tcPr>
            <w:tcW w:w="1559" w:type="dxa"/>
            <w:tcBorders>
              <w:left w:val="single" w:sz="8" w:space="0" w:color="auto"/>
              <w:right w:val="single" w:sz="8" w:space="0" w:color="auto"/>
            </w:tcBorders>
          </w:tcPr>
          <w:p>
            <w:pPr>
              <w:pStyle w:val="yTableNAm"/>
              <w:rPr>
                <w:sz w:val="16"/>
              </w:rPr>
            </w:pPr>
            <w:r>
              <w:rPr>
                <w:sz w:val="16"/>
              </w:rPr>
              <w:t>ACCOUNT No:</w:t>
            </w:r>
          </w:p>
        </w:tc>
        <w:tc>
          <w:tcPr>
            <w:tcW w:w="1701" w:type="dxa"/>
            <w:tcBorders>
              <w:top w:val="single" w:sz="8" w:space="0" w:color="auto"/>
              <w:left w:val="single" w:sz="8" w:space="0" w:color="auto"/>
              <w:bottom w:val="single" w:sz="8" w:space="0" w:color="auto"/>
              <w:right w:val="single" w:sz="8" w:space="0" w:color="auto"/>
            </w:tcBorders>
          </w:tcPr>
          <w:p>
            <w:pPr>
              <w:pStyle w:val="yTableNAm"/>
              <w:rPr>
                <w:sz w:val="16"/>
              </w:rPr>
            </w:pPr>
          </w:p>
        </w:tc>
      </w:tr>
    </w:tbl>
    <w:p>
      <w:pPr>
        <w:pStyle w:val="yTableNAm"/>
        <w:spacing w:before="0"/>
        <w:rPr>
          <w:snapToGrid w:val="0"/>
          <w:sz w:val="16"/>
        </w:rPr>
      </w:pPr>
    </w:p>
    <w:p>
      <w:pPr>
        <w:pStyle w:val="yTableNAm"/>
        <w:spacing w:before="0"/>
        <w:rPr>
          <w:snapToGrid w:val="0"/>
          <w:sz w:val="16"/>
        </w:rPr>
      </w:pPr>
    </w:p>
    <w:tbl>
      <w:tblPr>
        <w:tblW w:w="0" w:type="auto"/>
        <w:tblInd w:w="250" w:type="dxa"/>
        <w:tblLayout w:type="fixed"/>
        <w:tblLook w:val="0000" w:firstRow="0" w:lastRow="0" w:firstColumn="0" w:lastColumn="0" w:noHBand="0" w:noVBand="0"/>
      </w:tblPr>
      <w:tblGrid>
        <w:gridCol w:w="5245"/>
        <w:gridCol w:w="1701"/>
      </w:tblGrid>
      <w:tr>
        <w:trPr>
          <w:cantSplit/>
        </w:trPr>
        <w:tc>
          <w:tcPr>
            <w:tcW w:w="6946" w:type="dxa"/>
            <w:gridSpan w:val="2"/>
          </w:tcPr>
          <w:p>
            <w:pPr>
              <w:pStyle w:val="yTableNAm"/>
              <w:keepNext/>
              <w:keepLines/>
              <w:spacing w:before="0"/>
              <w:rPr>
                <w:snapToGrid w:val="0"/>
                <w:sz w:val="16"/>
              </w:rPr>
            </w:pPr>
            <w:r>
              <w:rPr>
                <w:b/>
                <w:bCs/>
                <w:snapToGrid w:val="0"/>
                <w:sz w:val="16"/>
              </w:rPr>
              <w:t>8.</w:t>
            </w:r>
            <w:r>
              <w:rPr>
                <w:b/>
                <w:bCs/>
                <w:snapToGrid w:val="0"/>
                <w:sz w:val="16"/>
              </w:rPr>
              <w:tab/>
              <w:t>DECLARATION:</w:t>
            </w:r>
            <w:r>
              <w:rPr>
                <w:snapToGrid w:val="0"/>
                <w:sz w:val="16"/>
              </w:rPr>
              <w:t xml:space="preserve">  I, _______________________________________________ certify that:</w:t>
            </w:r>
          </w:p>
          <w:p>
            <w:pPr>
              <w:pStyle w:val="yTableNAm"/>
              <w:keepNext/>
              <w:keepLines/>
              <w:spacing w:before="0"/>
              <w:jc w:val="center"/>
              <w:rPr>
                <w:snapToGrid w:val="0"/>
                <w:sz w:val="16"/>
              </w:rPr>
            </w:pPr>
            <w:r>
              <w:rPr>
                <w:snapToGrid w:val="0"/>
                <w:sz w:val="16"/>
              </w:rPr>
              <w:t>name of licensee</w:t>
            </w:r>
          </w:p>
        </w:tc>
      </w:tr>
      <w:tr>
        <w:trPr>
          <w:cantSplit/>
        </w:trPr>
        <w:tc>
          <w:tcPr>
            <w:tcW w:w="5245" w:type="dxa"/>
          </w:tcPr>
          <w:p>
            <w:pPr>
              <w:pStyle w:val="yTableNAm"/>
              <w:keepNext/>
              <w:tabs>
                <w:tab w:val="clear" w:pos="567"/>
                <w:tab w:val="left" w:pos="350"/>
              </w:tabs>
              <w:ind w:left="350" w:hanging="350"/>
              <w:rPr>
                <w:snapToGrid w:val="0"/>
                <w:sz w:val="16"/>
              </w:rPr>
            </w:pPr>
            <w:r>
              <w:rPr>
                <w:snapToGrid w:val="0"/>
                <w:sz w:val="16"/>
              </w:rPr>
              <w:t>(a)</w:t>
            </w:r>
            <w:r>
              <w:rPr>
                <w:snapToGrid w:val="0"/>
                <w:sz w:val="16"/>
              </w:rPr>
              <w:tab/>
              <w:t>I am the licensee of the above named premises; and</w:t>
            </w:r>
          </w:p>
          <w:p>
            <w:pPr>
              <w:pStyle w:val="yTableNAm"/>
              <w:keepNext/>
              <w:tabs>
                <w:tab w:val="clear" w:pos="567"/>
                <w:tab w:val="left" w:pos="350"/>
              </w:tabs>
              <w:ind w:left="350" w:hanging="350"/>
              <w:rPr>
                <w:snapToGrid w:val="0"/>
                <w:sz w:val="16"/>
              </w:rPr>
            </w:pPr>
            <w:r>
              <w:rPr>
                <w:snapToGrid w:val="0"/>
                <w:sz w:val="16"/>
              </w:rPr>
              <w:t>(b)</w:t>
            </w:r>
            <w:r>
              <w:rPr>
                <w:snapToGrid w:val="0"/>
                <w:sz w:val="16"/>
              </w:rPr>
              <w:tab/>
              <w:t>the claim I am making for liquor subsidy is complete, true and correct; and</w:t>
            </w:r>
          </w:p>
          <w:p>
            <w:pPr>
              <w:pStyle w:val="yTableNAm"/>
              <w:keepNext/>
              <w:tabs>
                <w:tab w:val="clear" w:pos="567"/>
                <w:tab w:val="left" w:pos="350"/>
              </w:tabs>
              <w:ind w:left="350" w:hanging="350"/>
              <w:rPr>
                <w:snapToGrid w:val="0"/>
                <w:sz w:val="16"/>
              </w:rPr>
            </w:pPr>
            <w:r>
              <w:rPr>
                <w:snapToGrid w:val="0"/>
                <w:sz w:val="16"/>
              </w:rPr>
              <w:t>(c)</w:t>
            </w:r>
            <w:r>
              <w:rPr>
                <w:snapToGrid w:val="0"/>
                <w:sz w:val="16"/>
              </w:rPr>
              <w:tab/>
              <w:t>I have all the necessary records to provide information to substantiate my claim; and</w:t>
            </w:r>
          </w:p>
        </w:tc>
        <w:tc>
          <w:tcPr>
            <w:tcW w:w="1701" w:type="dxa"/>
            <w:shd w:val="clear" w:color="auto" w:fill="000000"/>
          </w:tcPr>
          <w:p>
            <w:pPr>
              <w:pStyle w:val="yTableNAm"/>
              <w:keepNext/>
              <w:keepLines/>
              <w:spacing w:before="100" w:after="40"/>
              <w:jc w:val="center"/>
              <w:rPr>
                <w:snapToGrid w:val="0"/>
                <w:sz w:val="16"/>
              </w:rPr>
            </w:pPr>
            <w:r>
              <w:rPr>
                <w:snapToGrid w:val="0"/>
                <w:sz w:val="16"/>
              </w:rPr>
              <w:t>WARNING</w:t>
            </w:r>
          </w:p>
          <w:p>
            <w:pPr>
              <w:pStyle w:val="yTableNAm"/>
              <w:keepNext/>
              <w:keepLines/>
              <w:spacing w:before="0"/>
              <w:jc w:val="center"/>
              <w:rPr>
                <w:snapToGrid w:val="0"/>
                <w:sz w:val="16"/>
              </w:rPr>
            </w:pPr>
            <w:r>
              <w:rPr>
                <w:snapToGrid w:val="0"/>
                <w:sz w:val="16"/>
              </w:rPr>
              <w:t>Penalties apply if you provide false or misleading information</w:t>
            </w:r>
          </w:p>
        </w:tc>
      </w:tr>
      <w:tr>
        <w:trPr>
          <w:cantSplit/>
        </w:trPr>
        <w:tc>
          <w:tcPr>
            <w:tcW w:w="5245" w:type="dxa"/>
          </w:tcPr>
          <w:p>
            <w:pPr>
              <w:pStyle w:val="yTableNAm"/>
              <w:tabs>
                <w:tab w:val="clear" w:pos="567"/>
                <w:tab w:val="left" w:pos="350"/>
              </w:tabs>
              <w:ind w:left="350" w:hanging="350"/>
              <w:rPr>
                <w:snapToGrid w:val="0"/>
                <w:sz w:val="16"/>
              </w:rPr>
            </w:pPr>
            <w:r>
              <w:rPr>
                <w:snapToGrid w:val="0"/>
                <w:sz w:val="16"/>
              </w:rPr>
              <w:t>(d)</w:t>
            </w:r>
            <w:r>
              <w:rPr>
                <w:snapToGrid w:val="0"/>
                <w:sz w:val="16"/>
              </w:rPr>
              <w:tab/>
              <w:t>I will provide information to substantiate my claim, if requested, at any time by the relevant authorities; and</w:t>
            </w:r>
          </w:p>
          <w:p>
            <w:pPr>
              <w:pStyle w:val="yTableNAm"/>
              <w:tabs>
                <w:tab w:val="clear" w:pos="567"/>
                <w:tab w:val="left" w:pos="350"/>
              </w:tabs>
              <w:ind w:left="350" w:hanging="350"/>
              <w:rPr>
                <w:snapToGrid w:val="0"/>
                <w:sz w:val="16"/>
              </w:rPr>
            </w:pPr>
            <w:r>
              <w:rPr>
                <w:snapToGrid w:val="0"/>
                <w:sz w:val="16"/>
              </w:rPr>
              <w:t>(e)</w:t>
            </w:r>
            <w:r>
              <w:rPr>
                <w:snapToGrid w:val="0"/>
                <w:sz w:val="16"/>
              </w:rPr>
              <w:tab/>
              <w:t>I have prepared and issued invoices reflecting the liquor subsidy; and</w:t>
            </w:r>
          </w:p>
          <w:p>
            <w:pPr>
              <w:pStyle w:val="yTableNAm"/>
              <w:tabs>
                <w:tab w:val="clear" w:pos="567"/>
                <w:tab w:val="left" w:pos="350"/>
              </w:tabs>
              <w:ind w:left="350" w:hanging="350"/>
              <w:rPr>
                <w:snapToGrid w:val="0"/>
                <w:sz w:val="16"/>
              </w:rPr>
            </w:pPr>
            <w:r>
              <w:rPr>
                <w:snapToGrid w:val="0"/>
                <w:sz w:val="16"/>
              </w:rPr>
              <w:t>(f)</w:t>
            </w:r>
            <w:r>
              <w:rPr>
                <w:snapToGrid w:val="0"/>
                <w:sz w:val="16"/>
              </w:rPr>
              <w:tab/>
              <w:t>my prices to my customers incorporate the amount of the subsidy.</w:t>
            </w:r>
          </w:p>
        </w:tc>
        <w:tc>
          <w:tcPr>
            <w:tcW w:w="1701" w:type="dxa"/>
          </w:tcPr>
          <w:p>
            <w:pPr>
              <w:pStyle w:val="yTableNAm"/>
              <w:rPr>
                <w:snapToGrid w:val="0"/>
                <w:color w:val="FFFFFF"/>
                <w:sz w:val="16"/>
              </w:rPr>
            </w:pPr>
          </w:p>
        </w:tc>
      </w:tr>
    </w:tbl>
    <w:p>
      <w:pPr>
        <w:pStyle w:val="yTableNAm"/>
        <w:spacing w:before="160"/>
        <w:ind w:left="119"/>
        <w:rPr>
          <w:b/>
          <w:bCs/>
          <w:snapToGrid w:val="0"/>
          <w:sz w:val="16"/>
        </w:rPr>
      </w:pPr>
      <w:r>
        <w:rPr>
          <w:b/>
          <w:bCs/>
          <w:snapToGrid w:val="0"/>
          <w:sz w:val="16"/>
        </w:rPr>
        <w:t>WHERE THE LICENSEE IS A COMPANY:</w:t>
      </w:r>
    </w:p>
    <w:p>
      <w:pPr>
        <w:pStyle w:val="yTableNAm"/>
        <w:spacing w:before="60"/>
        <w:ind w:left="119"/>
        <w:rPr>
          <w:snapToGrid w:val="0"/>
          <w:sz w:val="16"/>
        </w:rPr>
      </w:pPr>
      <w:r>
        <w:rPr>
          <w:snapToGrid w:val="0"/>
          <w:sz w:val="16"/>
        </w:rPr>
        <w:t>The common seal of ________________________________ was hereunto affixed by order of its Directors in accordance with its Articles of Association, in the presence of:</w:t>
      </w:r>
    </w:p>
    <w:p>
      <w:pPr>
        <w:pStyle w:val="yTableNAm"/>
        <w:ind w:left="120" w:right="848"/>
        <w:jc w:val="right"/>
        <w:rPr>
          <w:spacing w:val="-2"/>
          <w:sz w:val="16"/>
        </w:rPr>
      </w:pPr>
      <w:r>
        <w:rPr>
          <w:snapToGrid w:val="0"/>
          <w:sz w:val="16"/>
        </w:rPr>
        <w:tab/>
      </w:r>
      <w:r>
        <w:rPr>
          <w:noProof/>
          <w:spacing w:val="-2"/>
          <w:sz w:val="16"/>
          <w:lang w:eastAsia="en-AU"/>
        </w:rPr>
        <w:drawing>
          <wp:inline distT="0" distB="0" distL="0" distR="0">
            <wp:extent cx="771525" cy="6572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71525" cy="657225"/>
                    </a:xfrm>
                    <a:prstGeom prst="rect">
                      <a:avLst/>
                    </a:prstGeom>
                    <a:noFill/>
                    <a:ln>
                      <a:noFill/>
                    </a:ln>
                  </pic:spPr>
                </pic:pic>
              </a:graphicData>
            </a:graphic>
          </wp:inline>
        </w:drawing>
      </w:r>
    </w:p>
    <w:p>
      <w:pPr>
        <w:pStyle w:val="yTableNAm"/>
        <w:spacing w:before="60"/>
        <w:ind w:left="119"/>
        <w:rPr>
          <w:snapToGrid w:val="0"/>
          <w:sz w:val="16"/>
        </w:rPr>
      </w:pPr>
      <w:r>
        <w:rPr>
          <w:snapToGrid w:val="0"/>
          <w:sz w:val="16"/>
        </w:rPr>
        <w:t>Name and Signature of Director(s)</w:t>
      </w:r>
      <w:r>
        <w:rPr>
          <w:snapToGrid w:val="0"/>
          <w:sz w:val="16"/>
        </w:rPr>
        <w:tab/>
      </w:r>
      <w:r>
        <w:rPr>
          <w:snapToGrid w:val="0"/>
          <w:sz w:val="16"/>
        </w:rPr>
        <w:tab/>
      </w:r>
      <w:r>
        <w:rPr>
          <w:snapToGrid w:val="0"/>
          <w:sz w:val="16"/>
        </w:rPr>
        <w:tab/>
      </w:r>
      <w:r>
        <w:rPr>
          <w:snapToGrid w:val="0"/>
          <w:sz w:val="16"/>
        </w:rPr>
        <w:tab/>
      </w:r>
      <w:r>
        <w:rPr>
          <w:snapToGrid w:val="0"/>
          <w:sz w:val="16"/>
        </w:rPr>
        <w:tab/>
        <w:t>Common Seal</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160"/>
        <w:ind w:left="119"/>
        <w:rPr>
          <w:b/>
          <w:bCs/>
          <w:snapToGrid w:val="0"/>
          <w:sz w:val="16"/>
        </w:rPr>
      </w:pPr>
      <w:r>
        <w:rPr>
          <w:b/>
          <w:bCs/>
          <w:snapToGrid w:val="0"/>
          <w:sz w:val="16"/>
        </w:rPr>
        <w:t>WHERE THE LICENSEE IS ONE OR MORE INDIVIDUAL PERSONS:</w:t>
      </w:r>
    </w:p>
    <w:p>
      <w:pPr>
        <w:pStyle w:val="yTableNAm"/>
        <w:spacing w:before="60"/>
        <w:ind w:left="120"/>
        <w:rPr>
          <w:snapToGrid w:val="0"/>
          <w:sz w:val="16"/>
        </w:rPr>
      </w:pPr>
      <w:r>
        <w:rPr>
          <w:snapToGrid w:val="0"/>
          <w:sz w:val="16"/>
        </w:rPr>
        <w:t>Signature(s)</w:t>
      </w:r>
    </w:p>
    <w:p>
      <w:pPr>
        <w:pStyle w:val="yTableNAm"/>
        <w:tabs>
          <w:tab w:val="left" w:pos="3000"/>
        </w:tabs>
        <w:ind w:left="120"/>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tabs>
          <w:tab w:val="left" w:pos="3000"/>
        </w:tabs>
        <w:ind w:left="119"/>
        <w:rPr>
          <w:snapToGrid w:val="0"/>
          <w:sz w:val="16"/>
        </w:rPr>
      </w:pPr>
      <w:r>
        <w:rPr>
          <w:snapToGrid w:val="0"/>
          <w:sz w:val="16"/>
        </w:rPr>
        <w:t>________________________________</w:t>
      </w:r>
      <w:r>
        <w:rPr>
          <w:snapToGrid w:val="0"/>
          <w:sz w:val="16"/>
        </w:rPr>
        <w:tab/>
        <w:t>Date: ____ / ____ / ____</w:t>
      </w:r>
      <w:r>
        <w:rPr>
          <w:snapToGrid w:val="0"/>
          <w:sz w:val="16"/>
        </w:rPr>
        <w:tab/>
        <w:t>Ph No: _________________</w:t>
      </w:r>
    </w:p>
    <w:p>
      <w:pPr>
        <w:pStyle w:val="yTableNAm"/>
        <w:spacing w:before="240"/>
        <w:rPr>
          <w:snapToGrid w:val="0"/>
          <w:sz w:val="16"/>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3502"/>
        <w:gridCol w:w="2026"/>
      </w:tblGrid>
      <w:tr>
        <w:tc>
          <w:tcPr>
            <w:tcW w:w="1276" w:type="dxa"/>
            <w:tcBorders>
              <w:bottom w:val="nil"/>
            </w:tcBorders>
            <w:shd w:val="pct10" w:color="auto" w:fill="auto"/>
          </w:tcPr>
          <w:p>
            <w:pPr>
              <w:pStyle w:val="yTableNAm"/>
              <w:spacing w:before="60"/>
              <w:rPr>
                <w:b/>
                <w:bCs/>
                <w:snapToGrid w:val="0"/>
                <w:sz w:val="16"/>
              </w:rPr>
            </w:pPr>
            <w:r>
              <w:rPr>
                <w:b/>
                <w:bCs/>
                <w:snapToGrid w:val="0"/>
                <w:sz w:val="16"/>
              </w:rPr>
              <w:t>FOR OFFICE</w:t>
            </w:r>
          </w:p>
        </w:tc>
        <w:tc>
          <w:tcPr>
            <w:tcW w:w="3502" w:type="dxa"/>
            <w:shd w:val="pct10" w:color="auto" w:fill="auto"/>
          </w:tcPr>
          <w:p>
            <w:pPr>
              <w:pStyle w:val="yTableNAm"/>
              <w:spacing w:before="60"/>
              <w:rPr>
                <w:b/>
                <w:bCs/>
                <w:snapToGrid w:val="0"/>
                <w:sz w:val="16"/>
              </w:rPr>
            </w:pPr>
            <w:r>
              <w:rPr>
                <w:b/>
                <w:bCs/>
                <w:snapToGrid w:val="0"/>
                <w:sz w:val="16"/>
              </w:rPr>
              <w:t xml:space="preserve">DATE RECEIVED: </w:t>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AMOUNT PAYABLE: $</w:t>
            </w:r>
          </w:p>
        </w:tc>
      </w:tr>
      <w:tr>
        <w:tc>
          <w:tcPr>
            <w:tcW w:w="1276" w:type="dxa"/>
            <w:tcBorders>
              <w:top w:val="nil"/>
            </w:tcBorders>
            <w:shd w:val="pct10" w:color="auto" w:fill="auto"/>
          </w:tcPr>
          <w:p>
            <w:pPr>
              <w:pStyle w:val="yTableNAm"/>
              <w:spacing w:before="60"/>
              <w:rPr>
                <w:b/>
                <w:bCs/>
                <w:snapToGrid w:val="0"/>
                <w:sz w:val="16"/>
              </w:rPr>
            </w:pPr>
            <w:r>
              <w:rPr>
                <w:b/>
                <w:bCs/>
                <w:snapToGrid w:val="0"/>
                <w:sz w:val="16"/>
              </w:rPr>
              <w:t>USE ONLY</w:t>
            </w:r>
          </w:p>
        </w:tc>
        <w:tc>
          <w:tcPr>
            <w:tcW w:w="3502" w:type="dxa"/>
            <w:shd w:val="pct10" w:color="auto" w:fill="auto"/>
          </w:tcPr>
          <w:p>
            <w:pPr>
              <w:pStyle w:val="yTableNAm"/>
              <w:spacing w:before="60"/>
              <w:rPr>
                <w:b/>
                <w:bCs/>
                <w:snapToGrid w:val="0"/>
                <w:sz w:val="16"/>
              </w:rPr>
            </w:pPr>
            <w:r>
              <w:rPr>
                <w:b/>
                <w:bCs/>
                <w:snapToGrid w:val="0"/>
                <w:sz w:val="16"/>
              </w:rPr>
              <w:t>DATE PAID:</w:t>
            </w:r>
            <w:r>
              <w:rPr>
                <w:b/>
                <w:bCs/>
                <w:snapToGrid w:val="0"/>
                <w:sz w:val="16"/>
              </w:rPr>
              <w:tab/>
            </w:r>
            <w:r>
              <w:rPr>
                <w:b/>
                <w:bCs/>
                <w:snapToGrid w:val="0"/>
                <w:sz w:val="16"/>
              </w:rPr>
              <w:tab/>
              <w:t>____ / ____ / ____</w:t>
            </w:r>
          </w:p>
        </w:tc>
        <w:tc>
          <w:tcPr>
            <w:tcW w:w="2026" w:type="dxa"/>
            <w:shd w:val="pct10" w:color="auto" w:fill="auto"/>
          </w:tcPr>
          <w:p>
            <w:pPr>
              <w:pStyle w:val="yTableNAm"/>
              <w:spacing w:before="60"/>
              <w:rPr>
                <w:b/>
                <w:bCs/>
                <w:snapToGrid w:val="0"/>
                <w:sz w:val="16"/>
              </w:rPr>
            </w:pPr>
            <w:r>
              <w:rPr>
                <w:b/>
                <w:bCs/>
                <w:snapToGrid w:val="0"/>
                <w:sz w:val="16"/>
              </w:rPr>
              <w:t>PAYMENT DETAILS:</w:t>
            </w:r>
          </w:p>
        </w:tc>
      </w:tr>
    </w:tbl>
    <w:p>
      <w:pPr>
        <w:pStyle w:val="yFootnotesection"/>
      </w:pPr>
      <w:r>
        <w:tab/>
        <w:t>[Form 19A inserted in Gazette 9 Jul 2004 p. 2776</w:t>
      </w:r>
      <w:r>
        <w:noBreakHyphen/>
        <w:t>7.]</w:t>
      </w:r>
    </w:p>
    <w:p>
      <w:pPr>
        <w:pStyle w:val="yMiscellaneousBody"/>
        <w:keepNext/>
        <w:keepLines/>
        <w:pageBreakBefore/>
        <w:spacing w:before="0"/>
        <w:jc w:val="center"/>
        <w:rPr>
          <w:b/>
          <w:bCs/>
          <w:snapToGrid w:val="0"/>
        </w:rPr>
      </w:pPr>
      <w:r>
        <w:rPr>
          <w:b/>
          <w:bCs/>
          <w:snapToGrid w:val="0"/>
        </w:rPr>
        <w:t xml:space="preserve">Form </w:t>
      </w:r>
      <w:r>
        <w:rPr>
          <w:rStyle w:val="CharSClsNo"/>
          <w:b/>
        </w:rPr>
        <w:t>20</w:t>
      </w:r>
    </w:p>
    <w:p>
      <w:pPr>
        <w:pStyle w:val="yMiscellaneousHeading"/>
        <w:keepLines/>
        <w:rPr>
          <w:i/>
          <w:iCs/>
          <w:snapToGrid w:val="0"/>
          <w:sz w:val="20"/>
        </w:rPr>
      </w:pPr>
      <w:r>
        <w:rPr>
          <w:i/>
          <w:iCs/>
          <w:snapToGrid w:val="0"/>
          <w:sz w:val="20"/>
        </w:rPr>
        <w:t>Liquor Control Act 1988</w:t>
      </w:r>
      <w:r>
        <w:rPr>
          <w:snapToGrid w:val="0"/>
          <w:sz w:val="20"/>
          <w:vertAlign w:val="superscript"/>
        </w:rPr>
        <w:t> 2</w:t>
      </w:r>
    </w:p>
    <w:p>
      <w:pPr>
        <w:pStyle w:val="yShoulderClause"/>
        <w:rPr>
          <w:snapToGrid w:val="0"/>
          <w:sz w:val="20"/>
        </w:rPr>
      </w:pPr>
      <w:r>
        <w:rPr>
          <w:snapToGrid w:val="0"/>
          <w:sz w:val="20"/>
        </w:rPr>
        <w:t>[Section 161]</w:t>
      </w:r>
    </w:p>
    <w:p>
      <w:pPr>
        <w:pStyle w:val="yMiscellaneousHeading"/>
        <w:keepLines/>
        <w:rPr>
          <w:b/>
          <w:bCs/>
          <w:snapToGrid w:val="0"/>
          <w:sz w:val="20"/>
        </w:rPr>
      </w:pPr>
      <w:r>
        <w:rPr>
          <w:b/>
          <w:bCs/>
          <w:snapToGrid w:val="0"/>
          <w:sz w:val="20"/>
        </w:rPr>
        <w:t>SEARCH WARRANT</w:t>
      </w:r>
    </w:p>
    <w:p>
      <w:pPr>
        <w:pStyle w:val="yMiscellaneousBody"/>
        <w:keepNext/>
        <w:keepLines/>
        <w:rPr>
          <w:snapToGrid w:val="0"/>
          <w:sz w:val="20"/>
        </w:rPr>
      </w:pPr>
      <w:r>
        <w:rPr>
          <w:snapToGrid w:val="0"/>
          <w:sz w:val="20"/>
        </w:rPr>
        <w:t xml:space="preserve">Under section 161 of the </w:t>
      </w:r>
      <w:r>
        <w:rPr>
          <w:i/>
          <w:snapToGrid w:val="0"/>
          <w:sz w:val="20"/>
        </w:rPr>
        <w:t>Liquor Control Act 1988</w:t>
      </w:r>
      <w:r>
        <w:rPr>
          <w:sz w:val="20"/>
          <w:vertAlign w:val="superscript"/>
        </w:rPr>
        <w:t> 2</w:t>
      </w:r>
      <w:r>
        <w:rPr>
          <w:snapToGrid w:val="0"/>
          <w:sz w:val="20"/>
        </w:rPr>
        <w:t xml:space="preserve"> I, [insert name of Justice of the Peace granting the warrant], of</w:t>
      </w:r>
    </w:p>
    <w:p>
      <w:pPr>
        <w:pStyle w:val="yMiscellaneousBody"/>
        <w:keepNext/>
        <w:keepLines/>
        <w:spacing w:before="60"/>
        <w:rPr>
          <w:snapToGrid w:val="0"/>
          <w:sz w:val="20"/>
        </w:rPr>
      </w:pPr>
      <w:r>
        <w:rPr>
          <w:snapToGrid w:val="0"/>
          <w:sz w:val="20"/>
        </w:rPr>
        <w:t>.............................................................................................................................................</w:t>
      </w:r>
    </w:p>
    <w:p>
      <w:pPr>
        <w:pStyle w:val="yMiscellaneousBody"/>
        <w:spacing w:before="60"/>
        <w:rPr>
          <w:snapToGrid w:val="0"/>
          <w:sz w:val="20"/>
        </w:rPr>
      </w:pPr>
      <w:r>
        <w:rPr>
          <w:snapToGrid w:val="0"/>
          <w:sz w:val="20"/>
        </w:rPr>
        <w:t>being a Justice of the Peace and being satisfied upon application by [insert name of applicant] that there is reason to suspect that [insert description of circumstances justifying issue of warrant]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at [insert address of premises]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hereby grant to [insert name and designation of authorised officer] ..................................</w:t>
      </w:r>
    </w:p>
    <w:p>
      <w:pPr>
        <w:pStyle w:val="yMiscellaneousBody"/>
        <w:spacing w:before="0"/>
        <w:rPr>
          <w:snapToGrid w:val="0"/>
          <w:sz w:val="20"/>
        </w:rPr>
      </w:pPr>
      <w:r>
        <w:rPr>
          <w:snapToGrid w:val="0"/>
          <w:sz w:val="20"/>
        </w:rPr>
        <w:t>.............................................................................................................................................</w:t>
      </w:r>
    </w:p>
    <w:p>
      <w:pPr>
        <w:pStyle w:val="yMiscellaneousBody"/>
        <w:spacing w:before="0"/>
        <w:rPr>
          <w:snapToGrid w:val="0"/>
          <w:sz w:val="20"/>
        </w:rPr>
      </w:pPr>
      <w:r>
        <w:rPr>
          <w:snapToGrid w:val="0"/>
          <w:sz w:val="20"/>
        </w:rPr>
        <w:t>this warrant empowering that person to enter those premises with such other persons as may be necessary to assist, using such force as may be necessary, and there to do any of the things referred to in section 161(1). This warrant continues to have effect until the purposes for which it was granted are satisfied.</w:t>
      </w:r>
    </w:p>
    <w:p>
      <w:pPr>
        <w:pStyle w:val="yMiscellaneousBody"/>
        <w:spacing w:before="60"/>
        <w:rPr>
          <w:snapToGrid w:val="0"/>
          <w:sz w:val="20"/>
        </w:rPr>
      </w:pPr>
      <w:r>
        <w:rPr>
          <w:snapToGrid w:val="0"/>
          <w:sz w:val="20"/>
        </w:rPr>
        <w:t>Granted on the ........................... day of ................................. 20 .....................</w:t>
      </w:r>
    </w:p>
    <w:p>
      <w:pPr>
        <w:pStyle w:val="yMiscellaneousBody"/>
        <w:spacing w:before="60"/>
        <w:rPr>
          <w:snapToGrid w:val="0"/>
          <w:sz w:val="20"/>
        </w:rPr>
      </w:pPr>
      <w:r>
        <w:rPr>
          <w:snapToGrid w:val="0"/>
          <w:sz w:val="20"/>
        </w:rPr>
        <w:t>at .........................................................................................................................................</w:t>
      </w:r>
    </w:p>
    <w:p>
      <w:pPr>
        <w:pStyle w:val="yMiscellaneousBody"/>
        <w:spacing w:before="60"/>
        <w:jc w:val="right"/>
        <w:rPr>
          <w:snapToGrid w:val="0"/>
          <w:sz w:val="20"/>
        </w:rPr>
      </w:pPr>
      <w:r>
        <w:rPr>
          <w:snapToGrid w:val="0"/>
          <w:sz w:val="20"/>
        </w:rPr>
        <w:t>.................................................................</w:t>
      </w:r>
    </w:p>
    <w:p>
      <w:pPr>
        <w:pStyle w:val="yMiscellaneousBody"/>
        <w:spacing w:before="0"/>
        <w:jc w:val="right"/>
        <w:rPr>
          <w:snapToGrid w:val="0"/>
          <w:sz w:val="20"/>
        </w:rPr>
      </w:pPr>
      <w:r>
        <w:rPr>
          <w:snapToGrid w:val="0"/>
          <w:sz w:val="20"/>
        </w:rPr>
        <w:t>Signature of Justice of the Peace granting</w:t>
      </w:r>
    </w:p>
    <w:p>
      <w:pPr>
        <w:pStyle w:val="yMiscellaneousBody"/>
        <w:spacing w:before="0"/>
        <w:ind w:right="1208"/>
        <w:jc w:val="right"/>
        <w:rPr>
          <w:snapToGrid w:val="0"/>
        </w:rPr>
      </w:pPr>
      <w:r>
        <w:rPr>
          <w:snapToGrid w:val="0"/>
          <w:sz w:val="20"/>
        </w:rPr>
        <w:t>the warrant</w:t>
      </w:r>
    </w:p>
    <w:p>
      <w:pPr>
        <w:pStyle w:val="yFootnotesection"/>
      </w:pPr>
      <w:r>
        <w:tab/>
        <w:t>[Form 20 amended in Gazette 28 Sep 2007 p. 4930</w:t>
      </w:r>
      <w:r>
        <w:noBreakHyphen/>
        <w:t>1.]</w:t>
      </w:r>
    </w:p>
    <w:p>
      <w:pPr>
        <w:pStyle w:val="yMiscellaneousBody"/>
        <w:keepNext/>
        <w:keepLines/>
        <w:pageBreakBefore/>
        <w:spacing w:before="0" w:after="40"/>
        <w:jc w:val="center"/>
        <w:rPr>
          <w:b/>
          <w:bCs/>
          <w:snapToGrid w:val="0"/>
        </w:rPr>
      </w:pPr>
      <w:r>
        <w:rPr>
          <w:b/>
          <w:bCs/>
          <w:snapToGrid w:val="0"/>
        </w:rPr>
        <w:t xml:space="preserve">Form </w:t>
      </w:r>
      <w:r>
        <w:rPr>
          <w:rStyle w:val="CharSClsNo"/>
          <w:b/>
        </w:rPr>
        <w:t>21</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86"/>
        </w:trPr>
        <w:tc>
          <w:tcPr>
            <w:tcW w:w="4253" w:type="dxa"/>
            <w:gridSpan w:val="2"/>
            <w:vMerge w:val="restart"/>
          </w:tcPr>
          <w:p>
            <w:pPr>
              <w:pStyle w:val="yTableNAm"/>
              <w:keepNext/>
              <w:keepLines/>
              <w:spacing w:before="0"/>
              <w:rPr>
                <w:b/>
                <w:bCs/>
                <w:i/>
                <w:iCs/>
                <w:sz w:val="20"/>
              </w:rPr>
            </w:pPr>
            <w:r>
              <w:rPr>
                <w:sz w:val="20"/>
              </w:rPr>
              <w:br w:type="page"/>
            </w:r>
            <w:r>
              <w:rPr>
                <w:b/>
                <w:bCs/>
                <w:i/>
                <w:iCs/>
                <w:sz w:val="20"/>
              </w:rPr>
              <w:t>Liquor Control Act 1988</w:t>
            </w:r>
          </w:p>
          <w:p>
            <w:pPr>
              <w:pStyle w:val="yTableNAm"/>
              <w:keepNext/>
              <w:keepLines/>
              <w:spacing w:before="0"/>
              <w:rPr>
                <w:b/>
                <w:bCs/>
                <w:sz w:val="26"/>
              </w:rPr>
            </w:pPr>
            <w:r>
              <w:rPr>
                <w:b/>
                <w:bCs/>
                <w:sz w:val="26"/>
              </w:rPr>
              <w:t>Infringement notice</w:t>
            </w:r>
          </w:p>
        </w:tc>
        <w:tc>
          <w:tcPr>
            <w:tcW w:w="2827" w:type="dxa"/>
            <w:tcBorders>
              <w:bottom w:val="single" w:sz="4" w:space="0" w:color="auto"/>
            </w:tcBorders>
          </w:tcPr>
          <w:p>
            <w:pPr>
              <w:pStyle w:val="yTableNAm"/>
              <w:keepNext/>
              <w:keepLines/>
              <w:spacing w:before="0"/>
              <w:rPr>
                <w:sz w:val="20"/>
              </w:rPr>
            </w:pPr>
            <w:r>
              <w:rPr>
                <w:sz w:val="20"/>
              </w:rPr>
              <w:t>Notice No.</w:t>
            </w:r>
          </w:p>
        </w:tc>
      </w:tr>
      <w:tr>
        <w:trPr>
          <w:cantSplit/>
          <w:trHeight w:val="285"/>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notice</w:t>
            </w:r>
          </w:p>
        </w:tc>
      </w:tr>
      <w:tr>
        <w:trPr>
          <w:cantSplit/>
          <w:trHeight w:val="150"/>
        </w:trPr>
        <w:tc>
          <w:tcPr>
            <w:tcW w:w="1560" w:type="dxa"/>
            <w:vMerge w:val="restart"/>
          </w:tcPr>
          <w:p>
            <w:pPr>
              <w:pStyle w:val="yTableNAm"/>
              <w:keepNext/>
              <w:keepLines/>
              <w:spacing w:before="6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s>
              <w:spacing w:before="60"/>
              <w:rPr>
                <w:sz w:val="20"/>
              </w:rPr>
            </w:pPr>
            <w:r>
              <w:rPr>
                <w:sz w:val="20"/>
              </w:rPr>
              <w:tab/>
            </w:r>
            <w:r>
              <w:rPr>
                <w:sz w:val="20"/>
              </w:rPr>
              <w:tab/>
              <w:t>Given names</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732"/>
                <w:tab w:val="left" w:pos="3492"/>
              </w:tabs>
              <w:spacing w:before="0"/>
              <w:ind w:right="-108"/>
              <w:rPr>
                <w:sz w:val="20"/>
              </w:rPr>
            </w:pPr>
            <w:r>
              <w:rPr>
                <w:sz w:val="20"/>
              </w:rPr>
              <w:t>Address ______________________________________________</w:t>
            </w:r>
          </w:p>
          <w:p>
            <w:pPr>
              <w:pStyle w:val="yTableNAm"/>
              <w:keepNext/>
              <w:keepLines/>
              <w:tabs>
                <w:tab w:val="left" w:pos="732"/>
                <w:tab w:val="left" w:pos="3492"/>
              </w:tabs>
              <w:spacing w:before="0"/>
              <w:ind w:right="838"/>
              <w:rPr>
                <w:sz w:val="20"/>
              </w:rPr>
            </w:pPr>
            <w:r>
              <w:rPr>
                <w:sz w:val="20"/>
              </w:rPr>
              <w:tab/>
            </w:r>
            <w:r>
              <w:rPr>
                <w:sz w:val="20"/>
              </w:rPr>
              <w:tab/>
            </w:r>
            <w:r>
              <w:rPr>
                <w:sz w:val="20"/>
              </w:rPr>
              <w:tab/>
              <w:t>Postcode</w:t>
            </w:r>
          </w:p>
        </w:tc>
      </w:tr>
      <w:tr>
        <w:trPr>
          <w:cantSplit/>
          <w:trHeight w:val="150"/>
        </w:trPr>
        <w:tc>
          <w:tcPr>
            <w:tcW w:w="1560" w:type="dxa"/>
            <w:vMerge/>
          </w:tcPr>
          <w:p>
            <w:pPr>
              <w:pStyle w:val="yTableNAm"/>
              <w:keepNext/>
              <w:keepLines/>
              <w:spacing w:before="60"/>
              <w:rPr>
                <w:b/>
                <w:bCs/>
                <w:sz w:val="20"/>
              </w:rPr>
            </w:pPr>
          </w:p>
        </w:tc>
        <w:tc>
          <w:tcPr>
            <w:tcW w:w="5520" w:type="dxa"/>
            <w:gridSpan w:val="2"/>
          </w:tcPr>
          <w:p>
            <w:pPr>
              <w:pStyle w:val="yTableNAm"/>
              <w:keepNext/>
              <w:keepLines/>
              <w:tabs>
                <w:tab w:val="left" w:pos="3492"/>
              </w:tabs>
              <w:spacing w:before="0"/>
              <w:ind w:right="238"/>
              <w:rPr>
                <w:sz w:val="20"/>
              </w:rPr>
            </w:pPr>
            <w:r>
              <w:rPr>
                <w:sz w:val="20"/>
              </w:rPr>
              <w:t>Date of birth</w:t>
            </w:r>
            <w:r>
              <w:rPr>
                <w:sz w:val="20"/>
              </w:rPr>
              <w:tab/>
              <w:t>Male / Female</w:t>
            </w:r>
          </w:p>
        </w:tc>
      </w:tr>
      <w:tr>
        <w:trPr>
          <w:cantSplit/>
          <w:trHeight w:val="150"/>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Driver’s licence No. (if available)</w:t>
            </w:r>
          </w:p>
        </w:tc>
      </w:tr>
      <w:tr>
        <w:trPr>
          <w:cantSplit/>
        </w:trPr>
        <w:tc>
          <w:tcPr>
            <w:tcW w:w="1560" w:type="dxa"/>
            <w:vMerge w:val="restart"/>
          </w:tcPr>
          <w:p>
            <w:pPr>
              <w:pStyle w:val="yTableNAm"/>
              <w:spacing w:before="60"/>
              <w:rPr>
                <w:b/>
                <w:bCs/>
                <w:sz w:val="20"/>
              </w:rPr>
            </w:pPr>
            <w:r>
              <w:rPr>
                <w:b/>
                <w:bCs/>
                <w:sz w:val="20"/>
              </w:rPr>
              <w:t>Alleged offence</w:t>
            </w:r>
          </w:p>
        </w:tc>
        <w:tc>
          <w:tcPr>
            <w:tcW w:w="5520" w:type="dxa"/>
            <w:gridSpan w:val="2"/>
          </w:tcPr>
          <w:p>
            <w:pPr>
              <w:pStyle w:val="yTableNAm"/>
              <w:spacing w:before="0"/>
              <w:ind w:right="-108"/>
              <w:rPr>
                <w:sz w:val="20"/>
              </w:rPr>
            </w:pPr>
            <w:r>
              <w:rPr>
                <w:sz w:val="20"/>
              </w:rPr>
              <w:t>Description of offence ___________________________________</w:t>
            </w:r>
          </w:p>
          <w:p>
            <w:pPr>
              <w:pStyle w:val="yTableNAm"/>
              <w:spacing w:before="0"/>
              <w:rPr>
                <w:sz w:val="20"/>
              </w:rPr>
            </w:pP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i/>
                <w:iCs/>
                <w:sz w:val="20"/>
              </w:rPr>
              <w:t xml:space="preserve">Liquor Control Act 1988 </w:t>
            </w:r>
            <w:r>
              <w:rPr>
                <w:sz w:val="20"/>
              </w:rPr>
              <w:t>s. ________</w:t>
            </w:r>
          </w:p>
          <w:p>
            <w:pPr>
              <w:pStyle w:val="yTableNAm"/>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Location where offence committed</w:t>
            </w:r>
          </w:p>
          <w:p>
            <w:pPr>
              <w:pStyle w:val="yTableNAm"/>
              <w:spacing w:before="0"/>
              <w:ind w:right="-108"/>
              <w:rPr>
                <w:sz w:val="20"/>
              </w:rPr>
            </w:pPr>
            <w:r>
              <w:rPr>
                <w:sz w:val="20"/>
              </w:rPr>
              <w:t>Name of premises (if applicable)_____________________________________________</w:t>
            </w:r>
          </w:p>
          <w:p>
            <w:pPr>
              <w:pStyle w:val="yTableNAm"/>
              <w:spacing w:before="0"/>
              <w:ind w:right="-108"/>
              <w:rPr>
                <w:sz w:val="20"/>
              </w:rPr>
            </w:pPr>
            <w:r>
              <w:rPr>
                <w:sz w:val="20"/>
              </w:rPr>
              <w:t>Address _______________________________________________</w:t>
            </w:r>
          </w:p>
          <w:p>
            <w:pPr>
              <w:pStyle w:val="yTableNAm"/>
              <w:tabs>
                <w:tab w:val="left" w:pos="3492"/>
              </w:tabs>
              <w:spacing w:before="0"/>
              <w:rPr>
                <w:sz w:val="20"/>
              </w:rPr>
            </w:pPr>
            <w:r>
              <w:rPr>
                <w:sz w:val="20"/>
              </w:rPr>
              <w:tab/>
            </w:r>
            <w:r>
              <w:rPr>
                <w:sz w:val="20"/>
              </w:rPr>
              <w:tab/>
              <w:t>Postcode</w:t>
            </w:r>
          </w:p>
        </w:tc>
      </w:tr>
      <w:tr>
        <w:trPr>
          <w:cantSplit/>
        </w:trPr>
        <w:tc>
          <w:tcPr>
            <w:tcW w:w="1560" w:type="dxa"/>
            <w:vMerge/>
          </w:tcPr>
          <w:p>
            <w:pPr>
              <w:pStyle w:val="yTableNAm"/>
              <w:spacing w:before="60"/>
              <w:rPr>
                <w:b/>
                <w:bCs/>
                <w:sz w:val="20"/>
              </w:rPr>
            </w:pPr>
          </w:p>
        </w:tc>
        <w:tc>
          <w:tcPr>
            <w:tcW w:w="5520" w:type="dxa"/>
            <w:gridSpan w:val="2"/>
          </w:tcPr>
          <w:p>
            <w:pPr>
              <w:pStyle w:val="yTableNAm"/>
              <w:tabs>
                <w:tab w:val="clear" w:pos="567"/>
                <w:tab w:val="left" w:pos="972"/>
                <w:tab w:val="left" w:pos="1692"/>
                <w:tab w:val="left" w:pos="3012"/>
                <w:tab w:val="left" w:pos="3972"/>
              </w:tabs>
              <w:spacing w:before="0"/>
              <w:rPr>
                <w:sz w:val="20"/>
              </w:rPr>
            </w:pPr>
            <w:r>
              <w:rPr>
                <w:sz w:val="20"/>
              </w:rPr>
              <w:t xml:space="preserve">Date </w:t>
            </w:r>
            <w:r>
              <w:rPr>
                <w:sz w:val="20"/>
              </w:rPr>
              <w:tab/>
              <w:t>/</w:t>
            </w:r>
            <w:r>
              <w:rPr>
                <w:sz w:val="20"/>
              </w:rPr>
              <w:tab/>
              <w:t>/20</w:t>
            </w:r>
            <w:r>
              <w:rPr>
                <w:sz w:val="20"/>
              </w:rPr>
              <w:tab/>
              <w:t>Time</w:t>
            </w:r>
            <w:r>
              <w:rPr>
                <w:sz w:val="20"/>
              </w:rPr>
              <w:tab/>
              <w:t>a.m./p.m.</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Modified penalty  $</w:t>
            </w:r>
          </w:p>
        </w:tc>
      </w:tr>
      <w:tr>
        <w:trPr>
          <w:cantSplit/>
        </w:trPr>
        <w:tc>
          <w:tcPr>
            <w:tcW w:w="1560" w:type="dxa"/>
            <w:vMerge w:val="restart"/>
          </w:tcPr>
          <w:p>
            <w:pPr>
              <w:pStyle w:val="yTableNAm"/>
              <w:spacing w:before="60"/>
              <w:rPr>
                <w:b/>
                <w:bCs/>
                <w:sz w:val="20"/>
              </w:rPr>
            </w:pPr>
            <w:r>
              <w:rPr>
                <w:b/>
                <w:bCs/>
                <w:sz w:val="20"/>
              </w:rPr>
              <w:t>Officer issuing notice</w:t>
            </w:r>
          </w:p>
        </w:tc>
        <w:tc>
          <w:tcPr>
            <w:tcW w:w="5520" w:type="dxa"/>
            <w:gridSpan w:val="2"/>
          </w:tcPr>
          <w:p>
            <w:pPr>
              <w:pStyle w:val="yTableNAm"/>
              <w:spacing w:before="0"/>
              <w:rPr>
                <w:sz w:val="20"/>
              </w:rPr>
            </w:pPr>
            <w:r>
              <w:rPr>
                <w:sz w:val="20"/>
              </w:rPr>
              <w:t>Name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Signature</w:t>
            </w:r>
          </w:p>
        </w:tc>
      </w:tr>
      <w:tr>
        <w:trPr>
          <w:cantSplit/>
        </w:trPr>
        <w:tc>
          <w:tcPr>
            <w:tcW w:w="1560" w:type="dxa"/>
            <w:vMerge/>
          </w:tcPr>
          <w:p>
            <w:pPr>
              <w:pStyle w:val="yTableNAm"/>
              <w:spacing w:before="60"/>
              <w:rPr>
                <w:b/>
                <w:bCs/>
                <w:sz w:val="20"/>
              </w:rPr>
            </w:pPr>
          </w:p>
        </w:tc>
        <w:tc>
          <w:tcPr>
            <w:tcW w:w="5520" w:type="dxa"/>
            <w:gridSpan w:val="2"/>
          </w:tcPr>
          <w:p>
            <w:pPr>
              <w:pStyle w:val="yTableNAm"/>
              <w:spacing w:before="0"/>
              <w:rPr>
                <w:sz w:val="20"/>
              </w:rPr>
            </w:pPr>
            <w:r>
              <w:rPr>
                <w:sz w:val="20"/>
              </w:rPr>
              <w:t xml:space="preserve">Station No. </w:t>
            </w:r>
          </w:p>
        </w:tc>
      </w:tr>
      <w:tr>
        <w:trPr>
          <w:trHeight w:val="1097"/>
        </w:trPr>
        <w:tc>
          <w:tcPr>
            <w:tcW w:w="1560" w:type="dxa"/>
          </w:tcPr>
          <w:p>
            <w:pPr>
              <w:pStyle w:val="yTableNAm"/>
              <w:spacing w:before="60"/>
              <w:rPr>
                <w:b/>
                <w:bCs/>
                <w:sz w:val="20"/>
              </w:rPr>
            </w:pPr>
            <w:r>
              <w:rPr>
                <w:b/>
                <w:bCs/>
                <w:sz w:val="20"/>
              </w:rPr>
              <w:t xml:space="preserve">Notice to alleged offender </w:t>
            </w:r>
          </w:p>
        </w:tc>
        <w:tc>
          <w:tcPr>
            <w:tcW w:w="5520" w:type="dxa"/>
            <w:gridSpan w:val="2"/>
            <w:tcBorders>
              <w:bottom w:val="single" w:sz="4" w:space="0" w:color="auto"/>
            </w:tcBorders>
          </w:tcPr>
          <w:p>
            <w:pPr>
              <w:pStyle w:val="yTableNAm"/>
              <w:spacing w:before="0"/>
              <w:rPr>
                <w:sz w:val="20"/>
              </w:rPr>
            </w:pPr>
            <w:r>
              <w:rPr>
                <w:sz w:val="20"/>
              </w:rPr>
              <w:t>It is alleged that you have committed the above offence.</w:t>
            </w:r>
          </w:p>
          <w:p>
            <w:pPr>
              <w:pStyle w:val="yTableNAm"/>
              <w:spacing w:before="0"/>
              <w:rPr>
                <w:sz w:val="20"/>
              </w:rPr>
            </w:pPr>
            <w:r>
              <w:rPr>
                <w:sz w:val="20"/>
              </w:rPr>
              <w:t>If you do not want to be prosecuted in court for the offence, pay the modified penalty within 28 days after the date of this notice.</w:t>
            </w:r>
          </w:p>
          <w:p>
            <w:pPr>
              <w:pStyle w:val="yTableNAm"/>
              <w:spacing w:before="0"/>
              <w:rPr>
                <w:b/>
                <w:bCs/>
                <w:sz w:val="20"/>
              </w:rPr>
            </w:pPr>
            <w:r>
              <w:rPr>
                <w:b/>
                <w:bCs/>
                <w:sz w:val="20"/>
              </w:rPr>
              <w:t>How to pay</w:t>
            </w:r>
          </w:p>
          <w:p>
            <w:pPr>
              <w:pStyle w:val="yTableNAm"/>
              <w:tabs>
                <w:tab w:val="left" w:pos="252"/>
              </w:tabs>
              <w:spacing w:before="0"/>
              <w:ind w:left="567" w:hanging="567"/>
              <w:rPr>
                <w:sz w:val="20"/>
              </w:rPr>
            </w:pPr>
            <w:r>
              <w:rPr>
                <w:b/>
                <w:bCs/>
                <w:sz w:val="20"/>
              </w:rPr>
              <w:tab/>
              <w:t>By post:</w:t>
            </w:r>
            <w:r>
              <w:rPr>
                <w:sz w:val="20"/>
              </w:rPr>
              <w:t xml:space="preserve"> Send a cheque, money order or postal note </w:t>
            </w:r>
            <w:r>
              <w:rPr>
                <w:sz w:val="20"/>
              </w:rPr>
              <w:br/>
              <w:t>and the ‘Cashier’s Copy’ of this notice to:</w:t>
            </w:r>
          </w:p>
          <w:p>
            <w:pPr>
              <w:pStyle w:val="yTableNAm"/>
              <w:spacing w:before="0"/>
              <w:ind w:left="1134" w:hanging="1134"/>
              <w:rPr>
                <w:sz w:val="20"/>
              </w:rPr>
            </w:pPr>
            <w:r>
              <w:rPr>
                <w:sz w:val="20"/>
              </w:rPr>
              <w:tab/>
            </w:r>
            <w:r>
              <w:rPr>
                <w:sz w:val="20"/>
              </w:rPr>
              <w:tab/>
              <w:t>Director of Liquor Licensing</w:t>
            </w:r>
          </w:p>
          <w:p>
            <w:pPr>
              <w:pStyle w:val="yTableNAm"/>
              <w:spacing w:before="0"/>
              <w:ind w:left="1134" w:hanging="1134"/>
              <w:rPr>
                <w:sz w:val="20"/>
              </w:rPr>
            </w:pPr>
            <w:r>
              <w:rPr>
                <w:sz w:val="20"/>
              </w:rPr>
              <w:tab/>
            </w: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ind w:left="1134" w:hanging="1134"/>
              <w:rPr>
                <w:sz w:val="20"/>
              </w:rPr>
            </w:pPr>
            <w:r>
              <w:rPr>
                <w:sz w:val="20"/>
              </w:rPr>
              <w:tab/>
            </w: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tabs>
                <w:tab w:val="left" w:pos="252"/>
              </w:tabs>
              <w:spacing w:before="0"/>
              <w:ind w:left="567" w:hanging="567"/>
              <w:rPr>
                <w:sz w:val="20"/>
              </w:rPr>
            </w:pPr>
            <w:r>
              <w:rPr>
                <w:b/>
                <w:bCs/>
                <w:sz w:val="20"/>
              </w:rPr>
              <w:tab/>
              <w:t>In person</w:t>
            </w:r>
            <w:r>
              <w:rPr>
                <w:sz w:val="20"/>
              </w:rPr>
              <w:t>: Take the</w:t>
            </w:r>
            <w:r>
              <w:rPr>
                <w:color w:val="0000FF"/>
                <w:sz w:val="20"/>
              </w:rPr>
              <w:t xml:space="preserve"> </w:t>
            </w:r>
            <w:r>
              <w:rPr>
                <w:sz w:val="20"/>
              </w:rPr>
              <w:t>‘Cashier’s Copy’</w:t>
            </w:r>
            <w:r>
              <w:rPr>
                <w:color w:val="0000FF"/>
                <w:sz w:val="20"/>
              </w:rPr>
              <w:t xml:space="preserve"> </w:t>
            </w:r>
            <w:r>
              <w:rPr>
                <w:sz w:val="20"/>
              </w:rPr>
              <w:t>of this notice and pay the cashier at:</w:t>
            </w:r>
          </w:p>
          <w:p>
            <w:pPr>
              <w:pStyle w:val="yTableNAm"/>
              <w:spacing w:before="0"/>
              <w:rPr>
                <w:sz w:val="20"/>
              </w:rPr>
            </w:pPr>
            <w:r>
              <w:rPr>
                <w:sz w:val="20"/>
              </w:rPr>
              <w:tab/>
            </w:r>
            <w:r>
              <w:rPr>
                <w:sz w:val="20"/>
              </w:rPr>
              <w:tab/>
              <w:t>Department of Racing, Gaming and Liquor</w:t>
            </w:r>
          </w:p>
          <w:p>
            <w:pPr>
              <w:pStyle w:val="yTableNAm"/>
              <w:spacing w:before="0"/>
              <w:rPr>
                <w:sz w:val="20"/>
              </w:rPr>
            </w:pPr>
            <w:r>
              <w:rPr>
                <w:sz w:val="20"/>
              </w:rPr>
              <w:tab/>
            </w:r>
            <w:r>
              <w:rPr>
                <w:sz w:val="20"/>
              </w:rPr>
              <w:tab/>
              <w:t>1st floor, Hyatt Centre</w:t>
            </w:r>
          </w:p>
          <w:p>
            <w:pPr>
              <w:pStyle w:val="yTableNAm"/>
              <w:spacing w:before="0"/>
              <w:rPr>
                <w:sz w:val="20"/>
              </w:rPr>
            </w:pPr>
            <w:r>
              <w:rPr>
                <w:sz w:val="20"/>
              </w:rPr>
              <w:tab/>
            </w:r>
            <w:r>
              <w:rPr>
                <w:sz w:val="20"/>
              </w:rPr>
              <w:tab/>
              <w:t xml:space="preserve">87 </w:t>
            </w:r>
            <w:smartTag w:uri="urn:schemas-microsoft-com:office:smarttags" w:element="City">
              <w:r>
                <w:rPr>
                  <w:sz w:val="20"/>
                </w:rPr>
                <w:t>Adelaide</w:t>
              </w:r>
            </w:smartTag>
            <w:r>
              <w:rPr>
                <w:sz w:val="20"/>
              </w:rPr>
              <w:t xml:space="preserve"> Terrace,  </w:t>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p>
          <w:p>
            <w:pPr>
              <w:pStyle w:val="yTableNAm"/>
              <w:spacing w:before="0"/>
              <w:rPr>
                <w:sz w:val="20"/>
              </w:rPr>
            </w:pPr>
            <w:r>
              <w:rPr>
                <w:sz w:val="20"/>
              </w:rPr>
              <w:tab/>
            </w:r>
            <w:r>
              <w:rPr>
                <w:sz w:val="20"/>
              </w:rPr>
              <w:tab/>
              <w:t xml:space="preserve">or at any </w:t>
            </w:r>
            <w:smartTag w:uri="urn:schemas-microsoft-com:office:smarttags" w:element="address">
              <w:smartTag w:uri="urn:schemas-microsoft-com:office:smarttags" w:element="Street">
                <w:r>
                  <w:rPr>
                    <w:sz w:val="20"/>
                  </w:rPr>
                  <w:t>Magistrates Court</w:t>
                </w:r>
              </w:smartTag>
            </w:smartTag>
            <w:r>
              <w:rPr>
                <w:sz w:val="20"/>
              </w:rPr>
              <w:t>.</w:t>
            </w:r>
          </w:p>
          <w:p>
            <w:pPr>
              <w:pStyle w:val="yTableNAm"/>
              <w:spacing w:before="0"/>
              <w:rPr>
                <w:sz w:val="20"/>
              </w:rPr>
            </w:pPr>
            <w:r>
              <w:rPr>
                <w:b/>
                <w:bCs/>
                <w:sz w:val="20"/>
              </w:rPr>
              <w:t>If you do not pay</w:t>
            </w:r>
            <w:r>
              <w:rPr>
                <w:sz w:val="20"/>
              </w:rPr>
              <w:t xml:space="preserve"> the modified penalty within 28 days, you may be prosecuted or enforcement action may be taken under the </w:t>
            </w:r>
            <w:r>
              <w:rPr>
                <w:i/>
                <w:iCs/>
                <w:sz w:val="20"/>
              </w:rPr>
              <w:t>Fines, Penalties and Infringement Notices Enforcement Act 1994</w:t>
            </w:r>
            <w:r>
              <w:rPr>
                <w:sz w:val="20"/>
              </w:rPr>
              <w:t>.  Under that Act your driver’s licence and/or vehicle licence may be suspended.</w:t>
            </w:r>
          </w:p>
          <w:p>
            <w:pPr>
              <w:pStyle w:val="yTableNAm"/>
              <w:spacing w:before="0"/>
              <w:rPr>
                <w:sz w:val="20"/>
              </w:rPr>
            </w:pPr>
            <w:r>
              <w:rPr>
                <w:b/>
                <w:bCs/>
                <w:sz w:val="20"/>
              </w:rPr>
              <w:t>If you need more time</w:t>
            </w:r>
            <w:r>
              <w:rPr>
                <w:sz w:val="20"/>
              </w:rPr>
              <w:t xml:space="preserve"> to pay the modified penalty, you can apply for an extension of time by writing to the Director of Liquor Licensing at the above postal address.</w:t>
            </w:r>
          </w:p>
          <w:p>
            <w:pPr>
              <w:pStyle w:val="yTableNAm"/>
              <w:spacing w:before="0"/>
              <w:rPr>
                <w:sz w:val="20"/>
              </w:rPr>
            </w:pPr>
            <w:r>
              <w:rPr>
                <w:b/>
                <w:bCs/>
                <w:sz w:val="20"/>
              </w:rPr>
              <w:t xml:space="preserve">If you want this matter to be dealt with by prosecution in court, </w:t>
            </w:r>
            <w:r>
              <w:rPr>
                <w:sz w:val="20"/>
              </w:rPr>
              <w:t>sign the ‘Cashier’s Copy’ of this notice here __________________________________________________</w:t>
            </w:r>
            <w:r>
              <w:rPr>
                <w:sz w:val="20"/>
              </w:rPr>
              <w:br/>
              <w:t xml:space="preserve">and post it to the Director of Liquor Licensing at the above postal address within 28 days after the date of this notice. </w:t>
            </w:r>
          </w:p>
        </w:tc>
      </w:tr>
    </w:tbl>
    <w:p>
      <w:pPr>
        <w:pStyle w:val="yFootnotesection"/>
      </w:pPr>
      <w:r>
        <w:tab/>
        <w:t>[Form 21 inserted in Gazette 28 Sep 2007 p. 4931.]</w:t>
      </w:r>
    </w:p>
    <w:p>
      <w:pPr>
        <w:pStyle w:val="yMiscellaneousBody"/>
        <w:keepNext/>
        <w:keepLines/>
        <w:spacing w:after="60"/>
        <w:jc w:val="center"/>
        <w:rPr>
          <w:b/>
          <w:bCs/>
          <w:snapToGrid w:val="0"/>
        </w:rPr>
      </w:pPr>
      <w:r>
        <w:rPr>
          <w:b/>
          <w:bCs/>
          <w:snapToGrid w:val="0"/>
        </w:rPr>
        <w:t xml:space="preserve">Form </w:t>
      </w:r>
      <w:r>
        <w:rPr>
          <w:rStyle w:val="CharSClsNo"/>
          <w:b/>
        </w:rPr>
        <w:t>22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2827"/>
      </w:tblGrid>
      <w:tr>
        <w:trPr>
          <w:cantSplit/>
          <w:trHeight w:val="279"/>
        </w:trPr>
        <w:tc>
          <w:tcPr>
            <w:tcW w:w="4253" w:type="dxa"/>
            <w:gridSpan w:val="2"/>
            <w:vMerge w:val="restart"/>
          </w:tcPr>
          <w:p>
            <w:pPr>
              <w:pStyle w:val="yTableNAm"/>
              <w:keepNext/>
              <w:keepLines/>
              <w:spacing w:before="0"/>
              <w:rPr>
                <w:b/>
                <w:bCs/>
                <w:i/>
                <w:iCs/>
                <w:sz w:val="20"/>
              </w:rPr>
            </w:pPr>
            <w:r>
              <w:rPr>
                <w:b/>
                <w:bCs/>
                <w:i/>
                <w:iCs/>
                <w:sz w:val="20"/>
              </w:rPr>
              <w:t>Liquor Control Act 1988</w:t>
            </w:r>
          </w:p>
          <w:p>
            <w:pPr>
              <w:pStyle w:val="yTableNAm"/>
              <w:keepNext/>
              <w:keepLines/>
              <w:spacing w:before="0"/>
              <w:rPr>
                <w:sz w:val="26"/>
              </w:rPr>
            </w:pPr>
            <w:r>
              <w:rPr>
                <w:b/>
                <w:bCs/>
                <w:sz w:val="26"/>
              </w:rPr>
              <w:t>Withdrawal of infringement notice</w:t>
            </w:r>
          </w:p>
        </w:tc>
        <w:tc>
          <w:tcPr>
            <w:tcW w:w="2827" w:type="dxa"/>
            <w:tcBorders>
              <w:bottom w:val="single" w:sz="4" w:space="0" w:color="auto"/>
            </w:tcBorders>
          </w:tcPr>
          <w:p>
            <w:pPr>
              <w:pStyle w:val="yTableNAm"/>
              <w:keepNext/>
              <w:keepLines/>
              <w:spacing w:before="0"/>
              <w:rPr>
                <w:sz w:val="20"/>
              </w:rPr>
            </w:pPr>
            <w:r>
              <w:rPr>
                <w:sz w:val="20"/>
              </w:rPr>
              <w:t>Withdrawal No.</w:t>
            </w:r>
          </w:p>
        </w:tc>
      </w:tr>
      <w:tr>
        <w:trPr>
          <w:cantSplit/>
          <w:trHeight w:val="278"/>
        </w:trPr>
        <w:tc>
          <w:tcPr>
            <w:tcW w:w="4253" w:type="dxa"/>
            <w:gridSpan w:val="2"/>
            <w:vMerge/>
          </w:tcPr>
          <w:p>
            <w:pPr>
              <w:pStyle w:val="yTableNAm"/>
              <w:keepNext/>
              <w:keepLines/>
              <w:spacing w:before="0"/>
              <w:rPr>
                <w:sz w:val="20"/>
              </w:rPr>
            </w:pPr>
          </w:p>
        </w:tc>
        <w:tc>
          <w:tcPr>
            <w:tcW w:w="2827" w:type="dxa"/>
            <w:tcBorders>
              <w:bottom w:val="single" w:sz="4" w:space="0" w:color="auto"/>
            </w:tcBorders>
          </w:tcPr>
          <w:p>
            <w:pPr>
              <w:pStyle w:val="yTableNAm"/>
              <w:keepNext/>
              <w:keepLines/>
              <w:spacing w:before="0"/>
              <w:rPr>
                <w:sz w:val="20"/>
              </w:rPr>
            </w:pPr>
            <w:r>
              <w:rPr>
                <w:sz w:val="20"/>
              </w:rPr>
              <w:t>Date of withdrawal</w:t>
            </w:r>
          </w:p>
        </w:tc>
      </w:tr>
      <w:tr>
        <w:trPr>
          <w:cantSplit/>
          <w:trHeight w:val="150"/>
        </w:trPr>
        <w:tc>
          <w:tcPr>
            <w:tcW w:w="1560" w:type="dxa"/>
            <w:vMerge w:val="restart"/>
          </w:tcPr>
          <w:p>
            <w:pPr>
              <w:pStyle w:val="yTableNAm"/>
              <w:keepNext/>
              <w:keepLines/>
              <w:spacing w:before="0"/>
              <w:rPr>
                <w:b/>
                <w:bCs/>
                <w:sz w:val="20"/>
              </w:rPr>
            </w:pPr>
            <w:r>
              <w:rPr>
                <w:b/>
                <w:bCs/>
                <w:sz w:val="20"/>
              </w:rPr>
              <w:t>Alleged offender</w:t>
            </w:r>
          </w:p>
        </w:tc>
        <w:tc>
          <w:tcPr>
            <w:tcW w:w="5520" w:type="dxa"/>
            <w:gridSpan w:val="2"/>
          </w:tcPr>
          <w:p>
            <w:pPr>
              <w:pStyle w:val="yTableNAm"/>
              <w:keepNext/>
              <w:keepLines/>
              <w:tabs>
                <w:tab w:val="clear" w:pos="567"/>
                <w:tab w:val="left" w:pos="732"/>
              </w:tabs>
              <w:spacing w:before="60"/>
              <w:rPr>
                <w:sz w:val="20"/>
              </w:rPr>
            </w:pPr>
            <w:r>
              <w:rPr>
                <w:sz w:val="20"/>
              </w:rPr>
              <w:t>Name:</w:t>
            </w:r>
            <w:r>
              <w:rPr>
                <w:sz w:val="20"/>
              </w:rPr>
              <w:tab/>
              <w:t>Family name</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s>
              <w:spacing w:before="60"/>
              <w:rPr>
                <w:sz w:val="20"/>
              </w:rPr>
            </w:pPr>
            <w:r>
              <w:rPr>
                <w:sz w:val="20"/>
              </w:rPr>
              <w:tab/>
              <w:t>Given names</w:t>
            </w:r>
          </w:p>
        </w:tc>
      </w:tr>
      <w:tr>
        <w:trPr>
          <w:cantSplit/>
          <w:trHeight w:val="150"/>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60"/>
              <w:ind w:right="-108"/>
              <w:rPr>
                <w:sz w:val="20"/>
              </w:rPr>
            </w:pPr>
            <w:r>
              <w:rPr>
                <w:sz w:val="20"/>
              </w:rPr>
              <w:t>Address ______________________________________________</w:t>
            </w:r>
          </w:p>
          <w:p>
            <w:pPr>
              <w:pStyle w:val="yTableNAm"/>
              <w:keepNext/>
              <w:keepLines/>
              <w:tabs>
                <w:tab w:val="clear" w:pos="567"/>
                <w:tab w:val="left" w:pos="732"/>
                <w:tab w:val="left" w:pos="3372"/>
              </w:tabs>
              <w:spacing w:before="60"/>
              <w:rPr>
                <w:sz w:val="20"/>
              </w:rPr>
            </w:pPr>
            <w:r>
              <w:rPr>
                <w:sz w:val="20"/>
              </w:rPr>
              <w:tab/>
            </w:r>
            <w:r>
              <w:rPr>
                <w:sz w:val="20"/>
              </w:rPr>
              <w:tab/>
              <w:t>Postcode</w:t>
            </w:r>
          </w:p>
        </w:tc>
      </w:tr>
      <w:tr>
        <w:trPr>
          <w:cantSplit/>
        </w:trPr>
        <w:tc>
          <w:tcPr>
            <w:tcW w:w="1560" w:type="dxa"/>
            <w:vMerge w:val="restart"/>
          </w:tcPr>
          <w:p>
            <w:pPr>
              <w:pStyle w:val="yTableNAm"/>
              <w:keepNext/>
              <w:keepLines/>
              <w:spacing w:before="0"/>
              <w:rPr>
                <w:b/>
                <w:bCs/>
                <w:sz w:val="20"/>
              </w:rPr>
            </w:pPr>
            <w:r>
              <w:rPr>
                <w:b/>
                <w:bCs/>
                <w:sz w:val="20"/>
              </w:rPr>
              <w:t>Infringement notice</w:t>
            </w:r>
          </w:p>
        </w:tc>
        <w:tc>
          <w:tcPr>
            <w:tcW w:w="5520" w:type="dxa"/>
            <w:gridSpan w:val="2"/>
          </w:tcPr>
          <w:p>
            <w:pPr>
              <w:pStyle w:val="yTableNAm"/>
              <w:keepNext/>
              <w:keepLines/>
              <w:tabs>
                <w:tab w:val="clear" w:pos="567"/>
                <w:tab w:val="left" w:pos="732"/>
                <w:tab w:val="left" w:pos="3372"/>
              </w:tabs>
              <w:spacing w:before="0"/>
              <w:rPr>
                <w:sz w:val="20"/>
              </w:rPr>
            </w:pPr>
            <w:r>
              <w:rPr>
                <w:sz w:val="20"/>
              </w:rPr>
              <w:t>Infringement notice No.</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 xml:space="preserve">Date of issue  </w:t>
            </w:r>
            <w:r>
              <w:rPr>
                <w:sz w:val="20"/>
              </w:rPr>
              <w:tab/>
              <w:t>/</w:t>
            </w:r>
            <w:r>
              <w:rPr>
                <w:sz w:val="20"/>
              </w:rPr>
              <w:tab/>
              <w:t>/20</w:t>
            </w:r>
          </w:p>
        </w:tc>
      </w:tr>
      <w:tr>
        <w:trPr>
          <w:cantSplit/>
        </w:trPr>
        <w:tc>
          <w:tcPr>
            <w:tcW w:w="1560" w:type="dxa"/>
            <w:vMerge w:val="restart"/>
          </w:tcPr>
          <w:p>
            <w:pPr>
              <w:pStyle w:val="yTableNAm"/>
              <w:keepNext/>
              <w:keepLines/>
              <w:spacing w:before="0"/>
              <w:ind w:right="113"/>
              <w:rPr>
                <w:b/>
                <w:bCs/>
                <w:sz w:val="20"/>
              </w:rPr>
            </w:pPr>
            <w:r>
              <w:rPr>
                <w:b/>
                <w:bCs/>
                <w:sz w:val="20"/>
              </w:rPr>
              <w:t>Alleged offence</w:t>
            </w:r>
          </w:p>
        </w:tc>
        <w:tc>
          <w:tcPr>
            <w:tcW w:w="5520" w:type="dxa"/>
            <w:gridSpan w:val="2"/>
          </w:tcPr>
          <w:p>
            <w:pPr>
              <w:pStyle w:val="yTableNAm"/>
              <w:keepNext/>
              <w:keepLines/>
              <w:tabs>
                <w:tab w:val="clear" w:pos="567"/>
                <w:tab w:val="left" w:pos="732"/>
                <w:tab w:val="left" w:pos="3372"/>
              </w:tabs>
              <w:spacing w:before="0"/>
              <w:ind w:right="-108"/>
              <w:rPr>
                <w:sz w:val="20"/>
              </w:rPr>
            </w:pPr>
            <w:r>
              <w:rPr>
                <w:sz w:val="20"/>
              </w:rPr>
              <w:t>Description of offence ___________________________________</w:t>
            </w:r>
          </w:p>
          <w:p>
            <w:pPr>
              <w:pStyle w:val="yTableNAm"/>
              <w:keepNext/>
              <w:keepLines/>
              <w:tabs>
                <w:tab w:val="clear" w:pos="567"/>
                <w:tab w:val="left" w:pos="732"/>
                <w:tab w:val="left" w:pos="3372"/>
              </w:tabs>
              <w:spacing w:before="0"/>
              <w:rPr>
                <w:sz w:val="20"/>
              </w:rPr>
            </w:pP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i/>
                <w:iCs/>
                <w:sz w:val="20"/>
              </w:rPr>
              <w:t>Liquor Control Act 1988</w:t>
            </w:r>
            <w:r>
              <w:rPr>
                <w:sz w:val="20"/>
              </w:rPr>
              <w:t xml:space="preserve"> s. ________</w:t>
            </w:r>
          </w:p>
          <w:p>
            <w:pPr>
              <w:pStyle w:val="yTableNAm"/>
              <w:keepNext/>
              <w:keepLines/>
              <w:tabs>
                <w:tab w:val="clear" w:pos="567"/>
                <w:tab w:val="left" w:pos="732"/>
                <w:tab w:val="left" w:pos="3372"/>
              </w:tabs>
              <w:spacing w:before="0"/>
              <w:rPr>
                <w:sz w:val="20"/>
              </w:rPr>
            </w:pPr>
            <w:r>
              <w:rPr>
                <w:i/>
                <w:iCs/>
                <w:sz w:val="20"/>
              </w:rPr>
              <w:t>Liquor Control Regulations 1989</w:t>
            </w:r>
            <w:r>
              <w:rPr>
                <w:sz w:val="20"/>
              </w:rPr>
              <w:t xml:space="preserve"> r. _________</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732"/>
                <w:tab w:val="left" w:pos="3372"/>
              </w:tabs>
              <w:spacing w:before="0"/>
              <w:rPr>
                <w:sz w:val="20"/>
              </w:rPr>
            </w:pPr>
            <w:r>
              <w:rPr>
                <w:sz w:val="20"/>
              </w:rPr>
              <w:t>Location where offence committed</w:t>
            </w:r>
          </w:p>
          <w:p>
            <w:pPr>
              <w:pStyle w:val="yTableNAm"/>
              <w:keepNext/>
              <w:keepLines/>
              <w:tabs>
                <w:tab w:val="clear" w:pos="567"/>
                <w:tab w:val="left" w:pos="732"/>
                <w:tab w:val="left" w:pos="3372"/>
              </w:tabs>
              <w:spacing w:before="0"/>
              <w:ind w:right="-122"/>
              <w:rPr>
                <w:sz w:val="20"/>
              </w:rPr>
            </w:pPr>
            <w:r>
              <w:rPr>
                <w:sz w:val="20"/>
              </w:rPr>
              <w:t>Name of premises (if applicable)____________________________________________</w:t>
            </w:r>
          </w:p>
          <w:p>
            <w:pPr>
              <w:pStyle w:val="yTableNAm"/>
              <w:keepNext/>
              <w:keepLines/>
              <w:tabs>
                <w:tab w:val="clear" w:pos="567"/>
                <w:tab w:val="left" w:pos="732"/>
                <w:tab w:val="left" w:pos="3372"/>
              </w:tabs>
              <w:spacing w:before="0"/>
              <w:ind w:right="-108"/>
              <w:rPr>
                <w:sz w:val="20"/>
              </w:rPr>
            </w:pPr>
            <w:r>
              <w:rPr>
                <w:sz w:val="20"/>
              </w:rPr>
              <w:t>Address ______________________________________________</w:t>
            </w:r>
          </w:p>
          <w:p>
            <w:pPr>
              <w:pStyle w:val="yTableNAm"/>
              <w:keepNext/>
              <w:keepLines/>
              <w:tabs>
                <w:tab w:val="clear" w:pos="567"/>
                <w:tab w:val="left" w:pos="732"/>
                <w:tab w:val="left" w:pos="3372"/>
              </w:tabs>
              <w:spacing w:before="0"/>
              <w:rPr>
                <w:sz w:val="20"/>
              </w:rPr>
            </w:pPr>
            <w:r>
              <w:rPr>
                <w:sz w:val="20"/>
              </w:rPr>
              <w:tab/>
            </w:r>
            <w:r>
              <w:rPr>
                <w:sz w:val="20"/>
              </w:rPr>
              <w:tab/>
              <w:t>Postcode</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tabs>
                <w:tab w:val="clear" w:pos="567"/>
                <w:tab w:val="left" w:pos="852"/>
                <w:tab w:val="left" w:pos="1332"/>
                <w:tab w:val="left" w:pos="2292"/>
                <w:tab w:val="left" w:pos="3972"/>
              </w:tabs>
              <w:spacing w:before="0"/>
              <w:rPr>
                <w:sz w:val="20"/>
              </w:rPr>
            </w:pPr>
            <w:r>
              <w:rPr>
                <w:sz w:val="20"/>
              </w:rPr>
              <w:t>Date</w:t>
            </w:r>
            <w:r>
              <w:rPr>
                <w:sz w:val="20"/>
              </w:rPr>
              <w:tab/>
              <w:t>/</w:t>
            </w:r>
            <w:r>
              <w:rPr>
                <w:sz w:val="20"/>
              </w:rPr>
              <w:tab/>
              <w:t>/20</w:t>
            </w:r>
            <w:r>
              <w:rPr>
                <w:sz w:val="20"/>
              </w:rPr>
              <w:tab/>
              <w:t xml:space="preserve">Time </w:t>
            </w:r>
            <w:r>
              <w:rPr>
                <w:sz w:val="20"/>
              </w:rPr>
              <w:tab/>
              <w:t>a.m./p.m.</w:t>
            </w:r>
          </w:p>
        </w:tc>
      </w:tr>
      <w:tr>
        <w:trPr>
          <w:cantSplit/>
        </w:trPr>
        <w:tc>
          <w:tcPr>
            <w:tcW w:w="1560" w:type="dxa"/>
            <w:vMerge w:val="restart"/>
          </w:tcPr>
          <w:p>
            <w:pPr>
              <w:pStyle w:val="yTableNAm"/>
              <w:keepNext/>
              <w:keepLines/>
              <w:spacing w:before="0"/>
              <w:rPr>
                <w:b/>
                <w:bCs/>
                <w:sz w:val="20"/>
              </w:rPr>
            </w:pPr>
            <w:r>
              <w:rPr>
                <w:b/>
                <w:bCs/>
                <w:sz w:val="20"/>
              </w:rPr>
              <w:t xml:space="preserve">Officer withdrawing notice </w:t>
            </w:r>
          </w:p>
        </w:tc>
        <w:tc>
          <w:tcPr>
            <w:tcW w:w="5520" w:type="dxa"/>
            <w:gridSpan w:val="2"/>
          </w:tcPr>
          <w:p>
            <w:pPr>
              <w:pStyle w:val="yTableNAm"/>
              <w:keepNext/>
              <w:keepLines/>
              <w:spacing w:before="0"/>
              <w:rPr>
                <w:sz w:val="20"/>
              </w:rPr>
            </w:pPr>
            <w:r>
              <w:rPr>
                <w:sz w:val="20"/>
              </w:rPr>
              <w:t>Director of Liquor Licensing</w:t>
            </w:r>
          </w:p>
        </w:tc>
      </w:tr>
      <w:tr>
        <w:trPr>
          <w:cantSplit/>
        </w:trPr>
        <w:tc>
          <w:tcPr>
            <w:tcW w:w="1560" w:type="dxa"/>
            <w:vMerge/>
          </w:tcPr>
          <w:p>
            <w:pPr>
              <w:pStyle w:val="yTableNAm"/>
              <w:keepNext/>
              <w:keepLines/>
              <w:spacing w:before="0"/>
              <w:rPr>
                <w:b/>
                <w:bCs/>
                <w:sz w:val="20"/>
              </w:rPr>
            </w:pPr>
          </w:p>
        </w:tc>
        <w:tc>
          <w:tcPr>
            <w:tcW w:w="5520" w:type="dxa"/>
            <w:gridSpan w:val="2"/>
          </w:tcPr>
          <w:p>
            <w:pPr>
              <w:pStyle w:val="yTableNAm"/>
              <w:keepNext/>
              <w:keepLines/>
              <w:spacing w:before="0"/>
              <w:rPr>
                <w:sz w:val="20"/>
              </w:rPr>
            </w:pPr>
            <w:r>
              <w:rPr>
                <w:sz w:val="20"/>
              </w:rPr>
              <w:t>Signature</w:t>
            </w:r>
          </w:p>
        </w:tc>
      </w:tr>
      <w:tr>
        <w:trPr>
          <w:cantSplit/>
        </w:trPr>
        <w:tc>
          <w:tcPr>
            <w:tcW w:w="1560" w:type="dxa"/>
          </w:tcPr>
          <w:p>
            <w:pPr>
              <w:pStyle w:val="yTableNAm"/>
              <w:spacing w:before="0"/>
              <w:rPr>
                <w:b/>
                <w:bCs/>
                <w:sz w:val="20"/>
              </w:rPr>
            </w:pPr>
            <w:r>
              <w:rPr>
                <w:b/>
                <w:bCs/>
                <w:sz w:val="20"/>
              </w:rPr>
              <w:t>Withdrawal of infringement notice</w:t>
            </w:r>
          </w:p>
          <w:p>
            <w:pPr>
              <w:pStyle w:val="yTableNAm"/>
              <w:spacing w:before="0"/>
              <w:rPr>
                <w:b/>
                <w:bCs/>
                <w:sz w:val="20"/>
              </w:rPr>
            </w:pPr>
          </w:p>
          <w:p>
            <w:pPr>
              <w:pStyle w:val="yTableNAm"/>
              <w:spacing w:before="0"/>
              <w:rPr>
                <w:b/>
                <w:bCs/>
                <w:sz w:val="20"/>
              </w:rPr>
            </w:pPr>
          </w:p>
          <w:p>
            <w:pPr>
              <w:pStyle w:val="yTableNAm"/>
              <w:spacing w:before="0"/>
              <w:rPr>
                <w:i/>
                <w:iCs/>
                <w:sz w:val="16"/>
              </w:rPr>
            </w:pPr>
            <w:r>
              <w:rPr>
                <w:i/>
                <w:iCs/>
                <w:sz w:val="16"/>
              </w:rPr>
              <w:t xml:space="preserve">[*delete </w:t>
            </w:r>
            <w:r>
              <w:rPr>
                <w:i/>
                <w:iCs/>
                <w:sz w:val="16"/>
              </w:rPr>
              <w:br/>
              <w:t>whichever</w:t>
            </w:r>
            <w:r>
              <w:rPr>
                <w:i/>
                <w:iCs/>
                <w:sz w:val="16"/>
              </w:rPr>
              <w:br/>
              <w:t>is not applicable]</w:t>
            </w:r>
          </w:p>
        </w:tc>
        <w:tc>
          <w:tcPr>
            <w:tcW w:w="5520" w:type="dxa"/>
            <w:gridSpan w:val="2"/>
            <w:tcBorders>
              <w:bottom w:val="single" w:sz="4" w:space="0" w:color="auto"/>
            </w:tcBorders>
          </w:tcPr>
          <w:p>
            <w:pPr>
              <w:pStyle w:val="yTableNAm"/>
              <w:spacing w:before="0"/>
              <w:rPr>
                <w:sz w:val="20"/>
              </w:rPr>
            </w:pPr>
            <w:r>
              <w:rPr>
                <w:sz w:val="20"/>
              </w:rPr>
              <w:t>The above infringement notice issued against you has been withdrawn.</w:t>
            </w:r>
          </w:p>
          <w:p>
            <w:pPr>
              <w:pStyle w:val="yTableNAm"/>
              <w:spacing w:before="0"/>
              <w:rPr>
                <w:sz w:val="20"/>
              </w:rPr>
            </w:pPr>
            <w:r>
              <w:rPr>
                <w:sz w:val="20"/>
              </w:rPr>
              <w:t>If you have already paid the modified penalty for the alleged offence you are entitled to a refund.</w:t>
            </w:r>
          </w:p>
          <w:p>
            <w:pPr>
              <w:pStyle w:val="yTableNAm"/>
              <w:tabs>
                <w:tab w:val="clear" w:pos="567"/>
                <w:tab w:val="left" w:pos="252"/>
                <w:tab w:val="left" w:pos="732"/>
              </w:tabs>
              <w:spacing w:before="0"/>
              <w:rPr>
                <w:sz w:val="20"/>
              </w:rPr>
            </w:pPr>
            <w:r>
              <w:rPr>
                <w:sz w:val="20"/>
              </w:rPr>
              <w:t>*</w:t>
            </w:r>
            <w:r>
              <w:rPr>
                <w:sz w:val="20"/>
              </w:rPr>
              <w:tab/>
              <w:t>Your refund is enclosed.</w:t>
            </w:r>
          </w:p>
          <w:p>
            <w:pPr>
              <w:pStyle w:val="yTableNAm"/>
              <w:tabs>
                <w:tab w:val="clear" w:pos="567"/>
                <w:tab w:val="left" w:pos="252"/>
                <w:tab w:val="left" w:pos="732"/>
              </w:tabs>
              <w:spacing w:before="0"/>
              <w:rPr>
                <w:sz w:val="20"/>
              </w:rPr>
            </w:pPr>
            <w:r>
              <w:rPr>
                <w:sz w:val="20"/>
              </w:rPr>
              <w:t>or</w:t>
            </w:r>
          </w:p>
          <w:p>
            <w:pPr>
              <w:pStyle w:val="yTableNAm"/>
              <w:tabs>
                <w:tab w:val="clear" w:pos="567"/>
                <w:tab w:val="left" w:pos="252"/>
                <w:tab w:val="left" w:pos="732"/>
              </w:tabs>
              <w:spacing w:before="0"/>
              <w:rPr>
                <w:sz w:val="20"/>
              </w:rPr>
            </w:pPr>
            <w:r>
              <w:rPr>
                <w:sz w:val="20"/>
              </w:rPr>
              <w:t>*</w:t>
            </w:r>
            <w:r>
              <w:rPr>
                <w:sz w:val="20"/>
              </w:rPr>
              <w:tab/>
              <w:t xml:space="preserve">If you have paid the modified penalty but a refund is not </w:t>
            </w:r>
            <w:r>
              <w:rPr>
                <w:sz w:val="20"/>
              </w:rPr>
              <w:tab/>
              <w:t>enclosed, to claim your refund sign this notice and post it to:</w:t>
            </w:r>
          </w:p>
          <w:p>
            <w:pPr>
              <w:pStyle w:val="yTableNAm"/>
              <w:spacing w:before="0"/>
              <w:rPr>
                <w:sz w:val="20"/>
              </w:rPr>
            </w:pPr>
            <w:r>
              <w:rPr>
                <w:sz w:val="20"/>
              </w:rPr>
              <w:tab/>
              <w:t>Director of Liquor Licensing</w:t>
            </w:r>
          </w:p>
          <w:p>
            <w:pPr>
              <w:pStyle w:val="yTableNAm"/>
              <w:spacing w:before="0"/>
              <w:rPr>
                <w:sz w:val="20"/>
              </w:rPr>
            </w:pPr>
            <w:r>
              <w:rPr>
                <w:sz w:val="20"/>
              </w:rPr>
              <w:tab/>
            </w:r>
            <w:smartTag w:uri="urn:schemas-microsoft-com:office:smarttags" w:element="address">
              <w:smartTag w:uri="urn:schemas-microsoft-com:office:smarttags" w:element="Street">
                <w:r>
                  <w:rPr>
                    <w:sz w:val="20"/>
                  </w:rPr>
                  <w:t>PO Box</w:t>
                </w:r>
              </w:smartTag>
              <w:r>
                <w:rPr>
                  <w:sz w:val="20"/>
                </w:rPr>
                <w:t xml:space="preserve"> 6119</w:t>
              </w:r>
            </w:smartTag>
          </w:p>
          <w:p>
            <w:pPr>
              <w:pStyle w:val="yTableNAm"/>
              <w:spacing w:before="0"/>
              <w:rPr>
                <w:sz w:val="20"/>
              </w:rPr>
            </w:pPr>
            <w:r>
              <w:rPr>
                <w:sz w:val="20"/>
              </w:rPr>
              <w:tab/>
            </w:r>
            <w:smartTag w:uri="urn:schemas-microsoft-com:office:smarttags" w:element="place">
              <w:smartTag w:uri="urn:schemas-microsoft-com:office:smarttags" w:element="City">
                <w:r>
                  <w:rPr>
                    <w:sz w:val="20"/>
                  </w:rPr>
                  <w:t>East Perth</w:t>
                </w:r>
              </w:smartTag>
              <w:r>
                <w:rPr>
                  <w:sz w:val="20"/>
                </w:rPr>
                <w:t xml:space="preserve">  </w:t>
              </w:r>
              <w:smartTag w:uri="urn:schemas-microsoft-com:office:smarttags" w:element="State">
                <w:r>
                  <w:rPr>
                    <w:sz w:val="20"/>
                  </w:rPr>
                  <w:t>WA</w:t>
                </w:r>
              </w:smartTag>
            </w:smartTag>
            <w:r>
              <w:rPr>
                <w:sz w:val="20"/>
              </w:rPr>
              <w:t xml:space="preserve">  6892</w:t>
            </w:r>
          </w:p>
          <w:p>
            <w:pPr>
              <w:pStyle w:val="yTableNAm"/>
              <w:spacing w:before="0"/>
              <w:rPr>
                <w:sz w:val="20"/>
              </w:rPr>
            </w:pPr>
          </w:p>
          <w:p>
            <w:pPr>
              <w:pStyle w:val="yTableNAm"/>
              <w:tabs>
                <w:tab w:val="left" w:pos="4212"/>
              </w:tabs>
              <w:spacing w:before="0"/>
              <w:rPr>
                <w:sz w:val="20"/>
              </w:rPr>
            </w:pPr>
            <w:r>
              <w:rPr>
                <w:sz w:val="20"/>
              </w:rPr>
              <w:t>Signature</w:t>
            </w:r>
            <w:r>
              <w:rPr>
                <w:sz w:val="20"/>
              </w:rPr>
              <w:tab/>
              <w:t>/</w:t>
            </w:r>
            <w:r>
              <w:rPr>
                <w:sz w:val="20"/>
              </w:rPr>
              <w:tab/>
              <w:t>/20</w:t>
            </w:r>
          </w:p>
        </w:tc>
      </w:tr>
    </w:tbl>
    <w:p>
      <w:pPr>
        <w:pStyle w:val="yFootnotesection"/>
      </w:pPr>
      <w:r>
        <w:tab/>
        <w:t>[Form 22 inserted in Gazette 28 Sep 2007 p. 4932.]</w:t>
      </w:r>
    </w:p>
    <w:p>
      <w:pPr>
        <w:pStyle w:val="yScheduleHeading"/>
        <w:rPr>
          <w:rStyle w:val="CharSchNo"/>
        </w:rPr>
        <w:sectPr>
          <w:headerReference w:type="even" r:id="rId30"/>
          <w:headerReference w:type="default" r:id="rId31"/>
          <w:headerReference w:type="first" r:id="rId32"/>
          <w:pgSz w:w="11906" w:h="16838" w:code="9"/>
          <w:pgMar w:top="2381" w:right="2409" w:bottom="3543" w:left="2409" w:header="720" w:footer="3380" w:gutter="0"/>
          <w:cols w:space="720"/>
          <w:noEndnote/>
          <w:docGrid w:linePitch="326"/>
        </w:sectPr>
      </w:pPr>
      <w:bookmarkStart w:id="848" w:name="_Toc534780070"/>
      <w:bookmarkStart w:id="849" w:name="_Toc3352152"/>
      <w:bookmarkStart w:id="850" w:name="_Toc22966253"/>
      <w:bookmarkStart w:id="851" w:name="_Toc66263860"/>
      <w:bookmarkStart w:id="852" w:name="_Toc67978811"/>
      <w:bookmarkStart w:id="853" w:name="_Toc79826633"/>
      <w:bookmarkStart w:id="854" w:name="_Toc113176300"/>
      <w:bookmarkStart w:id="855" w:name="_Toc113180389"/>
      <w:bookmarkStart w:id="856" w:name="_Toc114391764"/>
      <w:bookmarkStart w:id="857" w:name="_Toc115171741"/>
      <w:bookmarkStart w:id="858" w:name="_Toc118609143"/>
      <w:bookmarkStart w:id="859" w:name="_Toc119294102"/>
      <w:bookmarkStart w:id="860" w:name="_Toc123633195"/>
      <w:bookmarkStart w:id="861" w:name="_Toc123633282"/>
      <w:bookmarkStart w:id="862" w:name="_Toc127594639"/>
      <w:bookmarkStart w:id="863" w:name="_Toc155066802"/>
      <w:bookmarkStart w:id="864" w:name="_Toc155084700"/>
      <w:bookmarkStart w:id="865" w:name="_Toc166316642"/>
      <w:bookmarkStart w:id="866" w:name="_Toc169665141"/>
      <w:bookmarkStart w:id="867" w:name="_Toc169672019"/>
      <w:bookmarkStart w:id="868" w:name="_Toc171323207"/>
      <w:bookmarkStart w:id="869" w:name="_Toc172713671"/>
      <w:bookmarkStart w:id="870" w:name="_Toc172713964"/>
      <w:bookmarkStart w:id="871" w:name="_Toc173550875"/>
      <w:bookmarkStart w:id="872" w:name="_Toc173560588"/>
      <w:bookmarkStart w:id="873" w:name="_Toc178676595"/>
      <w:bookmarkStart w:id="874" w:name="_Toc178676875"/>
      <w:bookmarkStart w:id="875" w:name="_Toc178677072"/>
      <w:bookmarkStart w:id="876" w:name="_Toc178734886"/>
      <w:bookmarkStart w:id="877" w:name="_Toc178741345"/>
      <w:bookmarkStart w:id="878" w:name="_Toc179100285"/>
      <w:bookmarkStart w:id="879" w:name="_Toc179103251"/>
      <w:bookmarkStart w:id="880" w:name="_Toc179708633"/>
      <w:bookmarkStart w:id="881" w:name="_Toc179708739"/>
      <w:bookmarkStart w:id="882" w:name="_Toc185652748"/>
      <w:bookmarkStart w:id="883" w:name="_Toc185654453"/>
      <w:bookmarkStart w:id="884" w:name="_Toc196630686"/>
      <w:bookmarkStart w:id="885" w:name="_Toc197489586"/>
      <w:bookmarkStart w:id="886" w:name="_Toc197489657"/>
      <w:bookmarkStart w:id="887" w:name="_Toc197493324"/>
      <w:bookmarkStart w:id="888" w:name="_Toc201728698"/>
      <w:bookmarkStart w:id="889" w:name="_Toc201738256"/>
      <w:bookmarkStart w:id="890" w:name="_Toc201738326"/>
      <w:bookmarkStart w:id="891" w:name="_Toc201741264"/>
      <w:bookmarkStart w:id="892" w:name="_Toc201741455"/>
      <w:bookmarkStart w:id="893" w:name="_Toc202058821"/>
      <w:bookmarkStart w:id="894" w:name="_Toc202842900"/>
      <w:bookmarkStart w:id="895" w:name="_Toc212535054"/>
      <w:bookmarkStart w:id="896" w:name="_Toc212605405"/>
      <w:bookmarkStart w:id="897" w:name="_Toc212947106"/>
      <w:bookmarkStart w:id="898" w:name="_Toc213749828"/>
      <w:bookmarkStart w:id="899" w:name="_Toc231026186"/>
      <w:bookmarkStart w:id="900" w:name="_Toc231026257"/>
      <w:bookmarkStart w:id="901" w:name="_Toc231694210"/>
      <w:bookmarkStart w:id="902" w:name="_Toc233777100"/>
      <w:bookmarkStart w:id="903" w:name="_Toc234034473"/>
      <w:bookmarkStart w:id="904" w:name="_Toc234036701"/>
      <w:bookmarkStart w:id="905" w:name="_Toc236127829"/>
      <w:bookmarkStart w:id="906" w:name="_Toc246401794"/>
      <w:bookmarkStart w:id="907" w:name="_Toc246403944"/>
      <w:bookmarkStart w:id="908" w:name="_Toc249257450"/>
      <w:bookmarkStart w:id="909" w:name="_Toc251246186"/>
      <w:bookmarkStart w:id="910" w:name="_Toc255309762"/>
      <w:bookmarkStart w:id="911" w:name="_Toc259617855"/>
      <w:bookmarkStart w:id="912" w:name="_Toc260654291"/>
      <w:bookmarkStart w:id="913" w:name="_Toc262460753"/>
      <w:bookmarkStart w:id="914" w:name="_Toc262656769"/>
      <w:bookmarkStart w:id="915" w:name="_Toc262718311"/>
      <w:bookmarkStart w:id="916" w:name="_Toc262718756"/>
      <w:bookmarkStart w:id="917" w:name="_Toc263073555"/>
      <w:bookmarkStart w:id="918" w:name="_Toc264018307"/>
      <w:bookmarkStart w:id="919" w:name="_Toc272322668"/>
      <w:bookmarkStart w:id="920" w:name="_Toc272411024"/>
      <w:bookmarkStart w:id="921" w:name="_Toc272411095"/>
      <w:bookmarkStart w:id="922" w:name="_Toc275443544"/>
      <w:bookmarkStart w:id="923" w:name="_Toc279141667"/>
      <w:bookmarkStart w:id="924" w:name="_Toc281463893"/>
      <w:bookmarkStart w:id="925" w:name="_Toc292112293"/>
      <w:bookmarkStart w:id="926" w:name="_Toc292112364"/>
      <w:bookmarkStart w:id="927" w:name="_Toc294260094"/>
      <w:bookmarkStart w:id="928" w:name="_Toc294860735"/>
      <w:bookmarkStart w:id="929" w:name="_Toc298410639"/>
      <w:bookmarkStart w:id="930" w:name="_Toc300583793"/>
      <w:bookmarkStart w:id="931" w:name="_Toc300837729"/>
      <w:bookmarkStart w:id="932" w:name="_Toc300926172"/>
      <w:bookmarkStart w:id="933" w:name="_Toc301770417"/>
      <w:bookmarkStart w:id="934" w:name="_Toc302391556"/>
    </w:p>
    <w:p>
      <w:pPr>
        <w:pStyle w:val="yScheduleHeading"/>
      </w:pPr>
      <w:bookmarkStart w:id="935" w:name="_Toc303261625"/>
      <w:bookmarkStart w:id="936" w:name="_Toc303261709"/>
      <w:bookmarkStart w:id="937" w:name="_Toc303323207"/>
      <w:bookmarkStart w:id="938" w:name="_Toc303323524"/>
      <w:bookmarkStart w:id="939" w:name="_Toc303323608"/>
      <w:bookmarkStart w:id="940" w:name="_Toc303323692"/>
      <w:bookmarkStart w:id="941" w:name="_Toc303323776"/>
      <w:bookmarkStart w:id="942" w:name="_Toc303323860"/>
      <w:bookmarkStart w:id="943" w:name="_Toc303323944"/>
      <w:bookmarkStart w:id="944" w:name="_Toc303926990"/>
      <w:r>
        <w:rPr>
          <w:rStyle w:val="CharSchNo"/>
        </w:rPr>
        <w:t>Schedule 2</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p>
    <w:p>
      <w:pPr>
        <w:pStyle w:val="yShoulderClause"/>
        <w:spacing w:before="60"/>
        <w:rPr>
          <w:snapToGrid w:val="0"/>
        </w:rPr>
      </w:pPr>
      <w:r>
        <w:rPr>
          <w:snapToGrid w:val="0"/>
        </w:rPr>
        <w:t>[Regulation 13]</w:t>
      </w:r>
    </w:p>
    <w:p>
      <w:pPr>
        <w:pStyle w:val="yHeading2"/>
        <w:spacing w:before="120" w:after="80"/>
      </w:pPr>
      <w:bookmarkStart w:id="945" w:name="_Toc113176301"/>
      <w:bookmarkStart w:id="946" w:name="_Toc113180390"/>
      <w:bookmarkStart w:id="947" w:name="_Toc114391765"/>
      <w:bookmarkStart w:id="948" w:name="_Toc115171742"/>
      <w:bookmarkStart w:id="949" w:name="_Toc118609144"/>
      <w:bookmarkStart w:id="950" w:name="_Toc119294103"/>
      <w:bookmarkStart w:id="951" w:name="_Toc123633196"/>
      <w:bookmarkStart w:id="952" w:name="_Toc123633283"/>
      <w:bookmarkStart w:id="953" w:name="_Toc127594640"/>
      <w:bookmarkStart w:id="954" w:name="_Toc155066803"/>
      <w:bookmarkStart w:id="955" w:name="_Toc155084701"/>
      <w:bookmarkStart w:id="956" w:name="_Toc166316643"/>
      <w:bookmarkStart w:id="957" w:name="_Toc169665142"/>
      <w:bookmarkStart w:id="958" w:name="_Toc169672020"/>
      <w:bookmarkStart w:id="959" w:name="_Toc171323208"/>
      <w:bookmarkStart w:id="960" w:name="_Toc172713672"/>
      <w:bookmarkStart w:id="961" w:name="_Toc172713965"/>
      <w:bookmarkStart w:id="962" w:name="_Toc173550876"/>
      <w:bookmarkStart w:id="963" w:name="_Toc173560589"/>
      <w:bookmarkStart w:id="964" w:name="_Toc178676596"/>
      <w:bookmarkStart w:id="965" w:name="_Toc178676876"/>
      <w:bookmarkStart w:id="966" w:name="_Toc178677073"/>
      <w:bookmarkStart w:id="967" w:name="_Toc178734887"/>
      <w:bookmarkStart w:id="968" w:name="_Toc178741346"/>
      <w:bookmarkStart w:id="969" w:name="_Toc179100286"/>
      <w:bookmarkStart w:id="970" w:name="_Toc179103252"/>
      <w:bookmarkStart w:id="971" w:name="_Toc179708634"/>
      <w:bookmarkStart w:id="972" w:name="_Toc179708740"/>
      <w:bookmarkStart w:id="973" w:name="_Toc185652749"/>
      <w:bookmarkStart w:id="974" w:name="_Toc185654454"/>
      <w:bookmarkStart w:id="975" w:name="_Toc196630687"/>
      <w:bookmarkStart w:id="976" w:name="_Toc197489587"/>
      <w:bookmarkStart w:id="977" w:name="_Toc197489658"/>
      <w:bookmarkStart w:id="978" w:name="_Toc197493325"/>
      <w:bookmarkStart w:id="979" w:name="_Toc201728699"/>
      <w:bookmarkStart w:id="980" w:name="_Toc201738257"/>
      <w:bookmarkStart w:id="981" w:name="_Toc201738327"/>
      <w:bookmarkStart w:id="982" w:name="_Toc201741265"/>
      <w:bookmarkStart w:id="983" w:name="_Toc201741456"/>
      <w:bookmarkStart w:id="984" w:name="_Toc202058822"/>
      <w:bookmarkStart w:id="985" w:name="_Toc202842901"/>
      <w:bookmarkStart w:id="986" w:name="_Toc212535055"/>
      <w:bookmarkStart w:id="987" w:name="_Toc212605406"/>
      <w:bookmarkStart w:id="988" w:name="_Toc212947107"/>
      <w:bookmarkStart w:id="989" w:name="_Toc213749829"/>
      <w:bookmarkStart w:id="990" w:name="_Toc231026187"/>
      <w:bookmarkStart w:id="991" w:name="_Toc231026258"/>
      <w:bookmarkStart w:id="992" w:name="_Toc231694211"/>
      <w:bookmarkStart w:id="993" w:name="_Toc233777101"/>
      <w:bookmarkStart w:id="994" w:name="_Toc234034474"/>
      <w:bookmarkStart w:id="995" w:name="_Toc234036702"/>
      <w:bookmarkStart w:id="996" w:name="_Toc236127830"/>
      <w:bookmarkStart w:id="997" w:name="_Toc246401795"/>
      <w:bookmarkStart w:id="998" w:name="_Toc246403945"/>
      <w:bookmarkStart w:id="999" w:name="_Toc249257451"/>
      <w:bookmarkStart w:id="1000" w:name="_Toc251246187"/>
      <w:bookmarkStart w:id="1001" w:name="_Toc255309763"/>
      <w:bookmarkStart w:id="1002" w:name="_Toc259617856"/>
      <w:bookmarkStart w:id="1003" w:name="_Toc260654292"/>
      <w:bookmarkStart w:id="1004" w:name="_Toc262460754"/>
      <w:bookmarkStart w:id="1005" w:name="_Toc262656770"/>
      <w:bookmarkStart w:id="1006" w:name="_Toc262718312"/>
      <w:bookmarkStart w:id="1007" w:name="_Toc262718757"/>
      <w:bookmarkStart w:id="1008" w:name="_Toc263073556"/>
      <w:bookmarkStart w:id="1009" w:name="_Toc264018308"/>
      <w:bookmarkStart w:id="1010" w:name="_Toc272322669"/>
      <w:bookmarkStart w:id="1011" w:name="_Toc272411025"/>
      <w:bookmarkStart w:id="1012" w:name="_Toc272411096"/>
      <w:bookmarkStart w:id="1013" w:name="_Toc275443545"/>
      <w:bookmarkStart w:id="1014" w:name="_Toc279141668"/>
      <w:bookmarkStart w:id="1015" w:name="_Toc281463894"/>
      <w:bookmarkStart w:id="1016" w:name="_Toc292112294"/>
      <w:bookmarkStart w:id="1017" w:name="_Toc292112365"/>
      <w:bookmarkStart w:id="1018" w:name="_Toc294260095"/>
      <w:bookmarkStart w:id="1019" w:name="_Toc294860736"/>
      <w:bookmarkStart w:id="1020" w:name="_Toc298410640"/>
      <w:bookmarkStart w:id="1021" w:name="_Toc300583794"/>
      <w:bookmarkStart w:id="1022" w:name="_Toc300837730"/>
      <w:bookmarkStart w:id="1023" w:name="_Toc300926173"/>
      <w:bookmarkStart w:id="1024" w:name="_Toc301770418"/>
      <w:bookmarkStart w:id="1025" w:name="_Toc302391557"/>
      <w:bookmarkStart w:id="1026" w:name="_Toc303261626"/>
      <w:bookmarkStart w:id="1027" w:name="_Toc303261710"/>
      <w:bookmarkStart w:id="1028" w:name="_Toc303323208"/>
      <w:bookmarkStart w:id="1029" w:name="_Toc303323525"/>
      <w:bookmarkStart w:id="1030" w:name="_Toc303323609"/>
      <w:bookmarkStart w:id="1031" w:name="_Toc303323693"/>
      <w:bookmarkStart w:id="1032" w:name="_Toc303323777"/>
      <w:bookmarkStart w:id="1033" w:name="_Toc303323861"/>
      <w:bookmarkStart w:id="1034" w:name="_Toc303323945"/>
      <w:bookmarkStart w:id="1035" w:name="_Toc303926991"/>
      <w:r>
        <w:rPr>
          <w:rStyle w:val="CharSchText"/>
        </w:rPr>
        <w:t>Details of applicant</w:t>
      </w:r>
      <w:bookmarkEnd w:id="945"/>
      <w:bookmarkEnd w:id="946"/>
      <w:bookmarkEnd w:id="947"/>
      <w:bookmarkEnd w:id="948"/>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p>
    <w:tbl>
      <w:tblPr>
        <w:tblW w:w="0" w:type="auto"/>
        <w:tblLayout w:type="fixed"/>
        <w:tblCellMar>
          <w:left w:w="28" w:type="dxa"/>
          <w:right w:w="28" w:type="dxa"/>
        </w:tblCellMar>
        <w:tblLook w:val="0000" w:firstRow="0" w:lastRow="0" w:firstColumn="0" w:lastColumn="0" w:noHBand="0" w:noVBand="0"/>
      </w:tblPr>
      <w:tblGrid>
        <w:gridCol w:w="567"/>
        <w:gridCol w:w="2296"/>
        <w:gridCol w:w="4253"/>
      </w:tblGrid>
      <w:tr>
        <w:trPr>
          <w:tblHeader/>
        </w:trPr>
        <w:tc>
          <w:tcPr>
            <w:tcW w:w="567" w:type="dxa"/>
            <w:tcBorders>
              <w:top w:val="single" w:sz="4" w:space="0" w:color="auto"/>
              <w:bottom w:val="single" w:sz="4" w:space="0" w:color="auto"/>
            </w:tcBorders>
          </w:tcPr>
          <w:p>
            <w:pPr>
              <w:pStyle w:val="yTableNAm"/>
              <w:spacing w:before="60" w:after="60"/>
              <w:rPr>
                <w:b/>
                <w:bCs/>
              </w:rPr>
            </w:pPr>
            <w:r>
              <w:rPr>
                <w:b/>
                <w:bCs/>
              </w:rPr>
              <w:t>Item</w:t>
            </w:r>
          </w:p>
        </w:tc>
        <w:tc>
          <w:tcPr>
            <w:tcW w:w="2296" w:type="dxa"/>
            <w:tcBorders>
              <w:top w:val="single" w:sz="4" w:space="0" w:color="auto"/>
              <w:bottom w:val="single" w:sz="4" w:space="0" w:color="auto"/>
            </w:tcBorders>
          </w:tcPr>
          <w:p>
            <w:pPr>
              <w:pStyle w:val="yTableNAm"/>
              <w:spacing w:before="60" w:after="60"/>
              <w:rPr>
                <w:b/>
                <w:bCs/>
              </w:rPr>
            </w:pPr>
            <w:r>
              <w:rPr>
                <w:b/>
                <w:bCs/>
              </w:rPr>
              <w:t>Category of applicant</w:t>
            </w:r>
          </w:p>
        </w:tc>
        <w:tc>
          <w:tcPr>
            <w:tcW w:w="4253" w:type="dxa"/>
            <w:tcBorders>
              <w:top w:val="single" w:sz="4" w:space="0" w:color="auto"/>
              <w:bottom w:val="single" w:sz="4" w:space="0" w:color="auto"/>
            </w:tcBorders>
          </w:tcPr>
          <w:p>
            <w:pPr>
              <w:pStyle w:val="yTableNAm"/>
              <w:spacing w:before="60" w:after="60"/>
              <w:jc w:val="center"/>
              <w:rPr>
                <w:b/>
                <w:bCs/>
              </w:rPr>
            </w:pPr>
            <w:r>
              <w:rPr>
                <w:b/>
                <w:bCs/>
              </w:rPr>
              <w:t>Details to be provided</w:t>
            </w:r>
          </w:p>
        </w:tc>
      </w:tr>
      <w:tr>
        <w:tc>
          <w:tcPr>
            <w:tcW w:w="567" w:type="dxa"/>
          </w:tcPr>
          <w:p>
            <w:pPr>
              <w:pStyle w:val="yTableNAm"/>
              <w:rPr>
                <w:sz w:val="20"/>
              </w:rPr>
            </w:pPr>
            <w:r>
              <w:rPr>
                <w:sz w:val="20"/>
              </w:rPr>
              <w:t>1.</w:t>
            </w:r>
          </w:p>
        </w:tc>
        <w:tc>
          <w:tcPr>
            <w:tcW w:w="2296" w:type="dxa"/>
          </w:tcPr>
          <w:p>
            <w:pPr>
              <w:pStyle w:val="yTableNAm"/>
              <w:rPr>
                <w:sz w:val="20"/>
              </w:rPr>
            </w:pPr>
            <w:r>
              <w:rPr>
                <w:sz w:val="20"/>
              </w:rPr>
              <w:t>Natural person ..................</w:t>
            </w:r>
          </w:p>
        </w:tc>
        <w:tc>
          <w:tcPr>
            <w:tcW w:w="4253" w:type="dxa"/>
          </w:tcPr>
          <w:p>
            <w:pPr>
              <w:pStyle w:val="yTableNAm"/>
              <w:tabs>
                <w:tab w:val="clear" w:pos="567"/>
                <w:tab w:val="left" w:pos="497"/>
                <w:tab w:val="left" w:pos="857"/>
              </w:tabs>
              <w:ind w:left="497" w:hanging="497"/>
              <w:rPr>
                <w:sz w:val="20"/>
                <w:lang w:val="en-US"/>
              </w:rPr>
            </w:pPr>
            <w:r>
              <w:rPr>
                <w:sz w:val="20"/>
              </w:rPr>
              <w:t>(a)</w:t>
            </w:r>
            <w:r>
              <w:rPr>
                <w:sz w:val="20"/>
              </w:rPr>
              <w:tab/>
              <w:t>full name;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any other name used now or previously;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present residential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any other residential address in the past 5 years, including dates of each change of address;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date and place of birth;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(f)</w:t>
            </w:r>
            <w:r>
              <w:rPr>
                <w:sz w:val="20"/>
              </w:rPr>
              <w:tab/>
              <w:t>citizenship;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(g)</w:t>
            </w:r>
            <w:r>
              <w:rPr>
                <w:sz w:val="20"/>
              </w:rPr>
              <w:tab/>
              <w:t>if the applicant has a spouse or de facto partner who will assist in the conduct of business under the licence, the full name and date of birth of the spouse or de facto partner;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present occupation, and name and address of employer;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i/>
                <w:iCs/>
                <w:sz w:val="20"/>
              </w:rPr>
            </w:pPr>
            <w:r>
              <w:rPr>
                <w:i/>
                <w:iCs/>
                <w:sz w:val="20"/>
              </w:rPr>
              <w:t>[(j)</w:t>
            </w:r>
            <w:r>
              <w:rPr>
                <w:i/>
                <w:iCs/>
                <w:sz w:val="20"/>
              </w:rPr>
              <w:tab/>
              <w:t>deleted]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(k)</w:t>
            </w:r>
            <w:r>
              <w:rPr>
                <w:sz w:val="20"/>
              </w:rPr>
              <w:tab/>
              <w:t>licences relating to the sale of liquor held in the State or elsewhere, the name and address of premises to which any such licence relates or related and the period during which the licence is or was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(m)</w:t>
            </w:r>
            <w:r>
              <w:rPr>
                <w:sz w:val="20"/>
              </w:rPr>
              <w:tab/>
              <w:t>any other involvement in the operation of licences relating to the sale of liquor in the State or elsewhere;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(n)</w:t>
            </w:r>
            <w:r>
              <w:rPr>
                <w:sz w:val="20"/>
              </w:rPr>
              <w:tab/>
              <w:t>any position of authority held in a body corporate concerned with the proposed licence and a description of the position held;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(o)</w:t>
            </w:r>
            <w:r>
              <w:rPr>
                <w:sz w:val="20"/>
              </w:rPr>
              <w:tab/>
              <w:t>the number and nature of any convictions of that person for offences in any jurisdiction;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(p)</w:t>
            </w:r>
            <w:r>
              <w:rPr>
                <w:sz w:val="20"/>
              </w:rPr>
              <w:tab/>
              <w:t xml:space="preserve">any proceedings relating to insolvency under administration, within the meaning of the </w:t>
            </w:r>
            <w:r>
              <w:rPr>
                <w:i/>
                <w:sz w:val="20"/>
              </w:rPr>
              <w:t>Corporations Act 2001</w:t>
            </w:r>
            <w:r>
              <w:rPr>
                <w:sz w:val="20"/>
              </w:rPr>
              <w:t xml:space="preserve"> of the Commonwealth, in respect of the person or any such proceedings, or applications in respect of any such proceedings, pending in respect of the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(q)</w:t>
            </w:r>
            <w:r>
              <w:rPr>
                <w:sz w:val="20"/>
              </w:rPr>
              <w:tab/>
              <w:t xml:space="preserve">any external administration, within the meaning of the </w:t>
            </w:r>
            <w:r>
              <w:rPr>
                <w:i/>
                <w:sz w:val="20"/>
              </w:rPr>
              <w:t>Corporations Act 2001</w:t>
            </w:r>
            <w:r>
              <w:rPr>
                <w:sz w:val="20"/>
              </w:rPr>
              <w:t xml:space="preserve"> of the Commonwealth, of any corporation of which the person is —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a director; or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where the corporation is a proprietary company, a shareholder,</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ab/>
              <w:t>or any such administration pending.</w:t>
            </w:r>
          </w:p>
        </w:tc>
      </w:tr>
      <w:tr>
        <w:tc>
          <w:tcPr>
            <w:tcW w:w="567" w:type="dxa"/>
          </w:tcPr>
          <w:p>
            <w:pPr>
              <w:pStyle w:val="yTableNAm"/>
              <w:rPr>
                <w:sz w:val="20"/>
              </w:rPr>
            </w:pPr>
            <w:r>
              <w:rPr>
                <w:sz w:val="20"/>
              </w:rPr>
              <w:t>2.</w:t>
            </w:r>
          </w:p>
        </w:tc>
        <w:tc>
          <w:tcPr>
            <w:tcW w:w="2296" w:type="dxa"/>
          </w:tcPr>
          <w:p>
            <w:pPr>
              <w:pStyle w:val="yTableNAm"/>
              <w:rPr>
                <w:sz w:val="20"/>
              </w:rPr>
            </w:pPr>
            <w:r>
              <w:rPr>
                <w:sz w:val="20"/>
              </w:rPr>
              <w:t>Company ..........................</w:t>
            </w:r>
          </w:p>
        </w:tc>
        <w:tc>
          <w:tcPr>
            <w:tcW w:w="4253" w:type="dxa"/>
          </w:tcPr>
          <w:p>
            <w:pPr>
              <w:pStyle w:val="yTableNAm"/>
              <w:tabs>
                <w:tab w:val="clear" w:pos="567"/>
                <w:tab w:val="left" w:pos="497"/>
                <w:tab w:val="left" w:pos="857"/>
              </w:tabs>
              <w:ind w:left="497" w:hanging="497"/>
              <w:rPr>
                <w:sz w:val="20"/>
              </w:rPr>
            </w:pPr>
            <w:r>
              <w:rPr>
                <w:sz w:val="20"/>
              </w:rPr>
              <w:t>(a)</w:t>
            </w:r>
            <w:r>
              <w:rPr>
                <w:sz w:val="20"/>
              </w:rPr>
              <w:tab/>
              <w:t>full name, registered office and address for service of documents;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(b)</w:t>
            </w:r>
            <w:r>
              <w:rPr>
                <w:sz w:val="20"/>
              </w:rPr>
              <w:tab/>
              <w:t>date and place of incorporation, including a copy of the certificate of incorporation;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(c)</w:t>
            </w:r>
            <w:r>
              <w:rPr>
                <w:sz w:val="20"/>
              </w:rPr>
              <w:tab/>
              <w:t>any change of the company name during the past 2 years, including the date of any such change of name;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(d)</w:t>
            </w:r>
            <w:r>
              <w:rPr>
                <w:sz w:val="20"/>
              </w:rPr>
              <w:tab/>
              <w:t>a list of directors;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(e)</w:t>
            </w:r>
            <w:r>
              <w:rPr>
                <w:sz w:val="20"/>
              </w:rPr>
              <w:tab/>
              <w:t>in respect of each director, the details set out in item 1;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(f)</w:t>
            </w:r>
            <w:r>
              <w:rPr>
                <w:sz w:val="20"/>
              </w:rPr>
              <w:tab/>
              <w:t>in the case of a proprietary company —</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w:t>
            </w:r>
            <w:r>
              <w:rPr>
                <w:sz w:val="20"/>
              </w:rPr>
              <w:tab/>
              <w:t>the full name, residential address and date of birth of each shareholder who is a natural person; 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1217" w:hanging="1134"/>
              <w:rPr>
                <w:sz w:val="20"/>
              </w:rPr>
            </w:pPr>
            <w:r>
              <w:rPr>
                <w:sz w:val="20"/>
              </w:rPr>
              <w:tab/>
            </w:r>
            <w:r>
              <w:rPr>
                <w:sz w:val="20"/>
              </w:rPr>
              <w:tab/>
              <w:t>(ii)</w:t>
            </w:r>
            <w:r>
              <w:rPr>
                <w:sz w:val="20"/>
              </w:rPr>
              <w:tab/>
              <w:t xml:space="preserve">the full name, date and place of incorporation of each shareholder that is a body corporate; </w:t>
            </w:r>
          </w:p>
          <w:p>
            <w:pPr>
              <w:pStyle w:val="yTableNAm"/>
              <w:tabs>
                <w:tab w:val="clear" w:pos="567"/>
                <w:tab w:val="left" w:pos="497"/>
                <w:tab w:val="left" w:pos="857"/>
              </w:tabs>
              <w:spacing w:before="100"/>
              <w:ind w:left="1217" w:hanging="1134"/>
              <w:rPr>
                <w:sz w:val="20"/>
              </w:rPr>
            </w:pPr>
            <w:r>
              <w:rPr>
                <w:sz w:val="20"/>
              </w:rPr>
              <w:tab/>
              <w:t>and</w:t>
            </w:r>
          </w:p>
        </w:tc>
      </w:tr>
      <w:tr>
        <w:tc>
          <w:tcPr>
            <w:tcW w:w="567" w:type="dxa"/>
          </w:tcPr>
          <w:p>
            <w:pPr>
              <w:pStyle w:val="yTableNAm"/>
              <w:spacing w:before="100"/>
              <w:rPr>
                <w:sz w:val="20"/>
              </w:rPr>
            </w:pPr>
          </w:p>
        </w:tc>
        <w:tc>
          <w:tcPr>
            <w:tcW w:w="2296" w:type="dxa"/>
          </w:tcPr>
          <w:p>
            <w:pPr>
              <w:pStyle w:val="yTableNAm"/>
              <w:spacing w:before="100"/>
              <w:rPr>
                <w:sz w:val="20"/>
              </w:rPr>
            </w:pPr>
          </w:p>
        </w:tc>
        <w:tc>
          <w:tcPr>
            <w:tcW w:w="4253" w:type="dxa"/>
          </w:tcPr>
          <w:p>
            <w:pPr>
              <w:pStyle w:val="yTableNAm"/>
              <w:tabs>
                <w:tab w:val="clear" w:pos="567"/>
                <w:tab w:val="left" w:pos="497"/>
                <w:tab w:val="left" w:pos="857"/>
              </w:tabs>
              <w:spacing w:before="100"/>
              <w:ind w:left="497" w:hanging="497"/>
              <w:rPr>
                <w:sz w:val="20"/>
              </w:rPr>
            </w:pPr>
            <w:r>
              <w:rPr>
                <w:sz w:val="20"/>
              </w:rPr>
              <w:t>(g)</w:t>
            </w:r>
            <w:r>
              <w:rPr>
                <w:sz w:val="20"/>
              </w:rPr>
              <w:tab/>
              <w:t>any liquidation, receivership or official management in force or pending in respect of the company;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(h)</w:t>
            </w:r>
            <w:r>
              <w:rPr>
                <w:sz w:val="20"/>
              </w:rPr>
              <w:tab/>
              <w:t>the full name, date and place of incorporation of any related body corporate, and the nature of the relationship;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(j)</w:t>
            </w:r>
            <w:r>
              <w:rPr>
                <w:sz w:val="20"/>
              </w:rPr>
              <w:tab/>
              <w:t>in respect to any person sought to be approved as manager, the details set out in the third column of item 1.</w:t>
            </w:r>
          </w:p>
        </w:tc>
      </w:tr>
      <w:tr>
        <w:tc>
          <w:tcPr>
            <w:tcW w:w="567" w:type="dxa"/>
          </w:tcPr>
          <w:p>
            <w:pPr>
              <w:pStyle w:val="yTableNAm"/>
              <w:rPr>
                <w:sz w:val="20"/>
              </w:rPr>
            </w:pPr>
            <w:r>
              <w:rPr>
                <w:sz w:val="20"/>
              </w:rPr>
              <w:t>3.</w:t>
            </w:r>
          </w:p>
        </w:tc>
        <w:tc>
          <w:tcPr>
            <w:tcW w:w="2296" w:type="dxa"/>
          </w:tcPr>
          <w:p>
            <w:pPr>
              <w:pStyle w:val="yTableNAm"/>
              <w:rPr>
                <w:sz w:val="20"/>
              </w:rPr>
            </w:pPr>
            <w:r>
              <w:rPr>
                <w:sz w:val="20"/>
              </w:rPr>
              <w:t>Club or other body of persons .............................</w:t>
            </w:r>
          </w:p>
        </w:tc>
        <w:tc>
          <w:tcPr>
            <w:tcW w:w="4253" w:type="dxa"/>
          </w:tcPr>
          <w:p>
            <w:pPr>
              <w:pStyle w:val="yTableNAm"/>
              <w:tabs>
                <w:tab w:val="clear" w:pos="567"/>
                <w:tab w:val="left" w:pos="497"/>
                <w:tab w:val="left" w:pos="857"/>
              </w:tabs>
              <w:ind w:left="497" w:hanging="497"/>
              <w:rPr>
                <w:sz w:val="20"/>
              </w:rPr>
            </w:pPr>
          </w:p>
          <w:p>
            <w:pPr>
              <w:pStyle w:val="yTableNAm"/>
              <w:tabs>
                <w:tab w:val="clear" w:pos="567"/>
                <w:tab w:val="left" w:pos="497"/>
                <w:tab w:val="left" w:pos="857"/>
              </w:tabs>
              <w:spacing w:before="40"/>
              <w:ind w:left="499" w:hanging="499"/>
              <w:rPr>
                <w:sz w:val="20"/>
              </w:rPr>
            </w:pPr>
            <w:r>
              <w:rPr>
                <w:sz w:val="20"/>
              </w:rPr>
              <w:t>(a)</w:t>
            </w:r>
            <w:r>
              <w:rPr>
                <w:sz w:val="20"/>
              </w:rPr>
              <w:tab/>
              <w:t>full name and address for service of documents;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(b)</w:t>
            </w:r>
            <w:r>
              <w:rPr>
                <w:sz w:val="20"/>
              </w:rPr>
              <w:tab/>
              <w:t>date and place of formation;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(c)</w:t>
            </w:r>
            <w:r>
              <w:rPr>
                <w:sz w:val="20"/>
              </w:rPr>
              <w:tab/>
              <w:t>any change of name in the past 2 years;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(d)</w:t>
            </w:r>
            <w:r>
              <w:rPr>
                <w:sz w:val="20"/>
              </w:rPr>
              <w:tab/>
              <w:t>if incorporated, the date and place of incorporation, including a copy of the certificate of incorporation; and</w:t>
            </w:r>
          </w:p>
        </w:tc>
      </w:tr>
      <w:tr>
        <w:tc>
          <w:tcPr>
            <w:tcW w:w="567" w:type="dxa"/>
          </w:tcPr>
          <w:p>
            <w:pPr>
              <w:pStyle w:val="yTableNAm"/>
              <w:rPr>
                <w:sz w:val="20"/>
              </w:rPr>
            </w:pPr>
          </w:p>
        </w:tc>
        <w:tc>
          <w:tcPr>
            <w:tcW w:w="2296" w:type="dxa"/>
          </w:tcPr>
          <w:p>
            <w:pPr>
              <w:pStyle w:val="yTableNAm"/>
              <w:rPr>
                <w:sz w:val="20"/>
              </w:rPr>
            </w:pPr>
          </w:p>
        </w:tc>
        <w:tc>
          <w:tcPr>
            <w:tcW w:w="4253" w:type="dxa"/>
          </w:tcPr>
          <w:p>
            <w:pPr>
              <w:pStyle w:val="yTableNAm"/>
              <w:tabs>
                <w:tab w:val="clear" w:pos="567"/>
                <w:tab w:val="left" w:pos="497"/>
                <w:tab w:val="left" w:pos="857"/>
              </w:tabs>
              <w:ind w:left="497" w:hanging="497"/>
              <w:rPr>
                <w:sz w:val="20"/>
              </w:rPr>
            </w:pPr>
            <w:r>
              <w:rPr>
                <w:sz w:val="20"/>
              </w:rPr>
              <w:t>(e)</w:t>
            </w:r>
            <w:r>
              <w:rPr>
                <w:sz w:val="20"/>
              </w:rPr>
              <w:tab/>
              <w:t>the full name of, residential address of, and office held by, any trustee or office bearer and the date of that person’s appointment or election as the case may be; and</w:t>
            </w:r>
          </w:p>
        </w:tc>
      </w:tr>
      <w:tr>
        <w:tc>
          <w:tcPr>
            <w:tcW w:w="567" w:type="dxa"/>
            <w:tcBorders>
              <w:bottom w:val="single" w:sz="4" w:space="0" w:color="auto"/>
            </w:tcBorders>
          </w:tcPr>
          <w:p>
            <w:pPr>
              <w:pStyle w:val="yTableNAm"/>
              <w:rPr>
                <w:sz w:val="20"/>
              </w:rPr>
            </w:pPr>
          </w:p>
        </w:tc>
        <w:tc>
          <w:tcPr>
            <w:tcW w:w="2296" w:type="dxa"/>
            <w:tcBorders>
              <w:bottom w:val="single" w:sz="4" w:space="0" w:color="auto"/>
            </w:tcBorders>
          </w:tcPr>
          <w:p>
            <w:pPr>
              <w:pStyle w:val="yTableNAm"/>
              <w:rPr>
                <w:sz w:val="20"/>
              </w:rPr>
            </w:pPr>
          </w:p>
        </w:tc>
        <w:tc>
          <w:tcPr>
            <w:tcW w:w="4253" w:type="dxa"/>
            <w:tcBorders>
              <w:bottom w:val="single" w:sz="4" w:space="0" w:color="auto"/>
            </w:tcBorders>
          </w:tcPr>
          <w:p>
            <w:pPr>
              <w:pStyle w:val="yTableNAm"/>
              <w:tabs>
                <w:tab w:val="clear" w:pos="567"/>
                <w:tab w:val="left" w:pos="497"/>
                <w:tab w:val="left" w:pos="857"/>
              </w:tabs>
              <w:ind w:left="497" w:hanging="497"/>
              <w:rPr>
                <w:sz w:val="20"/>
              </w:rPr>
            </w:pPr>
            <w:r>
              <w:rPr>
                <w:sz w:val="20"/>
              </w:rPr>
              <w:t>(f)</w:t>
            </w:r>
            <w:r>
              <w:rPr>
                <w:sz w:val="20"/>
              </w:rPr>
              <w:tab/>
              <w:t>in respect of any person sought to be approved as manager, the details set out in the third column of item 1.</w:t>
            </w:r>
          </w:p>
        </w:tc>
      </w:tr>
    </w:tbl>
    <w:p>
      <w:pPr>
        <w:pStyle w:val="yFootnotesection"/>
      </w:pPr>
      <w:r>
        <w:tab/>
        <w:t>[Schedule 2 amended in Gazette 22 May 1998 p. 2944; 6 Oct 1998 p. 5567; 28 Sep 2001 p. 5357</w:t>
      </w:r>
      <w:r>
        <w:noBreakHyphen/>
        <w:t>8; 30 Jun 2003 p. 2612; 24 Oct 2008 p. 4683</w:t>
      </w:r>
      <w:r>
        <w:noBreakHyphen/>
        <w:t>4.]</w:t>
      </w:r>
    </w:p>
    <w:p>
      <w:pPr>
        <w:pStyle w:val="yScheduleHeading"/>
      </w:pPr>
      <w:bookmarkStart w:id="1036" w:name="_Toc281463895"/>
      <w:bookmarkStart w:id="1037" w:name="_Toc292112295"/>
      <w:bookmarkStart w:id="1038" w:name="_Toc292112366"/>
      <w:bookmarkStart w:id="1039" w:name="_Toc294260096"/>
      <w:bookmarkStart w:id="1040" w:name="_Toc294860737"/>
      <w:bookmarkStart w:id="1041" w:name="_Toc298410641"/>
      <w:bookmarkStart w:id="1042" w:name="_Toc300583795"/>
      <w:bookmarkStart w:id="1043" w:name="_Toc300837731"/>
      <w:bookmarkStart w:id="1044" w:name="_Toc300926174"/>
      <w:bookmarkStart w:id="1045" w:name="_Toc301770419"/>
      <w:bookmarkStart w:id="1046" w:name="_Toc302391558"/>
      <w:bookmarkStart w:id="1047" w:name="_Toc303261627"/>
      <w:bookmarkStart w:id="1048" w:name="_Toc303261711"/>
      <w:bookmarkStart w:id="1049" w:name="_Toc303323209"/>
      <w:bookmarkStart w:id="1050" w:name="_Toc303323526"/>
      <w:bookmarkStart w:id="1051" w:name="_Toc303323610"/>
      <w:bookmarkStart w:id="1052" w:name="_Toc303323694"/>
      <w:bookmarkStart w:id="1053" w:name="_Toc303323778"/>
      <w:bookmarkStart w:id="1054" w:name="_Toc303323862"/>
      <w:bookmarkStart w:id="1055" w:name="_Toc303323946"/>
      <w:bookmarkStart w:id="1056" w:name="_Toc303926992"/>
      <w:r>
        <w:rPr>
          <w:rStyle w:val="CharSchNo"/>
        </w:rPr>
        <w:t>Schedule 3</w:t>
      </w:r>
      <w:r>
        <w:t> — </w:t>
      </w:r>
      <w:r>
        <w:rPr>
          <w:rStyle w:val="CharSchText"/>
        </w:rPr>
        <w:t>Fees</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p>
    <w:p>
      <w:pPr>
        <w:pStyle w:val="yShoulderClause"/>
      </w:pPr>
      <w:r>
        <w:t>[r. 11, 18B and 26]</w:t>
      </w:r>
    </w:p>
    <w:p>
      <w:pPr>
        <w:pStyle w:val="yFootnoteheading"/>
        <w:spacing w:after="60"/>
      </w:pPr>
      <w:r>
        <w:tab/>
        <w:t>[Heading inserted in Gazette 19 Nov 2010 p. 5744.]</w:t>
      </w:r>
    </w:p>
    <w:tbl>
      <w:tblPr>
        <w:tblW w:w="7140" w:type="dxa"/>
        <w:tblInd w:w="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4" w:type="dxa"/>
          <w:right w:w="74" w:type="dxa"/>
        </w:tblCellMar>
        <w:tblLook w:val="0000" w:firstRow="0" w:lastRow="0" w:firstColumn="0" w:lastColumn="0" w:noHBand="0" w:noVBand="0"/>
      </w:tblPr>
      <w:tblGrid>
        <w:gridCol w:w="798"/>
        <w:gridCol w:w="4159"/>
        <w:gridCol w:w="811"/>
        <w:gridCol w:w="1372"/>
      </w:tblGrid>
      <w:tr>
        <w:trPr>
          <w:tblHeader/>
        </w:trPr>
        <w:tc>
          <w:tcPr>
            <w:tcW w:w="798" w:type="dxa"/>
            <w:tcBorders>
              <w:left w:val="single" w:sz="4" w:space="0" w:color="auto"/>
              <w:bottom w:val="single" w:sz="4" w:space="0" w:color="auto"/>
            </w:tcBorders>
          </w:tcPr>
          <w:p>
            <w:pPr>
              <w:pStyle w:val="yTableNAm"/>
              <w:jc w:val="center"/>
              <w:rPr>
                <w:b/>
                <w:bCs/>
              </w:rPr>
            </w:pPr>
            <w:r>
              <w:rPr>
                <w:b/>
                <w:bCs/>
              </w:rPr>
              <w:t>Item</w:t>
            </w:r>
          </w:p>
          <w:p>
            <w:pPr>
              <w:tabs>
                <w:tab w:val="left" w:pos="567"/>
              </w:tabs>
            </w:pPr>
            <w:r>
              <w:tab/>
            </w:r>
          </w:p>
        </w:tc>
        <w:tc>
          <w:tcPr>
            <w:tcW w:w="4159" w:type="dxa"/>
          </w:tcPr>
          <w:p>
            <w:pPr>
              <w:pStyle w:val="yTableNAm"/>
              <w:tabs>
                <w:tab w:val="left" w:leader="dot" w:pos="3969"/>
              </w:tabs>
              <w:jc w:val="center"/>
              <w:rPr>
                <w:b/>
                <w:bCs/>
              </w:rPr>
            </w:pPr>
            <w:r>
              <w:rPr>
                <w:b/>
                <w:bCs/>
              </w:rPr>
              <w:t>Description</w:t>
            </w:r>
          </w:p>
        </w:tc>
        <w:tc>
          <w:tcPr>
            <w:tcW w:w="811" w:type="dxa"/>
          </w:tcPr>
          <w:p>
            <w:pPr>
              <w:pStyle w:val="yTableNAm"/>
              <w:jc w:val="center"/>
              <w:rPr>
                <w:b/>
                <w:bCs/>
              </w:rPr>
            </w:pPr>
            <w:r>
              <w:rPr>
                <w:b/>
                <w:bCs/>
              </w:rPr>
              <w:t>Fee</w:t>
            </w:r>
            <w:r>
              <w:rPr>
                <w:b/>
                <w:bCs/>
              </w:rPr>
              <w:br/>
              <w:t>$</w:t>
            </w:r>
          </w:p>
        </w:tc>
        <w:tc>
          <w:tcPr>
            <w:tcW w:w="1372" w:type="dxa"/>
            <w:tcBorders>
              <w:right w:val="single" w:sz="4" w:space="0" w:color="auto"/>
            </w:tcBorders>
          </w:tcPr>
          <w:p>
            <w:pPr>
              <w:pStyle w:val="yTableNAm"/>
              <w:ind w:right="152"/>
              <w:jc w:val="center"/>
              <w:rPr>
                <w:b/>
                <w:bCs/>
              </w:rPr>
            </w:pPr>
            <w:r>
              <w:rPr>
                <w:b/>
                <w:bCs/>
              </w:rPr>
              <w:t>Electronic lodgment fee</w:t>
            </w:r>
            <w:r>
              <w:rPr>
                <w:b/>
                <w:bCs/>
              </w:rPr>
              <w:br/>
              <w:t>$</w:t>
            </w:r>
          </w:p>
        </w:tc>
      </w:tr>
      <w:tr>
        <w:trPr>
          <w:cantSplit/>
        </w:trPr>
        <w:tc>
          <w:tcPr>
            <w:tcW w:w="798" w:type="dxa"/>
            <w:tcBorders>
              <w:left w:val="single" w:sz="4" w:space="0" w:color="auto"/>
              <w:bottom w:val="single" w:sz="4" w:space="0" w:color="auto"/>
              <w:right w:val="single" w:sz="4" w:space="0" w:color="auto"/>
            </w:tcBorders>
          </w:tcPr>
          <w:p>
            <w:pPr>
              <w:pStyle w:val="yTableNAm"/>
            </w:pPr>
            <w:r>
              <w:t>1.</w:t>
            </w:r>
          </w:p>
        </w:tc>
        <w:tc>
          <w:tcPr>
            <w:tcW w:w="4159" w:type="dxa"/>
            <w:tcBorders>
              <w:left w:val="single" w:sz="4" w:space="0" w:color="auto"/>
            </w:tcBorders>
          </w:tcPr>
          <w:p>
            <w:pPr>
              <w:pStyle w:val="yTableNAm"/>
              <w:tabs>
                <w:tab w:val="left" w:leader="dot" w:pos="3969"/>
              </w:tabs>
            </w:pPr>
            <w:r>
              <w:t xml:space="preserve">Application for the grant or removal of a hotel licence, nightclub licence, casino liquor licence, special facility licence or liquor store licence </w:t>
            </w:r>
            <w:r>
              <w:tab/>
            </w:r>
          </w:p>
        </w:tc>
        <w:tc>
          <w:tcPr>
            <w:tcW w:w="811" w:type="dxa"/>
          </w:tcPr>
          <w:p>
            <w:pPr>
              <w:pStyle w:val="yTableNAm"/>
              <w:jc w:val="center"/>
            </w:pPr>
            <w:r>
              <w:br/>
            </w:r>
            <w:r>
              <w:br/>
            </w:r>
            <w:r>
              <w:br/>
              <w:t>2 810</w:t>
            </w:r>
          </w:p>
        </w:tc>
        <w:tc>
          <w:tcPr>
            <w:tcW w:w="1372" w:type="dxa"/>
            <w:tcBorders>
              <w:right w:val="single" w:sz="4" w:space="0" w:color="auto"/>
            </w:tcBorders>
          </w:tcPr>
          <w:p>
            <w:pPr>
              <w:pStyle w:val="yTableNAm"/>
              <w:ind w:right="152"/>
              <w:jc w:val="center"/>
            </w:pPr>
            <w:r>
              <w:br/>
            </w:r>
            <w:r>
              <w:br/>
            </w:r>
            <w:r>
              <w:br/>
              <w:t>2 529</w:t>
            </w:r>
          </w:p>
        </w:tc>
      </w:tr>
      <w:tr>
        <w:trPr>
          <w:cantSplit/>
        </w:trPr>
        <w:tc>
          <w:tcPr>
            <w:tcW w:w="798" w:type="dxa"/>
            <w:tcBorders>
              <w:left w:val="single" w:sz="4" w:space="0" w:color="auto"/>
            </w:tcBorders>
          </w:tcPr>
          <w:p>
            <w:pPr>
              <w:pStyle w:val="yTableNAm"/>
            </w:pPr>
            <w:r>
              <w:t>2.</w:t>
            </w:r>
          </w:p>
        </w:tc>
        <w:tc>
          <w:tcPr>
            <w:tcW w:w="4159" w:type="dxa"/>
          </w:tcPr>
          <w:p>
            <w:pPr>
              <w:pStyle w:val="yTableNAm"/>
              <w:tabs>
                <w:tab w:val="left" w:leader="dot" w:pos="3969"/>
              </w:tabs>
            </w:pPr>
            <w:r>
              <w:t xml:space="preserve">Application for the grant or removal of a club licence, restaurant licence, producer’s licence or wholesaler’s licence </w:t>
            </w:r>
            <w:r>
              <w:tab/>
            </w:r>
          </w:p>
        </w:tc>
        <w:tc>
          <w:tcPr>
            <w:tcW w:w="811" w:type="dxa"/>
          </w:tcPr>
          <w:p>
            <w:pPr>
              <w:pStyle w:val="yTableNAm"/>
              <w:jc w:val="center"/>
            </w:pPr>
            <w:r>
              <w:br/>
            </w:r>
            <w:r>
              <w:br/>
              <w:t>765</w:t>
            </w:r>
          </w:p>
        </w:tc>
        <w:tc>
          <w:tcPr>
            <w:tcW w:w="1372" w:type="dxa"/>
            <w:tcBorders>
              <w:bottom w:val="single" w:sz="4" w:space="0" w:color="auto"/>
              <w:right w:val="single" w:sz="4" w:space="0" w:color="auto"/>
            </w:tcBorders>
          </w:tcPr>
          <w:p>
            <w:pPr>
              <w:pStyle w:val="yTableNAm"/>
              <w:ind w:right="152"/>
              <w:jc w:val="center"/>
            </w:pPr>
            <w:r>
              <w:br/>
            </w:r>
            <w:r>
              <w:br/>
              <w:t>688.50</w:t>
            </w:r>
          </w:p>
        </w:tc>
      </w:tr>
      <w:tr>
        <w:trPr>
          <w:cantSplit/>
        </w:trPr>
        <w:tc>
          <w:tcPr>
            <w:tcW w:w="798" w:type="dxa"/>
            <w:tcBorders>
              <w:left w:val="single" w:sz="4" w:space="0" w:color="auto"/>
            </w:tcBorders>
          </w:tcPr>
          <w:p>
            <w:pPr>
              <w:pStyle w:val="yTableNAm"/>
            </w:pPr>
            <w:r>
              <w:t>3.</w:t>
            </w:r>
          </w:p>
        </w:tc>
        <w:tc>
          <w:tcPr>
            <w:tcW w:w="4159" w:type="dxa"/>
          </w:tcPr>
          <w:p>
            <w:pPr>
              <w:pStyle w:val="yTableNAm"/>
              <w:tabs>
                <w:tab w:val="left" w:leader="dot" w:pos="3969"/>
              </w:tabs>
            </w:pPr>
            <w:r>
              <w:t xml:space="preserve">Application for the transfer of a licence </w:t>
            </w:r>
            <w:r>
              <w:tab/>
            </w:r>
          </w:p>
        </w:tc>
        <w:tc>
          <w:tcPr>
            <w:tcW w:w="811" w:type="dxa"/>
          </w:tcPr>
          <w:p>
            <w:pPr>
              <w:pStyle w:val="yTableNAm"/>
              <w:jc w:val="center"/>
            </w:pPr>
            <w:r>
              <w:t>765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4.</w:t>
            </w:r>
          </w:p>
        </w:tc>
        <w:tc>
          <w:tcPr>
            <w:tcW w:w="4159" w:type="dxa"/>
          </w:tcPr>
          <w:p>
            <w:pPr>
              <w:pStyle w:val="yTableNAm"/>
              <w:tabs>
                <w:tab w:val="left" w:leader="dot" w:pos="3969"/>
              </w:tabs>
            </w:pPr>
            <w:r>
              <w:t xml:space="preserve">Licence fee for any licence other than a club restricted licence </w:t>
            </w:r>
            <w:r>
              <w:tab/>
            </w:r>
          </w:p>
        </w:tc>
        <w:tc>
          <w:tcPr>
            <w:tcW w:w="811" w:type="dxa"/>
          </w:tcPr>
          <w:p>
            <w:pPr>
              <w:pStyle w:val="yTableNAm"/>
              <w:jc w:val="center"/>
            </w:pPr>
            <w:r>
              <w:br/>
              <w:t>510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single" w:sz="4" w:space="0" w:color="auto"/>
            </w:tcBorders>
          </w:tcPr>
          <w:p>
            <w:pPr>
              <w:pStyle w:val="yTableNAm"/>
            </w:pPr>
            <w:r>
              <w:t>5.</w:t>
            </w:r>
          </w:p>
        </w:tc>
        <w:tc>
          <w:tcPr>
            <w:tcW w:w="4159" w:type="dxa"/>
            <w:tcBorders>
              <w:bottom w:val="single" w:sz="4" w:space="0" w:color="auto"/>
            </w:tcBorders>
          </w:tcPr>
          <w:p>
            <w:pPr>
              <w:pStyle w:val="yTableNAm"/>
              <w:tabs>
                <w:tab w:val="left" w:leader="dot" w:pos="3969"/>
              </w:tabs>
            </w:pPr>
            <w:r>
              <w:t xml:space="preserve">Licence fee for a club restricted licence </w:t>
            </w:r>
            <w:r>
              <w:tab/>
            </w:r>
          </w:p>
        </w:tc>
        <w:tc>
          <w:tcPr>
            <w:tcW w:w="811" w:type="dxa"/>
            <w:tcBorders>
              <w:bottom w:val="single" w:sz="4" w:space="0" w:color="auto"/>
            </w:tcBorders>
          </w:tcPr>
          <w:p>
            <w:pPr>
              <w:pStyle w:val="yTableNAm"/>
              <w:jc w:val="center"/>
            </w:pPr>
            <w:r>
              <w:t>255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nil"/>
            </w:tcBorders>
          </w:tcPr>
          <w:p>
            <w:pPr>
              <w:pStyle w:val="yTableNAm"/>
            </w:pPr>
            <w:r>
              <w:t>6.</w:t>
            </w:r>
          </w:p>
        </w:tc>
        <w:tc>
          <w:tcPr>
            <w:tcW w:w="4159" w:type="dxa"/>
            <w:tcBorders>
              <w:top w:val="single" w:sz="4" w:space="0" w:color="auto"/>
              <w:bottom w:val="nil"/>
            </w:tcBorders>
          </w:tcPr>
          <w:p>
            <w:pPr>
              <w:pStyle w:val="yTableNAm"/>
              <w:tabs>
                <w:tab w:val="left" w:leader="dot" w:pos="3969"/>
              </w:tabs>
            </w:pPr>
            <w:r>
              <w:t xml:space="preserve">Application for an occasional licence if the anticipated number of patrons is — </w:t>
            </w:r>
          </w:p>
          <w:p>
            <w:pPr>
              <w:pStyle w:val="yTableNAm"/>
              <w:tabs>
                <w:tab w:val="left" w:leader="dot" w:pos="3969"/>
              </w:tabs>
            </w:pPr>
            <w:r>
              <w:t>(a)</w:t>
            </w:r>
            <w:r>
              <w:tab/>
              <w:t xml:space="preserve">up to 250 </w:t>
            </w:r>
            <w:r>
              <w:tab/>
            </w:r>
          </w:p>
          <w:p>
            <w:pPr>
              <w:pStyle w:val="yTableNAm"/>
              <w:tabs>
                <w:tab w:val="left" w:leader="dot" w:pos="3969"/>
              </w:tabs>
            </w:pPr>
            <w:r>
              <w:t>(b)</w:t>
            </w:r>
            <w:r>
              <w:tab/>
              <w:t xml:space="preserve">between 251 and 500 </w:t>
            </w:r>
            <w:r>
              <w:tab/>
            </w:r>
          </w:p>
        </w:tc>
        <w:tc>
          <w:tcPr>
            <w:tcW w:w="811" w:type="dxa"/>
            <w:tcBorders>
              <w:top w:val="single" w:sz="4" w:space="0" w:color="auto"/>
              <w:bottom w:val="nil"/>
            </w:tcBorders>
          </w:tcPr>
          <w:p>
            <w:pPr>
              <w:pStyle w:val="yTableNAm"/>
              <w:jc w:val="center"/>
            </w:pPr>
            <w:r>
              <w:br/>
            </w:r>
          </w:p>
          <w:p>
            <w:pPr>
              <w:pStyle w:val="yTableNAm"/>
              <w:jc w:val="center"/>
            </w:pPr>
            <w:r>
              <w:t>50</w:t>
            </w:r>
          </w:p>
          <w:p>
            <w:pPr>
              <w:pStyle w:val="yTableNAm"/>
              <w:jc w:val="center"/>
            </w:pPr>
            <w:r>
              <w:t>100</w:t>
            </w: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bottom w:val="single" w:sz="4" w:space="0" w:color="auto"/>
            </w:tcBorders>
          </w:tcPr>
          <w:p>
            <w:pPr>
              <w:pStyle w:val="yTableNAm"/>
              <w:tabs>
                <w:tab w:val="left" w:leader="dot" w:pos="3969"/>
              </w:tabs>
            </w:pPr>
            <w:r>
              <w:t>(c)</w:t>
            </w:r>
            <w:r>
              <w:tab/>
              <w:t xml:space="preserve">between 501 and 1 000 </w:t>
            </w:r>
            <w:r>
              <w:tab/>
            </w:r>
          </w:p>
          <w:p>
            <w:pPr>
              <w:pStyle w:val="yTableNAm"/>
              <w:tabs>
                <w:tab w:val="left" w:leader="dot" w:pos="3969"/>
              </w:tabs>
            </w:pPr>
            <w:r>
              <w:t>(d)</w:t>
            </w:r>
            <w:r>
              <w:tab/>
              <w:t xml:space="preserve">between 1 001 and 5 000 </w:t>
            </w:r>
            <w:r>
              <w:tab/>
            </w:r>
          </w:p>
          <w:p>
            <w:pPr>
              <w:pStyle w:val="yTableNAm"/>
              <w:tabs>
                <w:tab w:val="left" w:leader="dot" w:pos="3969"/>
              </w:tabs>
            </w:pPr>
            <w:r>
              <w:t>(e)</w:t>
            </w:r>
            <w:r>
              <w:tab/>
              <w:t xml:space="preserve">between 5 001 and 10 000 </w:t>
            </w:r>
            <w:r>
              <w:tab/>
            </w:r>
          </w:p>
          <w:p>
            <w:pPr>
              <w:pStyle w:val="yTableNAm"/>
              <w:tabs>
                <w:tab w:val="left" w:leader="dot" w:pos="3969"/>
              </w:tabs>
            </w:pPr>
            <w:r>
              <w:t>(f)</w:t>
            </w:r>
            <w:r>
              <w:tab/>
              <w:t xml:space="preserve">over 10 000 </w:t>
            </w:r>
            <w:r>
              <w:tab/>
            </w:r>
          </w:p>
        </w:tc>
        <w:tc>
          <w:tcPr>
            <w:tcW w:w="811" w:type="dxa"/>
            <w:tcBorders>
              <w:top w:val="nil"/>
              <w:bottom w:val="single" w:sz="4" w:space="0" w:color="auto"/>
            </w:tcBorders>
          </w:tcPr>
          <w:p>
            <w:pPr>
              <w:pStyle w:val="yTableNAm"/>
              <w:jc w:val="center"/>
            </w:pPr>
            <w:r>
              <w:t>205</w:t>
            </w:r>
          </w:p>
          <w:p>
            <w:pPr>
              <w:pStyle w:val="yTableNAm"/>
              <w:jc w:val="center"/>
            </w:pPr>
            <w:r>
              <w:t>1 020</w:t>
            </w:r>
          </w:p>
          <w:p>
            <w:pPr>
              <w:pStyle w:val="yTableNAm"/>
              <w:jc w:val="center"/>
            </w:pPr>
            <w:r>
              <w:t>2 040</w:t>
            </w:r>
          </w:p>
          <w:p>
            <w:pPr>
              <w:pStyle w:val="yTableNAm"/>
              <w:jc w:val="center"/>
            </w:pPr>
            <w:r>
              <w:t>4 085</w:t>
            </w:r>
          </w:p>
        </w:tc>
        <w:tc>
          <w:tcPr>
            <w:tcW w:w="1372" w:type="dxa"/>
            <w:tcBorders>
              <w:top w:val="nil"/>
              <w:bottom w:val="single" w:sz="4" w:space="0" w:color="auto"/>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nil"/>
            </w:tcBorders>
          </w:tcPr>
          <w:p>
            <w:pPr>
              <w:pStyle w:val="yTableNAm"/>
            </w:pPr>
            <w:r>
              <w:t>7.</w:t>
            </w:r>
          </w:p>
        </w:tc>
        <w:tc>
          <w:tcPr>
            <w:tcW w:w="4159" w:type="dxa"/>
            <w:tcBorders>
              <w:top w:val="single" w:sz="4" w:space="0" w:color="auto"/>
              <w:bottom w:val="nil"/>
            </w:tcBorders>
          </w:tcPr>
          <w:p>
            <w:pPr>
              <w:pStyle w:val="yTableNAm"/>
              <w:tabs>
                <w:tab w:val="left" w:leader="dot" w:pos="3969"/>
              </w:tabs>
            </w:pPr>
            <w:r>
              <w:t>Application for extended trading permit for a period of over 21 days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bottom w:val="single" w:sz="4" w:space="0" w:color="auto"/>
            </w:tcBorders>
          </w:tcPr>
          <w:p>
            <w:pPr>
              <w:pStyle w:val="yTableNAm"/>
              <w:tabs>
                <w:tab w:val="left" w:leader="dot" w:pos="3969"/>
              </w:tabs>
              <w:ind w:left="567" w:hanging="567"/>
            </w:pPr>
            <w:r>
              <w:t>(a)</w:t>
            </w:r>
            <w:r>
              <w:tab/>
              <w:t xml:space="preserve">issued for a purpose referred to in section 60(4)(ca) </w:t>
            </w:r>
            <w:r>
              <w:tab/>
            </w:r>
          </w:p>
        </w:tc>
        <w:tc>
          <w:tcPr>
            <w:tcW w:w="811" w:type="dxa"/>
            <w:tcBorders>
              <w:top w:val="nil"/>
              <w:bottom w:val="single" w:sz="4" w:space="0" w:color="auto"/>
            </w:tcBorders>
          </w:tcPr>
          <w:p>
            <w:pPr>
              <w:pStyle w:val="yTableNAm"/>
              <w:jc w:val="center"/>
            </w:pPr>
            <w:r>
              <w:br/>
              <w:t>410</w:t>
            </w:r>
          </w:p>
        </w:tc>
        <w:tc>
          <w:tcPr>
            <w:tcW w:w="1372" w:type="dxa"/>
            <w:tcBorders>
              <w:top w:val="nil"/>
              <w:bottom w:val="single" w:sz="4" w:space="0" w:color="auto"/>
              <w:right w:val="single" w:sz="4" w:space="0" w:color="auto"/>
            </w:tcBorders>
          </w:tcPr>
          <w:p>
            <w:pPr>
              <w:pStyle w:val="yTableNAm"/>
              <w:ind w:right="152"/>
              <w:jc w:val="center"/>
            </w:pPr>
            <w:r>
              <w:br/>
              <w:t>369</w:t>
            </w:r>
          </w:p>
        </w:tc>
      </w:tr>
      <w:tr>
        <w:trPr>
          <w:cantSplit/>
        </w:trPr>
        <w:tc>
          <w:tcPr>
            <w:tcW w:w="798" w:type="dxa"/>
            <w:tcBorders>
              <w:top w:val="single" w:sz="4" w:space="0" w:color="auto"/>
              <w:left w:val="single" w:sz="4" w:space="0" w:color="auto"/>
              <w:bottom w:val="nil"/>
            </w:tcBorders>
          </w:tcPr>
          <w:p>
            <w:pPr>
              <w:pStyle w:val="yTableNAm"/>
            </w:pPr>
          </w:p>
        </w:tc>
        <w:tc>
          <w:tcPr>
            <w:tcW w:w="4159" w:type="dxa"/>
            <w:tcBorders>
              <w:top w:val="single" w:sz="4" w:space="0" w:color="auto"/>
              <w:bottom w:val="nil"/>
            </w:tcBorders>
          </w:tcPr>
          <w:p>
            <w:pPr>
              <w:pStyle w:val="yTableNAm"/>
              <w:tabs>
                <w:tab w:val="left" w:leader="dot" w:pos="3969"/>
              </w:tabs>
              <w:ind w:left="567" w:hanging="567"/>
            </w:pPr>
            <w:r>
              <w:t>(b)</w:t>
            </w:r>
            <w:r>
              <w:tab/>
              <w:t xml:space="preserve">issued for a purpose referred to in section 60(4)(h) </w:t>
            </w:r>
            <w:r>
              <w:tab/>
            </w:r>
          </w:p>
        </w:tc>
        <w:tc>
          <w:tcPr>
            <w:tcW w:w="811" w:type="dxa"/>
            <w:tcBorders>
              <w:top w:val="single" w:sz="4" w:space="0" w:color="auto"/>
              <w:bottom w:val="nil"/>
            </w:tcBorders>
          </w:tcPr>
          <w:p>
            <w:pPr>
              <w:pStyle w:val="yTableNAm"/>
              <w:jc w:val="center"/>
            </w:pPr>
            <w:r>
              <w:br/>
              <w:t>305</w:t>
            </w:r>
          </w:p>
        </w:tc>
        <w:tc>
          <w:tcPr>
            <w:tcW w:w="1372" w:type="dxa"/>
            <w:tcBorders>
              <w:top w:val="single" w:sz="4" w:space="0" w:color="auto"/>
              <w:bottom w:val="nil"/>
              <w:right w:val="single" w:sz="4" w:space="0" w:color="auto"/>
            </w:tcBorders>
          </w:tcPr>
          <w:p>
            <w:pPr>
              <w:pStyle w:val="yTableNAm"/>
              <w:ind w:right="152"/>
              <w:jc w:val="center"/>
            </w:pPr>
            <w:r>
              <w:br/>
              <w:t>274.50</w:t>
            </w:r>
          </w:p>
        </w:tc>
      </w:tr>
      <w:tr>
        <w:trPr>
          <w:cantSplit/>
        </w:trPr>
        <w:tc>
          <w:tcPr>
            <w:tcW w:w="798" w:type="dxa"/>
            <w:tcBorders>
              <w:top w:val="nil"/>
              <w:left w:val="single" w:sz="4" w:space="0" w:color="auto"/>
            </w:tcBorders>
          </w:tcPr>
          <w:p>
            <w:pPr>
              <w:pStyle w:val="yTableNAm"/>
            </w:pPr>
          </w:p>
        </w:tc>
        <w:tc>
          <w:tcPr>
            <w:tcW w:w="4159" w:type="dxa"/>
            <w:tcBorders>
              <w:top w:val="nil"/>
            </w:tcBorders>
          </w:tcPr>
          <w:p>
            <w:pPr>
              <w:pStyle w:val="yTableNAm"/>
              <w:tabs>
                <w:tab w:val="left" w:leader="dot" w:pos="3969"/>
              </w:tabs>
            </w:pPr>
            <w:r>
              <w:t>(c)</w:t>
            </w:r>
            <w:r>
              <w:tab/>
              <w:t xml:space="preserve">issued for any other purpose </w:t>
            </w:r>
            <w:r>
              <w:tab/>
            </w:r>
          </w:p>
        </w:tc>
        <w:tc>
          <w:tcPr>
            <w:tcW w:w="811" w:type="dxa"/>
            <w:tcBorders>
              <w:top w:val="nil"/>
            </w:tcBorders>
          </w:tcPr>
          <w:p>
            <w:pPr>
              <w:pStyle w:val="yTableNAm"/>
              <w:jc w:val="center"/>
            </w:pPr>
            <w:r>
              <w:t>1 020</w:t>
            </w:r>
          </w:p>
        </w:tc>
        <w:tc>
          <w:tcPr>
            <w:tcW w:w="1372" w:type="dxa"/>
            <w:tcBorders>
              <w:top w:val="nil"/>
              <w:bottom w:val="single" w:sz="4" w:space="0" w:color="auto"/>
              <w:right w:val="single" w:sz="4" w:space="0" w:color="auto"/>
            </w:tcBorders>
          </w:tcPr>
          <w:p>
            <w:pPr>
              <w:pStyle w:val="yTableNAm"/>
              <w:ind w:right="152"/>
              <w:jc w:val="center"/>
            </w:pPr>
            <w:r>
              <w:t>918</w:t>
            </w:r>
          </w:p>
        </w:tc>
      </w:tr>
      <w:tr>
        <w:trPr>
          <w:cantSplit/>
        </w:trPr>
        <w:tc>
          <w:tcPr>
            <w:tcW w:w="798" w:type="dxa"/>
            <w:tcBorders>
              <w:top w:val="single" w:sz="4" w:space="0" w:color="auto"/>
              <w:left w:val="single" w:sz="4" w:space="0" w:color="auto"/>
              <w:bottom w:val="nil"/>
            </w:tcBorders>
          </w:tcPr>
          <w:p>
            <w:pPr>
              <w:pStyle w:val="yTableNAm"/>
            </w:pPr>
            <w:r>
              <w:t>8.</w:t>
            </w:r>
          </w:p>
        </w:tc>
        <w:tc>
          <w:tcPr>
            <w:tcW w:w="4159" w:type="dxa"/>
            <w:tcBorders>
              <w:top w:val="single" w:sz="4" w:space="0" w:color="auto"/>
              <w:bottom w:val="nil"/>
            </w:tcBorders>
          </w:tcPr>
          <w:p>
            <w:pPr>
              <w:pStyle w:val="yTableNAm"/>
              <w:tabs>
                <w:tab w:val="left" w:leader="dot" w:pos="3969"/>
              </w:tabs>
            </w:pPr>
            <w:r>
              <w:t>Application for extended trading permit for a period of  21 days or less if the anticipated number of patrons is —</w:t>
            </w:r>
          </w:p>
        </w:tc>
        <w:tc>
          <w:tcPr>
            <w:tcW w:w="811" w:type="dxa"/>
            <w:tcBorders>
              <w:top w:val="single" w:sz="4" w:space="0" w:color="auto"/>
              <w:bottom w:val="nil"/>
            </w:tcBorders>
          </w:tcPr>
          <w:p>
            <w:pPr>
              <w:pStyle w:val="yTableNAm"/>
              <w:jc w:val="center"/>
            </w:pPr>
          </w:p>
        </w:tc>
        <w:tc>
          <w:tcPr>
            <w:tcW w:w="1372" w:type="dxa"/>
            <w:tcBorders>
              <w:top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up to 500 </w:t>
            </w:r>
            <w:r>
              <w:tab/>
            </w:r>
          </w:p>
        </w:tc>
        <w:tc>
          <w:tcPr>
            <w:tcW w:w="811" w:type="dxa"/>
            <w:tcBorders>
              <w:top w:val="nil"/>
              <w:bottom w:val="nil"/>
            </w:tcBorders>
          </w:tcPr>
          <w:p>
            <w:pPr>
              <w:pStyle w:val="yTableNAm"/>
              <w:jc w:val="center"/>
            </w:pPr>
            <w:r>
              <w:t>100</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(b)</w:t>
            </w:r>
            <w:r>
              <w:tab/>
              <w:t xml:space="preserve">between 501 and 1 000 </w:t>
            </w:r>
            <w:r>
              <w:tab/>
            </w:r>
          </w:p>
        </w:tc>
        <w:tc>
          <w:tcPr>
            <w:tcW w:w="811" w:type="dxa"/>
            <w:tcBorders>
              <w:top w:val="nil"/>
              <w:bottom w:val="nil"/>
            </w:tcBorders>
          </w:tcPr>
          <w:p>
            <w:pPr>
              <w:pStyle w:val="yTableNAm"/>
              <w:jc w:val="center"/>
            </w:pPr>
            <w:r>
              <w:t>205</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tabs>
                <w:tab w:val="left" w:leader="dot" w:pos="3969"/>
              </w:tabs>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(c)</w:t>
            </w:r>
            <w:r>
              <w:tab/>
              <w:t xml:space="preserve">between 1 001 and 5 000 </w:t>
            </w:r>
            <w:r>
              <w:tab/>
            </w:r>
          </w:p>
        </w:tc>
        <w:tc>
          <w:tcPr>
            <w:tcW w:w="811" w:type="dxa"/>
            <w:tcBorders>
              <w:top w:val="nil"/>
              <w:left w:val="single" w:sz="4" w:space="0" w:color="auto"/>
              <w:bottom w:val="nil"/>
              <w:right w:val="single" w:sz="4" w:space="0" w:color="auto"/>
            </w:tcBorders>
          </w:tcPr>
          <w:p>
            <w:pPr>
              <w:pStyle w:val="yTableNAm"/>
              <w:tabs>
                <w:tab w:val="left" w:leader="dot" w:pos="3969"/>
              </w:tabs>
              <w:ind w:left="567" w:hanging="567"/>
            </w:pPr>
            <w:r>
              <w:t>1 020</w:t>
            </w:r>
          </w:p>
        </w:tc>
        <w:tc>
          <w:tcPr>
            <w:tcW w:w="1372" w:type="dxa"/>
            <w:tcBorders>
              <w:top w:val="nil"/>
              <w:left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tabs>
                <w:tab w:val="left" w:leader="dot" w:pos="3969"/>
              </w:tabs>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(d)</w:t>
            </w:r>
            <w:r>
              <w:tab/>
              <w:t xml:space="preserve">between 5 001 and 10 000 </w:t>
            </w:r>
            <w:r>
              <w:tab/>
            </w:r>
          </w:p>
        </w:tc>
        <w:tc>
          <w:tcPr>
            <w:tcW w:w="811" w:type="dxa"/>
            <w:tcBorders>
              <w:top w:val="nil"/>
              <w:left w:val="single" w:sz="4" w:space="0" w:color="auto"/>
              <w:bottom w:val="nil"/>
              <w:right w:val="single" w:sz="4" w:space="0" w:color="auto"/>
            </w:tcBorders>
          </w:tcPr>
          <w:p>
            <w:pPr>
              <w:pStyle w:val="yTableNAm"/>
              <w:tabs>
                <w:tab w:val="left" w:leader="dot" w:pos="3969"/>
              </w:tabs>
              <w:ind w:left="567" w:hanging="567"/>
            </w:pPr>
            <w:r>
              <w:t>2 040</w:t>
            </w:r>
          </w:p>
        </w:tc>
        <w:tc>
          <w:tcPr>
            <w:tcW w:w="1372" w:type="dxa"/>
            <w:tcBorders>
              <w:top w:val="nil"/>
              <w:left w:val="single" w:sz="4" w:space="0" w:color="auto"/>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right w:val="single" w:sz="4" w:space="0" w:color="auto"/>
            </w:tcBorders>
          </w:tcPr>
          <w:p>
            <w:pPr>
              <w:pStyle w:val="yTableNAm"/>
              <w:tabs>
                <w:tab w:val="left" w:leader="dot" w:pos="3969"/>
              </w:tabs>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(e)</w:t>
            </w:r>
            <w:r>
              <w:tab/>
              <w:t xml:space="preserve">over 10 000 </w:t>
            </w:r>
            <w:r>
              <w:tab/>
            </w:r>
          </w:p>
        </w:tc>
        <w:tc>
          <w:tcPr>
            <w:tcW w:w="811" w:type="dxa"/>
            <w:tcBorders>
              <w:top w:val="nil"/>
              <w:left w:val="single" w:sz="4" w:space="0" w:color="auto"/>
              <w:bottom w:val="single" w:sz="4" w:space="0" w:color="auto"/>
              <w:right w:val="single" w:sz="4" w:space="0" w:color="auto"/>
            </w:tcBorders>
          </w:tcPr>
          <w:p>
            <w:pPr>
              <w:pStyle w:val="yTableNAm"/>
              <w:tabs>
                <w:tab w:val="left" w:leader="dot" w:pos="3969"/>
              </w:tabs>
              <w:ind w:left="567" w:hanging="567"/>
            </w:pPr>
            <w:r>
              <w:t>4 085</w:t>
            </w:r>
          </w:p>
        </w:tc>
        <w:tc>
          <w:tcPr>
            <w:tcW w:w="1372" w:type="dxa"/>
            <w:tcBorders>
              <w:top w:val="nil"/>
              <w:left w:val="single" w:sz="4" w:space="0" w:color="auto"/>
              <w:bottom w:val="single" w:sz="4" w:space="0" w:color="auto"/>
              <w:right w:val="single" w:sz="4" w:space="0" w:color="auto"/>
            </w:tcBorders>
          </w:tcPr>
          <w:p>
            <w:pPr>
              <w:pStyle w:val="yTableNAm"/>
              <w:ind w:right="152"/>
              <w:jc w:val="center"/>
            </w:pPr>
          </w:p>
        </w:tc>
      </w:tr>
      <w:tr>
        <w:trPr>
          <w:cantSplit/>
        </w:trPr>
        <w:tc>
          <w:tcPr>
            <w:tcW w:w="798" w:type="dxa"/>
            <w:tcBorders>
              <w:top w:val="nil"/>
              <w:left w:val="single" w:sz="4" w:space="0" w:color="auto"/>
              <w:bottom w:val="nil"/>
              <w:right w:val="single" w:sz="4" w:space="0" w:color="auto"/>
            </w:tcBorders>
          </w:tcPr>
          <w:p>
            <w:pPr>
              <w:pStyle w:val="yTableNAm"/>
            </w:pPr>
            <w:r>
              <w:t>9.</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manager’s approval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14ADA(3) </w:t>
            </w:r>
            <w:r>
              <w:tab/>
            </w:r>
          </w:p>
        </w:tc>
        <w:tc>
          <w:tcPr>
            <w:tcW w:w="811" w:type="dxa"/>
            <w:tcBorders>
              <w:top w:val="nil"/>
              <w:left w:val="single" w:sz="4" w:space="0" w:color="auto"/>
              <w:bottom w:val="nil"/>
              <w:right w:val="single" w:sz="4" w:space="0" w:color="auto"/>
            </w:tcBorders>
          </w:tcPr>
          <w:p>
            <w:pPr>
              <w:pStyle w:val="yTableNAm"/>
              <w:jc w:val="center"/>
            </w:pPr>
            <w:r>
              <w:t>165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(b)</w:t>
            </w:r>
            <w:r>
              <w:tab/>
              <w:t xml:space="preserve">lodged under r. 14ADA(4)(a) </w:t>
            </w:r>
            <w:r>
              <w:tab/>
            </w:r>
          </w:p>
        </w:tc>
        <w:tc>
          <w:tcPr>
            <w:tcW w:w="811" w:type="dxa"/>
            <w:tcBorders>
              <w:top w:val="nil"/>
              <w:left w:val="single" w:sz="4" w:space="0" w:color="auto"/>
              <w:bottom w:val="nil"/>
              <w:right w:val="single" w:sz="4" w:space="0" w:color="auto"/>
            </w:tcBorders>
          </w:tcPr>
          <w:p>
            <w:pPr>
              <w:pStyle w:val="yTableNAm"/>
              <w:jc w:val="center"/>
            </w:pPr>
            <w:r>
              <w:t>55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(c)</w:t>
            </w:r>
            <w:r>
              <w:tab/>
              <w:t xml:space="preserve">lodged under r. 14ADA(4)(b) </w:t>
            </w:r>
            <w:r>
              <w:tab/>
            </w:r>
          </w:p>
        </w:tc>
        <w:tc>
          <w:tcPr>
            <w:tcW w:w="811" w:type="dxa"/>
            <w:tcBorders>
              <w:top w:val="nil"/>
              <w:left w:val="single" w:sz="4" w:space="0" w:color="auto"/>
              <w:bottom w:val="single" w:sz="4" w:space="0" w:color="auto"/>
              <w:right w:val="single" w:sz="4" w:space="0" w:color="auto"/>
            </w:tcBorders>
          </w:tcPr>
          <w:p>
            <w:pPr>
              <w:pStyle w:val="yTableNAm"/>
              <w:jc w:val="center"/>
            </w:pPr>
            <w:r>
              <w:t>15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yTableNAm"/>
            </w:pPr>
            <w:r>
              <w:t>10A.</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renewal of manager’s approval (other than transitioned approval under r. 14ADG)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160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120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yTableNAm"/>
            </w:pPr>
            <w:r>
              <w:t>10B.</w:t>
            </w:r>
          </w:p>
        </w:tc>
        <w:tc>
          <w:tcPr>
            <w:tcW w:w="4159" w:type="dxa"/>
            <w:tcBorders>
              <w:top w:val="nil"/>
              <w:left w:val="single" w:sz="4" w:space="0" w:color="auto"/>
              <w:bottom w:val="nil"/>
              <w:right w:val="single" w:sz="4" w:space="0" w:color="auto"/>
            </w:tcBorders>
          </w:tcPr>
          <w:p>
            <w:pPr>
              <w:pStyle w:val="yTableNAm"/>
              <w:tabs>
                <w:tab w:val="left" w:leader="dot" w:pos="3969"/>
              </w:tabs>
            </w:pPr>
            <w:r>
              <w:t xml:space="preserve">Application for renewal of manager’s approval (transitioned approval under r. 14ADG)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for 1 year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70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30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(b)</w:t>
            </w:r>
            <w:r>
              <w:tab/>
              <w:t xml:space="preserve">for 3 years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115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nil"/>
              <w:right w:val="single" w:sz="4" w:space="0" w:color="auto"/>
            </w:tcBorders>
          </w:tcPr>
          <w:p>
            <w:pPr>
              <w:pStyle w:val="yTableNAm"/>
              <w:jc w:val="center"/>
            </w:pPr>
            <w:r>
              <w:t>75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(c)</w:t>
            </w:r>
            <w:r>
              <w:tab/>
              <w:t xml:space="preserve">for 5 years —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lodged under r. 14ADD(3)(a) </w:t>
            </w:r>
            <w:r>
              <w:tab/>
            </w:r>
          </w:p>
        </w:tc>
        <w:tc>
          <w:tcPr>
            <w:tcW w:w="811" w:type="dxa"/>
            <w:tcBorders>
              <w:top w:val="nil"/>
              <w:left w:val="single" w:sz="4" w:space="0" w:color="auto"/>
              <w:bottom w:val="nil"/>
              <w:right w:val="single" w:sz="4" w:space="0" w:color="auto"/>
            </w:tcBorders>
          </w:tcPr>
          <w:p>
            <w:pPr>
              <w:pStyle w:val="yTableNAm"/>
              <w:jc w:val="center"/>
            </w:pPr>
            <w:r>
              <w:t>160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(ii)</w:t>
            </w:r>
            <w:r>
              <w:tab/>
              <w:t xml:space="preserve">lodged under r. 14ADD(3)(b) </w:t>
            </w:r>
            <w:r>
              <w:tab/>
            </w:r>
          </w:p>
        </w:tc>
        <w:tc>
          <w:tcPr>
            <w:tcW w:w="811" w:type="dxa"/>
            <w:tcBorders>
              <w:top w:val="nil"/>
              <w:left w:val="single" w:sz="4" w:space="0" w:color="auto"/>
              <w:bottom w:val="single" w:sz="4" w:space="0" w:color="auto"/>
              <w:right w:val="single" w:sz="4" w:space="0" w:color="auto"/>
            </w:tcBorders>
          </w:tcPr>
          <w:p>
            <w:pPr>
              <w:pStyle w:val="yTableNAm"/>
              <w:jc w:val="center"/>
            </w:pPr>
            <w:r>
              <w:t>120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nil"/>
              <w:right w:val="single" w:sz="4" w:space="0" w:color="auto"/>
            </w:tcBorders>
          </w:tcPr>
          <w:p>
            <w:pPr>
              <w:pStyle w:val="yTableNAm"/>
            </w:pPr>
            <w:r>
              <w:t>10C.</w:t>
            </w:r>
          </w:p>
        </w:tc>
        <w:tc>
          <w:tcPr>
            <w:tcW w:w="4159" w:type="dxa"/>
            <w:tcBorders>
              <w:top w:val="single" w:sz="4" w:space="0" w:color="auto"/>
              <w:left w:val="single" w:sz="4" w:space="0" w:color="auto"/>
              <w:bottom w:val="nil"/>
              <w:right w:val="single" w:sz="4" w:space="0" w:color="auto"/>
            </w:tcBorders>
          </w:tcPr>
          <w:p>
            <w:pPr>
              <w:pStyle w:val="yTableNAm"/>
              <w:tabs>
                <w:tab w:val="left" w:leader="dot" w:pos="3969"/>
              </w:tabs>
            </w:pPr>
            <w:r>
              <w:t xml:space="preserve">Application for replacement identification card — </w:t>
            </w:r>
          </w:p>
        </w:tc>
        <w:tc>
          <w:tcPr>
            <w:tcW w:w="811" w:type="dxa"/>
            <w:tcBorders>
              <w:top w:val="single" w:sz="4" w:space="0" w:color="auto"/>
              <w:left w:val="single" w:sz="4" w:space="0" w:color="auto"/>
              <w:bottom w:val="nil"/>
              <w:right w:val="single" w:sz="4" w:space="0" w:color="auto"/>
            </w:tcBorders>
          </w:tcPr>
          <w:p>
            <w:pPr>
              <w:pStyle w:val="yTableNAm"/>
              <w:jc w:val="center"/>
            </w:pPr>
          </w:p>
        </w:tc>
        <w:tc>
          <w:tcPr>
            <w:tcW w:w="1372" w:type="dxa"/>
            <w:tcBorders>
              <w:top w:val="single" w:sz="4" w:space="0" w:color="auto"/>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pPr>
            <w:r>
              <w:t>(a)</w:t>
            </w:r>
            <w:r>
              <w:tab/>
              <w:t xml:space="preserve">lodged under r. 14ADF(2)(b)(i) </w:t>
            </w:r>
            <w:r>
              <w:tab/>
            </w:r>
          </w:p>
        </w:tc>
        <w:tc>
          <w:tcPr>
            <w:tcW w:w="811" w:type="dxa"/>
            <w:tcBorders>
              <w:top w:val="nil"/>
              <w:left w:val="single" w:sz="4" w:space="0" w:color="auto"/>
              <w:bottom w:val="nil"/>
              <w:right w:val="single" w:sz="4" w:space="0" w:color="auto"/>
            </w:tcBorders>
          </w:tcPr>
          <w:p>
            <w:pPr>
              <w:pStyle w:val="yTableNAm"/>
              <w:jc w:val="center"/>
            </w:pPr>
            <w:r>
              <w:t>50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leader="dot" w:pos="3969"/>
              </w:tabs>
            </w:pPr>
            <w:r>
              <w:t>(b)</w:t>
            </w:r>
            <w:r>
              <w:tab/>
              <w:t xml:space="preserve">lodged under r. 14ADF(2)(b)(ii) </w:t>
            </w:r>
            <w:r>
              <w:tab/>
            </w:r>
          </w:p>
        </w:tc>
        <w:tc>
          <w:tcPr>
            <w:tcW w:w="811" w:type="dxa"/>
            <w:tcBorders>
              <w:top w:val="nil"/>
              <w:left w:val="single" w:sz="4" w:space="0" w:color="auto"/>
              <w:bottom w:val="single" w:sz="4" w:space="0" w:color="auto"/>
              <w:right w:val="single" w:sz="4" w:space="0" w:color="auto"/>
            </w:tcBorders>
          </w:tcPr>
          <w:p>
            <w:pPr>
              <w:pStyle w:val="yTableNAm"/>
              <w:jc w:val="center"/>
            </w:pPr>
            <w:r>
              <w:t>10</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bottom w:val="nil"/>
            </w:tcBorders>
          </w:tcPr>
          <w:p>
            <w:pPr>
              <w:pStyle w:val="yTableNAm"/>
            </w:pPr>
            <w:r>
              <w:t>10.</w:t>
            </w:r>
          </w:p>
        </w:tc>
        <w:tc>
          <w:tcPr>
            <w:tcW w:w="4159" w:type="dxa"/>
            <w:tcBorders>
              <w:bottom w:val="nil"/>
            </w:tcBorders>
          </w:tcPr>
          <w:p>
            <w:pPr>
              <w:pStyle w:val="yTableNAm"/>
              <w:tabs>
                <w:tab w:val="left" w:leader="dot" w:pos="3969"/>
              </w:tabs>
            </w:pPr>
            <w:r>
              <w:t xml:space="preserve">Application for approval of person in position of authority — </w:t>
            </w:r>
          </w:p>
        </w:tc>
        <w:tc>
          <w:tcPr>
            <w:tcW w:w="811" w:type="dxa"/>
            <w:tcBorders>
              <w:bottom w:val="nil"/>
            </w:tcBorders>
          </w:tcPr>
          <w:p>
            <w:pPr>
              <w:pStyle w:val="yTableNAm"/>
              <w:jc w:val="center"/>
            </w:pPr>
            <w:r>
              <w:br/>
            </w:r>
          </w:p>
        </w:tc>
        <w:tc>
          <w:tcPr>
            <w:tcW w:w="1372" w:type="dxa"/>
            <w:tcBorders>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ind w:left="567" w:hanging="567"/>
            </w:pPr>
            <w:r>
              <w:t>(a)</w:t>
            </w:r>
            <w:r>
              <w:tab/>
              <w:t xml:space="preserve">under licence other than club licence or club restricted licence </w:t>
            </w:r>
            <w:r>
              <w:tab/>
            </w:r>
          </w:p>
        </w:tc>
        <w:tc>
          <w:tcPr>
            <w:tcW w:w="811" w:type="dxa"/>
            <w:tcBorders>
              <w:top w:val="nil"/>
              <w:bottom w:val="nil"/>
            </w:tcBorders>
          </w:tcPr>
          <w:p>
            <w:pPr>
              <w:pStyle w:val="yTableNAm"/>
              <w:jc w:val="center"/>
            </w:pPr>
            <w:r>
              <w:br/>
              <w:t>140</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single" w:sz="4" w:space="0" w:color="auto"/>
            </w:tcBorders>
          </w:tcPr>
          <w:p>
            <w:pPr>
              <w:pStyle w:val="yTableNAm"/>
            </w:pPr>
          </w:p>
        </w:tc>
        <w:tc>
          <w:tcPr>
            <w:tcW w:w="4159" w:type="dxa"/>
            <w:tcBorders>
              <w:top w:val="nil"/>
            </w:tcBorders>
          </w:tcPr>
          <w:p>
            <w:pPr>
              <w:pStyle w:val="yTableNAm"/>
              <w:tabs>
                <w:tab w:val="left" w:leader="dot" w:pos="3969"/>
              </w:tabs>
              <w:ind w:left="567" w:hanging="567"/>
            </w:pPr>
            <w:r>
              <w:t>(b)</w:t>
            </w:r>
            <w:r>
              <w:tab/>
              <w:t xml:space="preserve">under club licence or club restricted licence </w:t>
            </w:r>
            <w:r>
              <w:tab/>
            </w:r>
          </w:p>
        </w:tc>
        <w:tc>
          <w:tcPr>
            <w:tcW w:w="811" w:type="dxa"/>
            <w:tcBorders>
              <w:top w:val="nil"/>
            </w:tcBorders>
          </w:tcPr>
          <w:p>
            <w:pPr>
              <w:pStyle w:val="yTableNAm"/>
              <w:jc w:val="center"/>
            </w:pPr>
            <w:r>
              <w:br/>
              <w:t>95</w:t>
            </w:r>
          </w:p>
        </w:tc>
        <w:tc>
          <w:tcPr>
            <w:tcW w:w="1372" w:type="dxa"/>
            <w:tcBorders>
              <w:top w:val="nil"/>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11.</w:t>
            </w:r>
          </w:p>
        </w:tc>
        <w:tc>
          <w:tcPr>
            <w:tcW w:w="4159" w:type="dxa"/>
          </w:tcPr>
          <w:p>
            <w:pPr>
              <w:pStyle w:val="yTableNAm"/>
              <w:tabs>
                <w:tab w:val="left" w:leader="dot" w:pos="3969"/>
              </w:tabs>
            </w:pPr>
            <w:r>
              <w:t xml:space="preserve">Application for approval for alteration or redefinition of licensed premises </w:t>
            </w:r>
            <w:r>
              <w:tab/>
            </w:r>
          </w:p>
        </w:tc>
        <w:tc>
          <w:tcPr>
            <w:tcW w:w="811" w:type="dxa"/>
          </w:tcPr>
          <w:p>
            <w:pPr>
              <w:pStyle w:val="yTableNAm"/>
              <w:jc w:val="center"/>
            </w:pPr>
            <w:r>
              <w:br/>
              <w:t>330</w:t>
            </w:r>
          </w:p>
        </w:tc>
        <w:tc>
          <w:tcPr>
            <w:tcW w:w="1372" w:type="dxa"/>
            <w:tcBorders>
              <w:bottom w:val="single" w:sz="4" w:space="0" w:color="auto"/>
              <w:right w:val="single" w:sz="4" w:space="0" w:color="auto"/>
            </w:tcBorders>
          </w:tcPr>
          <w:p>
            <w:pPr>
              <w:pStyle w:val="yTableNAm"/>
              <w:ind w:right="152"/>
              <w:jc w:val="center"/>
            </w:pPr>
            <w:r>
              <w:br/>
              <w:t>297</w:t>
            </w:r>
          </w:p>
        </w:tc>
      </w:tr>
      <w:tr>
        <w:trPr>
          <w:cantSplit/>
        </w:trPr>
        <w:tc>
          <w:tcPr>
            <w:tcW w:w="798" w:type="dxa"/>
            <w:tcBorders>
              <w:left w:val="single" w:sz="4" w:space="0" w:color="auto"/>
            </w:tcBorders>
          </w:tcPr>
          <w:p>
            <w:pPr>
              <w:pStyle w:val="yTableNAm"/>
            </w:pPr>
            <w:r>
              <w:t>12.</w:t>
            </w:r>
          </w:p>
        </w:tc>
        <w:tc>
          <w:tcPr>
            <w:tcW w:w="4159" w:type="dxa"/>
          </w:tcPr>
          <w:p>
            <w:pPr>
              <w:pStyle w:val="yTableNAm"/>
              <w:tabs>
                <w:tab w:val="left" w:leader="dot" w:pos="3969"/>
              </w:tabs>
            </w:pPr>
            <w:r>
              <w:t xml:space="preserve">Application for a protection order under section 87(1) </w:t>
            </w:r>
            <w:r>
              <w:tab/>
            </w:r>
          </w:p>
        </w:tc>
        <w:tc>
          <w:tcPr>
            <w:tcW w:w="811" w:type="dxa"/>
          </w:tcPr>
          <w:p>
            <w:pPr>
              <w:pStyle w:val="yTableNAm"/>
              <w:jc w:val="center"/>
            </w:pPr>
            <w:r>
              <w:br/>
              <w:t>205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13.</w:t>
            </w:r>
          </w:p>
        </w:tc>
        <w:tc>
          <w:tcPr>
            <w:tcW w:w="4159" w:type="dxa"/>
          </w:tcPr>
          <w:p>
            <w:pPr>
              <w:pStyle w:val="yTableNAm"/>
              <w:tabs>
                <w:tab w:val="left" w:leader="dot" w:pos="3969"/>
              </w:tabs>
            </w:pPr>
            <w:r>
              <w:t xml:space="preserve">Application for duplicate licence </w:t>
            </w:r>
            <w:r>
              <w:tab/>
            </w:r>
          </w:p>
        </w:tc>
        <w:tc>
          <w:tcPr>
            <w:tcW w:w="811" w:type="dxa"/>
          </w:tcPr>
          <w:p>
            <w:pPr>
              <w:pStyle w:val="yTableNAm"/>
              <w:jc w:val="center"/>
            </w:pPr>
            <w: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14.</w:t>
            </w:r>
          </w:p>
        </w:tc>
        <w:tc>
          <w:tcPr>
            <w:tcW w:w="4159" w:type="dxa"/>
          </w:tcPr>
          <w:p>
            <w:pPr>
              <w:pStyle w:val="yTableNAm"/>
              <w:tabs>
                <w:tab w:val="left" w:leader="dot" w:pos="3969"/>
              </w:tabs>
            </w:pPr>
            <w:r>
              <w:t xml:space="preserve">Application for approval of change of name of licensed premises </w:t>
            </w:r>
            <w:r>
              <w:tab/>
            </w:r>
          </w:p>
        </w:tc>
        <w:tc>
          <w:tcPr>
            <w:tcW w:w="811" w:type="dxa"/>
          </w:tcPr>
          <w:p>
            <w:pPr>
              <w:pStyle w:val="yTableNAm"/>
              <w:jc w:val="center"/>
            </w:pPr>
            <w:r>
              <w:br/>
              <w:t>70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nil"/>
            </w:tcBorders>
          </w:tcPr>
          <w:p>
            <w:pPr>
              <w:pStyle w:val="yTableNAm"/>
              <w:keepNext/>
              <w:keepLines/>
            </w:pPr>
            <w:r>
              <w:t>15.</w:t>
            </w:r>
          </w:p>
        </w:tc>
        <w:tc>
          <w:tcPr>
            <w:tcW w:w="4159" w:type="dxa"/>
            <w:tcBorders>
              <w:bottom w:val="nil"/>
            </w:tcBorders>
          </w:tcPr>
          <w:p>
            <w:pPr>
              <w:pStyle w:val="yTableNAm"/>
              <w:keepNext/>
              <w:keepLines/>
              <w:tabs>
                <w:tab w:val="left" w:leader="dot" w:pos="3969"/>
              </w:tabs>
            </w:pPr>
            <w:r>
              <w:t xml:space="preserve">Application to add, vary or cancel condition of licence or permit (other than club restricted licence) — </w:t>
            </w:r>
          </w:p>
        </w:tc>
        <w:tc>
          <w:tcPr>
            <w:tcW w:w="811" w:type="dxa"/>
            <w:tcBorders>
              <w:bottom w:val="nil"/>
            </w:tcBorders>
          </w:tcPr>
          <w:p>
            <w:pPr>
              <w:pStyle w:val="yTableNAm"/>
              <w:keepNext/>
              <w:keepLines/>
              <w:jc w:val="center"/>
            </w:pPr>
          </w:p>
        </w:tc>
        <w:tc>
          <w:tcPr>
            <w:tcW w:w="1372" w:type="dxa"/>
            <w:tcBorders>
              <w:bottom w:val="nil"/>
              <w:right w:val="single" w:sz="4" w:space="0" w:color="auto"/>
            </w:tcBorders>
          </w:tcPr>
          <w:p>
            <w:pPr>
              <w:pStyle w:val="yTableNAm"/>
              <w:keepNext/>
              <w:keepLines/>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for a period of over 21 days </w:t>
            </w:r>
            <w:r>
              <w:tab/>
            </w:r>
          </w:p>
        </w:tc>
        <w:tc>
          <w:tcPr>
            <w:tcW w:w="811" w:type="dxa"/>
            <w:tcBorders>
              <w:top w:val="nil"/>
              <w:bottom w:val="nil"/>
            </w:tcBorders>
          </w:tcPr>
          <w:p>
            <w:pPr>
              <w:pStyle w:val="yTableNAm"/>
              <w:jc w:val="center"/>
            </w:pPr>
            <w:r>
              <w:t>205</w:t>
            </w:r>
          </w:p>
        </w:tc>
        <w:tc>
          <w:tcPr>
            <w:tcW w:w="1372" w:type="dxa"/>
            <w:tcBorders>
              <w:top w:val="nil"/>
              <w:bottom w:val="nil"/>
              <w:right w:val="single" w:sz="4" w:space="0" w:color="auto"/>
            </w:tcBorders>
          </w:tcPr>
          <w:p>
            <w:pPr>
              <w:pStyle w:val="yTableNAm"/>
              <w:ind w:right="152"/>
              <w:jc w:val="center"/>
            </w:pPr>
            <w:r>
              <w:t>184.50</w:t>
            </w: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leader="dot" w:pos="3969"/>
              </w:tabs>
              <w:ind w:left="567" w:hanging="567"/>
            </w:pPr>
            <w:r>
              <w:t>(b)</w:t>
            </w:r>
            <w:r>
              <w:tab/>
              <w:t>for a period of 21 days or less if the anticipated number of patrons is —</w:t>
            </w:r>
          </w:p>
        </w:tc>
        <w:tc>
          <w:tcPr>
            <w:tcW w:w="811" w:type="dxa"/>
            <w:tcBorders>
              <w:top w:val="nil"/>
              <w:left w:val="single" w:sz="4" w:space="0" w:color="auto"/>
              <w:bottom w:val="nil"/>
              <w:right w:val="single" w:sz="4" w:space="0" w:color="auto"/>
            </w:tcBorders>
          </w:tcPr>
          <w:p>
            <w:pPr>
              <w:pStyle w:val="yTableNAm"/>
              <w:jc w:val="center"/>
            </w:pP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w:t>
            </w:r>
            <w:r>
              <w:tab/>
              <w:t xml:space="preserve">up to 500 </w:t>
            </w:r>
            <w:r>
              <w:tab/>
            </w:r>
          </w:p>
        </w:tc>
        <w:tc>
          <w:tcPr>
            <w:tcW w:w="811" w:type="dxa"/>
            <w:tcBorders>
              <w:top w:val="nil"/>
              <w:left w:val="single" w:sz="4" w:space="0" w:color="auto"/>
              <w:bottom w:val="nil"/>
              <w:right w:val="single" w:sz="4" w:space="0" w:color="auto"/>
            </w:tcBorders>
          </w:tcPr>
          <w:p>
            <w:pPr>
              <w:pStyle w:val="yTableNAm"/>
              <w:jc w:val="center"/>
            </w:pPr>
            <w:r>
              <w:t>100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w:t>
            </w:r>
            <w:r>
              <w:tab/>
              <w:t xml:space="preserve">between 501 and 1 000 </w:t>
            </w:r>
            <w:r>
              <w:tab/>
            </w:r>
          </w:p>
        </w:tc>
        <w:tc>
          <w:tcPr>
            <w:tcW w:w="811" w:type="dxa"/>
            <w:tcBorders>
              <w:top w:val="nil"/>
              <w:left w:val="single" w:sz="4" w:space="0" w:color="auto"/>
              <w:bottom w:val="nil"/>
              <w:right w:val="single" w:sz="4" w:space="0" w:color="auto"/>
            </w:tcBorders>
          </w:tcPr>
          <w:p>
            <w:pPr>
              <w:pStyle w:val="yTableNAm"/>
              <w:jc w:val="center"/>
            </w:pPr>
            <w:r>
              <w:t>205</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(iii)</w:t>
            </w:r>
            <w:r>
              <w:tab/>
              <w:t xml:space="preserve">between 1 001 and 5 000 </w:t>
            </w:r>
            <w:r>
              <w:tab/>
            </w:r>
          </w:p>
        </w:tc>
        <w:tc>
          <w:tcPr>
            <w:tcW w:w="811" w:type="dxa"/>
            <w:tcBorders>
              <w:top w:val="nil"/>
              <w:left w:val="single" w:sz="4" w:space="0" w:color="auto"/>
              <w:bottom w:val="nil"/>
              <w:right w:val="single" w:sz="4" w:space="0" w:color="auto"/>
            </w:tcBorders>
          </w:tcPr>
          <w:p>
            <w:pPr>
              <w:pStyle w:val="yTableNAm"/>
              <w:jc w:val="center"/>
            </w:pPr>
            <w:r>
              <w:t>1 020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nil"/>
              <w:right w:val="single" w:sz="4" w:space="0" w:color="auto"/>
            </w:tcBorders>
          </w:tcPr>
          <w:p>
            <w:pPr>
              <w:pStyle w:val="yTableNAm"/>
              <w:tabs>
                <w:tab w:val="left" w:pos="973"/>
                <w:tab w:val="left" w:leader="dot" w:pos="3969"/>
              </w:tabs>
            </w:pPr>
            <w:r>
              <w:tab/>
              <w:t>(iv)</w:t>
            </w:r>
            <w:r>
              <w:tab/>
              <w:t>between 5 001 and 10 000 ..</w:t>
            </w:r>
            <w:r>
              <w:tab/>
            </w:r>
          </w:p>
        </w:tc>
        <w:tc>
          <w:tcPr>
            <w:tcW w:w="811" w:type="dxa"/>
            <w:tcBorders>
              <w:top w:val="nil"/>
              <w:left w:val="single" w:sz="4" w:space="0" w:color="auto"/>
              <w:bottom w:val="nil"/>
              <w:right w:val="single" w:sz="4" w:space="0" w:color="auto"/>
            </w:tcBorders>
          </w:tcPr>
          <w:p>
            <w:pPr>
              <w:pStyle w:val="yTableNAm"/>
              <w:jc w:val="center"/>
            </w:pPr>
            <w:r>
              <w:t>2 040</w:t>
            </w:r>
          </w:p>
        </w:tc>
        <w:tc>
          <w:tcPr>
            <w:tcW w:w="1372" w:type="dxa"/>
            <w:tcBorders>
              <w:top w:val="nil"/>
              <w:left w:val="single" w:sz="4" w:space="0" w:color="auto"/>
              <w:bottom w:val="nil"/>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0"/>
              <w:jc w:val="left"/>
            </w:pPr>
          </w:p>
        </w:tc>
        <w:tc>
          <w:tcPr>
            <w:tcW w:w="4159" w:type="dxa"/>
            <w:tcBorders>
              <w:top w:val="nil"/>
              <w:left w:val="single" w:sz="4" w:space="0" w:color="auto"/>
              <w:bottom w:val="single" w:sz="4" w:space="0" w:color="auto"/>
              <w:right w:val="single" w:sz="4" w:space="0" w:color="auto"/>
            </w:tcBorders>
          </w:tcPr>
          <w:p>
            <w:pPr>
              <w:pStyle w:val="yTableNAm"/>
              <w:tabs>
                <w:tab w:val="left" w:pos="973"/>
                <w:tab w:val="left" w:leader="dot" w:pos="3969"/>
              </w:tabs>
            </w:pPr>
            <w:r>
              <w:tab/>
              <w:t>(v)</w:t>
            </w:r>
            <w:r>
              <w:tab/>
              <w:t xml:space="preserve">over 10 000 </w:t>
            </w:r>
            <w:r>
              <w:tab/>
            </w:r>
          </w:p>
        </w:tc>
        <w:tc>
          <w:tcPr>
            <w:tcW w:w="811" w:type="dxa"/>
            <w:tcBorders>
              <w:top w:val="nil"/>
              <w:left w:val="single" w:sz="4" w:space="0" w:color="auto"/>
              <w:bottom w:val="single" w:sz="4" w:space="0" w:color="auto"/>
              <w:right w:val="single" w:sz="4" w:space="0" w:color="auto"/>
            </w:tcBorders>
          </w:tcPr>
          <w:p>
            <w:pPr>
              <w:pStyle w:val="yTableNAm"/>
              <w:jc w:val="center"/>
            </w:pPr>
            <w:r>
              <w:t>4 085</w:t>
            </w:r>
          </w:p>
        </w:tc>
        <w:tc>
          <w:tcPr>
            <w:tcW w:w="1372" w:type="dxa"/>
            <w:tcBorders>
              <w:top w:val="nil"/>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tcBorders>
          </w:tcPr>
          <w:p>
            <w:pPr>
              <w:pStyle w:val="yTableNAm"/>
            </w:pPr>
            <w:r>
              <w:t>16.</w:t>
            </w:r>
          </w:p>
        </w:tc>
        <w:tc>
          <w:tcPr>
            <w:tcW w:w="4159" w:type="dxa"/>
          </w:tcPr>
          <w:p>
            <w:pPr>
              <w:pStyle w:val="yTableNAm"/>
              <w:tabs>
                <w:tab w:val="left" w:leader="dot" w:pos="3969"/>
              </w:tabs>
            </w:pPr>
            <w:r>
              <w:t xml:space="preserve">Application to add, vary or cancel condition of club restricted licence </w:t>
            </w:r>
            <w:r>
              <w:tab/>
            </w:r>
          </w:p>
        </w:tc>
        <w:tc>
          <w:tcPr>
            <w:tcW w:w="811" w:type="dxa"/>
          </w:tcPr>
          <w:p>
            <w:pPr>
              <w:pStyle w:val="yTableNAm"/>
              <w:jc w:val="center"/>
            </w:pPr>
            <w:r>
              <w:br/>
              <w:t>40</w:t>
            </w:r>
          </w:p>
        </w:tc>
        <w:tc>
          <w:tcPr>
            <w:tcW w:w="1372" w:type="dxa"/>
            <w:tcBorders>
              <w:top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17.</w:t>
            </w:r>
          </w:p>
        </w:tc>
        <w:tc>
          <w:tcPr>
            <w:tcW w:w="4159" w:type="dxa"/>
          </w:tcPr>
          <w:p>
            <w:pPr>
              <w:pStyle w:val="yTableNAm"/>
              <w:tabs>
                <w:tab w:val="left" w:leader="dot" w:pos="3969"/>
              </w:tabs>
            </w:pPr>
            <w:r>
              <w:t xml:space="preserve">Application under section 62(6) to vary any plans or specifications the subject of a condition </w:t>
            </w:r>
            <w:r>
              <w:tab/>
            </w:r>
          </w:p>
        </w:tc>
        <w:tc>
          <w:tcPr>
            <w:tcW w:w="811" w:type="dxa"/>
          </w:tcPr>
          <w:p>
            <w:pPr>
              <w:pStyle w:val="yTableNAm"/>
              <w:jc w:val="center"/>
            </w:pPr>
            <w:r>
              <w:br/>
            </w:r>
            <w:r>
              <w:br/>
              <w:t>245</w:t>
            </w:r>
          </w:p>
        </w:tc>
        <w:tc>
          <w:tcPr>
            <w:tcW w:w="1372" w:type="dxa"/>
            <w:tcBorders>
              <w:right w:val="single" w:sz="4" w:space="0" w:color="auto"/>
            </w:tcBorders>
          </w:tcPr>
          <w:p>
            <w:pPr>
              <w:pStyle w:val="yTableNAm"/>
              <w:ind w:right="152"/>
              <w:jc w:val="center"/>
            </w:pPr>
            <w:r>
              <w:br/>
            </w:r>
            <w:r>
              <w:br/>
              <w:t>220.50</w:t>
            </w:r>
          </w:p>
        </w:tc>
      </w:tr>
      <w:tr>
        <w:trPr>
          <w:cantSplit/>
        </w:trPr>
        <w:tc>
          <w:tcPr>
            <w:tcW w:w="798" w:type="dxa"/>
            <w:tcBorders>
              <w:left w:val="single" w:sz="4" w:space="0" w:color="auto"/>
            </w:tcBorders>
          </w:tcPr>
          <w:p>
            <w:pPr>
              <w:pStyle w:val="yTableNAm"/>
            </w:pPr>
            <w:r>
              <w:t>18.</w:t>
            </w:r>
          </w:p>
        </w:tc>
        <w:tc>
          <w:tcPr>
            <w:tcW w:w="4159" w:type="dxa"/>
          </w:tcPr>
          <w:p>
            <w:pPr>
              <w:pStyle w:val="yTableNAm"/>
              <w:tabs>
                <w:tab w:val="left" w:leader="dot" w:pos="3969"/>
              </w:tabs>
            </w:pPr>
            <w:r>
              <w:t xml:space="preserve">Application for approval of agreement or arrangement </w:t>
            </w:r>
            <w:r>
              <w:tab/>
            </w:r>
          </w:p>
          <w:p>
            <w:pPr>
              <w:pStyle w:val="yTableNAm"/>
              <w:tabs>
                <w:tab w:val="left" w:leader="dot" w:pos="3969"/>
              </w:tabs>
            </w:pPr>
            <w:r>
              <w:t>and</w:t>
            </w:r>
          </w:p>
          <w:p>
            <w:pPr>
              <w:pStyle w:val="yTableNAm"/>
              <w:tabs>
                <w:tab w:val="left" w:leader="dot" w:pos="3969"/>
              </w:tabs>
            </w:pPr>
            <w:r>
              <w:t xml:space="preserve">for each person who is a party to the agreement or arrangement and in relation to whom a background check is sought from the Police Service </w:t>
            </w:r>
            <w:r>
              <w:tab/>
            </w:r>
          </w:p>
        </w:tc>
        <w:tc>
          <w:tcPr>
            <w:tcW w:w="811" w:type="dxa"/>
          </w:tcPr>
          <w:p>
            <w:pPr>
              <w:pStyle w:val="yTableNAm"/>
              <w:jc w:val="center"/>
            </w:pPr>
            <w:r>
              <w:br/>
              <w:t>205</w:t>
            </w:r>
          </w:p>
          <w:p>
            <w:pPr>
              <w:pStyle w:val="yTableNAm"/>
              <w:jc w:val="center"/>
            </w:pPr>
          </w:p>
          <w:p>
            <w:pPr>
              <w:pStyle w:val="yTableNAm"/>
              <w:jc w:val="center"/>
            </w:pPr>
            <w:r>
              <w:br/>
            </w:r>
            <w:r>
              <w:br/>
            </w:r>
            <w:r>
              <w:br/>
              <w:t>140</w:t>
            </w:r>
          </w:p>
        </w:tc>
        <w:tc>
          <w:tcPr>
            <w:tcW w:w="1372" w:type="dxa"/>
            <w:tcBorders>
              <w:right w:val="single" w:sz="4" w:space="0" w:color="auto"/>
            </w:tcBorders>
          </w:tcPr>
          <w:p>
            <w:pPr>
              <w:pStyle w:val="yTableNAm"/>
              <w:ind w:right="152"/>
              <w:jc w:val="center"/>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19A.</w:t>
            </w:r>
          </w:p>
        </w:tc>
        <w:tc>
          <w:tcPr>
            <w:tcW w:w="4159"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 xml:space="preserve">Application under section 115AD for review of decision to give notice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t>228</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top w:val="single" w:sz="4" w:space="0" w:color="auto"/>
              <w:left w:val="single" w:sz="4" w:space="0" w:color="auto"/>
              <w:bottom w:val="single" w:sz="4" w:space="0" w:color="auto"/>
              <w:right w:val="single" w:sz="4" w:space="0" w:color="auto"/>
            </w:tcBorders>
          </w:tcPr>
          <w:p>
            <w:pPr>
              <w:pStyle w:val="yTableNAm"/>
            </w:pPr>
            <w:r>
              <w:t>19B.</w:t>
            </w:r>
          </w:p>
        </w:tc>
        <w:tc>
          <w:tcPr>
            <w:tcW w:w="4159" w:type="dxa"/>
            <w:tcBorders>
              <w:top w:val="single" w:sz="4" w:space="0" w:color="auto"/>
              <w:left w:val="single" w:sz="4" w:space="0" w:color="auto"/>
              <w:bottom w:val="single" w:sz="4" w:space="0" w:color="auto"/>
              <w:right w:val="single" w:sz="4" w:space="0" w:color="auto"/>
            </w:tcBorders>
          </w:tcPr>
          <w:p>
            <w:pPr>
              <w:pStyle w:val="yTableNAm"/>
              <w:tabs>
                <w:tab w:val="left" w:leader="dot" w:pos="3969"/>
              </w:tabs>
            </w:pPr>
            <w:r>
              <w:t>Application under section 119A for approval to conduct non</w:t>
            </w:r>
            <w:r>
              <w:noBreakHyphen/>
              <w:t xml:space="preserve">liquor business on licensed premises </w:t>
            </w:r>
            <w:r>
              <w:tab/>
            </w:r>
          </w:p>
        </w:tc>
        <w:tc>
          <w:tcPr>
            <w:tcW w:w="811" w:type="dxa"/>
            <w:tcBorders>
              <w:top w:val="single" w:sz="4" w:space="0" w:color="auto"/>
              <w:left w:val="single" w:sz="4" w:space="0" w:color="auto"/>
              <w:bottom w:val="single" w:sz="4" w:space="0" w:color="auto"/>
              <w:right w:val="single" w:sz="4" w:space="0" w:color="auto"/>
            </w:tcBorders>
          </w:tcPr>
          <w:p>
            <w:pPr>
              <w:pStyle w:val="yTableNAm"/>
              <w:jc w:val="center"/>
            </w:pPr>
            <w:r>
              <w:br/>
            </w:r>
            <w:r>
              <w:br/>
              <w:t>205</w:t>
            </w:r>
          </w:p>
        </w:tc>
        <w:tc>
          <w:tcPr>
            <w:tcW w:w="1372" w:type="dxa"/>
            <w:tcBorders>
              <w:top w:val="single" w:sz="4" w:space="0" w:color="auto"/>
              <w:left w:val="single" w:sz="4" w:space="0" w:color="auto"/>
              <w:bottom w:val="single" w:sz="4" w:space="0" w:color="auto"/>
              <w:right w:val="single" w:sz="4" w:space="0" w:color="auto"/>
            </w:tcBorders>
          </w:tcPr>
          <w:p>
            <w:pPr>
              <w:pStyle w:val="zTHeadingNAm"/>
              <w:keepNext w:val="0"/>
              <w:tabs>
                <w:tab w:val="left" w:pos="567"/>
              </w:tabs>
              <w:spacing w:before="120" w:after="0" w:line="240" w:lineRule="auto"/>
              <w:ind w:left="0" w:right="152"/>
            </w:pPr>
          </w:p>
        </w:tc>
      </w:tr>
      <w:tr>
        <w:trPr>
          <w:cantSplit/>
        </w:trPr>
        <w:tc>
          <w:tcPr>
            <w:tcW w:w="798" w:type="dxa"/>
            <w:tcBorders>
              <w:left w:val="single" w:sz="4" w:space="0" w:color="auto"/>
            </w:tcBorders>
          </w:tcPr>
          <w:p>
            <w:pPr>
              <w:pStyle w:val="yTableNAm"/>
            </w:pPr>
            <w:r>
              <w:t>19.</w:t>
            </w:r>
          </w:p>
        </w:tc>
        <w:tc>
          <w:tcPr>
            <w:tcW w:w="4159" w:type="dxa"/>
          </w:tcPr>
          <w:p>
            <w:pPr>
              <w:pStyle w:val="yTableNAm"/>
              <w:tabs>
                <w:tab w:val="left" w:leader="dot" w:pos="3969"/>
              </w:tabs>
            </w:pPr>
            <w:r>
              <w:t xml:space="preserve">Application under section 126A for approval of entertainment for juveniles on licensed premises </w:t>
            </w:r>
            <w:r>
              <w:tab/>
            </w:r>
          </w:p>
        </w:tc>
        <w:tc>
          <w:tcPr>
            <w:tcW w:w="811" w:type="dxa"/>
          </w:tcPr>
          <w:p>
            <w:pPr>
              <w:pStyle w:val="yTableNAm"/>
              <w:jc w:val="center"/>
            </w:pPr>
            <w:r>
              <w:br/>
            </w:r>
            <w:r>
              <w:br/>
              <w:t>60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20.</w:t>
            </w:r>
          </w:p>
        </w:tc>
        <w:tc>
          <w:tcPr>
            <w:tcW w:w="4159" w:type="dxa"/>
          </w:tcPr>
          <w:p>
            <w:pPr>
              <w:pStyle w:val="yTableNAm"/>
              <w:tabs>
                <w:tab w:val="left" w:leader="dot" w:pos="3969"/>
              </w:tabs>
            </w:pPr>
            <w:r>
              <w:t xml:space="preserve">Application for Proof of Age Card </w:t>
            </w:r>
            <w:r>
              <w:tab/>
            </w:r>
          </w:p>
        </w:tc>
        <w:tc>
          <w:tcPr>
            <w:tcW w:w="811" w:type="dxa"/>
          </w:tcPr>
          <w:p>
            <w:pPr>
              <w:pStyle w:val="yTableNAm"/>
              <w:jc w:val="center"/>
            </w:pPr>
            <w: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21.</w:t>
            </w:r>
          </w:p>
        </w:tc>
        <w:tc>
          <w:tcPr>
            <w:tcW w:w="4159" w:type="dxa"/>
          </w:tcPr>
          <w:p>
            <w:pPr>
              <w:pStyle w:val="yTableNAm"/>
              <w:tabs>
                <w:tab w:val="left" w:leader="dot" w:pos="3969"/>
              </w:tabs>
            </w:pPr>
            <w:r>
              <w:t xml:space="preserve">Supply of a list of licensed premises or a list of owners of licensed premises </w:t>
            </w:r>
            <w:r>
              <w:tab/>
            </w:r>
          </w:p>
        </w:tc>
        <w:tc>
          <w:tcPr>
            <w:tcW w:w="811" w:type="dxa"/>
          </w:tcPr>
          <w:p>
            <w:pPr>
              <w:pStyle w:val="yTableNAm"/>
              <w:jc w:val="center"/>
            </w:pPr>
            <w:r>
              <w:br/>
              <w:t>85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22.</w:t>
            </w:r>
          </w:p>
        </w:tc>
        <w:tc>
          <w:tcPr>
            <w:tcW w:w="4159" w:type="dxa"/>
          </w:tcPr>
          <w:p>
            <w:pPr>
              <w:pStyle w:val="yTableNAm"/>
              <w:tabs>
                <w:tab w:val="left" w:leader="dot" w:pos="3969"/>
              </w:tabs>
            </w:pPr>
            <w:r>
              <w:t xml:space="preserve">Supply of a list of licensed premises on computer disk </w:t>
            </w:r>
            <w:r>
              <w:tab/>
            </w:r>
          </w:p>
        </w:tc>
        <w:tc>
          <w:tcPr>
            <w:tcW w:w="811" w:type="dxa"/>
          </w:tcPr>
          <w:p>
            <w:pPr>
              <w:pStyle w:val="yTableNAm"/>
              <w:jc w:val="center"/>
            </w:pPr>
            <w:r>
              <w:br/>
              <w:t>55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23.</w:t>
            </w:r>
          </w:p>
        </w:tc>
        <w:tc>
          <w:tcPr>
            <w:tcW w:w="4159" w:type="dxa"/>
          </w:tcPr>
          <w:p>
            <w:pPr>
              <w:pStyle w:val="yTableNAm"/>
              <w:tabs>
                <w:tab w:val="left" w:leader="dot" w:pos="3969"/>
              </w:tabs>
            </w:pPr>
            <w:r>
              <w:t xml:space="preserve">Supply of address labels for licensed premises </w:t>
            </w:r>
            <w:r>
              <w:tab/>
            </w:r>
          </w:p>
        </w:tc>
        <w:tc>
          <w:tcPr>
            <w:tcW w:w="811" w:type="dxa"/>
          </w:tcPr>
          <w:p>
            <w:pPr>
              <w:pStyle w:val="yTableNAm"/>
              <w:jc w:val="center"/>
            </w:pPr>
            <w:r>
              <w:br/>
              <w:t>135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24.</w:t>
            </w:r>
          </w:p>
        </w:tc>
        <w:tc>
          <w:tcPr>
            <w:tcW w:w="4159" w:type="dxa"/>
          </w:tcPr>
          <w:p>
            <w:pPr>
              <w:pStyle w:val="yTableNAm"/>
              <w:tabs>
                <w:tab w:val="left" w:leader="dot" w:pos="3969"/>
              </w:tabs>
            </w:pPr>
            <w:r>
              <w:t xml:space="preserve">Supply of approved heading for advertising an application </w:t>
            </w:r>
            <w:r>
              <w:tab/>
            </w:r>
          </w:p>
        </w:tc>
        <w:tc>
          <w:tcPr>
            <w:tcW w:w="811" w:type="dxa"/>
          </w:tcPr>
          <w:p>
            <w:pPr>
              <w:pStyle w:val="yTableNAm"/>
              <w:jc w:val="center"/>
            </w:pP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25.</w:t>
            </w:r>
          </w:p>
        </w:tc>
        <w:tc>
          <w:tcPr>
            <w:tcW w:w="4159" w:type="dxa"/>
          </w:tcPr>
          <w:p>
            <w:pPr>
              <w:pStyle w:val="yTableNAm"/>
              <w:tabs>
                <w:tab w:val="left" w:leader="dot" w:pos="3969"/>
              </w:tabs>
            </w:pPr>
            <w:r>
              <w:t xml:space="preserve">Supply of copy of plan — for each sheet </w:t>
            </w:r>
            <w:r>
              <w:tab/>
            </w:r>
          </w:p>
        </w:tc>
        <w:tc>
          <w:tcPr>
            <w:tcW w:w="811" w:type="dxa"/>
          </w:tcPr>
          <w:p>
            <w:pPr>
              <w:pStyle w:val="yTableNAm"/>
              <w:jc w:val="center"/>
            </w:pPr>
            <w:r>
              <w:t>25</w:t>
            </w:r>
            <w:r>
              <w:br/>
              <w:t>(up to a max. of 200)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26.</w:t>
            </w:r>
          </w:p>
        </w:tc>
        <w:tc>
          <w:tcPr>
            <w:tcW w:w="4159" w:type="dxa"/>
          </w:tcPr>
          <w:p>
            <w:pPr>
              <w:pStyle w:val="yTableNAm"/>
              <w:tabs>
                <w:tab w:val="left" w:leader="dot" w:pos="3969"/>
              </w:tabs>
            </w:pPr>
            <w:r>
              <w:t xml:space="preserve">Supply of certified copy of plan defining licensed premises </w:t>
            </w:r>
            <w:r>
              <w:tab/>
            </w:r>
          </w:p>
        </w:tc>
        <w:tc>
          <w:tcPr>
            <w:tcW w:w="811" w:type="dxa"/>
          </w:tcPr>
          <w:p>
            <w:pPr>
              <w:pStyle w:val="yTableNAm"/>
              <w:jc w:val="center"/>
            </w:pPr>
            <w:r>
              <w:b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27.</w:t>
            </w:r>
          </w:p>
        </w:tc>
        <w:tc>
          <w:tcPr>
            <w:tcW w:w="4159" w:type="dxa"/>
          </w:tcPr>
          <w:p>
            <w:pPr>
              <w:pStyle w:val="yTableNAm"/>
              <w:tabs>
                <w:tab w:val="left" w:leader="dot" w:pos="3969"/>
              </w:tabs>
            </w:pPr>
            <w:r>
              <w:t xml:space="preserve">Supply of copy of a licence, a permit or a decision of the Commission (or the former </w:t>
            </w:r>
            <w:smartTag w:uri="urn:schemas-microsoft-com:office:smarttags" w:element="Street">
              <w:smartTag w:uri="urn:schemas-microsoft-com:office:smarttags" w:element="address">
                <w:r>
                  <w:t>Liquor Licensing Court</w:t>
                </w:r>
              </w:smartTag>
            </w:smartTag>
            <w:r>
              <w:t xml:space="preserve">) or the Director </w:t>
            </w:r>
            <w:r>
              <w:tab/>
            </w:r>
          </w:p>
        </w:tc>
        <w:tc>
          <w:tcPr>
            <w:tcW w:w="811" w:type="dxa"/>
          </w:tcPr>
          <w:p>
            <w:pPr>
              <w:pStyle w:val="yTableNAm"/>
              <w:jc w:val="center"/>
            </w:pPr>
            <w:r>
              <w:br/>
            </w: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28.</w:t>
            </w:r>
          </w:p>
        </w:tc>
        <w:tc>
          <w:tcPr>
            <w:tcW w:w="4159" w:type="dxa"/>
          </w:tcPr>
          <w:p>
            <w:pPr>
              <w:pStyle w:val="yTableNAm"/>
              <w:tabs>
                <w:tab w:val="left" w:leader="dot" w:pos="3969"/>
              </w:tabs>
            </w:pPr>
            <w:r>
              <w:t xml:space="preserve">For the certification of a copy of a licence, a permit or a decision of the Commission (or the former </w:t>
            </w:r>
            <w:smartTag w:uri="urn:schemas-microsoft-com:office:smarttags" w:element="Street">
              <w:smartTag w:uri="urn:schemas-microsoft-com:office:smarttags" w:element="address">
                <w:r>
                  <w:t>Liquor Licensing Court</w:t>
                </w:r>
              </w:smartTag>
            </w:smartTag>
            <w:r>
              <w:t>) or the Director </w:t>
            </w:r>
            <w:r>
              <w:tab/>
            </w:r>
          </w:p>
          <w:p>
            <w:pPr>
              <w:pStyle w:val="yTableNAm"/>
              <w:tabs>
                <w:tab w:val="left" w:leader="dot" w:pos="3969"/>
              </w:tabs>
              <w:rPr>
                <w:sz w:val="18"/>
              </w:rPr>
            </w:pPr>
            <w:r>
              <w:rPr>
                <w:sz w:val="18"/>
              </w:rPr>
              <w:t>[In addition to the fee under item 26]</w:t>
            </w:r>
          </w:p>
        </w:tc>
        <w:tc>
          <w:tcPr>
            <w:tcW w:w="811" w:type="dxa"/>
          </w:tcPr>
          <w:p>
            <w:pPr>
              <w:pStyle w:val="yTableNAm"/>
              <w:jc w:val="center"/>
            </w:pPr>
            <w:r>
              <w:br/>
            </w:r>
            <w:r>
              <w:br/>
            </w:r>
            <w:r>
              <w:br/>
              <w:t>25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29.</w:t>
            </w:r>
          </w:p>
        </w:tc>
        <w:tc>
          <w:tcPr>
            <w:tcW w:w="4159" w:type="dxa"/>
          </w:tcPr>
          <w:p>
            <w:pPr>
              <w:pStyle w:val="yTableNAm"/>
              <w:tabs>
                <w:tab w:val="left" w:leader="dot" w:pos="3969"/>
              </w:tabs>
            </w:pPr>
            <w:r>
              <w:t xml:space="preserve">Supply of copy of documentation, other than that already prescribed, per page </w:t>
            </w:r>
            <w:r>
              <w:tab/>
            </w:r>
          </w:p>
        </w:tc>
        <w:tc>
          <w:tcPr>
            <w:tcW w:w="811" w:type="dxa"/>
          </w:tcPr>
          <w:p>
            <w:pPr>
              <w:pStyle w:val="yTableNAm"/>
              <w:jc w:val="center"/>
            </w:pPr>
            <w:r>
              <w:br/>
              <w:t>5</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bottom w:val="single" w:sz="4" w:space="0" w:color="auto"/>
            </w:tcBorders>
          </w:tcPr>
          <w:p>
            <w:pPr>
              <w:pStyle w:val="yTableNAm"/>
            </w:pPr>
            <w:r>
              <w:t>30.</w:t>
            </w:r>
          </w:p>
        </w:tc>
        <w:tc>
          <w:tcPr>
            <w:tcW w:w="4159" w:type="dxa"/>
          </w:tcPr>
          <w:p>
            <w:pPr>
              <w:pStyle w:val="yTableNAm"/>
              <w:tabs>
                <w:tab w:val="left" w:leader="dot" w:pos="3969"/>
              </w:tabs>
            </w:pPr>
            <w:r>
              <w:t xml:space="preserve">Issue of a summons to a witness </w:t>
            </w:r>
            <w:r>
              <w:tab/>
            </w:r>
          </w:p>
        </w:tc>
        <w:tc>
          <w:tcPr>
            <w:tcW w:w="811" w:type="dxa"/>
          </w:tcPr>
          <w:p>
            <w:pPr>
              <w:pStyle w:val="yTableNAm"/>
              <w:jc w:val="center"/>
            </w:pPr>
            <w:r>
              <w:t>20</w:t>
            </w:r>
          </w:p>
        </w:tc>
        <w:tc>
          <w:tcPr>
            <w:tcW w:w="1372" w:type="dxa"/>
            <w:tcBorders>
              <w:bottom w:val="single" w:sz="4" w:space="0" w:color="auto"/>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31.</w:t>
            </w:r>
          </w:p>
        </w:tc>
        <w:tc>
          <w:tcPr>
            <w:tcW w:w="4159" w:type="dxa"/>
          </w:tcPr>
          <w:p>
            <w:pPr>
              <w:pStyle w:val="yTableNAm"/>
              <w:tabs>
                <w:tab w:val="left" w:leader="dot" w:pos="3969"/>
              </w:tabs>
            </w:pPr>
            <w:r>
              <w:t xml:space="preserve">For a search of the database of records of licences — per licence </w:t>
            </w:r>
            <w:r>
              <w:tab/>
            </w:r>
          </w:p>
        </w:tc>
        <w:tc>
          <w:tcPr>
            <w:tcW w:w="811" w:type="dxa"/>
          </w:tcPr>
          <w:p>
            <w:pPr>
              <w:pStyle w:val="yTableNAm"/>
              <w:jc w:val="center"/>
            </w:pPr>
            <w:r>
              <w:br/>
              <w:t>35</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tcBorders>
          </w:tcPr>
          <w:p>
            <w:pPr>
              <w:pStyle w:val="yTableNAm"/>
            </w:pPr>
            <w:r>
              <w:t>32.</w:t>
            </w:r>
          </w:p>
        </w:tc>
        <w:tc>
          <w:tcPr>
            <w:tcW w:w="4159" w:type="dxa"/>
          </w:tcPr>
          <w:p>
            <w:pPr>
              <w:pStyle w:val="yTableNAm"/>
              <w:tabs>
                <w:tab w:val="left" w:leader="dot" w:pos="3969"/>
              </w:tabs>
            </w:pPr>
            <w:r>
              <w:t xml:space="preserve">For a full search of a licence record </w:t>
            </w:r>
            <w:r>
              <w:tab/>
            </w:r>
          </w:p>
        </w:tc>
        <w:tc>
          <w:tcPr>
            <w:tcW w:w="811" w:type="dxa"/>
          </w:tcPr>
          <w:p>
            <w:pPr>
              <w:pStyle w:val="yTableNAm"/>
              <w:jc w:val="center"/>
            </w:pPr>
            <w:r>
              <w:t>50</w:t>
            </w:r>
          </w:p>
        </w:tc>
        <w:tc>
          <w:tcPr>
            <w:tcW w:w="1372" w:type="dxa"/>
            <w:tcBorders>
              <w:right w:val="single" w:sz="4" w:space="0" w:color="auto"/>
            </w:tcBorders>
          </w:tcPr>
          <w:p>
            <w:pPr>
              <w:pStyle w:val="yTableNAm"/>
              <w:ind w:right="152"/>
              <w:jc w:val="center"/>
            </w:pPr>
          </w:p>
        </w:tc>
      </w:tr>
      <w:tr>
        <w:trPr>
          <w:cantSplit/>
        </w:trPr>
        <w:tc>
          <w:tcPr>
            <w:tcW w:w="798" w:type="dxa"/>
            <w:tcBorders>
              <w:left w:val="single" w:sz="4" w:space="0" w:color="auto"/>
              <w:bottom w:val="nil"/>
            </w:tcBorders>
          </w:tcPr>
          <w:p>
            <w:pPr>
              <w:pStyle w:val="yTableNAm"/>
            </w:pPr>
            <w:r>
              <w:t>33.</w:t>
            </w:r>
          </w:p>
        </w:tc>
        <w:tc>
          <w:tcPr>
            <w:tcW w:w="4159" w:type="dxa"/>
            <w:tcBorders>
              <w:bottom w:val="nil"/>
            </w:tcBorders>
          </w:tcPr>
          <w:p>
            <w:pPr>
              <w:pStyle w:val="yTableNAm"/>
              <w:tabs>
                <w:tab w:val="left" w:leader="dot" w:pos="3969"/>
              </w:tabs>
            </w:pPr>
            <w:r>
              <w:t>For a search of postcodes — </w:t>
            </w:r>
          </w:p>
        </w:tc>
        <w:tc>
          <w:tcPr>
            <w:tcW w:w="811" w:type="dxa"/>
            <w:tcBorders>
              <w:bottom w:val="nil"/>
            </w:tcBorders>
          </w:tcPr>
          <w:p>
            <w:pPr>
              <w:pStyle w:val="yTableNAm"/>
              <w:jc w:val="center"/>
            </w:pPr>
          </w:p>
        </w:tc>
        <w:tc>
          <w:tcPr>
            <w:tcW w:w="1372" w:type="dxa"/>
            <w:tcBorders>
              <w:bottom w:val="nil"/>
              <w:right w:val="single" w:sz="4" w:space="0" w:color="auto"/>
            </w:tcBorders>
          </w:tcPr>
          <w:p>
            <w:pPr>
              <w:pStyle w:val="yTableNAm"/>
              <w:ind w:right="152"/>
              <w:jc w:val="center"/>
            </w:pPr>
          </w:p>
        </w:tc>
      </w:tr>
      <w:tr>
        <w:trPr>
          <w:cantSplit/>
        </w:trPr>
        <w:tc>
          <w:tcPr>
            <w:tcW w:w="798" w:type="dxa"/>
            <w:tcBorders>
              <w:top w:val="nil"/>
              <w:left w:val="single" w:sz="4" w:space="0" w:color="auto"/>
              <w:bottom w:val="nil"/>
            </w:tcBorders>
          </w:tcPr>
          <w:p>
            <w:pPr>
              <w:pStyle w:val="yTableNAm"/>
            </w:pPr>
          </w:p>
        </w:tc>
        <w:tc>
          <w:tcPr>
            <w:tcW w:w="4159" w:type="dxa"/>
            <w:tcBorders>
              <w:top w:val="nil"/>
              <w:bottom w:val="nil"/>
            </w:tcBorders>
          </w:tcPr>
          <w:p>
            <w:pPr>
              <w:pStyle w:val="yTableNAm"/>
              <w:tabs>
                <w:tab w:val="left" w:leader="dot" w:pos="3969"/>
              </w:tabs>
            </w:pPr>
            <w:r>
              <w:t>(a)</w:t>
            </w:r>
            <w:r>
              <w:tab/>
              <w:t xml:space="preserve">1 to 10 postcodes </w:t>
            </w:r>
            <w:r>
              <w:tab/>
            </w:r>
          </w:p>
        </w:tc>
        <w:tc>
          <w:tcPr>
            <w:tcW w:w="811" w:type="dxa"/>
            <w:tcBorders>
              <w:top w:val="nil"/>
              <w:bottom w:val="nil"/>
            </w:tcBorders>
          </w:tcPr>
          <w:p>
            <w:pPr>
              <w:pStyle w:val="yTableNAm"/>
              <w:jc w:val="center"/>
            </w:pPr>
            <w:r>
              <w:t>35</w:t>
            </w:r>
          </w:p>
        </w:tc>
        <w:tc>
          <w:tcPr>
            <w:tcW w:w="1372" w:type="dxa"/>
            <w:tcBorders>
              <w:top w:val="nil"/>
              <w:bottom w:val="nil"/>
              <w:right w:val="single" w:sz="4" w:space="0" w:color="auto"/>
            </w:tcBorders>
          </w:tcPr>
          <w:p>
            <w:pPr>
              <w:pStyle w:val="yTableNAm"/>
              <w:ind w:right="152"/>
              <w:jc w:val="center"/>
            </w:pPr>
          </w:p>
        </w:tc>
      </w:tr>
      <w:tr>
        <w:trPr>
          <w:cantSplit/>
        </w:trPr>
        <w:tc>
          <w:tcPr>
            <w:tcW w:w="798" w:type="dxa"/>
            <w:tcBorders>
              <w:top w:val="nil"/>
              <w:left w:val="single" w:sz="4" w:space="0" w:color="auto"/>
            </w:tcBorders>
          </w:tcPr>
          <w:p>
            <w:pPr>
              <w:pStyle w:val="yTableNAm"/>
            </w:pPr>
          </w:p>
        </w:tc>
        <w:tc>
          <w:tcPr>
            <w:tcW w:w="4159" w:type="dxa"/>
            <w:tcBorders>
              <w:top w:val="nil"/>
            </w:tcBorders>
          </w:tcPr>
          <w:p>
            <w:pPr>
              <w:pStyle w:val="yTableNAm"/>
              <w:tabs>
                <w:tab w:val="left" w:leader="dot" w:pos="3969"/>
              </w:tabs>
            </w:pPr>
            <w:r>
              <w:t>(b)</w:t>
            </w:r>
            <w:r>
              <w:tab/>
              <w:t xml:space="preserve">more than 10 postcodes </w:t>
            </w:r>
            <w:r>
              <w:tab/>
            </w:r>
          </w:p>
        </w:tc>
        <w:tc>
          <w:tcPr>
            <w:tcW w:w="811" w:type="dxa"/>
            <w:tcBorders>
              <w:top w:val="nil"/>
            </w:tcBorders>
          </w:tcPr>
          <w:p>
            <w:pPr>
              <w:pStyle w:val="yTableNAm"/>
              <w:jc w:val="center"/>
            </w:pPr>
            <w:r>
              <w:t>75</w:t>
            </w:r>
          </w:p>
        </w:tc>
        <w:tc>
          <w:tcPr>
            <w:tcW w:w="1372" w:type="dxa"/>
            <w:tcBorders>
              <w:top w:val="nil"/>
              <w:right w:val="single" w:sz="4" w:space="0" w:color="auto"/>
            </w:tcBorders>
          </w:tcPr>
          <w:p>
            <w:pPr>
              <w:pStyle w:val="yTableNAm"/>
              <w:ind w:right="152"/>
              <w:jc w:val="center"/>
            </w:pPr>
          </w:p>
        </w:tc>
      </w:tr>
    </w:tbl>
    <w:p>
      <w:pPr>
        <w:pStyle w:val="yFootnotesection"/>
      </w:pPr>
      <w:r>
        <w:tab/>
        <w:t>[Schedule 3 inserted in Gazette 19 Nov 2010 p. 5744</w:t>
      </w:r>
      <w:r>
        <w:noBreakHyphen/>
        <w:t>7; amended in Gazette 3 Jun 2011 p. 1998</w:t>
      </w:r>
      <w:r>
        <w:noBreakHyphen/>
        <w:t>9 and 2001</w:t>
      </w:r>
      <w:r>
        <w:noBreakHyphen/>
        <w:t xml:space="preserve">2.] </w:t>
      </w:r>
    </w:p>
    <w:p>
      <w:pPr>
        <w:tabs>
          <w:tab w:val="left" w:pos="384"/>
          <w:tab w:val="left" w:pos="493"/>
          <w:tab w:val="left" w:pos="624"/>
          <w:tab w:val="right" w:pos="777"/>
          <w:tab w:val="left" w:leader="dot" w:pos="3821"/>
          <w:tab w:val="left" w:leader="dot" w:pos="4664"/>
        </w:tabs>
        <w:spacing w:before="60"/>
        <w:ind w:left="493" w:right="120" w:hanging="493"/>
        <w:jc w:val="right"/>
      </w:pPr>
    </w:p>
    <w:p>
      <w:pPr>
        <w:pStyle w:val="CentredBaseLine"/>
        <w:jc w:val="center"/>
      </w:pPr>
      <w:r>
        <w:rPr>
          <w:noProof/>
          <w:lang w:eastAsia="en-AU"/>
        </w:rPr>
        <w:drawing>
          <wp:inline distT="0" distB="0" distL="0" distR="0">
            <wp:extent cx="933450" cy="171450"/>
            <wp:effectExtent l="0" t="0" r="0" b="0"/>
            <wp:docPr id="5" name="Picture 5"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line"/>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tabs>
          <w:tab w:val="left" w:pos="384"/>
          <w:tab w:val="left" w:pos="493"/>
          <w:tab w:val="left" w:pos="624"/>
          <w:tab w:val="right" w:pos="777"/>
          <w:tab w:val="left" w:leader="dot" w:pos="3821"/>
          <w:tab w:val="left" w:leader="dot" w:pos="4664"/>
        </w:tabs>
        <w:spacing w:before="60"/>
        <w:ind w:left="493" w:right="120" w:hanging="493"/>
        <w:jc w:val="right"/>
        <w:sectPr>
          <w:headerReference w:type="even" r:id="rId34"/>
          <w:headerReference w:type="default" r:id="rId35"/>
          <w:pgSz w:w="11906" w:h="16838" w:code="9"/>
          <w:pgMar w:top="2381" w:right="2409" w:bottom="3543" w:left="2409" w:header="720" w:footer="3380" w:gutter="0"/>
          <w:cols w:space="720"/>
          <w:noEndnote/>
          <w:docGrid w:linePitch="326"/>
        </w:sectPr>
      </w:pPr>
    </w:p>
    <w:p>
      <w:pPr>
        <w:pStyle w:val="nHeading2"/>
      </w:pPr>
      <w:bookmarkStart w:id="1057" w:name="_Toc66263862"/>
      <w:bookmarkStart w:id="1058" w:name="_Toc72140219"/>
      <w:bookmarkStart w:id="1059" w:name="_Toc79826637"/>
      <w:bookmarkStart w:id="1060" w:name="_Toc89577182"/>
      <w:bookmarkStart w:id="1061" w:name="_Toc89580193"/>
      <w:bookmarkStart w:id="1062" w:name="_Toc92425375"/>
      <w:bookmarkStart w:id="1063" w:name="_Toc93288107"/>
      <w:bookmarkStart w:id="1064" w:name="_Toc112152488"/>
      <w:bookmarkStart w:id="1065" w:name="_Toc113173950"/>
      <w:bookmarkStart w:id="1066" w:name="_Toc113174007"/>
      <w:bookmarkStart w:id="1067" w:name="_Toc113176304"/>
      <w:bookmarkStart w:id="1068" w:name="_Toc113180393"/>
      <w:bookmarkStart w:id="1069" w:name="_Toc114391768"/>
      <w:bookmarkStart w:id="1070" w:name="_Toc115171745"/>
      <w:bookmarkStart w:id="1071" w:name="_Toc118609147"/>
      <w:bookmarkStart w:id="1072" w:name="_Toc119294106"/>
      <w:bookmarkStart w:id="1073" w:name="_Toc123633199"/>
      <w:bookmarkStart w:id="1074" w:name="_Toc123633286"/>
      <w:bookmarkStart w:id="1075" w:name="_Toc127594642"/>
      <w:bookmarkStart w:id="1076" w:name="_Toc155066805"/>
      <w:bookmarkStart w:id="1077" w:name="_Toc155084703"/>
      <w:bookmarkStart w:id="1078" w:name="_Toc166316645"/>
      <w:bookmarkStart w:id="1079" w:name="_Toc169665144"/>
      <w:bookmarkStart w:id="1080" w:name="_Toc169672022"/>
      <w:bookmarkStart w:id="1081" w:name="_Toc171323210"/>
      <w:bookmarkStart w:id="1082" w:name="_Toc172713674"/>
      <w:bookmarkStart w:id="1083" w:name="_Toc172713967"/>
      <w:bookmarkStart w:id="1084" w:name="_Toc173550878"/>
      <w:bookmarkStart w:id="1085" w:name="_Toc173560591"/>
      <w:bookmarkStart w:id="1086" w:name="_Toc178676598"/>
      <w:bookmarkStart w:id="1087" w:name="_Toc178676878"/>
      <w:bookmarkStart w:id="1088" w:name="_Toc178677075"/>
      <w:bookmarkStart w:id="1089" w:name="_Toc178734889"/>
      <w:bookmarkStart w:id="1090" w:name="_Toc178741348"/>
      <w:bookmarkStart w:id="1091" w:name="_Toc179100288"/>
      <w:bookmarkStart w:id="1092" w:name="_Toc179103254"/>
      <w:bookmarkStart w:id="1093" w:name="_Toc179708636"/>
      <w:bookmarkStart w:id="1094" w:name="_Toc179708742"/>
      <w:bookmarkStart w:id="1095" w:name="_Toc185652752"/>
      <w:bookmarkStart w:id="1096" w:name="_Toc185654456"/>
      <w:bookmarkStart w:id="1097" w:name="_Toc196630689"/>
      <w:bookmarkStart w:id="1098" w:name="_Toc197489589"/>
      <w:bookmarkStart w:id="1099" w:name="_Toc197489660"/>
      <w:bookmarkStart w:id="1100" w:name="_Toc197493327"/>
      <w:bookmarkStart w:id="1101" w:name="_Toc201728701"/>
      <w:bookmarkStart w:id="1102" w:name="_Toc201738259"/>
      <w:bookmarkStart w:id="1103" w:name="_Toc201738329"/>
      <w:bookmarkStart w:id="1104" w:name="_Toc201741267"/>
      <w:bookmarkStart w:id="1105" w:name="_Toc201741458"/>
      <w:bookmarkStart w:id="1106" w:name="_Toc202058824"/>
      <w:bookmarkStart w:id="1107" w:name="_Toc202842903"/>
      <w:bookmarkStart w:id="1108" w:name="_Toc212535058"/>
      <w:bookmarkStart w:id="1109" w:name="_Toc212605408"/>
      <w:bookmarkStart w:id="1110" w:name="_Toc212947109"/>
      <w:bookmarkStart w:id="1111" w:name="_Toc213749831"/>
      <w:bookmarkStart w:id="1112" w:name="_Toc231026189"/>
      <w:bookmarkStart w:id="1113" w:name="_Toc231026260"/>
      <w:bookmarkStart w:id="1114" w:name="_Toc231694213"/>
      <w:bookmarkStart w:id="1115" w:name="_Toc233777103"/>
      <w:bookmarkStart w:id="1116" w:name="_Toc234034476"/>
      <w:bookmarkStart w:id="1117" w:name="_Toc234036704"/>
      <w:bookmarkStart w:id="1118" w:name="_Toc236127832"/>
      <w:bookmarkStart w:id="1119" w:name="_Toc246401797"/>
      <w:bookmarkStart w:id="1120" w:name="_Toc246403947"/>
      <w:bookmarkStart w:id="1121" w:name="_Toc249257453"/>
      <w:bookmarkStart w:id="1122" w:name="_Toc251246189"/>
      <w:bookmarkStart w:id="1123" w:name="_Toc255309765"/>
      <w:bookmarkStart w:id="1124" w:name="_Toc259617858"/>
      <w:bookmarkStart w:id="1125" w:name="_Toc260654294"/>
      <w:bookmarkStart w:id="1126" w:name="_Toc262460756"/>
      <w:bookmarkStart w:id="1127" w:name="_Toc262656772"/>
      <w:bookmarkStart w:id="1128" w:name="_Toc262718314"/>
      <w:bookmarkStart w:id="1129" w:name="_Toc262718759"/>
      <w:bookmarkStart w:id="1130" w:name="_Toc263073558"/>
      <w:bookmarkStart w:id="1131" w:name="_Toc264018310"/>
      <w:bookmarkStart w:id="1132" w:name="_Toc272322671"/>
      <w:bookmarkStart w:id="1133" w:name="_Toc272411027"/>
      <w:bookmarkStart w:id="1134" w:name="_Toc272411098"/>
      <w:bookmarkStart w:id="1135" w:name="_Toc275443547"/>
      <w:bookmarkStart w:id="1136" w:name="_Toc279141670"/>
      <w:bookmarkStart w:id="1137" w:name="_Toc281463896"/>
      <w:bookmarkStart w:id="1138" w:name="_Toc292112296"/>
      <w:bookmarkStart w:id="1139" w:name="_Toc292112367"/>
      <w:bookmarkStart w:id="1140" w:name="_Toc294260097"/>
      <w:bookmarkStart w:id="1141" w:name="_Toc294860738"/>
      <w:bookmarkStart w:id="1142" w:name="_Toc298410642"/>
      <w:bookmarkStart w:id="1143" w:name="_Toc300583796"/>
      <w:bookmarkStart w:id="1144" w:name="_Toc300837732"/>
      <w:bookmarkStart w:id="1145" w:name="_Toc300926175"/>
      <w:bookmarkStart w:id="1146" w:name="_Toc301770420"/>
      <w:bookmarkStart w:id="1147" w:name="_Toc302391559"/>
      <w:bookmarkStart w:id="1148" w:name="_Toc303261628"/>
      <w:bookmarkStart w:id="1149" w:name="_Toc303261712"/>
      <w:bookmarkStart w:id="1150" w:name="_Toc303323210"/>
      <w:bookmarkStart w:id="1151" w:name="_Toc303323527"/>
      <w:bookmarkStart w:id="1152" w:name="_Toc303323611"/>
      <w:bookmarkStart w:id="1153" w:name="_Toc303323695"/>
      <w:bookmarkStart w:id="1154" w:name="_Toc303323779"/>
      <w:bookmarkStart w:id="1155" w:name="_Toc303323863"/>
      <w:bookmarkStart w:id="1156" w:name="_Toc303323947"/>
      <w:bookmarkStart w:id="1157" w:name="_Toc303926993"/>
      <w:r>
        <w:t>Notes</w:t>
      </w:r>
      <w:bookmarkEnd w:id="1057"/>
      <w:bookmarkEnd w:id="1058"/>
      <w:bookmarkEnd w:id="1059"/>
      <w:bookmarkEnd w:id="1060"/>
      <w:bookmarkEnd w:id="1061"/>
      <w:bookmarkEnd w:id="1062"/>
      <w:bookmarkEnd w:id="1063"/>
      <w:bookmarkEnd w:id="1064"/>
      <w:bookmarkEnd w:id="1065"/>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p>
    <w:p>
      <w:pPr>
        <w:pStyle w:val="nSubsection"/>
        <w:rPr>
          <w:snapToGrid w:val="0"/>
        </w:rPr>
      </w:pPr>
      <w:r>
        <w:rPr>
          <w:snapToGrid w:val="0"/>
          <w:vertAlign w:val="superscript"/>
        </w:rPr>
        <w:t>1</w:t>
      </w:r>
      <w:r>
        <w:rPr>
          <w:snapToGrid w:val="0"/>
        </w:rPr>
        <w:tab/>
        <w:t xml:space="preserve">This reprint is a compilation as at </w:t>
      </w:r>
      <w:r>
        <w:rPr>
          <w:snapToGrid w:val="0"/>
        </w:rPr>
        <w:fldChar w:fldCharType="begin"/>
      </w:r>
      <w:r>
        <w:rPr>
          <w:snapToGrid w:val="0"/>
        </w:rPr>
        <w:instrText xml:space="preserve"> DOCPROPERTY "ReprintedAsAt" \@ "d MMMM yyyy"  \* MERGEFORMAT </w:instrText>
      </w:r>
      <w:r>
        <w:rPr>
          <w:snapToGrid w:val="0"/>
        </w:rPr>
        <w:fldChar w:fldCharType="separate"/>
      </w:r>
      <w:r>
        <w:rPr>
          <w:snapToGrid w:val="0"/>
        </w:rPr>
        <w:t>16 September 2011</w:t>
      </w:r>
      <w:r>
        <w:rPr>
          <w:snapToGrid w:val="0"/>
        </w:rPr>
        <w:fldChar w:fldCharType="end"/>
      </w:r>
      <w:r>
        <w:rPr>
          <w:snapToGrid w:val="0"/>
        </w:rPr>
        <w:t xml:space="preserve"> of </w:t>
      </w:r>
      <w:r>
        <w:rPr>
          <w:i/>
          <w:snapToGrid w:val="0"/>
        </w:rPr>
        <w:t>the Liquor Control Regulations 1989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1158" w:name="_Toc264018311"/>
      <w:bookmarkStart w:id="1159" w:name="_Toc303323211"/>
      <w:bookmarkStart w:id="1160" w:name="_Toc303926994"/>
      <w:r>
        <w:rPr>
          <w:snapToGrid w:val="0"/>
        </w:rPr>
        <w:t>Compilation table</w:t>
      </w:r>
      <w:bookmarkEnd w:id="1158"/>
      <w:bookmarkEnd w:id="1159"/>
      <w:bookmarkEnd w:id="1160"/>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tcPr>
          <w:p>
            <w:pPr>
              <w:pStyle w:val="nTable"/>
              <w:spacing w:after="40"/>
              <w:ind w:right="113"/>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3119" w:type="dxa"/>
          </w:tcPr>
          <w:p>
            <w:pPr>
              <w:pStyle w:val="nTable"/>
              <w:spacing w:after="40"/>
              <w:ind w:right="113"/>
              <w:rPr>
                <w:iCs/>
                <w:sz w:val="19"/>
              </w:rPr>
            </w:pPr>
            <w:r>
              <w:rPr>
                <w:i/>
                <w:sz w:val="19"/>
              </w:rPr>
              <w:t>Liquor Licensing Regulations 1989</w:t>
            </w:r>
            <w:r>
              <w:rPr>
                <w:iCs/>
                <w:sz w:val="19"/>
                <w:vertAlign w:val="superscript"/>
              </w:rPr>
              <w:t> 6</w:t>
            </w:r>
          </w:p>
        </w:tc>
        <w:tc>
          <w:tcPr>
            <w:tcW w:w="1276" w:type="dxa"/>
          </w:tcPr>
          <w:p>
            <w:pPr>
              <w:pStyle w:val="nTable"/>
              <w:spacing w:after="40"/>
              <w:rPr>
                <w:sz w:val="19"/>
              </w:rPr>
            </w:pPr>
            <w:r>
              <w:rPr>
                <w:sz w:val="19"/>
              </w:rPr>
              <w:t>27 Jan 1989 p. 209</w:t>
            </w:r>
            <w:r>
              <w:rPr>
                <w:sz w:val="19"/>
              </w:rPr>
              <w:noBreakHyphen/>
              <w:t>61</w:t>
            </w:r>
          </w:p>
        </w:tc>
        <w:tc>
          <w:tcPr>
            <w:tcW w:w="2693" w:type="dxa"/>
          </w:tcPr>
          <w:p>
            <w:pPr>
              <w:pStyle w:val="nTable"/>
              <w:spacing w:after="40"/>
              <w:rPr>
                <w:sz w:val="19"/>
              </w:rPr>
            </w:pPr>
            <w:r>
              <w:rPr>
                <w:sz w:val="19"/>
              </w:rPr>
              <w:t xml:space="preserve">1 Feb 1989 (see r. 2 and </w:t>
            </w:r>
            <w:r>
              <w:rPr>
                <w:i/>
                <w:sz w:val="19"/>
              </w:rPr>
              <w:t>Gazette</w:t>
            </w:r>
            <w:r>
              <w:rPr>
                <w:sz w:val="19"/>
              </w:rPr>
              <w:t xml:space="preserve"> 27 Jan 1989 p. 263)</w:t>
            </w:r>
          </w:p>
        </w:tc>
      </w:tr>
      <w:tr>
        <w:trPr>
          <w:cantSplit/>
        </w:trPr>
        <w:tc>
          <w:tcPr>
            <w:tcW w:w="3119" w:type="dxa"/>
          </w:tcPr>
          <w:p>
            <w:pPr>
              <w:pStyle w:val="nTable"/>
              <w:spacing w:after="40"/>
              <w:ind w:right="113"/>
              <w:rPr>
                <w:i/>
                <w:sz w:val="19"/>
              </w:rPr>
            </w:pPr>
            <w:r>
              <w:rPr>
                <w:i/>
                <w:sz w:val="19"/>
              </w:rPr>
              <w:t>Liquor Licensing (Amendment) Regulations 1990</w:t>
            </w:r>
          </w:p>
        </w:tc>
        <w:tc>
          <w:tcPr>
            <w:tcW w:w="1276" w:type="dxa"/>
          </w:tcPr>
          <w:p>
            <w:pPr>
              <w:pStyle w:val="nTable"/>
              <w:spacing w:after="40"/>
              <w:rPr>
                <w:sz w:val="19"/>
              </w:rPr>
            </w:pPr>
            <w:r>
              <w:rPr>
                <w:sz w:val="19"/>
              </w:rPr>
              <w:t>3 Aug 1990 p. 3791</w:t>
            </w:r>
          </w:p>
        </w:tc>
        <w:tc>
          <w:tcPr>
            <w:tcW w:w="2693" w:type="dxa"/>
          </w:tcPr>
          <w:p>
            <w:pPr>
              <w:pStyle w:val="nTable"/>
              <w:spacing w:after="40"/>
              <w:rPr>
                <w:sz w:val="19"/>
              </w:rPr>
            </w:pPr>
            <w:r>
              <w:rPr>
                <w:sz w:val="19"/>
              </w:rPr>
              <w:t>3 Aug 1990</w:t>
            </w:r>
          </w:p>
        </w:tc>
      </w:tr>
      <w:tr>
        <w:trPr>
          <w:cantSplit/>
        </w:trPr>
        <w:tc>
          <w:tcPr>
            <w:tcW w:w="3119" w:type="dxa"/>
          </w:tcPr>
          <w:p>
            <w:pPr>
              <w:pStyle w:val="nTable"/>
              <w:spacing w:after="40"/>
              <w:ind w:right="113"/>
              <w:rPr>
                <w:i/>
                <w:sz w:val="19"/>
              </w:rPr>
            </w:pPr>
            <w:r>
              <w:rPr>
                <w:i/>
                <w:sz w:val="19"/>
              </w:rPr>
              <w:t>Liquor Licensing (Amendment) (No. 2) Regulations 1990</w:t>
            </w:r>
          </w:p>
        </w:tc>
        <w:tc>
          <w:tcPr>
            <w:tcW w:w="1276" w:type="dxa"/>
          </w:tcPr>
          <w:p>
            <w:pPr>
              <w:pStyle w:val="nTable"/>
              <w:spacing w:after="40"/>
              <w:rPr>
                <w:sz w:val="19"/>
              </w:rPr>
            </w:pPr>
            <w:r>
              <w:rPr>
                <w:sz w:val="19"/>
              </w:rPr>
              <w:t>24 Aug 1990 p. 4337</w:t>
            </w:r>
          </w:p>
        </w:tc>
        <w:tc>
          <w:tcPr>
            <w:tcW w:w="2693" w:type="dxa"/>
          </w:tcPr>
          <w:p>
            <w:pPr>
              <w:pStyle w:val="nTable"/>
              <w:spacing w:after="40"/>
              <w:rPr>
                <w:sz w:val="19"/>
              </w:rPr>
            </w:pPr>
            <w:r>
              <w:rPr>
                <w:sz w:val="19"/>
              </w:rPr>
              <w:t>24 Aug 1990</w:t>
            </w:r>
          </w:p>
        </w:tc>
      </w:tr>
      <w:tr>
        <w:trPr>
          <w:cantSplit/>
        </w:trPr>
        <w:tc>
          <w:tcPr>
            <w:tcW w:w="3119" w:type="dxa"/>
          </w:tcPr>
          <w:p>
            <w:pPr>
              <w:pStyle w:val="nTable"/>
              <w:spacing w:after="40"/>
              <w:ind w:right="113"/>
              <w:rPr>
                <w:sz w:val="19"/>
                <w:vertAlign w:val="superscript"/>
              </w:rPr>
            </w:pPr>
            <w:r>
              <w:rPr>
                <w:i/>
                <w:sz w:val="19"/>
              </w:rPr>
              <w:t>Liquor Licensing Amendment Regulations 1991</w:t>
            </w:r>
            <w:r>
              <w:rPr>
                <w:sz w:val="19"/>
                <w:vertAlign w:val="superscript"/>
              </w:rPr>
              <w:t> 7</w:t>
            </w:r>
          </w:p>
        </w:tc>
        <w:tc>
          <w:tcPr>
            <w:tcW w:w="1276" w:type="dxa"/>
          </w:tcPr>
          <w:p>
            <w:pPr>
              <w:pStyle w:val="nTable"/>
              <w:spacing w:after="40"/>
              <w:rPr>
                <w:sz w:val="19"/>
              </w:rPr>
            </w:pPr>
            <w:r>
              <w:rPr>
                <w:sz w:val="19"/>
              </w:rPr>
              <w:t>8 Nov 1991 p. 5768</w:t>
            </w:r>
            <w:r>
              <w:rPr>
                <w:sz w:val="19"/>
              </w:rPr>
              <w:noBreakHyphen/>
              <w:t>9</w:t>
            </w:r>
          </w:p>
        </w:tc>
        <w:tc>
          <w:tcPr>
            <w:tcW w:w="2693" w:type="dxa"/>
          </w:tcPr>
          <w:p>
            <w:pPr>
              <w:pStyle w:val="nTable"/>
              <w:spacing w:after="40"/>
              <w:rPr>
                <w:sz w:val="19"/>
              </w:rPr>
            </w:pPr>
            <w:r>
              <w:rPr>
                <w:sz w:val="19"/>
              </w:rPr>
              <w:t>8 Nov 1991</w:t>
            </w:r>
          </w:p>
        </w:tc>
      </w:tr>
      <w:tr>
        <w:trPr>
          <w:cantSplit/>
        </w:trPr>
        <w:tc>
          <w:tcPr>
            <w:tcW w:w="3119" w:type="dxa"/>
          </w:tcPr>
          <w:p>
            <w:pPr>
              <w:pStyle w:val="nTable"/>
              <w:spacing w:after="40"/>
              <w:ind w:right="113"/>
              <w:rPr>
                <w:i/>
                <w:sz w:val="19"/>
              </w:rPr>
            </w:pPr>
            <w:r>
              <w:rPr>
                <w:i/>
                <w:sz w:val="19"/>
              </w:rPr>
              <w:t>Liquor Licensing Amendment Regulations 1992</w:t>
            </w:r>
          </w:p>
        </w:tc>
        <w:tc>
          <w:tcPr>
            <w:tcW w:w="1276" w:type="dxa"/>
          </w:tcPr>
          <w:p>
            <w:pPr>
              <w:pStyle w:val="nTable"/>
              <w:spacing w:after="40"/>
              <w:rPr>
                <w:sz w:val="19"/>
              </w:rPr>
            </w:pPr>
            <w:r>
              <w:rPr>
                <w:sz w:val="19"/>
              </w:rPr>
              <w:t>21 Feb 1992 p. 933</w:t>
            </w:r>
            <w:r>
              <w:rPr>
                <w:sz w:val="19"/>
              </w:rPr>
              <w:noBreakHyphen/>
              <w:t>4</w:t>
            </w:r>
          </w:p>
        </w:tc>
        <w:tc>
          <w:tcPr>
            <w:tcW w:w="2693" w:type="dxa"/>
          </w:tcPr>
          <w:p>
            <w:pPr>
              <w:pStyle w:val="nTable"/>
              <w:spacing w:after="40"/>
              <w:rPr>
                <w:sz w:val="19"/>
              </w:rPr>
            </w:pPr>
            <w:r>
              <w:rPr>
                <w:sz w:val="19"/>
              </w:rPr>
              <w:t>21 Feb 1992</w:t>
            </w:r>
          </w:p>
        </w:tc>
      </w:tr>
      <w:tr>
        <w:trPr>
          <w:cantSplit/>
        </w:trPr>
        <w:tc>
          <w:tcPr>
            <w:tcW w:w="3119" w:type="dxa"/>
          </w:tcPr>
          <w:p>
            <w:pPr>
              <w:pStyle w:val="nTable"/>
              <w:spacing w:after="40"/>
              <w:ind w:right="113"/>
              <w:rPr>
                <w:i/>
                <w:sz w:val="19"/>
              </w:rPr>
            </w:pPr>
            <w:r>
              <w:rPr>
                <w:i/>
                <w:sz w:val="19"/>
              </w:rPr>
              <w:t>Liquor Licensing Amendment Regulations (No. 2) 1992</w:t>
            </w:r>
          </w:p>
        </w:tc>
        <w:tc>
          <w:tcPr>
            <w:tcW w:w="1276" w:type="dxa"/>
          </w:tcPr>
          <w:p>
            <w:pPr>
              <w:pStyle w:val="nTable"/>
              <w:spacing w:after="40"/>
              <w:rPr>
                <w:sz w:val="19"/>
              </w:rPr>
            </w:pPr>
            <w:r>
              <w:rPr>
                <w:sz w:val="19"/>
              </w:rPr>
              <w:t>20 Nov 1992 p. 5695</w:t>
            </w:r>
          </w:p>
        </w:tc>
        <w:tc>
          <w:tcPr>
            <w:tcW w:w="2693" w:type="dxa"/>
          </w:tcPr>
          <w:p>
            <w:pPr>
              <w:pStyle w:val="nTable"/>
              <w:spacing w:after="40"/>
              <w:rPr>
                <w:sz w:val="19"/>
              </w:rPr>
            </w:pPr>
            <w:r>
              <w:rPr>
                <w:sz w:val="19"/>
              </w:rPr>
              <w:t>1 Jan 1993 (see r. 2)</w:t>
            </w:r>
          </w:p>
        </w:tc>
      </w:tr>
      <w:tr>
        <w:trPr>
          <w:cantSplit/>
        </w:trPr>
        <w:tc>
          <w:tcPr>
            <w:tcW w:w="3119" w:type="dxa"/>
          </w:tcPr>
          <w:p>
            <w:pPr>
              <w:pStyle w:val="nTable"/>
              <w:spacing w:after="40"/>
              <w:ind w:right="113"/>
              <w:rPr>
                <w:i/>
                <w:sz w:val="19"/>
              </w:rPr>
            </w:pPr>
            <w:r>
              <w:rPr>
                <w:i/>
                <w:sz w:val="19"/>
              </w:rPr>
              <w:t>Liquor Licensing Amendment Regulations 1994</w:t>
            </w:r>
          </w:p>
        </w:tc>
        <w:tc>
          <w:tcPr>
            <w:tcW w:w="1276" w:type="dxa"/>
          </w:tcPr>
          <w:p>
            <w:pPr>
              <w:pStyle w:val="nTable"/>
              <w:spacing w:after="40"/>
              <w:rPr>
                <w:sz w:val="19"/>
              </w:rPr>
            </w:pPr>
            <w:r>
              <w:rPr>
                <w:sz w:val="19"/>
              </w:rPr>
              <w:t>23 Sep 1994 p. 4901</w:t>
            </w:r>
          </w:p>
        </w:tc>
        <w:tc>
          <w:tcPr>
            <w:tcW w:w="2693" w:type="dxa"/>
          </w:tcPr>
          <w:p>
            <w:pPr>
              <w:pStyle w:val="nTable"/>
              <w:spacing w:after="40"/>
              <w:rPr>
                <w:sz w:val="19"/>
              </w:rPr>
            </w:pPr>
            <w:r>
              <w:rPr>
                <w:sz w:val="19"/>
              </w:rPr>
              <w:t>23 Sep 1994</w:t>
            </w:r>
          </w:p>
        </w:tc>
      </w:tr>
      <w:tr>
        <w:trPr>
          <w:cantSplit/>
        </w:trPr>
        <w:tc>
          <w:tcPr>
            <w:tcW w:w="3119" w:type="dxa"/>
          </w:tcPr>
          <w:p>
            <w:pPr>
              <w:pStyle w:val="nTable"/>
              <w:spacing w:after="40"/>
              <w:ind w:right="113"/>
              <w:rPr>
                <w:i/>
                <w:sz w:val="19"/>
              </w:rPr>
            </w:pPr>
            <w:r>
              <w:rPr>
                <w:i/>
                <w:sz w:val="19"/>
              </w:rPr>
              <w:t>Liquor Licensing Amendment Regulations (No. 2) 1994</w:t>
            </w:r>
          </w:p>
        </w:tc>
        <w:tc>
          <w:tcPr>
            <w:tcW w:w="1276" w:type="dxa"/>
          </w:tcPr>
          <w:p>
            <w:pPr>
              <w:pStyle w:val="nTable"/>
              <w:spacing w:after="40"/>
              <w:rPr>
                <w:sz w:val="19"/>
              </w:rPr>
            </w:pPr>
            <w:r>
              <w:rPr>
                <w:sz w:val="19"/>
              </w:rPr>
              <w:t>30 Dec 1994 p. 7329</w:t>
            </w:r>
            <w:r>
              <w:rPr>
                <w:sz w:val="19"/>
              </w:rPr>
              <w:noBreakHyphen/>
              <w:t>30</w:t>
            </w:r>
          </w:p>
        </w:tc>
        <w:tc>
          <w:tcPr>
            <w:tcW w:w="2693" w:type="dxa"/>
          </w:tcPr>
          <w:p>
            <w:pPr>
              <w:pStyle w:val="nTable"/>
              <w:spacing w:after="40"/>
              <w:rPr>
                <w:sz w:val="19"/>
              </w:rPr>
            </w:pPr>
            <w:r>
              <w:rPr>
                <w:sz w:val="19"/>
              </w:rPr>
              <w:t>30 Dec 1994</w:t>
            </w:r>
          </w:p>
        </w:tc>
      </w:tr>
      <w:tr>
        <w:trPr>
          <w:cantSplit/>
        </w:trPr>
        <w:tc>
          <w:tcPr>
            <w:tcW w:w="3119" w:type="dxa"/>
          </w:tcPr>
          <w:p>
            <w:pPr>
              <w:pStyle w:val="nTable"/>
              <w:spacing w:after="40"/>
              <w:ind w:right="113"/>
              <w:rPr>
                <w:i/>
                <w:sz w:val="19"/>
              </w:rPr>
            </w:pPr>
            <w:r>
              <w:rPr>
                <w:i/>
                <w:sz w:val="19"/>
              </w:rPr>
              <w:t>Liquor Licensing Amendment Regulations 1995</w:t>
            </w:r>
          </w:p>
        </w:tc>
        <w:tc>
          <w:tcPr>
            <w:tcW w:w="1276" w:type="dxa"/>
          </w:tcPr>
          <w:p>
            <w:pPr>
              <w:pStyle w:val="nTable"/>
              <w:spacing w:after="40"/>
              <w:rPr>
                <w:sz w:val="19"/>
              </w:rPr>
            </w:pPr>
            <w:r>
              <w:rPr>
                <w:sz w:val="19"/>
              </w:rPr>
              <w:t>16 May 1995 p. 1859</w:t>
            </w:r>
          </w:p>
        </w:tc>
        <w:tc>
          <w:tcPr>
            <w:tcW w:w="2693" w:type="dxa"/>
          </w:tcPr>
          <w:p>
            <w:pPr>
              <w:pStyle w:val="nTable"/>
              <w:spacing w:after="40"/>
              <w:rPr>
                <w:sz w:val="19"/>
              </w:rPr>
            </w:pPr>
            <w:r>
              <w:rPr>
                <w:sz w:val="19"/>
              </w:rPr>
              <w:t>16 May 1995</w:t>
            </w:r>
          </w:p>
        </w:tc>
      </w:tr>
      <w:tr>
        <w:trPr>
          <w:cantSplit/>
        </w:trPr>
        <w:tc>
          <w:tcPr>
            <w:tcW w:w="3119" w:type="dxa"/>
          </w:tcPr>
          <w:p>
            <w:pPr>
              <w:pStyle w:val="nTable"/>
              <w:spacing w:after="40"/>
              <w:ind w:right="113"/>
              <w:rPr>
                <w:i/>
                <w:sz w:val="19"/>
              </w:rPr>
            </w:pPr>
            <w:r>
              <w:rPr>
                <w:i/>
                <w:sz w:val="19"/>
              </w:rPr>
              <w:t>Liquor Licensing Amendment Regulations 1996</w:t>
            </w:r>
          </w:p>
        </w:tc>
        <w:tc>
          <w:tcPr>
            <w:tcW w:w="1276" w:type="dxa"/>
          </w:tcPr>
          <w:p>
            <w:pPr>
              <w:pStyle w:val="nTable"/>
              <w:spacing w:after="40"/>
              <w:rPr>
                <w:sz w:val="19"/>
              </w:rPr>
            </w:pPr>
            <w:r>
              <w:rPr>
                <w:sz w:val="19"/>
              </w:rPr>
              <w:t>26 Nov 1996 p. 6629</w:t>
            </w:r>
            <w:r>
              <w:rPr>
                <w:sz w:val="19"/>
              </w:rPr>
              <w:noBreakHyphen/>
              <w:t>30</w:t>
            </w:r>
          </w:p>
        </w:tc>
        <w:tc>
          <w:tcPr>
            <w:tcW w:w="2693" w:type="dxa"/>
          </w:tcPr>
          <w:p>
            <w:pPr>
              <w:pStyle w:val="nTable"/>
              <w:spacing w:after="40"/>
              <w:rPr>
                <w:sz w:val="19"/>
              </w:rPr>
            </w:pPr>
            <w:r>
              <w:rPr>
                <w:sz w:val="19"/>
              </w:rPr>
              <w:t>26 Nov 1996</w:t>
            </w:r>
          </w:p>
        </w:tc>
      </w:tr>
      <w:tr>
        <w:trPr>
          <w:cantSplit/>
        </w:trPr>
        <w:tc>
          <w:tcPr>
            <w:tcW w:w="3119" w:type="dxa"/>
          </w:tcPr>
          <w:p>
            <w:pPr>
              <w:pStyle w:val="nTable"/>
              <w:spacing w:after="40"/>
              <w:ind w:right="113"/>
              <w:rPr>
                <w:i/>
                <w:sz w:val="19"/>
              </w:rPr>
            </w:pPr>
            <w:r>
              <w:rPr>
                <w:i/>
                <w:sz w:val="19"/>
              </w:rPr>
              <w:t>Liquor Licensing Amendment Regulations (No. 2) 1996</w:t>
            </w:r>
          </w:p>
        </w:tc>
        <w:tc>
          <w:tcPr>
            <w:tcW w:w="1276" w:type="dxa"/>
          </w:tcPr>
          <w:p>
            <w:pPr>
              <w:pStyle w:val="nTable"/>
              <w:spacing w:after="40"/>
              <w:rPr>
                <w:sz w:val="19"/>
              </w:rPr>
            </w:pPr>
            <w:r>
              <w:rPr>
                <w:sz w:val="19"/>
              </w:rPr>
              <w:t>3 Dec 1996 p. 6689</w:t>
            </w:r>
            <w:r>
              <w:rPr>
                <w:sz w:val="19"/>
              </w:rPr>
              <w:noBreakHyphen/>
              <w:t>91</w:t>
            </w:r>
          </w:p>
        </w:tc>
        <w:tc>
          <w:tcPr>
            <w:tcW w:w="2693" w:type="dxa"/>
          </w:tcPr>
          <w:p>
            <w:pPr>
              <w:pStyle w:val="nTable"/>
              <w:spacing w:after="40"/>
              <w:rPr>
                <w:sz w:val="19"/>
              </w:rPr>
            </w:pPr>
            <w:r>
              <w:rPr>
                <w:sz w:val="19"/>
              </w:rPr>
              <w:t>3 Dec 1996</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Sep 1997</w:t>
            </w:r>
            <w:r>
              <w:rPr>
                <w:sz w:val="19"/>
              </w:rPr>
              <w:t xml:space="preserve"> (includes amendments listed above)</w:t>
            </w:r>
          </w:p>
        </w:tc>
      </w:tr>
      <w:tr>
        <w:trPr>
          <w:cantSplit/>
        </w:trPr>
        <w:tc>
          <w:tcPr>
            <w:tcW w:w="3119" w:type="dxa"/>
          </w:tcPr>
          <w:p>
            <w:pPr>
              <w:pStyle w:val="nTable"/>
              <w:spacing w:after="40"/>
              <w:ind w:right="113"/>
              <w:rPr>
                <w:sz w:val="19"/>
              </w:rPr>
            </w:pPr>
            <w:r>
              <w:rPr>
                <w:i/>
                <w:sz w:val="19"/>
              </w:rPr>
              <w:t>Liquor Licensing Amendment Regulations 1997</w:t>
            </w:r>
          </w:p>
        </w:tc>
        <w:tc>
          <w:tcPr>
            <w:tcW w:w="1276" w:type="dxa"/>
          </w:tcPr>
          <w:p>
            <w:pPr>
              <w:pStyle w:val="nTable"/>
              <w:spacing w:after="40"/>
              <w:rPr>
                <w:sz w:val="19"/>
              </w:rPr>
            </w:pPr>
            <w:r>
              <w:rPr>
                <w:sz w:val="19"/>
              </w:rPr>
              <w:t>14 Nov 1997 p. 6446</w:t>
            </w:r>
            <w:r>
              <w:rPr>
                <w:sz w:val="19"/>
              </w:rPr>
              <w:noBreakHyphen/>
              <w:t>8</w:t>
            </w:r>
          </w:p>
        </w:tc>
        <w:tc>
          <w:tcPr>
            <w:tcW w:w="2693" w:type="dxa"/>
          </w:tcPr>
          <w:p>
            <w:pPr>
              <w:pStyle w:val="nTable"/>
              <w:spacing w:after="40"/>
              <w:rPr>
                <w:sz w:val="19"/>
              </w:rPr>
            </w:pPr>
            <w:r>
              <w:rPr>
                <w:sz w:val="19"/>
              </w:rPr>
              <w:t>1 Jan 1998 (see r. 2)</w:t>
            </w:r>
          </w:p>
        </w:tc>
      </w:tr>
      <w:tr>
        <w:trPr>
          <w:cantSplit/>
        </w:trPr>
        <w:tc>
          <w:tcPr>
            <w:tcW w:w="3119" w:type="dxa"/>
          </w:tcPr>
          <w:p>
            <w:pPr>
              <w:pStyle w:val="nTable"/>
              <w:spacing w:after="40"/>
              <w:ind w:right="113"/>
              <w:rPr>
                <w:sz w:val="19"/>
              </w:rPr>
            </w:pPr>
            <w:r>
              <w:rPr>
                <w:i/>
                <w:sz w:val="19"/>
              </w:rPr>
              <w:t>Liquor Licensing Amendment Regulations 1998</w:t>
            </w:r>
          </w:p>
        </w:tc>
        <w:tc>
          <w:tcPr>
            <w:tcW w:w="1276" w:type="dxa"/>
          </w:tcPr>
          <w:p>
            <w:pPr>
              <w:pStyle w:val="nTable"/>
              <w:spacing w:after="40"/>
              <w:rPr>
                <w:sz w:val="19"/>
              </w:rPr>
            </w:pPr>
            <w:r>
              <w:rPr>
                <w:sz w:val="19"/>
              </w:rPr>
              <w:t>30 Jan 1998 p. 559</w:t>
            </w:r>
            <w:r>
              <w:rPr>
                <w:sz w:val="19"/>
              </w:rPr>
              <w:noBreakHyphen/>
              <w:t>73</w:t>
            </w:r>
            <w:r>
              <w:rPr>
                <w:sz w:val="19"/>
              </w:rPr>
              <w:br/>
              <w:t>(correction 6 Feb 1998 p. 662)</w:t>
            </w:r>
          </w:p>
        </w:tc>
        <w:tc>
          <w:tcPr>
            <w:tcW w:w="2693" w:type="dxa"/>
          </w:tcPr>
          <w:p>
            <w:pPr>
              <w:pStyle w:val="nTable"/>
              <w:spacing w:after="40"/>
              <w:rPr>
                <w:sz w:val="19"/>
              </w:rPr>
            </w:pPr>
            <w:r>
              <w:rPr>
                <w:sz w:val="19"/>
              </w:rPr>
              <w:t xml:space="preserve">31 Jan 1998 (see r. 2 and </w:t>
            </w:r>
            <w:r>
              <w:rPr>
                <w:i/>
                <w:sz w:val="19"/>
              </w:rPr>
              <w:t>Gazette</w:t>
            </w:r>
            <w:r>
              <w:rPr>
                <w:sz w:val="19"/>
              </w:rPr>
              <w:t xml:space="preserve"> 30 Jan 1998 p. 577)</w:t>
            </w:r>
          </w:p>
        </w:tc>
      </w:tr>
      <w:tr>
        <w:trPr>
          <w:cantSplit/>
        </w:trPr>
        <w:tc>
          <w:tcPr>
            <w:tcW w:w="3119" w:type="dxa"/>
          </w:tcPr>
          <w:p>
            <w:pPr>
              <w:pStyle w:val="nTable"/>
              <w:spacing w:after="40"/>
              <w:ind w:right="113"/>
              <w:rPr>
                <w:sz w:val="19"/>
              </w:rPr>
            </w:pPr>
            <w:r>
              <w:rPr>
                <w:i/>
                <w:sz w:val="19"/>
              </w:rPr>
              <w:t>Liquor Licensing Amendment Regulations (No. 2) 1998</w:t>
            </w:r>
          </w:p>
        </w:tc>
        <w:tc>
          <w:tcPr>
            <w:tcW w:w="1276" w:type="dxa"/>
          </w:tcPr>
          <w:p>
            <w:pPr>
              <w:pStyle w:val="nTable"/>
              <w:spacing w:after="40"/>
              <w:rPr>
                <w:sz w:val="19"/>
              </w:rPr>
            </w:pPr>
            <w:r>
              <w:rPr>
                <w:sz w:val="19"/>
              </w:rPr>
              <w:t>28 Apr 1998</w:t>
            </w:r>
            <w:r>
              <w:rPr>
                <w:sz w:val="19"/>
              </w:rPr>
              <w:br/>
              <w:t>p. 2198</w:t>
            </w:r>
          </w:p>
        </w:tc>
        <w:tc>
          <w:tcPr>
            <w:tcW w:w="2693" w:type="dxa"/>
          </w:tcPr>
          <w:p>
            <w:pPr>
              <w:pStyle w:val="nTable"/>
              <w:spacing w:after="40"/>
              <w:rPr>
                <w:sz w:val="19"/>
              </w:rPr>
            </w:pPr>
            <w:r>
              <w:rPr>
                <w:sz w:val="19"/>
              </w:rPr>
              <w:t>28 Apr 1998</w:t>
            </w:r>
          </w:p>
        </w:tc>
      </w:tr>
      <w:tr>
        <w:trPr>
          <w:cantSplit/>
        </w:trPr>
        <w:tc>
          <w:tcPr>
            <w:tcW w:w="3119" w:type="dxa"/>
          </w:tcPr>
          <w:p>
            <w:pPr>
              <w:pStyle w:val="nTable"/>
              <w:spacing w:after="40"/>
              <w:ind w:right="113"/>
              <w:rPr>
                <w:sz w:val="19"/>
              </w:rPr>
            </w:pPr>
            <w:r>
              <w:rPr>
                <w:i/>
                <w:sz w:val="19"/>
              </w:rPr>
              <w:t>Liquor Licensing Amendment Regulations (No. 3) 1998</w:t>
            </w:r>
          </w:p>
        </w:tc>
        <w:tc>
          <w:tcPr>
            <w:tcW w:w="1276" w:type="dxa"/>
          </w:tcPr>
          <w:p>
            <w:pPr>
              <w:pStyle w:val="nTable"/>
              <w:spacing w:after="40"/>
              <w:rPr>
                <w:sz w:val="19"/>
              </w:rPr>
            </w:pPr>
            <w:r>
              <w:rPr>
                <w:sz w:val="19"/>
              </w:rPr>
              <w:t>22 May 1998 p. 2940</w:t>
            </w:r>
            <w:r>
              <w:rPr>
                <w:sz w:val="19"/>
              </w:rPr>
              <w:noBreakHyphen/>
              <w:t>4</w:t>
            </w:r>
          </w:p>
        </w:tc>
        <w:tc>
          <w:tcPr>
            <w:tcW w:w="2693" w:type="dxa"/>
          </w:tcPr>
          <w:p>
            <w:pPr>
              <w:pStyle w:val="nTable"/>
              <w:spacing w:after="40"/>
              <w:rPr>
                <w:sz w:val="19"/>
              </w:rPr>
            </w:pPr>
            <w:r>
              <w:rPr>
                <w:sz w:val="19"/>
              </w:rPr>
              <w:t xml:space="preserve">23 May 1998 (see r. 2 and </w:t>
            </w:r>
            <w:r>
              <w:rPr>
                <w:i/>
                <w:sz w:val="19"/>
              </w:rPr>
              <w:t>Gazette</w:t>
            </w:r>
            <w:r>
              <w:rPr>
                <w:sz w:val="19"/>
              </w:rPr>
              <w:t xml:space="preserve"> 22 May 1998 p. 2921)</w:t>
            </w:r>
          </w:p>
        </w:tc>
      </w:tr>
      <w:tr>
        <w:trPr>
          <w:cantSplit/>
        </w:trPr>
        <w:tc>
          <w:tcPr>
            <w:tcW w:w="3119" w:type="dxa"/>
          </w:tcPr>
          <w:p>
            <w:pPr>
              <w:pStyle w:val="nTable"/>
              <w:spacing w:after="40"/>
              <w:ind w:right="113"/>
              <w:rPr>
                <w:sz w:val="19"/>
              </w:rPr>
            </w:pPr>
            <w:r>
              <w:rPr>
                <w:i/>
                <w:sz w:val="19"/>
              </w:rPr>
              <w:t>Liquor Licensing Amendment Regulations (No. 4) 1998</w:t>
            </w:r>
          </w:p>
        </w:tc>
        <w:tc>
          <w:tcPr>
            <w:tcW w:w="1276" w:type="dxa"/>
          </w:tcPr>
          <w:p>
            <w:pPr>
              <w:pStyle w:val="nTable"/>
              <w:spacing w:after="40"/>
              <w:rPr>
                <w:sz w:val="19"/>
              </w:rPr>
            </w:pPr>
            <w:r>
              <w:rPr>
                <w:sz w:val="19"/>
              </w:rPr>
              <w:t>6 Oct 1998 p. 5563</w:t>
            </w:r>
            <w:r>
              <w:rPr>
                <w:sz w:val="19"/>
              </w:rPr>
              <w:noBreakHyphen/>
              <w:t>7</w:t>
            </w:r>
          </w:p>
        </w:tc>
        <w:tc>
          <w:tcPr>
            <w:tcW w:w="2693" w:type="dxa"/>
          </w:tcPr>
          <w:p>
            <w:pPr>
              <w:pStyle w:val="nTable"/>
              <w:spacing w:after="40"/>
              <w:rPr>
                <w:sz w:val="19"/>
              </w:rPr>
            </w:pPr>
            <w:r>
              <w:rPr>
                <w:sz w:val="19"/>
              </w:rPr>
              <w:t>6 Oct 1998</w:t>
            </w:r>
          </w:p>
        </w:tc>
      </w:tr>
      <w:tr>
        <w:trPr>
          <w:cantSplit/>
        </w:trPr>
        <w:tc>
          <w:tcPr>
            <w:tcW w:w="3119" w:type="dxa"/>
          </w:tcPr>
          <w:p>
            <w:pPr>
              <w:pStyle w:val="nTable"/>
              <w:spacing w:after="40"/>
              <w:ind w:right="113"/>
              <w:rPr>
                <w:sz w:val="19"/>
              </w:rPr>
            </w:pPr>
            <w:r>
              <w:rPr>
                <w:i/>
                <w:sz w:val="19"/>
              </w:rPr>
              <w:t>Liquor Licensing Amendment Regulations (No. 5) 1998</w:t>
            </w:r>
          </w:p>
        </w:tc>
        <w:tc>
          <w:tcPr>
            <w:tcW w:w="1276" w:type="dxa"/>
          </w:tcPr>
          <w:p>
            <w:pPr>
              <w:pStyle w:val="nTable"/>
              <w:spacing w:after="40"/>
              <w:rPr>
                <w:sz w:val="19"/>
              </w:rPr>
            </w:pPr>
            <w:r>
              <w:rPr>
                <w:sz w:val="19"/>
              </w:rPr>
              <w:t>30 Oct 1998 p. 6015</w:t>
            </w:r>
          </w:p>
        </w:tc>
        <w:tc>
          <w:tcPr>
            <w:tcW w:w="2693" w:type="dxa"/>
          </w:tcPr>
          <w:p>
            <w:pPr>
              <w:pStyle w:val="nTable"/>
              <w:spacing w:after="40"/>
              <w:rPr>
                <w:sz w:val="19"/>
              </w:rPr>
            </w:pPr>
            <w:r>
              <w:rPr>
                <w:sz w:val="19"/>
              </w:rPr>
              <w:t>1 Dec 1998 (see r. 2)</w:t>
            </w:r>
          </w:p>
        </w:tc>
      </w:tr>
      <w:tr>
        <w:trPr>
          <w:cantSplit/>
        </w:trPr>
        <w:tc>
          <w:tcPr>
            <w:tcW w:w="3119" w:type="dxa"/>
          </w:tcPr>
          <w:p>
            <w:pPr>
              <w:pStyle w:val="nTable"/>
              <w:spacing w:after="40"/>
              <w:ind w:right="113"/>
              <w:rPr>
                <w:i/>
                <w:sz w:val="19"/>
              </w:rPr>
            </w:pPr>
            <w:r>
              <w:rPr>
                <w:i/>
                <w:sz w:val="19"/>
              </w:rPr>
              <w:t>Liquor Licensing Amendment Regulations 1999</w:t>
            </w:r>
          </w:p>
        </w:tc>
        <w:tc>
          <w:tcPr>
            <w:tcW w:w="1276" w:type="dxa"/>
          </w:tcPr>
          <w:p>
            <w:pPr>
              <w:pStyle w:val="nTable"/>
              <w:spacing w:after="40"/>
              <w:rPr>
                <w:sz w:val="19"/>
              </w:rPr>
            </w:pPr>
            <w:r>
              <w:rPr>
                <w:sz w:val="19"/>
              </w:rPr>
              <w:t>30 Apr 1999 p. 1820</w:t>
            </w:r>
            <w:r>
              <w:rPr>
                <w:sz w:val="19"/>
              </w:rPr>
              <w:noBreakHyphen/>
              <w:t>1</w:t>
            </w:r>
          </w:p>
        </w:tc>
        <w:tc>
          <w:tcPr>
            <w:tcW w:w="2693" w:type="dxa"/>
          </w:tcPr>
          <w:p>
            <w:pPr>
              <w:pStyle w:val="nTable"/>
              <w:spacing w:after="40"/>
              <w:rPr>
                <w:sz w:val="19"/>
              </w:rPr>
            </w:pPr>
            <w:r>
              <w:rPr>
                <w:sz w:val="19"/>
              </w:rPr>
              <w:t>30 Apr 1999 (see r. 2)</w:t>
            </w:r>
          </w:p>
        </w:tc>
      </w:tr>
      <w:tr>
        <w:trPr>
          <w:cantSplit/>
        </w:trPr>
        <w:tc>
          <w:tcPr>
            <w:tcW w:w="3119" w:type="dxa"/>
          </w:tcPr>
          <w:p>
            <w:pPr>
              <w:pStyle w:val="nTable"/>
              <w:spacing w:after="40"/>
              <w:ind w:right="113"/>
              <w:rPr>
                <w:sz w:val="19"/>
              </w:rPr>
            </w:pPr>
            <w:r>
              <w:rPr>
                <w:i/>
                <w:sz w:val="19"/>
              </w:rPr>
              <w:t>Liquor Licensing Amendment Regulations (No. 2) 1999</w:t>
            </w:r>
          </w:p>
        </w:tc>
        <w:tc>
          <w:tcPr>
            <w:tcW w:w="1276" w:type="dxa"/>
          </w:tcPr>
          <w:p>
            <w:pPr>
              <w:pStyle w:val="nTable"/>
              <w:spacing w:after="40"/>
              <w:rPr>
                <w:sz w:val="19"/>
              </w:rPr>
            </w:pPr>
            <w:r>
              <w:rPr>
                <w:sz w:val="19"/>
              </w:rPr>
              <w:t>31 Aug 1999 p. 4256</w:t>
            </w:r>
            <w:r>
              <w:rPr>
                <w:sz w:val="19"/>
              </w:rPr>
              <w:noBreakHyphen/>
              <w:t>9</w:t>
            </w:r>
          </w:p>
        </w:tc>
        <w:tc>
          <w:tcPr>
            <w:tcW w:w="2693" w:type="dxa"/>
          </w:tcPr>
          <w:p>
            <w:pPr>
              <w:pStyle w:val="nTable"/>
              <w:spacing w:after="40"/>
              <w:rPr>
                <w:sz w:val="19"/>
              </w:rPr>
            </w:pPr>
            <w:r>
              <w:rPr>
                <w:sz w:val="19"/>
              </w:rPr>
              <w:t>31 Aug 1999</w:t>
            </w:r>
          </w:p>
        </w:tc>
      </w:tr>
      <w:tr>
        <w:trPr>
          <w:cantSplit/>
        </w:trPr>
        <w:tc>
          <w:tcPr>
            <w:tcW w:w="3119" w:type="dxa"/>
          </w:tcPr>
          <w:p>
            <w:pPr>
              <w:pStyle w:val="nTable"/>
              <w:spacing w:after="40"/>
              <w:ind w:right="113"/>
              <w:rPr>
                <w:i/>
                <w:sz w:val="19"/>
              </w:rPr>
            </w:pPr>
            <w:r>
              <w:rPr>
                <w:i/>
                <w:sz w:val="19"/>
              </w:rPr>
              <w:t>Liquor Licensing Amendment Regulations (No. 3) 1999</w:t>
            </w:r>
          </w:p>
        </w:tc>
        <w:tc>
          <w:tcPr>
            <w:tcW w:w="1276" w:type="dxa"/>
          </w:tcPr>
          <w:p>
            <w:pPr>
              <w:pStyle w:val="nTable"/>
              <w:spacing w:after="40"/>
              <w:rPr>
                <w:sz w:val="19"/>
              </w:rPr>
            </w:pPr>
            <w:r>
              <w:rPr>
                <w:sz w:val="19"/>
              </w:rPr>
              <w:t>21 Dec 1999 p. 6418</w:t>
            </w:r>
            <w:r>
              <w:rPr>
                <w:sz w:val="19"/>
              </w:rPr>
              <w:noBreakHyphen/>
              <w:t>20</w:t>
            </w:r>
          </w:p>
        </w:tc>
        <w:tc>
          <w:tcPr>
            <w:tcW w:w="2693" w:type="dxa"/>
          </w:tcPr>
          <w:p>
            <w:pPr>
              <w:pStyle w:val="nTable"/>
              <w:spacing w:after="40"/>
              <w:rPr>
                <w:sz w:val="19"/>
              </w:rPr>
            </w:pPr>
            <w:r>
              <w:rPr>
                <w:sz w:val="19"/>
              </w:rPr>
              <w:t>1 Jan 2000 (see r. 2)</w:t>
            </w:r>
          </w:p>
        </w:tc>
      </w:tr>
      <w:tr>
        <w:trPr>
          <w:cantSplit/>
        </w:trPr>
        <w:tc>
          <w:tcPr>
            <w:tcW w:w="7088" w:type="dxa"/>
            <w:gridSpan w:val="3"/>
          </w:tcPr>
          <w:p>
            <w:pPr>
              <w:pStyle w:val="nTable"/>
              <w:spacing w:after="40"/>
              <w:rPr>
                <w:sz w:val="19"/>
              </w:rPr>
            </w:pPr>
            <w:r>
              <w:rPr>
                <w:b/>
                <w:sz w:val="19"/>
              </w:rPr>
              <w:t xml:space="preserve">Reprint of the </w:t>
            </w:r>
            <w:r>
              <w:rPr>
                <w:b/>
                <w:i/>
                <w:sz w:val="19"/>
              </w:rPr>
              <w:t xml:space="preserve">Liquor Licensing Regulations 1989 </w:t>
            </w:r>
            <w:r>
              <w:rPr>
                <w:b/>
                <w:sz w:val="19"/>
              </w:rPr>
              <w:t xml:space="preserve">as at 7 Jan 2000 </w:t>
            </w:r>
            <w:r>
              <w:rPr>
                <w:sz w:val="19"/>
              </w:rPr>
              <w:t>(includes amendments listed above)</w:t>
            </w:r>
          </w:p>
        </w:tc>
      </w:tr>
      <w:tr>
        <w:trPr>
          <w:cantSplit/>
        </w:trPr>
        <w:tc>
          <w:tcPr>
            <w:tcW w:w="3119" w:type="dxa"/>
          </w:tcPr>
          <w:p>
            <w:pPr>
              <w:pStyle w:val="nTable"/>
              <w:spacing w:after="40"/>
              <w:ind w:right="113"/>
              <w:rPr>
                <w:i/>
                <w:sz w:val="19"/>
              </w:rPr>
            </w:pPr>
            <w:r>
              <w:rPr>
                <w:i/>
                <w:sz w:val="19"/>
              </w:rPr>
              <w:t>Liquor Licensing Amendment Regulations 2000</w:t>
            </w:r>
          </w:p>
        </w:tc>
        <w:tc>
          <w:tcPr>
            <w:tcW w:w="1276" w:type="dxa"/>
          </w:tcPr>
          <w:p>
            <w:pPr>
              <w:pStyle w:val="nTable"/>
              <w:spacing w:after="40"/>
              <w:rPr>
                <w:sz w:val="19"/>
              </w:rPr>
            </w:pPr>
            <w:r>
              <w:rPr>
                <w:sz w:val="19"/>
              </w:rPr>
              <w:t xml:space="preserve">12 May 2000 </w:t>
            </w:r>
            <w:r>
              <w:rPr>
                <w:sz w:val="19"/>
              </w:rPr>
              <w:br/>
              <w:t>p. 2286</w:t>
            </w:r>
          </w:p>
        </w:tc>
        <w:tc>
          <w:tcPr>
            <w:tcW w:w="2693" w:type="dxa"/>
          </w:tcPr>
          <w:p>
            <w:pPr>
              <w:pStyle w:val="nTable"/>
              <w:spacing w:after="40"/>
              <w:rPr>
                <w:sz w:val="19"/>
              </w:rPr>
            </w:pPr>
            <w:r>
              <w:rPr>
                <w:sz w:val="19"/>
              </w:rPr>
              <w:t>1 Jul 2000 (see r. 2)</w:t>
            </w:r>
          </w:p>
        </w:tc>
      </w:tr>
      <w:tr>
        <w:trPr>
          <w:cantSplit/>
        </w:trPr>
        <w:tc>
          <w:tcPr>
            <w:tcW w:w="3119" w:type="dxa"/>
          </w:tcPr>
          <w:p>
            <w:pPr>
              <w:pStyle w:val="nTable"/>
              <w:spacing w:after="40"/>
              <w:ind w:right="113"/>
              <w:rPr>
                <w:i/>
                <w:sz w:val="19"/>
              </w:rPr>
            </w:pPr>
            <w:r>
              <w:rPr>
                <w:i/>
                <w:sz w:val="19"/>
              </w:rPr>
              <w:t>Liquor Licensing Amendment Regulations (No. 2) 2000</w:t>
            </w:r>
          </w:p>
        </w:tc>
        <w:tc>
          <w:tcPr>
            <w:tcW w:w="1276" w:type="dxa"/>
          </w:tcPr>
          <w:p>
            <w:pPr>
              <w:pStyle w:val="nTable"/>
              <w:spacing w:after="40"/>
              <w:rPr>
                <w:sz w:val="19"/>
              </w:rPr>
            </w:pPr>
            <w:r>
              <w:rPr>
                <w:sz w:val="19"/>
              </w:rPr>
              <w:t>28 Jul 2000 p. 4029</w:t>
            </w:r>
            <w:r>
              <w:rPr>
                <w:sz w:val="19"/>
              </w:rPr>
              <w:noBreakHyphen/>
              <w:t>32</w:t>
            </w:r>
          </w:p>
        </w:tc>
        <w:tc>
          <w:tcPr>
            <w:tcW w:w="2693" w:type="dxa"/>
          </w:tcPr>
          <w:p>
            <w:pPr>
              <w:pStyle w:val="nTable"/>
              <w:spacing w:after="40"/>
              <w:rPr>
                <w:sz w:val="19"/>
              </w:rPr>
            </w:pPr>
            <w:r>
              <w:rPr>
                <w:sz w:val="19"/>
              </w:rPr>
              <w:t xml:space="preserve">28 Jul 2000 </w:t>
            </w:r>
          </w:p>
        </w:tc>
      </w:tr>
      <w:tr>
        <w:trPr>
          <w:cantSplit/>
        </w:trPr>
        <w:tc>
          <w:tcPr>
            <w:tcW w:w="3119" w:type="dxa"/>
          </w:tcPr>
          <w:p>
            <w:pPr>
              <w:pStyle w:val="nTable"/>
              <w:spacing w:after="40"/>
              <w:ind w:right="113"/>
              <w:rPr>
                <w:i/>
                <w:sz w:val="19"/>
              </w:rPr>
            </w:pPr>
            <w:r>
              <w:rPr>
                <w:i/>
                <w:sz w:val="19"/>
              </w:rPr>
              <w:t>Liquor Licensing Amendment Regulations (No. 3) 2000</w:t>
            </w:r>
          </w:p>
        </w:tc>
        <w:tc>
          <w:tcPr>
            <w:tcW w:w="1276" w:type="dxa"/>
          </w:tcPr>
          <w:p>
            <w:pPr>
              <w:pStyle w:val="nTable"/>
              <w:spacing w:after="40"/>
              <w:rPr>
                <w:sz w:val="19"/>
              </w:rPr>
            </w:pPr>
            <w:r>
              <w:rPr>
                <w:sz w:val="19"/>
              </w:rPr>
              <w:t>29 Sep 2000 p. 5549</w:t>
            </w:r>
          </w:p>
        </w:tc>
        <w:tc>
          <w:tcPr>
            <w:tcW w:w="2693" w:type="dxa"/>
          </w:tcPr>
          <w:p>
            <w:pPr>
              <w:pStyle w:val="nTable"/>
              <w:spacing w:after="40"/>
              <w:rPr>
                <w:sz w:val="19"/>
              </w:rPr>
            </w:pPr>
            <w:r>
              <w:rPr>
                <w:sz w:val="19"/>
              </w:rPr>
              <w:t>30 Sep 2000 (see r. 2 and </w:t>
            </w:r>
            <w:r>
              <w:rPr>
                <w:i/>
                <w:sz w:val="19"/>
              </w:rPr>
              <w:t>Gazette</w:t>
            </w:r>
            <w:r>
              <w:rPr>
                <w:sz w:val="19"/>
              </w:rPr>
              <w:t xml:space="preserve"> 29 Sep 2000 p. 5533)</w:t>
            </w:r>
          </w:p>
        </w:tc>
      </w:tr>
      <w:tr>
        <w:trPr>
          <w:cantSplit/>
        </w:trPr>
        <w:tc>
          <w:tcPr>
            <w:tcW w:w="3119" w:type="dxa"/>
          </w:tcPr>
          <w:p>
            <w:pPr>
              <w:pStyle w:val="nTable"/>
              <w:spacing w:after="40"/>
              <w:ind w:right="113"/>
              <w:rPr>
                <w:i/>
                <w:sz w:val="19"/>
              </w:rPr>
            </w:pPr>
            <w:r>
              <w:rPr>
                <w:i/>
                <w:sz w:val="19"/>
              </w:rPr>
              <w:t>Liquor Licensing Amendment Regulations 2001</w:t>
            </w:r>
          </w:p>
        </w:tc>
        <w:tc>
          <w:tcPr>
            <w:tcW w:w="1276" w:type="dxa"/>
          </w:tcPr>
          <w:p>
            <w:pPr>
              <w:pStyle w:val="nTable"/>
              <w:spacing w:after="40"/>
              <w:rPr>
                <w:sz w:val="19"/>
              </w:rPr>
            </w:pPr>
            <w:r>
              <w:rPr>
                <w:sz w:val="19"/>
              </w:rPr>
              <w:t>6 Jul 2001</w:t>
            </w:r>
            <w:r>
              <w:rPr>
                <w:sz w:val="19"/>
              </w:rPr>
              <w:br/>
              <w:t>p. 3415</w:t>
            </w:r>
          </w:p>
        </w:tc>
        <w:tc>
          <w:tcPr>
            <w:tcW w:w="2693" w:type="dxa"/>
          </w:tcPr>
          <w:p>
            <w:pPr>
              <w:pStyle w:val="nTable"/>
              <w:spacing w:after="40"/>
              <w:rPr>
                <w:sz w:val="19"/>
              </w:rPr>
            </w:pPr>
            <w:r>
              <w:rPr>
                <w:sz w:val="19"/>
              </w:rPr>
              <w:t>6 Jul 2001</w:t>
            </w:r>
          </w:p>
        </w:tc>
      </w:tr>
      <w:tr>
        <w:trPr>
          <w:cantSplit/>
        </w:trPr>
        <w:tc>
          <w:tcPr>
            <w:tcW w:w="3119" w:type="dxa"/>
          </w:tcPr>
          <w:p>
            <w:pPr>
              <w:pStyle w:val="nTable"/>
              <w:spacing w:after="40"/>
              <w:ind w:right="113"/>
              <w:rPr>
                <w:i/>
                <w:sz w:val="19"/>
                <w:vertAlign w:val="superscript"/>
              </w:rPr>
            </w:pPr>
            <w:r>
              <w:rPr>
                <w:i/>
                <w:sz w:val="19"/>
              </w:rPr>
              <w:t>Liquor Licensing Amendment Regulations (No. 2) 2001</w:t>
            </w:r>
            <w:r>
              <w:rPr>
                <w:i/>
                <w:sz w:val="19"/>
                <w:vertAlign w:val="superscript"/>
              </w:rPr>
              <w:t> </w:t>
            </w:r>
            <w:r>
              <w:rPr>
                <w:sz w:val="19"/>
                <w:vertAlign w:val="superscript"/>
              </w:rPr>
              <w:t>8</w:t>
            </w:r>
          </w:p>
        </w:tc>
        <w:tc>
          <w:tcPr>
            <w:tcW w:w="1276" w:type="dxa"/>
          </w:tcPr>
          <w:p>
            <w:pPr>
              <w:pStyle w:val="nTable"/>
              <w:spacing w:after="40"/>
              <w:rPr>
                <w:sz w:val="19"/>
              </w:rPr>
            </w:pPr>
            <w:r>
              <w:rPr>
                <w:sz w:val="19"/>
              </w:rPr>
              <w:t>17 Jul 2001 p. 3637</w:t>
            </w:r>
            <w:r>
              <w:rPr>
                <w:sz w:val="19"/>
              </w:rPr>
              <w:noBreakHyphen/>
              <w:t>8</w:t>
            </w:r>
          </w:p>
        </w:tc>
        <w:tc>
          <w:tcPr>
            <w:tcW w:w="2693" w:type="dxa"/>
          </w:tcPr>
          <w:p>
            <w:pPr>
              <w:pStyle w:val="nTable"/>
              <w:spacing w:after="40"/>
              <w:rPr>
                <w:sz w:val="19"/>
              </w:rPr>
            </w:pPr>
            <w:r>
              <w:rPr>
                <w:sz w:val="19"/>
              </w:rPr>
              <w:t>17 Jul 2001</w:t>
            </w:r>
          </w:p>
        </w:tc>
      </w:tr>
      <w:tr>
        <w:trPr>
          <w:cantSplit/>
        </w:trPr>
        <w:tc>
          <w:tcPr>
            <w:tcW w:w="3119" w:type="dxa"/>
          </w:tcPr>
          <w:p>
            <w:pPr>
              <w:pStyle w:val="nTable"/>
              <w:spacing w:after="40"/>
              <w:ind w:right="113"/>
              <w:rPr>
                <w:i/>
                <w:sz w:val="19"/>
              </w:rPr>
            </w:pPr>
            <w:r>
              <w:rPr>
                <w:i/>
                <w:sz w:val="19"/>
              </w:rPr>
              <w:t xml:space="preserve">Corporations (Consequential Amendments) Regulations 2001 </w:t>
            </w:r>
            <w:r>
              <w:rPr>
                <w:sz w:val="19"/>
              </w:rPr>
              <w:t>Pt. 8</w:t>
            </w:r>
          </w:p>
        </w:tc>
        <w:tc>
          <w:tcPr>
            <w:tcW w:w="1276" w:type="dxa"/>
          </w:tcPr>
          <w:p>
            <w:pPr>
              <w:pStyle w:val="nTable"/>
              <w:spacing w:after="40"/>
              <w:rPr>
                <w:sz w:val="19"/>
              </w:rPr>
            </w:pPr>
            <w:r>
              <w:rPr>
                <w:sz w:val="19"/>
              </w:rPr>
              <w:t>28 Sep 2001</w:t>
            </w:r>
            <w:r>
              <w:rPr>
                <w:sz w:val="19"/>
              </w:rPr>
              <w:br/>
              <w:t>p. 5353</w:t>
            </w:r>
            <w:r>
              <w:rPr>
                <w:sz w:val="19"/>
              </w:rPr>
              <w:noBreakHyphen/>
              <w:t>8</w:t>
            </w:r>
          </w:p>
        </w:tc>
        <w:tc>
          <w:tcPr>
            <w:tcW w:w="2693" w:type="dxa"/>
          </w:tcPr>
          <w:p>
            <w:pPr>
              <w:pStyle w:val="nTable"/>
              <w:spacing w:after="40"/>
              <w:rPr>
                <w:sz w:val="19"/>
              </w:rPr>
            </w:pPr>
            <w:r>
              <w:rPr>
                <w:sz w:val="19"/>
              </w:rPr>
              <w:t xml:space="preserve">15 Jul 2001 (see r. 2 and Cwlth. </w:t>
            </w:r>
            <w:r>
              <w:rPr>
                <w:i/>
                <w:sz w:val="19"/>
              </w:rPr>
              <w:t xml:space="preserve">Gazette </w:t>
            </w:r>
            <w:r>
              <w:rPr>
                <w:sz w:val="19"/>
              </w:rPr>
              <w:t>13 Jul 2001 No. S285)</w:t>
            </w:r>
          </w:p>
        </w:tc>
      </w:tr>
      <w:tr>
        <w:trPr>
          <w:cantSplit/>
        </w:trPr>
        <w:tc>
          <w:tcPr>
            <w:tcW w:w="3119" w:type="dxa"/>
          </w:tcPr>
          <w:p>
            <w:pPr>
              <w:pStyle w:val="nTable"/>
              <w:spacing w:after="40"/>
              <w:ind w:right="113"/>
              <w:rPr>
                <w:i/>
                <w:sz w:val="19"/>
              </w:rPr>
            </w:pPr>
            <w:r>
              <w:rPr>
                <w:i/>
                <w:sz w:val="19"/>
              </w:rPr>
              <w:t>Liquor Licensing Amendment Regulations (No. 3) 2001</w:t>
            </w:r>
          </w:p>
        </w:tc>
        <w:tc>
          <w:tcPr>
            <w:tcW w:w="1276" w:type="dxa"/>
          </w:tcPr>
          <w:p>
            <w:pPr>
              <w:pStyle w:val="nTable"/>
              <w:spacing w:after="40"/>
              <w:rPr>
                <w:sz w:val="19"/>
              </w:rPr>
            </w:pPr>
            <w:r>
              <w:rPr>
                <w:sz w:val="19"/>
              </w:rPr>
              <w:t>2 Oct 2001</w:t>
            </w:r>
            <w:r>
              <w:rPr>
                <w:sz w:val="19"/>
              </w:rPr>
              <w:br/>
              <w:t>p. 5455</w:t>
            </w:r>
            <w:r>
              <w:rPr>
                <w:sz w:val="19"/>
              </w:rPr>
              <w:noBreakHyphen/>
              <w:t>7</w:t>
            </w:r>
          </w:p>
        </w:tc>
        <w:tc>
          <w:tcPr>
            <w:tcW w:w="2693" w:type="dxa"/>
          </w:tcPr>
          <w:p>
            <w:pPr>
              <w:pStyle w:val="nTable"/>
              <w:spacing w:after="40"/>
              <w:rPr>
                <w:sz w:val="19"/>
              </w:rPr>
            </w:pPr>
            <w:r>
              <w:rPr>
                <w:sz w:val="19"/>
              </w:rPr>
              <w:t>2 Oct 2001</w:t>
            </w:r>
          </w:p>
        </w:tc>
      </w:tr>
      <w:tr>
        <w:trPr>
          <w:cantSplit/>
        </w:trPr>
        <w:tc>
          <w:tcPr>
            <w:tcW w:w="3119" w:type="dxa"/>
          </w:tcPr>
          <w:p>
            <w:pPr>
              <w:pStyle w:val="nTable"/>
              <w:spacing w:after="40"/>
              <w:ind w:right="113"/>
              <w:rPr>
                <w:i/>
                <w:sz w:val="19"/>
              </w:rPr>
            </w:pPr>
            <w:r>
              <w:rPr>
                <w:i/>
                <w:sz w:val="19"/>
              </w:rPr>
              <w:t>Liquor Licensing Amendment Regulations (No. 4) 2001</w:t>
            </w:r>
          </w:p>
        </w:tc>
        <w:tc>
          <w:tcPr>
            <w:tcW w:w="1276" w:type="dxa"/>
          </w:tcPr>
          <w:p>
            <w:pPr>
              <w:pStyle w:val="nTable"/>
              <w:spacing w:after="40"/>
              <w:rPr>
                <w:sz w:val="19"/>
              </w:rPr>
            </w:pPr>
            <w:r>
              <w:rPr>
                <w:sz w:val="19"/>
              </w:rPr>
              <w:t>4 Jan 2002 p. 7</w:t>
            </w:r>
            <w:r>
              <w:rPr>
                <w:sz w:val="19"/>
              </w:rPr>
              <w:noBreakHyphen/>
              <w:t>15</w:t>
            </w:r>
          </w:p>
        </w:tc>
        <w:tc>
          <w:tcPr>
            <w:tcW w:w="2693" w:type="dxa"/>
          </w:tcPr>
          <w:p>
            <w:pPr>
              <w:pStyle w:val="nTable"/>
              <w:spacing w:after="40"/>
              <w:rPr>
                <w:sz w:val="19"/>
              </w:rPr>
            </w:pPr>
            <w:r>
              <w:rPr>
                <w:sz w:val="19"/>
              </w:rPr>
              <w:t xml:space="preserve">7 Jan 2002 (see r. 2 and </w:t>
            </w:r>
            <w:r>
              <w:rPr>
                <w:i/>
                <w:sz w:val="19"/>
              </w:rPr>
              <w:t>Gazette</w:t>
            </w:r>
            <w:r>
              <w:rPr>
                <w:sz w:val="19"/>
              </w:rPr>
              <w:t xml:space="preserve"> 4 Jan 2002 p. 3)</w:t>
            </w:r>
          </w:p>
        </w:tc>
      </w:tr>
      <w:tr>
        <w:trPr>
          <w:cantSplit/>
        </w:trPr>
        <w:tc>
          <w:tcPr>
            <w:tcW w:w="7088" w:type="dxa"/>
            <w:gridSpan w:val="3"/>
          </w:tcPr>
          <w:p>
            <w:pPr>
              <w:pStyle w:val="nTable"/>
              <w:spacing w:after="40"/>
              <w:rPr>
                <w:sz w:val="19"/>
              </w:rPr>
            </w:pPr>
            <w:r>
              <w:rPr>
                <w:b/>
                <w:sz w:val="19"/>
              </w:rPr>
              <w:t xml:space="preserve">Reprint of the </w:t>
            </w:r>
            <w:r>
              <w:rPr>
                <w:b/>
                <w:i/>
                <w:sz w:val="19"/>
              </w:rPr>
              <w:t>Liquor Licensing Regulations 1989</w:t>
            </w:r>
            <w:r>
              <w:rPr>
                <w:b/>
                <w:sz w:val="19"/>
              </w:rPr>
              <w:t xml:space="preserve"> as at 8 Mar 2002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2002</w:t>
            </w:r>
          </w:p>
        </w:tc>
        <w:tc>
          <w:tcPr>
            <w:tcW w:w="1276" w:type="dxa"/>
          </w:tcPr>
          <w:p>
            <w:pPr>
              <w:pStyle w:val="nTable"/>
              <w:spacing w:after="40"/>
              <w:rPr>
                <w:sz w:val="19"/>
              </w:rPr>
            </w:pPr>
            <w:r>
              <w:rPr>
                <w:sz w:val="19"/>
              </w:rPr>
              <w:t>28 Jun 2002 p. 3105</w:t>
            </w:r>
            <w:r>
              <w:rPr>
                <w:sz w:val="19"/>
              </w:rPr>
              <w:noBreakHyphen/>
              <w:t>6</w:t>
            </w:r>
          </w:p>
        </w:tc>
        <w:tc>
          <w:tcPr>
            <w:tcW w:w="2693" w:type="dxa"/>
          </w:tcPr>
          <w:p>
            <w:pPr>
              <w:pStyle w:val="nTable"/>
              <w:spacing w:after="40"/>
              <w:rPr>
                <w:sz w:val="19"/>
              </w:rPr>
            </w:pPr>
            <w:r>
              <w:rPr>
                <w:sz w:val="19"/>
              </w:rPr>
              <w:t>1 Jul 2002 (see r. 2)</w:t>
            </w:r>
          </w:p>
        </w:tc>
      </w:tr>
      <w:tr>
        <w:trPr>
          <w:cantSplit/>
        </w:trPr>
        <w:tc>
          <w:tcPr>
            <w:tcW w:w="3119" w:type="dxa"/>
          </w:tcPr>
          <w:p>
            <w:pPr>
              <w:pStyle w:val="nTable"/>
              <w:spacing w:after="40"/>
              <w:rPr>
                <w:i/>
                <w:sz w:val="19"/>
              </w:rPr>
            </w:pPr>
            <w:r>
              <w:rPr>
                <w:i/>
                <w:sz w:val="19"/>
              </w:rPr>
              <w:t>Liquor Licensing Amendment Regulations (No. 2) 2002</w:t>
            </w:r>
          </w:p>
        </w:tc>
        <w:tc>
          <w:tcPr>
            <w:tcW w:w="1276" w:type="dxa"/>
          </w:tcPr>
          <w:p>
            <w:pPr>
              <w:pStyle w:val="nTable"/>
              <w:spacing w:after="40"/>
              <w:rPr>
                <w:sz w:val="19"/>
              </w:rPr>
            </w:pPr>
            <w:r>
              <w:rPr>
                <w:sz w:val="19"/>
              </w:rPr>
              <w:t>22 Oct 2002 p. 5254</w:t>
            </w:r>
            <w:r>
              <w:rPr>
                <w:sz w:val="19"/>
              </w:rPr>
              <w:noBreakHyphen/>
              <w:t>5</w:t>
            </w:r>
          </w:p>
        </w:tc>
        <w:tc>
          <w:tcPr>
            <w:tcW w:w="2693" w:type="dxa"/>
          </w:tcPr>
          <w:p>
            <w:pPr>
              <w:pStyle w:val="nTable"/>
              <w:spacing w:after="40"/>
              <w:rPr>
                <w:sz w:val="19"/>
              </w:rPr>
            </w:pPr>
            <w:r>
              <w:rPr>
                <w:sz w:val="19"/>
              </w:rPr>
              <w:t>22 Oct 2002</w:t>
            </w:r>
          </w:p>
        </w:tc>
      </w:tr>
      <w:tr>
        <w:trPr>
          <w:cantSplit/>
        </w:trPr>
        <w:tc>
          <w:tcPr>
            <w:tcW w:w="3119" w:type="dxa"/>
          </w:tcPr>
          <w:p>
            <w:pPr>
              <w:pStyle w:val="nTable"/>
              <w:spacing w:after="40"/>
              <w:rPr>
                <w:i/>
                <w:sz w:val="19"/>
              </w:rPr>
            </w:pPr>
            <w:r>
              <w:rPr>
                <w:i/>
                <w:sz w:val="19"/>
              </w:rPr>
              <w:t>Liquor Licensing Amendment Regulations (No. 3) 2002</w:t>
            </w:r>
          </w:p>
        </w:tc>
        <w:tc>
          <w:tcPr>
            <w:tcW w:w="1276" w:type="dxa"/>
          </w:tcPr>
          <w:p>
            <w:pPr>
              <w:pStyle w:val="nTable"/>
              <w:spacing w:after="40"/>
              <w:rPr>
                <w:sz w:val="19"/>
              </w:rPr>
            </w:pPr>
            <w:r>
              <w:rPr>
                <w:sz w:val="19"/>
              </w:rPr>
              <w:t>19 Nov 2002 p. 5515</w:t>
            </w:r>
            <w:r>
              <w:rPr>
                <w:sz w:val="19"/>
              </w:rPr>
              <w:noBreakHyphen/>
              <w:t>16</w:t>
            </w:r>
          </w:p>
        </w:tc>
        <w:tc>
          <w:tcPr>
            <w:tcW w:w="2693" w:type="dxa"/>
          </w:tcPr>
          <w:p>
            <w:pPr>
              <w:pStyle w:val="nTable"/>
              <w:spacing w:after="40"/>
              <w:rPr>
                <w:sz w:val="19"/>
              </w:rPr>
            </w:pPr>
            <w:r>
              <w:rPr>
                <w:sz w:val="19"/>
              </w:rPr>
              <w:t>1 Jan 2003 (see r. 2)</w:t>
            </w:r>
          </w:p>
        </w:tc>
      </w:tr>
      <w:tr>
        <w:trPr>
          <w:cantSplit/>
        </w:trPr>
        <w:tc>
          <w:tcPr>
            <w:tcW w:w="3119" w:type="dxa"/>
          </w:tcPr>
          <w:p>
            <w:pPr>
              <w:pStyle w:val="nTable"/>
              <w:spacing w:after="40"/>
              <w:rPr>
                <w:i/>
                <w:sz w:val="19"/>
              </w:rPr>
            </w:pPr>
            <w:r>
              <w:rPr>
                <w:i/>
                <w:sz w:val="19"/>
              </w:rPr>
              <w:t>Liquor Licensing Amendment Regulations 2003</w:t>
            </w:r>
          </w:p>
        </w:tc>
        <w:tc>
          <w:tcPr>
            <w:tcW w:w="1276" w:type="dxa"/>
          </w:tcPr>
          <w:p>
            <w:pPr>
              <w:pStyle w:val="nTable"/>
              <w:spacing w:after="40"/>
              <w:rPr>
                <w:sz w:val="19"/>
              </w:rPr>
            </w:pPr>
            <w:r>
              <w:rPr>
                <w:sz w:val="19"/>
              </w:rPr>
              <w:t>28 Feb 2003 p. 676</w:t>
            </w:r>
            <w:r>
              <w:rPr>
                <w:sz w:val="19"/>
              </w:rPr>
              <w:noBreakHyphen/>
              <w:t>7</w:t>
            </w:r>
          </w:p>
        </w:tc>
        <w:tc>
          <w:tcPr>
            <w:tcW w:w="2693" w:type="dxa"/>
          </w:tcPr>
          <w:p>
            <w:pPr>
              <w:pStyle w:val="nTable"/>
              <w:spacing w:after="40"/>
              <w:rPr>
                <w:sz w:val="19"/>
              </w:rPr>
            </w:pPr>
            <w:r>
              <w:rPr>
                <w:sz w:val="19"/>
              </w:rPr>
              <w:t>28 Feb 2003</w:t>
            </w:r>
          </w:p>
        </w:tc>
      </w:tr>
      <w:tr>
        <w:trPr>
          <w:cantSplit/>
        </w:trPr>
        <w:tc>
          <w:tcPr>
            <w:tcW w:w="3119" w:type="dxa"/>
          </w:tcPr>
          <w:p>
            <w:pPr>
              <w:pStyle w:val="nTable"/>
              <w:spacing w:after="40"/>
              <w:rPr>
                <w:i/>
                <w:sz w:val="19"/>
              </w:rPr>
            </w:pPr>
            <w:r>
              <w:rPr>
                <w:i/>
                <w:sz w:val="19"/>
              </w:rPr>
              <w:t>Liquor Licensing Amendment Regulations (No. 2) 2003</w:t>
            </w:r>
          </w:p>
        </w:tc>
        <w:tc>
          <w:tcPr>
            <w:tcW w:w="1276" w:type="dxa"/>
          </w:tcPr>
          <w:p>
            <w:pPr>
              <w:pStyle w:val="nTable"/>
              <w:spacing w:after="40"/>
              <w:rPr>
                <w:sz w:val="19"/>
              </w:rPr>
            </w:pPr>
            <w:r>
              <w:rPr>
                <w:sz w:val="19"/>
              </w:rPr>
              <w:t>28 Mar 2003 p. 983</w:t>
            </w:r>
            <w:r>
              <w:rPr>
                <w:sz w:val="19"/>
              </w:rPr>
              <w:noBreakHyphen/>
              <w:t>4</w:t>
            </w:r>
          </w:p>
        </w:tc>
        <w:tc>
          <w:tcPr>
            <w:tcW w:w="2693" w:type="dxa"/>
          </w:tcPr>
          <w:p>
            <w:pPr>
              <w:pStyle w:val="nTable"/>
              <w:spacing w:after="40"/>
              <w:rPr>
                <w:sz w:val="19"/>
              </w:rPr>
            </w:pPr>
            <w:r>
              <w:rPr>
                <w:sz w:val="19"/>
              </w:rPr>
              <w:t>28 Mar 2003</w:t>
            </w:r>
          </w:p>
        </w:tc>
      </w:tr>
      <w:tr>
        <w:trPr>
          <w:cantSplit/>
        </w:trPr>
        <w:tc>
          <w:tcPr>
            <w:tcW w:w="3119" w:type="dxa"/>
          </w:tcPr>
          <w:p>
            <w:pPr>
              <w:pStyle w:val="nTable"/>
              <w:spacing w:after="40"/>
              <w:rPr>
                <w:i/>
                <w:sz w:val="19"/>
              </w:rPr>
            </w:pPr>
            <w:r>
              <w:rPr>
                <w:i/>
                <w:sz w:val="19"/>
              </w:rPr>
              <w:t>Equality of Status Subsidiary Legislation Amendment Regulations 2003</w:t>
            </w:r>
            <w:r>
              <w:rPr>
                <w:sz w:val="19"/>
              </w:rPr>
              <w:t xml:space="preserve"> Pt. 22</w:t>
            </w:r>
          </w:p>
        </w:tc>
        <w:tc>
          <w:tcPr>
            <w:tcW w:w="1276" w:type="dxa"/>
          </w:tcPr>
          <w:p>
            <w:pPr>
              <w:pStyle w:val="nTable"/>
              <w:spacing w:after="40"/>
              <w:rPr>
                <w:sz w:val="19"/>
              </w:rPr>
            </w:pPr>
            <w:r>
              <w:rPr>
                <w:sz w:val="19"/>
              </w:rPr>
              <w:t>30 Jun 2003 p. 2581</w:t>
            </w:r>
            <w:r>
              <w:rPr>
                <w:sz w:val="19"/>
              </w:rPr>
              <w:noBreakHyphen/>
              <w:t>638</w:t>
            </w:r>
          </w:p>
        </w:tc>
        <w:tc>
          <w:tcPr>
            <w:tcW w:w="2693" w:type="dxa"/>
          </w:tcPr>
          <w:p>
            <w:pPr>
              <w:pStyle w:val="nTable"/>
              <w:spacing w:after="40"/>
              <w:rPr>
                <w:sz w:val="19"/>
              </w:rPr>
            </w:pPr>
            <w:r>
              <w:rPr>
                <w:sz w:val="19"/>
              </w:rPr>
              <w:t xml:space="preserve">1 Jul 2003 (see r. 2 and </w:t>
            </w:r>
            <w:r>
              <w:rPr>
                <w:i/>
                <w:sz w:val="19"/>
              </w:rPr>
              <w:t xml:space="preserve">Gazette </w:t>
            </w:r>
            <w:r>
              <w:rPr>
                <w:sz w:val="19"/>
              </w:rPr>
              <w:t>30 Jun 2003 p. 2579)</w:t>
            </w:r>
          </w:p>
        </w:tc>
      </w:tr>
      <w:tr>
        <w:trPr>
          <w:cantSplit/>
        </w:trPr>
        <w:tc>
          <w:tcPr>
            <w:tcW w:w="3119" w:type="dxa"/>
          </w:tcPr>
          <w:p>
            <w:pPr>
              <w:pStyle w:val="nTable"/>
              <w:spacing w:after="40"/>
              <w:rPr>
                <w:i/>
                <w:sz w:val="19"/>
              </w:rPr>
            </w:pPr>
            <w:r>
              <w:rPr>
                <w:i/>
                <w:sz w:val="19"/>
              </w:rPr>
              <w:t>Liquor Licensing Amendment Regulations (No. 4) 2003</w:t>
            </w:r>
          </w:p>
        </w:tc>
        <w:tc>
          <w:tcPr>
            <w:tcW w:w="1276" w:type="dxa"/>
          </w:tcPr>
          <w:p>
            <w:pPr>
              <w:pStyle w:val="nTable"/>
              <w:spacing w:after="40"/>
              <w:rPr>
                <w:sz w:val="19"/>
              </w:rPr>
            </w:pPr>
            <w:r>
              <w:rPr>
                <w:sz w:val="19"/>
              </w:rPr>
              <w:t>11 Jul 2003 p. 2741</w:t>
            </w:r>
            <w:r>
              <w:rPr>
                <w:sz w:val="19"/>
              </w:rPr>
              <w:noBreakHyphen/>
              <w:t>2</w:t>
            </w:r>
          </w:p>
        </w:tc>
        <w:tc>
          <w:tcPr>
            <w:tcW w:w="2693" w:type="dxa"/>
          </w:tcPr>
          <w:p>
            <w:pPr>
              <w:pStyle w:val="nTable"/>
              <w:spacing w:after="40"/>
              <w:rPr>
                <w:sz w:val="19"/>
              </w:rPr>
            </w:pPr>
            <w:r>
              <w:rPr>
                <w:sz w:val="19"/>
              </w:rPr>
              <w:t>11 Jul 2003</w:t>
            </w:r>
          </w:p>
        </w:tc>
      </w:tr>
      <w:tr>
        <w:trPr>
          <w:cantSplit/>
        </w:trPr>
        <w:tc>
          <w:tcPr>
            <w:tcW w:w="3119" w:type="dxa"/>
          </w:tcPr>
          <w:p>
            <w:pPr>
              <w:pStyle w:val="nTable"/>
              <w:spacing w:after="40"/>
              <w:rPr>
                <w:i/>
                <w:sz w:val="19"/>
              </w:rPr>
            </w:pPr>
            <w:r>
              <w:rPr>
                <w:i/>
                <w:sz w:val="19"/>
              </w:rPr>
              <w:t>Liquor Licensing Amendment Regulations (No. 5) 2003</w:t>
            </w:r>
          </w:p>
        </w:tc>
        <w:tc>
          <w:tcPr>
            <w:tcW w:w="1276" w:type="dxa"/>
          </w:tcPr>
          <w:p>
            <w:pPr>
              <w:pStyle w:val="nTable"/>
              <w:spacing w:after="40"/>
              <w:rPr>
                <w:sz w:val="19"/>
              </w:rPr>
            </w:pPr>
            <w:r>
              <w:rPr>
                <w:sz w:val="19"/>
              </w:rPr>
              <w:t>26 Sep 2003 p. 4223</w:t>
            </w:r>
            <w:r>
              <w:rPr>
                <w:sz w:val="19"/>
              </w:rPr>
              <w:noBreakHyphen/>
              <w:t>4</w:t>
            </w:r>
          </w:p>
        </w:tc>
        <w:tc>
          <w:tcPr>
            <w:tcW w:w="2693" w:type="dxa"/>
          </w:tcPr>
          <w:p>
            <w:pPr>
              <w:pStyle w:val="nTable"/>
              <w:spacing w:after="40"/>
              <w:rPr>
                <w:sz w:val="19"/>
              </w:rPr>
            </w:pPr>
            <w:r>
              <w:rPr>
                <w:sz w:val="19"/>
              </w:rPr>
              <w:t>1 Jan 2004 (see r. 2)</w:t>
            </w:r>
          </w:p>
        </w:tc>
      </w:tr>
      <w:tr>
        <w:trPr>
          <w:cantSplit/>
        </w:trPr>
        <w:tc>
          <w:tcPr>
            <w:tcW w:w="3119" w:type="dxa"/>
          </w:tcPr>
          <w:p>
            <w:pPr>
              <w:pStyle w:val="nTable"/>
              <w:spacing w:after="40"/>
              <w:rPr>
                <w:i/>
                <w:sz w:val="19"/>
              </w:rPr>
            </w:pPr>
            <w:r>
              <w:rPr>
                <w:i/>
                <w:sz w:val="19"/>
              </w:rPr>
              <w:t>Liquor Licensing Amendment Regulations (No. 3) 2003</w:t>
            </w:r>
          </w:p>
        </w:tc>
        <w:tc>
          <w:tcPr>
            <w:tcW w:w="1276" w:type="dxa"/>
          </w:tcPr>
          <w:p>
            <w:pPr>
              <w:pStyle w:val="nTable"/>
              <w:spacing w:after="40"/>
              <w:rPr>
                <w:sz w:val="19"/>
              </w:rPr>
            </w:pPr>
            <w:r>
              <w:rPr>
                <w:sz w:val="19"/>
              </w:rPr>
              <w:t>10 Oct 2003 p. 4405</w:t>
            </w:r>
            <w:r>
              <w:rPr>
                <w:sz w:val="19"/>
              </w:rPr>
              <w:noBreakHyphen/>
              <w:t>6</w:t>
            </w:r>
          </w:p>
        </w:tc>
        <w:tc>
          <w:tcPr>
            <w:tcW w:w="2693" w:type="dxa"/>
          </w:tcPr>
          <w:p>
            <w:pPr>
              <w:pStyle w:val="nTable"/>
              <w:spacing w:after="40"/>
              <w:rPr>
                <w:sz w:val="19"/>
              </w:rPr>
            </w:pPr>
            <w:r>
              <w:rPr>
                <w:sz w:val="19"/>
              </w:rPr>
              <w:t xml:space="preserve">10 Oct 2003 </w:t>
            </w:r>
          </w:p>
        </w:tc>
      </w:tr>
      <w:tr>
        <w:trPr>
          <w:cantSplit/>
        </w:trPr>
        <w:tc>
          <w:tcPr>
            <w:tcW w:w="3119" w:type="dxa"/>
          </w:tcPr>
          <w:p>
            <w:pPr>
              <w:pStyle w:val="nTable"/>
              <w:spacing w:after="40"/>
              <w:rPr>
                <w:i/>
                <w:sz w:val="19"/>
              </w:rPr>
            </w:pPr>
            <w:r>
              <w:rPr>
                <w:i/>
                <w:sz w:val="19"/>
              </w:rPr>
              <w:t>Liquor Licensing Amendment Regulations (No. 6) 2003</w:t>
            </w:r>
          </w:p>
        </w:tc>
        <w:tc>
          <w:tcPr>
            <w:tcW w:w="1276" w:type="dxa"/>
          </w:tcPr>
          <w:p>
            <w:pPr>
              <w:pStyle w:val="nTable"/>
              <w:spacing w:after="40"/>
              <w:rPr>
                <w:sz w:val="19"/>
              </w:rPr>
            </w:pPr>
            <w:r>
              <w:rPr>
                <w:sz w:val="19"/>
              </w:rPr>
              <w:t>28 Oct 2003 p. 4527</w:t>
            </w:r>
            <w:r>
              <w:rPr>
                <w:sz w:val="19"/>
              </w:rPr>
              <w:noBreakHyphen/>
              <w:t>9</w:t>
            </w:r>
          </w:p>
        </w:tc>
        <w:tc>
          <w:tcPr>
            <w:tcW w:w="2693" w:type="dxa"/>
          </w:tcPr>
          <w:p>
            <w:pPr>
              <w:pStyle w:val="nTable"/>
              <w:spacing w:after="40"/>
              <w:rPr>
                <w:sz w:val="19"/>
              </w:rPr>
            </w:pPr>
            <w:r>
              <w:rPr>
                <w:sz w:val="19"/>
              </w:rPr>
              <w:t>28 Oct 2003</w:t>
            </w:r>
          </w:p>
        </w:tc>
      </w:tr>
      <w:tr>
        <w:trPr>
          <w:cantSplit/>
        </w:trPr>
        <w:tc>
          <w:tcPr>
            <w:tcW w:w="3119" w:type="dxa"/>
          </w:tcPr>
          <w:p>
            <w:pPr>
              <w:pStyle w:val="nTable"/>
              <w:spacing w:after="40"/>
              <w:rPr>
                <w:sz w:val="19"/>
              </w:rPr>
            </w:pPr>
            <w:r>
              <w:rPr>
                <w:i/>
                <w:sz w:val="19"/>
              </w:rPr>
              <w:t>Racing and Gambling (Miscellaneous) Amendment Regulations 2004</w:t>
            </w:r>
            <w:r>
              <w:rPr>
                <w:sz w:val="19"/>
              </w:rPr>
              <w:t xml:space="preserve"> Pt. 7</w:t>
            </w:r>
          </w:p>
        </w:tc>
        <w:tc>
          <w:tcPr>
            <w:tcW w:w="1276" w:type="dxa"/>
          </w:tcPr>
          <w:p>
            <w:pPr>
              <w:pStyle w:val="nTable"/>
              <w:spacing w:after="40"/>
              <w:rPr>
                <w:sz w:val="19"/>
              </w:rPr>
            </w:pPr>
            <w:r>
              <w:rPr>
                <w:sz w:val="19"/>
              </w:rPr>
              <w:t>30 Jan 2004 p. 413</w:t>
            </w:r>
            <w:r>
              <w:rPr>
                <w:sz w:val="19"/>
              </w:rPr>
              <w:noBreakHyphen/>
              <w:t>18</w:t>
            </w:r>
          </w:p>
        </w:tc>
        <w:tc>
          <w:tcPr>
            <w:tcW w:w="2693" w:type="dxa"/>
          </w:tcPr>
          <w:p>
            <w:pPr>
              <w:pStyle w:val="nTable"/>
              <w:spacing w:after="40"/>
              <w:rPr>
                <w:sz w:val="19"/>
              </w:rPr>
            </w:pPr>
            <w:r>
              <w:rPr>
                <w:sz w:val="19"/>
              </w:rPr>
              <w:t>30 Jan 2004 (see r. 2)</w:t>
            </w:r>
          </w:p>
        </w:tc>
      </w:tr>
      <w:tr>
        <w:trPr>
          <w:cantSplit/>
        </w:trPr>
        <w:tc>
          <w:tcPr>
            <w:tcW w:w="7088" w:type="dxa"/>
            <w:gridSpan w:val="3"/>
          </w:tcPr>
          <w:p>
            <w:pPr>
              <w:pStyle w:val="nTable"/>
              <w:spacing w:after="40"/>
              <w:rPr>
                <w:sz w:val="19"/>
              </w:rPr>
            </w:pPr>
            <w:r>
              <w:rPr>
                <w:b/>
                <w:sz w:val="19"/>
              </w:rPr>
              <w:t xml:space="preserve">Reprint 4: The </w:t>
            </w:r>
            <w:r>
              <w:rPr>
                <w:b/>
                <w:i/>
                <w:sz w:val="19"/>
              </w:rPr>
              <w:t>Liquor Licensing Regulations 1989</w:t>
            </w:r>
            <w:r>
              <w:rPr>
                <w:b/>
                <w:sz w:val="19"/>
              </w:rPr>
              <w:t xml:space="preserve"> as at 2 Apr 2004 </w:t>
            </w:r>
            <w:r>
              <w:rPr>
                <w:sz w:val="19"/>
              </w:rPr>
              <w:t>(includes amendments listed above)</w:t>
            </w:r>
          </w:p>
        </w:tc>
      </w:tr>
      <w:tr>
        <w:trPr>
          <w:cantSplit/>
        </w:trPr>
        <w:tc>
          <w:tcPr>
            <w:tcW w:w="3119" w:type="dxa"/>
          </w:tcPr>
          <w:p>
            <w:pPr>
              <w:pStyle w:val="nTable"/>
              <w:spacing w:after="40"/>
              <w:rPr>
                <w:sz w:val="19"/>
              </w:rPr>
            </w:pPr>
            <w:r>
              <w:rPr>
                <w:i/>
                <w:sz w:val="19"/>
              </w:rPr>
              <w:t>Liquor Licensing Amendment Regulations 2004</w:t>
            </w:r>
            <w:r>
              <w:rPr>
                <w:sz w:val="19"/>
              </w:rPr>
              <w:t xml:space="preserve"> </w:t>
            </w:r>
            <w:r>
              <w:rPr>
                <w:sz w:val="19"/>
                <w:vertAlign w:val="superscript"/>
              </w:rPr>
              <w:t>9</w:t>
            </w:r>
          </w:p>
        </w:tc>
        <w:tc>
          <w:tcPr>
            <w:tcW w:w="1276" w:type="dxa"/>
          </w:tcPr>
          <w:p>
            <w:pPr>
              <w:pStyle w:val="nTable"/>
              <w:spacing w:after="40"/>
              <w:rPr>
                <w:sz w:val="19"/>
              </w:rPr>
            </w:pPr>
            <w:r>
              <w:rPr>
                <w:sz w:val="19"/>
              </w:rPr>
              <w:t>9 Jul 2004 p. 2773</w:t>
            </w:r>
            <w:r>
              <w:rPr>
                <w:sz w:val="19"/>
              </w:rPr>
              <w:noBreakHyphen/>
              <w:t>7</w:t>
            </w:r>
          </w:p>
        </w:tc>
        <w:tc>
          <w:tcPr>
            <w:tcW w:w="2693" w:type="dxa"/>
          </w:tcPr>
          <w:p>
            <w:pPr>
              <w:pStyle w:val="nTable"/>
              <w:spacing w:after="40"/>
              <w:rPr>
                <w:sz w:val="19"/>
              </w:rPr>
            </w:pPr>
            <w:r>
              <w:rPr>
                <w:sz w:val="19"/>
              </w:rPr>
              <w:t>9 Jul 2004</w:t>
            </w:r>
          </w:p>
        </w:tc>
      </w:tr>
      <w:tr>
        <w:trPr>
          <w:cantSplit/>
        </w:trPr>
        <w:tc>
          <w:tcPr>
            <w:tcW w:w="3119" w:type="dxa"/>
          </w:tcPr>
          <w:p>
            <w:pPr>
              <w:pStyle w:val="nTable"/>
              <w:spacing w:after="40"/>
              <w:rPr>
                <w:i/>
                <w:sz w:val="19"/>
              </w:rPr>
            </w:pPr>
            <w:r>
              <w:rPr>
                <w:i/>
                <w:sz w:val="19"/>
              </w:rPr>
              <w:t>Liquor Licensing Amendment Regulations (No. 2) 2004</w:t>
            </w:r>
          </w:p>
        </w:tc>
        <w:tc>
          <w:tcPr>
            <w:tcW w:w="1276" w:type="dxa"/>
          </w:tcPr>
          <w:p>
            <w:pPr>
              <w:pStyle w:val="nTable"/>
              <w:spacing w:after="40"/>
              <w:rPr>
                <w:sz w:val="19"/>
              </w:rPr>
            </w:pPr>
            <w:r>
              <w:rPr>
                <w:sz w:val="19"/>
              </w:rPr>
              <w:t>9 Jul 2004 p. 2778</w:t>
            </w:r>
            <w:r>
              <w:rPr>
                <w:sz w:val="19"/>
              </w:rPr>
              <w:noBreakHyphen/>
              <w:t>80</w:t>
            </w:r>
          </w:p>
        </w:tc>
        <w:tc>
          <w:tcPr>
            <w:tcW w:w="2693" w:type="dxa"/>
          </w:tcPr>
          <w:p>
            <w:pPr>
              <w:pStyle w:val="nTable"/>
              <w:spacing w:after="40"/>
              <w:rPr>
                <w:sz w:val="19"/>
              </w:rPr>
            </w:pPr>
            <w:r>
              <w:rPr>
                <w:sz w:val="19"/>
              </w:rPr>
              <w:t>1 Jan 2005 (see r. 2)</w:t>
            </w:r>
          </w:p>
        </w:tc>
      </w:tr>
      <w:tr>
        <w:trPr>
          <w:cantSplit/>
        </w:trPr>
        <w:tc>
          <w:tcPr>
            <w:tcW w:w="3119" w:type="dxa"/>
          </w:tcPr>
          <w:p>
            <w:pPr>
              <w:pStyle w:val="nTable"/>
              <w:spacing w:after="40"/>
              <w:rPr>
                <w:i/>
                <w:sz w:val="19"/>
              </w:rPr>
            </w:pPr>
            <w:r>
              <w:rPr>
                <w:i/>
                <w:sz w:val="19"/>
              </w:rPr>
              <w:t>Liquor Licensing Amendment Regulations (No. 3) 2004</w:t>
            </w:r>
          </w:p>
        </w:tc>
        <w:tc>
          <w:tcPr>
            <w:tcW w:w="1276" w:type="dxa"/>
          </w:tcPr>
          <w:p>
            <w:pPr>
              <w:pStyle w:val="nTable"/>
              <w:spacing w:after="40"/>
              <w:rPr>
                <w:sz w:val="19"/>
              </w:rPr>
            </w:pPr>
            <w:r>
              <w:rPr>
                <w:sz w:val="19"/>
              </w:rPr>
              <w:t>10 Aug 2004 p. 3186</w:t>
            </w:r>
          </w:p>
        </w:tc>
        <w:tc>
          <w:tcPr>
            <w:tcW w:w="2693" w:type="dxa"/>
          </w:tcPr>
          <w:p>
            <w:pPr>
              <w:pStyle w:val="nTable"/>
              <w:spacing w:after="40"/>
              <w:rPr>
                <w:sz w:val="19"/>
              </w:rPr>
            </w:pPr>
            <w:r>
              <w:rPr>
                <w:sz w:val="19"/>
              </w:rPr>
              <w:t>10 Aug 2004</w:t>
            </w:r>
          </w:p>
        </w:tc>
      </w:tr>
      <w:tr>
        <w:trPr>
          <w:cantSplit/>
        </w:trPr>
        <w:tc>
          <w:tcPr>
            <w:tcW w:w="3119" w:type="dxa"/>
          </w:tcPr>
          <w:p>
            <w:pPr>
              <w:pStyle w:val="nTable"/>
              <w:spacing w:after="40"/>
              <w:rPr>
                <w:i/>
                <w:sz w:val="19"/>
              </w:rPr>
            </w:pPr>
            <w:r>
              <w:rPr>
                <w:i/>
                <w:sz w:val="19"/>
              </w:rPr>
              <w:t>Liquor Licensing Amendment Regulations (No. 6) 2004</w:t>
            </w:r>
          </w:p>
        </w:tc>
        <w:tc>
          <w:tcPr>
            <w:tcW w:w="1276" w:type="dxa"/>
          </w:tcPr>
          <w:p>
            <w:pPr>
              <w:pStyle w:val="nTable"/>
              <w:spacing w:after="40"/>
              <w:rPr>
                <w:sz w:val="19"/>
              </w:rPr>
            </w:pPr>
            <w:r>
              <w:rPr>
                <w:sz w:val="19"/>
              </w:rPr>
              <w:t>30 Nov 2004 p. 5491</w:t>
            </w:r>
          </w:p>
        </w:tc>
        <w:tc>
          <w:tcPr>
            <w:tcW w:w="2693" w:type="dxa"/>
          </w:tcPr>
          <w:p>
            <w:pPr>
              <w:pStyle w:val="nTable"/>
              <w:spacing w:after="40"/>
              <w:rPr>
                <w:sz w:val="19"/>
              </w:rPr>
            </w:pPr>
            <w:r>
              <w:rPr>
                <w:sz w:val="19"/>
              </w:rPr>
              <w:t>30 Nov 2004</w:t>
            </w:r>
          </w:p>
        </w:tc>
      </w:tr>
      <w:tr>
        <w:trPr>
          <w:cantSplit/>
        </w:trPr>
        <w:tc>
          <w:tcPr>
            <w:tcW w:w="3119" w:type="dxa"/>
          </w:tcPr>
          <w:p>
            <w:pPr>
              <w:pStyle w:val="nTable"/>
              <w:spacing w:after="40"/>
              <w:rPr>
                <w:i/>
                <w:sz w:val="19"/>
              </w:rPr>
            </w:pPr>
            <w:r>
              <w:rPr>
                <w:i/>
                <w:sz w:val="19"/>
              </w:rPr>
              <w:t>Liquor Licensing Amendment Regulations 2005</w:t>
            </w:r>
          </w:p>
        </w:tc>
        <w:tc>
          <w:tcPr>
            <w:tcW w:w="1276" w:type="dxa"/>
          </w:tcPr>
          <w:p>
            <w:pPr>
              <w:pStyle w:val="nTable"/>
              <w:spacing w:after="40"/>
              <w:rPr>
                <w:sz w:val="19"/>
              </w:rPr>
            </w:pPr>
            <w:r>
              <w:rPr>
                <w:sz w:val="19"/>
              </w:rPr>
              <w:t>11 Jan 2005 p. 98</w:t>
            </w:r>
            <w:r>
              <w:rPr>
                <w:sz w:val="19"/>
              </w:rPr>
              <w:noBreakHyphen/>
              <w:t>9</w:t>
            </w:r>
          </w:p>
        </w:tc>
        <w:tc>
          <w:tcPr>
            <w:tcW w:w="2693" w:type="dxa"/>
          </w:tcPr>
          <w:p>
            <w:pPr>
              <w:pStyle w:val="nTable"/>
              <w:spacing w:after="40"/>
              <w:rPr>
                <w:sz w:val="19"/>
              </w:rPr>
            </w:pPr>
            <w:r>
              <w:rPr>
                <w:sz w:val="19"/>
              </w:rPr>
              <w:t>11 Jan 2005</w:t>
            </w:r>
          </w:p>
        </w:tc>
      </w:tr>
      <w:tr>
        <w:trPr>
          <w:cantSplit/>
        </w:trPr>
        <w:tc>
          <w:tcPr>
            <w:tcW w:w="3119" w:type="dxa"/>
          </w:tcPr>
          <w:p>
            <w:pPr>
              <w:pStyle w:val="nTable"/>
              <w:spacing w:after="40"/>
              <w:rPr>
                <w:i/>
                <w:sz w:val="19"/>
              </w:rPr>
            </w:pPr>
            <w:r>
              <w:rPr>
                <w:i/>
                <w:sz w:val="19"/>
              </w:rPr>
              <w:t>Liquor Licensing Amendment Regulations (No. 2) 2005</w:t>
            </w:r>
          </w:p>
        </w:tc>
        <w:tc>
          <w:tcPr>
            <w:tcW w:w="1276" w:type="dxa"/>
          </w:tcPr>
          <w:p>
            <w:pPr>
              <w:pStyle w:val="nTable"/>
              <w:spacing w:after="40"/>
              <w:rPr>
                <w:sz w:val="19"/>
              </w:rPr>
            </w:pPr>
            <w:r>
              <w:rPr>
                <w:sz w:val="19"/>
              </w:rPr>
              <w:t>19 Aug 2005 p. 3873</w:t>
            </w:r>
            <w:r>
              <w:rPr>
                <w:sz w:val="19"/>
              </w:rPr>
              <w:noBreakHyphen/>
              <w:t>4</w:t>
            </w:r>
          </w:p>
        </w:tc>
        <w:tc>
          <w:tcPr>
            <w:tcW w:w="2693" w:type="dxa"/>
          </w:tcPr>
          <w:p>
            <w:pPr>
              <w:pStyle w:val="nTable"/>
              <w:spacing w:after="40"/>
              <w:rPr>
                <w:sz w:val="19"/>
              </w:rPr>
            </w:pPr>
            <w:r>
              <w:rPr>
                <w:sz w:val="19"/>
              </w:rPr>
              <w:t>19 Aug 2005</w:t>
            </w:r>
          </w:p>
        </w:tc>
      </w:tr>
      <w:tr>
        <w:trPr>
          <w:cantSplit/>
        </w:trPr>
        <w:tc>
          <w:tcPr>
            <w:tcW w:w="7088" w:type="dxa"/>
            <w:gridSpan w:val="3"/>
          </w:tcPr>
          <w:p>
            <w:pPr>
              <w:pStyle w:val="nTable"/>
              <w:spacing w:after="40"/>
              <w:rPr>
                <w:sz w:val="19"/>
              </w:rPr>
            </w:pPr>
            <w:r>
              <w:rPr>
                <w:b/>
                <w:sz w:val="19"/>
              </w:rPr>
              <w:t xml:space="preserve">Reprint 5: The </w:t>
            </w:r>
            <w:r>
              <w:rPr>
                <w:b/>
                <w:i/>
                <w:sz w:val="19"/>
              </w:rPr>
              <w:t>Liquor Licensing Regulations 1989</w:t>
            </w:r>
            <w:r>
              <w:rPr>
                <w:b/>
                <w:sz w:val="19"/>
              </w:rPr>
              <w:t xml:space="preserve"> as at 7 Oct 2005 </w:t>
            </w:r>
            <w:r>
              <w:rPr>
                <w:sz w:val="19"/>
              </w:rPr>
              <w:t>(includes amendments listed above)</w:t>
            </w:r>
          </w:p>
        </w:tc>
      </w:tr>
      <w:tr>
        <w:trPr>
          <w:cantSplit/>
        </w:trPr>
        <w:tc>
          <w:tcPr>
            <w:tcW w:w="3119" w:type="dxa"/>
          </w:tcPr>
          <w:p>
            <w:pPr>
              <w:pStyle w:val="nTable"/>
              <w:spacing w:after="40"/>
              <w:rPr>
                <w:i/>
                <w:sz w:val="19"/>
              </w:rPr>
            </w:pPr>
            <w:r>
              <w:rPr>
                <w:i/>
                <w:sz w:val="19"/>
              </w:rPr>
              <w:t>Liquor Licensing Amendment Regulations (No. 3) 2005</w:t>
            </w:r>
          </w:p>
        </w:tc>
        <w:tc>
          <w:tcPr>
            <w:tcW w:w="1276" w:type="dxa"/>
          </w:tcPr>
          <w:p>
            <w:pPr>
              <w:pStyle w:val="nTable"/>
              <w:spacing w:after="40"/>
              <w:rPr>
                <w:sz w:val="19"/>
              </w:rPr>
            </w:pPr>
            <w:r>
              <w:rPr>
                <w:sz w:val="19"/>
              </w:rPr>
              <w:t>14 Oct 2005 p. 4564</w:t>
            </w:r>
            <w:r>
              <w:rPr>
                <w:sz w:val="19"/>
              </w:rPr>
              <w:noBreakHyphen/>
              <w:t>6</w:t>
            </w:r>
          </w:p>
        </w:tc>
        <w:tc>
          <w:tcPr>
            <w:tcW w:w="2693" w:type="dxa"/>
          </w:tcPr>
          <w:p>
            <w:pPr>
              <w:pStyle w:val="nTable"/>
              <w:spacing w:after="40"/>
              <w:rPr>
                <w:sz w:val="19"/>
              </w:rPr>
            </w:pPr>
            <w:r>
              <w:rPr>
                <w:sz w:val="19"/>
              </w:rPr>
              <w:t>1 Jan 2006 (see r. 2)</w:t>
            </w:r>
          </w:p>
        </w:tc>
      </w:tr>
      <w:tr>
        <w:trPr>
          <w:cantSplit/>
        </w:trPr>
        <w:tc>
          <w:tcPr>
            <w:tcW w:w="3119" w:type="dxa"/>
          </w:tcPr>
          <w:p>
            <w:pPr>
              <w:pStyle w:val="nTable"/>
              <w:spacing w:after="40"/>
              <w:rPr>
                <w:i/>
                <w:sz w:val="19"/>
              </w:rPr>
            </w:pPr>
            <w:r>
              <w:rPr>
                <w:i/>
                <w:sz w:val="19"/>
              </w:rPr>
              <w:t>Liquor Licensing Amendment Regulations 2006</w:t>
            </w:r>
          </w:p>
        </w:tc>
        <w:tc>
          <w:tcPr>
            <w:tcW w:w="1276" w:type="dxa"/>
          </w:tcPr>
          <w:p>
            <w:pPr>
              <w:pStyle w:val="nTable"/>
              <w:spacing w:after="40"/>
              <w:rPr>
                <w:sz w:val="19"/>
              </w:rPr>
            </w:pPr>
            <w:r>
              <w:rPr>
                <w:sz w:val="19"/>
              </w:rPr>
              <w:t>14 Feb 2006 p. 695</w:t>
            </w:r>
            <w:r>
              <w:rPr>
                <w:sz w:val="19"/>
              </w:rPr>
              <w:noBreakHyphen/>
              <w:t>6</w:t>
            </w:r>
          </w:p>
        </w:tc>
        <w:tc>
          <w:tcPr>
            <w:tcW w:w="2693" w:type="dxa"/>
          </w:tcPr>
          <w:p>
            <w:pPr>
              <w:pStyle w:val="nTable"/>
              <w:spacing w:after="40"/>
              <w:rPr>
                <w:sz w:val="19"/>
              </w:rPr>
            </w:pPr>
            <w:r>
              <w:rPr>
                <w:sz w:val="19"/>
              </w:rPr>
              <w:t>14 Feb 2006</w:t>
            </w:r>
          </w:p>
        </w:tc>
      </w:tr>
      <w:tr>
        <w:trPr>
          <w:cantSplit/>
        </w:trPr>
        <w:tc>
          <w:tcPr>
            <w:tcW w:w="3119" w:type="dxa"/>
          </w:tcPr>
          <w:p>
            <w:pPr>
              <w:pStyle w:val="nTable"/>
              <w:spacing w:after="40"/>
              <w:rPr>
                <w:i/>
                <w:sz w:val="19"/>
              </w:rPr>
            </w:pPr>
            <w:r>
              <w:rPr>
                <w:i/>
                <w:sz w:val="19"/>
              </w:rPr>
              <w:t>Liquor Licensing Amendment Regulations (No. 2) 2006</w:t>
            </w:r>
            <w:r>
              <w:rPr>
                <w:sz w:val="19"/>
              </w:rPr>
              <w:t xml:space="preserve"> </w:t>
            </w:r>
          </w:p>
        </w:tc>
        <w:tc>
          <w:tcPr>
            <w:tcW w:w="1276" w:type="dxa"/>
          </w:tcPr>
          <w:p>
            <w:pPr>
              <w:pStyle w:val="nTable"/>
              <w:spacing w:after="40"/>
              <w:rPr>
                <w:sz w:val="19"/>
              </w:rPr>
            </w:pPr>
            <w:r>
              <w:rPr>
                <w:sz w:val="19"/>
              </w:rPr>
              <w:t>14 Nov 2006 p. 4734</w:t>
            </w:r>
            <w:r>
              <w:rPr>
                <w:sz w:val="19"/>
              </w:rPr>
              <w:noBreakHyphen/>
              <w:t>5</w:t>
            </w:r>
          </w:p>
        </w:tc>
        <w:tc>
          <w:tcPr>
            <w:tcW w:w="2693" w:type="dxa"/>
          </w:tcPr>
          <w:p>
            <w:pPr>
              <w:pStyle w:val="nTable"/>
              <w:spacing w:after="40"/>
              <w:rPr>
                <w:sz w:val="19"/>
              </w:rPr>
            </w:pPr>
            <w:r>
              <w:rPr>
                <w:snapToGrid w:val="0"/>
                <w:sz w:val="19"/>
                <w:lang w:val="en-US"/>
              </w:rPr>
              <w:t>1 Jan 2007 (see r. 2)</w:t>
            </w:r>
          </w:p>
        </w:tc>
      </w:tr>
      <w:tr>
        <w:trPr>
          <w:cantSplit/>
        </w:trPr>
        <w:tc>
          <w:tcPr>
            <w:tcW w:w="3119" w:type="dxa"/>
          </w:tcPr>
          <w:p>
            <w:pPr>
              <w:pStyle w:val="nTable"/>
              <w:spacing w:after="40"/>
              <w:rPr>
                <w:iCs/>
                <w:sz w:val="19"/>
              </w:rPr>
            </w:pPr>
            <w:r>
              <w:rPr>
                <w:i/>
                <w:sz w:val="19"/>
              </w:rPr>
              <w:t>Liquor Licensing Amendment Regulations 2007</w:t>
            </w:r>
          </w:p>
        </w:tc>
        <w:tc>
          <w:tcPr>
            <w:tcW w:w="1276" w:type="dxa"/>
          </w:tcPr>
          <w:p>
            <w:pPr>
              <w:pStyle w:val="nTable"/>
              <w:spacing w:after="40"/>
              <w:rPr>
                <w:sz w:val="19"/>
              </w:rPr>
            </w:pPr>
            <w:r>
              <w:rPr>
                <w:sz w:val="19"/>
              </w:rPr>
              <w:t>1 May 2007 p. 1861</w:t>
            </w:r>
            <w:r>
              <w:rPr>
                <w:sz w:val="19"/>
              </w:rPr>
              <w:noBreakHyphen/>
              <w:t>89</w:t>
            </w:r>
          </w:p>
        </w:tc>
        <w:tc>
          <w:tcPr>
            <w:tcW w:w="2693" w:type="dxa"/>
          </w:tcPr>
          <w:p>
            <w:pPr>
              <w:pStyle w:val="nTable"/>
              <w:spacing w:after="40"/>
              <w:rPr>
                <w:snapToGrid w:val="0"/>
                <w:sz w:val="19"/>
                <w:lang w:val="en-US"/>
              </w:rPr>
            </w:pPr>
            <w:r>
              <w:rPr>
                <w:sz w:val="19"/>
              </w:rPr>
              <w:t>r. 1 and 2: 1 May 2007 (see r. 2(a));</w:t>
            </w:r>
            <w:r>
              <w:rPr>
                <w:sz w:val="19"/>
              </w:rPr>
              <w:br/>
              <w:t>r. 3</w:t>
            </w:r>
            <w:r>
              <w:rPr>
                <w:sz w:val="19"/>
              </w:rPr>
              <w:noBreakHyphen/>
              <w:t>17 and 20</w:t>
            </w:r>
            <w:r>
              <w:rPr>
                <w:sz w:val="19"/>
              </w:rPr>
              <w:noBreakHyphen/>
              <w:t>26: 7 May 2007 (see r. 2(d));</w:t>
            </w:r>
            <w:r>
              <w:rPr>
                <w:sz w:val="19"/>
              </w:rPr>
              <w:br/>
              <w:t xml:space="preserve">r. 18 and 19: 1 Aug 2007 (see r. 2(b) and (c) and </w:t>
            </w:r>
            <w:r>
              <w:rPr>
                <w:i/>
                <w:iCs/>
                <w:sz w:val="19"/>
              </w:rPr>
              <w:t>Gazette</w:t>
            </w:r>
            <w:r>
              <w:rPr>
                <w:sz w:val="19"/>
              </w:rPr>
              <w:t xml:space="preserve"> 20 Jul 2007 p. 3629)</w:t>
            </w:r>
          </w:p>
        </w:tc>
      </w:tr>
      <w:tr>
        <w:trPr>
          <w:cantSplit/>
        </w:trPr>
        <w:tc>
          <w:tcPr>
            <w:tcW w:w="7088" w:type="dxa"/>
            <w:gridSpan w:val="3"/>
          </w:tcPr>
          <w:p>
            <w:pPr>
              <w:pStyle w:val="nTable"/>
              <w:spacing w:after="40"/>
              <w:rPr>
                <w:sz w:val="19"/>
              </w:rPr>
            </w:pPr>
            <w:r>
              <w:rPr>
                <w:b/>
                <w:sz w:val="19"/>
              </w:rPr>
              <w:t xml:space="preserve">Reprint 6: The </w:t>
            </w:r>
            <w:r>
              <w:rPr>
                <w:b/>
                <w:i/>
                <w:sz w:val="19"/>
              </w:rPr>
              <w:t>Liquor Control Regulations 1989</w:t>
            </w:r>
            <w:r>
              <w:rPr>
                <w:b/>
                <w:sz w:val="19"/>
              </w:rPr>
              <w:t xml:space="preserve"> as at 6 Jul 2007 </w:t>
            </w:r>
            <w:r>
              <w:rPr>
                <w:sz w:val="19"/>
              </w:rPr>
              <w:t xml:space="preserve">(includes amendments listed above except those in the </w:t>
            </w:r>
            <w:r>
              <w:rPr>
                <w:i/>
                <w:iCs/>
                <w:sz w:val="19"/>
              </w:rPr>
              <w:t>Liquor Licensing Amendment Regulations 2007</w:t>
            </w:r>
            <w:r>
              <w:rPr>
                <w:sz w:val="19"/>
              </w:rPr>
              <w:t xml:space="preserve"> r. 18 and 19)</w:t>
            </w:r>
          </w:p>
        </w:tc>
      </w:tr>
      <w:tr>
        <w:trPr>
          <w:cantSplit/>
        </w:trPr>
        <w:tc>
          <w:tcPr>
            <w:tcW w:w="3119" w:type="dxa"/>
          </w:tcPr>
          <w:p>
            <w:pPr>
              <w:pStyle w:val="nTable"/>
              <w:spacing w:after="40"/>
              <w:rPr>
                <w:iCs/>
                <w:sz w:val="19"/>
                <w:vertAlign w:val="superscript"/>
              </w:rPr>
            </w:pPr>
            <w:r>
              <w:rPr>
                <w:i/>
                <w:sz w:val="19"/>
              </w:rPr>
              <w:t>Liquor Control Amendment Regulations (No. 2) 2007 </w:t>
            </w:r>
            <w:r>
              <w:rPr>
                <w:iCs/>
                <w:sz w:val="19"/>
                <w:vertAlign w:val="superscript"/>
              </w:rPr>
              <w:t>10</w:t>
            </w:r>
          </w:p>
        </w:tc>
        <w:tc>
          <w:tcPr>
            <w:tcW w:w="1276" w:type="dxa"/>
          </w:tcPr>
          <w:p>
            <w:pPr>
              <w:pStyle w:val="nTable"/>
              <w:spacing w:after="40"/>
              <w:rPr>
                <w:sz w:val="19"/>
              </w:rPr>
            </w:pPr>
            <w:r>
              <w:rPr>
                <w:sz w:val="19"/>
              </w:rPr>
              <w:t>28 Sep 2007 p. 4928</w:t>
            </w:r>
            <w:r>
              <w:rPr>
                <w:sz w:val="19"/>
              </w:rPr>
              <w:noBreakHyphen/>
              <w:t>32</w:t>
            </w:r>
          </w:p>
        </w:tc>
        <w:tc>
          <w:tcPr>
            <w:tcW w:w="2693" w:type="dxa"/>
          </w:tcPr>
          <w:p>
            <w:pPr>
              <w:pStyle w:val="nTable"/>
              <w:spacing w:after="40"/>
              <w:rPr>
                <w:sz w:val="19"/>
              </w:rPr>
            </w:pPr>
            <w:r>
              <w:rPr>
                <w:snapToGrid w:val="0"/>
                <w:sz w:val="19"/>
                <w:lang w:val="en-US"/>
              </w:rPr>
              <w:t>r. 1 and 2: 28 Sep 2007 (see r. 2(a));</w:t>
            </w:r>
            <w:r>
              <w:rPr>
                <w:snapToGrid w:val="0"/>
                <w:sz w:val="19"/>
                <w:lang w:val="en-US"/>
              </w:rPr>
              <w:br/>
              <w:t>Regulations other than r. 1 and 2: 29 Sep 2007 (see r. 2(b))</w:t>
            </w:r>
          </w:p>
        </w:tc>
      </w:tr>
      <w:tr>
        <w:trPr>
          <w:cantSplit/>
        </w:trPr>
        <w:tc>
          <w:tcPr>
            <w:tcW w:w="3119" w:type="dxa"/>
          </w:tcPr>
          <w:p>
            <w:pPr>
              <w:pStyle w:val="nTable"/>
              <w:spacing w:after="40"/>
              <w:rPr>
                <w:i/>
                <w:sz w:val="19"/>
              </w:rPr>
            </w:pPr>
            <w:r>
              <w:rPr>
                <w:i/>
                <w:sz w:val="19"/>
              </w:rPr>
              <w:t>Liquor Control Amendment Regulations (No. 5) 2007</w:t>
            </w:r>
          </w:p>
        </w:tc>
        <w:tc>
          <w:tcPr>
            <w:tcW w:w="1276" w:type="dxa"/>
          </w:tcPr>
          <w:p>
            <w:pPr>
              <w:pStyle w:val="nTable"/>
              <w:spacing w:after="40"/>
              <w:rPr>
                <w:sz w:val="19"/>
              </w:rPr>
            </w:pPr>
            <w:r>
              <w:rPr>
                <w:sz w:val="19"/>
              </w:rPr>
              <w:t>2 Oct 2007 p. 4974</w:t>
            </w:r>
          </w:p>
        </w:tc>
        <w:tc>
          <w:tcPr>
            <w:tcW w:w="2693" w:type="dxa"/>
          </w:tcPr>
          <w:p>
            <w:pPr>
              <w:pStyle w:val="nTable"/>
              <w:spacing w:after="40"/>
              <w:rPr>
                <w:snapToGrid w:val="0"/>
                <w:sz w:val="19"/>
                <w:lang w:val="en-US"/>
              </w:rPr>
            </w:pPr>
            <w:r>
              <w:rPr>
                <w:spacing w:val="-2"/>
                <w:sz w:val="19"/>
              </w:rPr>
              <w:t>r. 1 and 2: 2 Oct 2007 (see r. 2(a));</w:t>
            </w:r>
            <w:r>
              <w:rPr>
                <w:spacing w:val="-2"/>
                <w:sz w:val="19"/>
              </w:rPr>
              <w:br/>
              <w:t>Regulations other than r. 1 and 2: 3 Oct 2007 (see r. 2(b))</w:t>
            </w:r>
          </w:p>
        </w:tc>
      </w:tr>
      <w:tr>
        <w:trPr>
          <w:cantSplit/>
        </w:trPr>
        <w:tc>
          <w:tcPr>
            <w:tcW w:w="3119" w:type="dxa"/>
          </w:tcPr>
          <w:p>
            <w:pPr>
              <w:pStyle w:val="nTable"/>
              <w:spacing w:after="40"/>
              <w:rPr>
                <w:iCs/>
                <w:sz w:val="19"/>
              </w:rPr>
            </w:pPr>
            <w:r>
              <w:rPr>
                <w:i/>
                <w:sz w:val="19"/>
              </w:rPr>
              <w:t>Liquor Control Amendment Regulations (No. 3) 2007</w:t>
            </w:r>
          </w:p>
        </w:tc>
        <w:tc>
          <w:tcPr>
            <w:tcW w:w="1276" w:type="dxa"/>
          </w:tcPr>
          <w:p>
            <w:pPr>
              <w:pStyle w:val="nTable"/>
              <w:spacing w:after="40"/>
              <w:rPr>
                <w:sz w:val="19"/>
              </w:rPr>
            </w:pPr>
            <w:r>
              <w:rPr>
                <w:sz w:val="19"/>
              </w:rPr>
              <w:t>9 Oct 2007 p. 5352</w:t>
            </w:r>
            <w:r>
              <w:rPr>
                <w:sz w:val="19"/>
              </w:rPr>
              <w:noBreakHyphen/>
              <w:t>4</w:t>
            </w:r>
          </w:p>
        </w:tc>
        <w:tc>
          <w:tcPr>
            <w:tcW w:w="2693" w:type="dxa"/>
          </w:tcPr>
          <w:p>
            <w:pPr>
              <w:pStyle w:val="nTable"/>
              <w:spacing w:after="40"/>
              <w:rPr>
                <w:spacing w:val="-2"/>
                <w:sz w:val="19"/>
              </w:rPr>
            </w:pPr>
            <w:r>
              <w:rPr>
                <w:snapToGrid w:val="0"/>
                <w:spacing w:val="-2"/>
                <w:sz w:val="19"/>
                <w:lang w:val="en-US"/>
              </w:rPr>
              <w:t>r. 1 and 2: 9 Oct 2007 (see r. 2(a));</w:t>
            </w:r>
            <w:r>
              <w:rPr>
                <w:snapToGrid w:val="0"/>
                <w:spacing w:val="-2"/>
                <w:sz w:val="19"/>
                <w:lang w:val="en-US"/>
              </w:rPr>
              <w:br/>
              <w:t>Regulations other than r. 1 and 2: 1 Jan 2008 (see r. 2(b))</w:t>
            </w:r>
          </w:p>
        </w:tc>
      </w:tr>
      <w:tr>
        <w:trPr>
          <w:cantSplit/>
        </w:trPr>
        <w:tc>
          <w:tcPr>
            <w:tcW w:w="3119" w:type="dxa"/>
          </w:tcPr>
          <w:p>
            <w:pPr>
              <w:pStyle w:val="nTable"/>
              <w:spacing w:after="40"/>
              <w:rPr>
                <w:i/>
                <w:sz w:val="19"/>
              </w:rPr>
            </w:pPr>
            <w:r>
              <w:rPr>
                <w:sz w:val="19"/>
              </w:rPr>
              <w:br w:type="page"/>
            </w:r>
            <w:r>
              <w:rPr>
                <w:i/>
                <w:sz w:val="19"/>
              </w:rPr>
              <w:t>Liquor Control Amendment Regulations (No. 2) 2008</w:t>
            </w:r>
          </w:p>
        </w:tc>
        <w:tc>
          <w:tcPr>
            <w:tcW w:w="1276" w:type="dxa"/>
          </w:tcPr>
          <w:p>
            <w:pPr>
              <w:pStyle w:val="nTable"/>
              <w:spacing w:after="40"/>
              <w:rPr>
                <w:sz w:val="19"/>
              </w:rPr>
            </w:pPr>
            <w:r>
              <w:rPr>
                <w:sz w:val="19"/>
              </w:rPr>
              <w:t>22 Apr 2008 p. 1545</w:t>
            </w:r>
          </w:p>
        </w:tc>
        <w:tc>
          <w:tcPr>
            <w:tcW w:w="2693" w:type="dxa"/>
          </w:tcPr>
          <w:p>
            <w:pPr>
              <w:pStyle w:val="nTable"/>
              <w:spacing w:after="40"/>
              <w:rPr>
                <w:snapToGrid w:val="0"/>
                <w:spacing w:val="-2"/>
                <w:sz w:val="19"/>
                <w:lang w:val="en-US"/>
              </w:rPr>
            </w:pPr>
            <w:r>
              <w:rPr>
                <w:snapToGrid w:val="0"/>
                <w:spacing w:val="-2"/>
                <w:sz w:val="19"/>
                <w:lang w:val="en-US"/>
              </w:rPr>
              <w:t>r. 1 and 2: 22 Apr 2008 (see r. 2(a));</w:t>
            </w:r>
            <w:r>
              <w:rPr>
                <w:snapToGrid w:val="0"/>
                <w:spacing w:val="-2"/>
                <w:sz w:val="19"/>
                <w:lang w:val="en-US"/>
              </w:rPr>
              <w:br/>
              <w:t>Regulations other than r. 1 and 2: 23 Apr 2008 (see r. 2(b))</w:t>
            </w:r>
          </w:p>
        </w:tc>
      </w:tr>
      <w:tr>
        <w:trPr>
          <w:cantSplit/>
        </w:trPr>
        <w:tc>
          <w:tcPr>
            <w:tcW w:w="3119" w:type="dxa"/>
          </w:tcPr>
          <w:p>
            <w:pPr>
              <w:pStyle w:val="nTable"/>
              <w:spacing w:after="40"/>
              <w:rPr>
                <w:i/>
                <w:sz w:val="19"/>
              </w:rPr>
            </w:pPr>
            <w:r>
              <w:rPr>
                <w:i/>
                <w:sz w:val="19"/>
              </w:rPr>
              <w:t>Liquor Control Amendment Regulations 2008</w:t>
            </w:r>
          </w:p>
        </w:tc>
        <w:tc>
          <w:tcPr>
            <w:tcW w:w="1276" w:type="dxa"/>
          </w:tcPr>
          <w:p>
            <w:pPr>
              <w:pStyle w:val="nTable"/>
              <w:spacing w:after="40"/>
              <w:rPr>
                <w:sz w:val="19"/>
              </w:rPr>
            </w:pPr>
            <w:r>
              <w:rPr>
                <w:sz w:val="19"/>
              </w:rPr>
              <w:t>2 May 2008 p. 1703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May 2008 (see r. 2(a));</w:t>
            </w:r>
            <w:r>
              <w:rPr>
                <w:snapToGrid w:val="0"/>
                <w:spacing w:val="-2"/>
                <w:sz w:val="19"/>
                <w:lang w:val="en-US"/>
              </w:rPr>
              <w:br/>
              <w:t>Regulations other than r. 1 and 2: 3 May 2008 (see r. 2(b))</w:t>
            </w:r>
          </w:p>
        </w:tc>
      </w:tr>
      <w:tr>
        <w:trPr>
          <w:cantSplit/>
        </w:trPr>
        <w:tc>
          <w:tcPr>
            <w:tcW w:w="7088" w:type="dxa"/>
            <w:gridSpan w:val="3"/>
          </w:tcPr>
          <w:p>
            <w:pPr>
              <w:pStyle w:val="nTable"/>
              <w:spacing w:after="40"/>
              <w:rPr>
                <w:snapToGrid w:val="0"/>
                <w:spacing w:val="-2"/>
                <w:sz w:val="19"/>
                <w:lang w:val="en-US"/>
              </w:rPr>
            </w:pPr>
            <w:r>
              <w:rPr>
                <w:b/>
                <w:sz w:val="19"/>
              </w:rPr>
              <w:t xml:space="preserve">Reprint 7: The </w:t>
            </w:r>
            <w:r>
              <w:rPr>
                <w:b/>
                <w:i/>
                <w:sz w:val="19"/>
              </w:rPr>
              <w:t>Liquor Control Regulations 1989</w:t>
            </w:r>
            <w:r>
              <w:rPr>
                <w:b/>
                <w:sz w:val="19"/>
              </w:rPr>
              <w:t xml:space="preserve"> as at 4 Jul 2008 </w:t>
            </w:r>
            <w:r>
              <w:rPr>
                <w:sz w:val="19"/>
              </w:rPr>
              <w:t>(includes amendments listed above)</w:t>
            </w:r>
          </w:p>
        </w:tc>
      </w:tr>
      <w:tr>
        <w:trPr>
          <w:cantSplit/>
        </w:trPr>
        <w:tc>
          <w:tcPr>
            <w:tcW w:w="3119" w:type="dxa"/>
          </w:tcPr>
          <w:p>
            <w:pPr>
              <w:pStyle w:val="nTable"/>
              <w:spacing w:after="40"/>
              <w:rPr>
                <w:i/>
                <w:sz w:val="19"/>
              </w:rPr>
            </w:pPr>
            <w:r>
              <w:rPr>
                <w:sz w:val="19"/>
              </w:rPr>
              <w:br w:type="page"/>
            </w:r>
            <w:r>
              <w:rPr>
                <w:i/>
                <w:sz w:val="19"/>
              </w:rPr>
              <w:t>Liquor Control Amendment Regulations (No. 3) 2008</w:t>
            </w:r>
          </w:p>
        </w:tc>
        <w:tc>
          <w:tcPr>
            <w:tcW w:w="1276" w:type="dxa"/>
          </w:tcPr>
          <w:p>
            <w:pPr>
              <w:pStyle w:val="nTable"/>
              <w:spacing w:after="40"/>
              <w:rPr>
                <w:sz w:val="19"/>
              </w:rPr>
            </w:pPr>
            <w:r>
              <w:rPr>
                <w:sz w:val="19"/>
              </w:rPr>
              <w:t>24 Oct 2008 p. 4682</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Oct 2008</w:t>
            </w:r>
            <w:r>
              <w:rPr>
                <w:snapToGrid w:val="0"/>
                <w:spacing w:val="-2"/>
                <w:sz w:val="19"/>
                <w:lang w:val="en-US"/>
              </w:rPr>
              <w:t xml:space="preserve"> (see r. 2(a));</w:t>
            </w:r>
            <w:r>
              <w:rPr>
                <w:snapToGrid w:val="0"/>
                <w:spacing w:val="-2"/>
                <w:sz w:val="19"/>
                <w:lang w:val="en-US"/>
              </w:rPr>
              <w:br/>
              <w:t xml:space="preserve">Regulations other than r. 1 and 2: </w:t>
            </w:r>
            <w:r>
              <w:rPr>
                <w:sz w:val="19"/>
              </w:rPr>
              <w:t>25 Oct 2008</w:t>
            </w:r>
            <w:r>
              <w:rPr>
                <w:snapToGrid w:val="0"/>
                <w:spacing w:val="-2"/>
                <w:sz w:val="19"/>
                <w:lang w:val="en-US"/>
              </w:rPr>
              <w:t xml:space="preserve"> (see r. 2(b))</w:t>
            </w:r>
          </w:p>
        </w:tc>
      </w:tr>
      <w:tr>
        <w:trPr>
          <w:cantSplit/>
        </w:trPr>
        <w:tc>
          <w:tcPr>
            <w:tcW w:w="3119" w:type="dxa"/>
          </w:tcPr>
          <w:p>
            <w:pPr>
              <w:pStyle w:val="nTable"/>
              <w:spacing w:after="40"/>
              <w:rPr>
                <w:i/>
                <w:iCs/>
                <w:sz w:val="19"/>
              </w:rPr>
            </w:pPr>
            <w:r>
              <w:rPr>
                <w:i/>
                <w:sz w:val="19"/>
              </w:rPr>
              <w:t xml:space="preserve">Liquor Control Amendment Regulations (No. 4) 2008 </w:t>
            </w:r>
          </w:p>
        </w:tc>
        <w:tc>
          <w:tcPr>
            <w:tcW w:w="1276" w:type="dxa"/>
          </w:tcPr>
          <w:p>
            <w:pPr>
              <w:pStyle w:val="nTable"/>
              <w:spacing w:after="40"/>
              <w:rPr>
                <w:sz w:val="19"/>
              </w:rPr>
            </w:pPr>
            <w:r>
              <w:rPr>
                <w:sz w:val="19"/>
              </w:rPr>
              <w:t>28 Oct 2008 p. 4729</w:t>
            </w:r>
            <w:r>
              <w:rPr>
                <w:sz w:val="19"/>
              </w:rPr>
              <w:noBreakHyphen/>
              <w:t>31</w:t>
            </w:r>
          </w:p>
        </w:tc>
        <w:tc>
          <w:tcPr>
            <w:tcW w:w="2693" w:type="dxa"/>
          </w:tcPr>
          <w:p>
            <w:pPr>
              <w:pStyle w:val="nTable"/>
              <w:spacing w:after="40"/>
              <w:rPr>
                <w:snapToGrid w:val="0"/>
                <w:spacing w:val="-2"/>
                <w:sz w:val="19"/>
                <w:lang w:val="en-US"/>
              </w:rPr>
            </w:pPr>
            <w:r>
              <w:rPr>
                <w:snapToGrid w:val="0"/>
                <w:spacing w:val="-2"/>
                <w:sz w:val="19"/>
                <w:lang w:val="en-US"/>
              </w:rPr>
              <w:t>r. 1 and 2: 28 Oct 2008 (see r. 2(a));</w:t>
            </w:r>
            <w:r>
              <w:rPr>
                <w:snapToGrid w:val="0"/>
                <w:spacing w:val="-2"/>
                <w:sz w:val="19"/>
                <w:lang w:val="en-US"/>
              </w:rPr>
              <w:br/>
              <w:t>Regulations other than r. 1 and 2: 1 Jan 2009 (see r. 2(b))</w:t>
            </w:r>
          </w:p>
        </w:tc>
      </w:tr>
      <w:tr>
        <w:trPr>
          <w:cantSplit/>
        </w:trPr>
        <w:tc>
          <w:tcPr>
            <w:tcW w:w="3119" w:type="dxa"/>
          </w:tcPr>
          <w:p>
            <w:pPr>
              <w:pStyle w:val="nTable"/>
              <w:spacing w:after="40"/>
              <w:rPr>
                <w:i/>
                <w:iCs/>
                <w:sz w:val="19"/>
              </w:rPr>
            </w:pPr>
            <w:r>
              <w:rPr>
                <w:i/>
                <w:iCs/>
                <w:sz w:val="19"/>
              </w:rPr>
              <w:t>Liquor Control Amendment Regulations (No. 5) 2008</w:t>
            </w:r>
          </w:p>
        </w:tc>
        <w:tc>
          <w:tcPr>
            <w:tcW w:w="1276" w:type="dxa"/>
          </w:tcPr>
          <w:p>
            <w:pPr>
              <w:pStyle w:val="nTable"/>
              <w:spacing w:after="40"/>
              <w:rPr>
                <w:sz w:val="19"/>
              </w:rPr>
            </w:pPr>
            <w:r>
              <w:rPr>
                <w:sz w:val="19"/>
              </w:rPr>
              <w:t>7 Nov 2008 p. 4821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7 Nov 2008</w:t>
            </w:r>
            <w:r>
              <w:rPr>
                <w:snapToGrid w:val="0"/>
                <w:spacing w:val="-2"/>
                <w:sz w:val="19"/>
                <w:lang w:val="en-US"/>
              </w:rPr>
              <w:t xml:space="preserve"> (see r. 2(a));</w:t>
            </w:r>
            <w:r>
              <w:rPr>
                <w:snapToGrid w:val="0"/>
                <w:spacing w:val="-2"/>
                <w:sz w:val="19"/>
                <w:lang w:val="en-US"/>
              </w:rPr>
              <w:br/>
              <w:t xml:space="preserve">Regulations other than r. 1 and 2: </w:t>
            </w:r>
            <w:r>
              <w:rPr>
                <w:sz w:val="19"/>
              </w:rPr>
              <w:t>8 Nov 2008</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8) 2008</w:t>
            </w:r>
          </w:p>
        </w:tc>
        <w:tc>
          <w:tcPr>
            <w:tcW w:w="1276" w:type="dxa"/>
          </w:tcPr>
          <w:p>
            <w:pPr>
              <w:pStyle w:val="nTable"/>
              <w:spacing w:after="40"/>
              <w:rPr>
                <w:sz w:val="19"/>
              </w:rPr>
            </w:pPr>
            <w:r>
              <w:rPr>
                <w:sz w:val="19"/>
              </w:rPr>
              <w:t>6 Feb 2009 p. 247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6 Feb 2009 (see r. 2(a));</w:t>
            </w:r>
            <w:r>
              <w:rPr>
                <w:snapToGrid w:val="0"/>
                <w:spacing w:val="-2"/>
                <w:sz w:val="19"/>
                <w:lang w:val="en-US"/>
              </w:rPr>
              <w:br/>
              <w:t>Regulations other than r. 1 and 2: 7 Feb 2009 (see r. 2(b))</w:t>
            </w:r>
          </w:p>
        </w:tc>
      </w:tr>
      <w:tr>
        <w:trPr>
          <w:cantSplit/>
        </w:trPr>
        <w:tc>
          <w:tcPr>
            <w:tcW w:w="3119" w:type="dxa"/>
          </w:tcPr>
          <w:p>
            <w:pPr>
              <w:pStyle w:val="nTable"/>
              <w:spacing w:after="40"/>
              <w:rPr>
                <w:i/>
                <w:sz w:val="19"/>
              </w:rPr>
            </w:pPr>
            <w:r>
              <w:rPr>
                <w:i/>
                <w:sz w:val="19"/>
              </w:rPr>
              <w:t>Liquor Control Amendment Regulations 2009</w:t>
            </w:r>
          </w:p>
        </w:tc>
        <w:tc>
          <w:tcPr>
            <w:tcW w:w="1276" w:type="dxa"/>
          </w:tcPr>
          <w:p>
            <w:pPr>
              <w:pStyle w:val="nTable"/>
              <w:spacing w:after="40"/>
              <w:rPr>
                <w:sz w:val="19"/>
              </w:rPr>
            </w:pPr>
            <w:r>
              <w:rPr>
                <w:sz w:val="19"/>
              </w:rPr>
              <w:t>13 Mar 2009 p. 763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13 Mar 2009 (see r. 2(a));</w:t>
            </w:r>
            <w:r>
              <w:rPr>
                <w:snapToGrid w:val="0"/>
                <w:spacing w:val="-2"/>
                <w:sz w:val="19"/>
                <w:lang w:val="en-US"/>
              </w:rPr>
              <w:br/>
              <w:t>Regulations other than r. 1 and 2: 14 Mar 2009 (see r. 2(b))</w:t>
            </w:r>
          </w:p>
        </w:tc>
      </w:tr>
      <w:tr>
        <w:trPr>
          <w:cantSplit/>
        </w:trPr>
        <w:tc>
          <w:tcPr>
            <w:tcW w:w="3119" w:type="dxa"/>
          </w:tcPr>
          <w:p>
            <w:pPr>
              <w:pStyle w:val="nTable"/>
              <w:spacing w:after="40"/>
              <w:rPr>
                <w:i/>
                <w:sz w:val="19"/>
              </w:rPr>
            </w:pPr>
            <w:r>
              <w:rPr>
                <w:i/>
                <w:sz w:val="19"/>
              </w:rPr>
              <w:t>Liquor Control Amendment Regulations (No. 2) 2009</w:t>
            </w:r>
          </w:p>
        </w:tc>
        <w:tc>
          <w:tcPr>
            <w:tcW w:w="1276" w:type="dxa"/>
          </w:tcPr>
          <w:p>
            <w:pPr>
              <w:pStyle w:val="nTable"/>
              <w:spacing w:after="40"/>
              <w:rPr>
                <w:sz w:val="19"/>
              </w:rPr>
            </w:pPr>
            <w:r>
              <w:rPr>
                <w:sz w:val="19"/>
              </w:rPr>
              <w:t>1 May 2009 p. 1437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1 May 2009 (see r. 2(a));</w:t>
            </w:r>
            <w:r>
              <w:rPr>
                <w:snapToGrid w:val="0"/>
                <w:spacing w:val="-2"/>
                <w:sz w:val="19"/>
                <w:lang w:val="en-US"/>
              </w:rPr>
              <w:br/>
              <w:t>Regulations other than r. 1 and 2: 2 May 2009 (see r. 2(b))</w:t>
            </w:r>
          </w:p>
        </w:tc>
      </w:tr>
      <w:tr>
        <w:trPr>
          <w:cantSplit/>
        </w:trPr>
        <w:tc>
          <w:tcPr>
            <w:tcW w:w="3119" w:type="dxa"/>
          </w:tcPr>
          <w:p>
            <w:pPr>
              <w:pStyle w:val="nTable"/>
              <w:spacing w:after="40"/>
              <w:rPr>
                <w:i/>
                <w:sz w:val="19"/>
              </w:rPr>
            </w:pPr>
            <w:r>
              <w:rPr>
                <w:i/>
                <w:sz w:val="19"/>
              </w:rPr>
              <w:t>Liquor Control Amendment Regulations (No. 6) 2009</w:t>
            </w:r>
          </w:p>
        </w:tc>
        <w:tc>
          <w:tcPr>
            <w:tcW w:w="1276" w:type="dxa"/>
          </w:tcPr>
          <w:p>
            <w:pPr>
              <w:pStyle w:val="nTable"/>
              <w:spacing w:after="40"/>
              <w:rPr>
                <w:sz w:val="19"/>
              </w:rPr>
            </w:pPr>
            <w:r>
              <w:rPr>
                <w:sz w:val="19"/>
              </w:rPr>
              <w:t>9 Jun 2009 p. 1927</w:t>
            </w:r>
            <w:r>
              <w:rPr>
                <w:sz w:val="19"/>
              </w:rPr>
              <w:noBreakHyphen/>
              <w:t>8</w:t>
            </w:r>
          </w:p>
        </w:tc>
        <w:tc>
          <w:tcPr>
            <w:tcW w:w="2693" w:type="dxa"/>
          </w:tcPr>
          <w:p>
            <w:pPr>
              <w:pStyle w:val="nTable"/>
              <w:spacing w:after="40"/>
              <w:rPr>
                <w:snapToGrid w:val="0"/>
                <w:spacing w:val="-2"/>
                <w:sz w:val="19"/>
                <w:lang w:val="en-US"/>
              </w:rPr>
            </w:pPr>
            <w:r>
              <w:rPr>
                <w:snapToGrid w:val="0"/>
                <w:spacing w:val="-2"/>
                <w:sz w:val="19"/>
                <w:lang w:val="en-US"/>
              </w:rPr>
              <w:t>r. 1 and 2: 9 Jun 2009 (see r. 2(a));</w:t>
            </w:r>
            <w:r>
              <w:rPr>
                <w:snapToGrid w:val="0"/>
                <w:spacing w:val="-2"/>
                <w:sz w:val="19"/>
                <w:lang w:val="en-US"/>
              </w:rPr>
              <w:br/>
              <w:t>Regulations other than r. 1 and 2: 10 Jun 2009 (see r. 2(b)(i))</w:t>
            </w:r>
          </w:p>
        </w:tc>
      </w:tr>
      <w:tr>
        <w:trPr>
          <w:cantSplit/>
        </w:trPr>
        <w:tc>
          <w:tcPr>
            <w:tcW w:w="7088" w:type="dxa"/>
            <w:gridSpan w:val="3"/>
          </w:tcPr>
          <w:p>
            <w:pPr>
              <w:pStyle w:val="nTable"/>
              <w:spacing w:after="40"/>
              <w:rPr>
                <w:snapToGrid w:val="0"/>
                <w:spacing w:val="-2"/>
                <w:sz w:val="19"/>
                <w:lang w:val="en-US"/>
              </w:rPr>
            </w:pPr>
            <w:r>
              <w:rPr>
                <w:b/>
                <w:sz w:val="19"/>
              </w:rPr>
              <w:t xml:space="preserve">Reprint 8: The </w:t>
            </w:r>
            <w:r>
              <w:rPr>
                <w:b/>
                <w:i/>
                <w:sz w:val="19"/>
              </w:rPr>
              <w:t>Liquor Control Regulations 1989</w:t>
            </w:r>
            <w:r>
              <w:rPr>
                <w:b/>
                <w:sz w:val="19"/>
              </w:rPr>
              <w:t xml:space="preserve"> as at 3 Jul 2009 </w:t>
            </w:r>
            <w:r>
              <w:rPr>
                <w:sz w:val="19"/>
              </w:rPr>
              <w:t>(includes amendments listed above)</w:t>
            </w:r>
          </w:p>
        </w:tc>
      </w:tr>
      <w:tr>
        <w:trPr>
          <w:cantSplit/>
        </w:trPr>
        <w:tc>
          <w:tcPr>
            <w:tcW w:w="3119" w:type="dxa"/>
          </w:tcPr>
          <w:p>
            <w:pPr>
              <w:pStyle w:val="nTable"/>
              <w:spacing w:after="40"/>
              <w:rPr>
                <w:i/>
                <w:sz w:val="19"/>
              </w:rPr>
            </w:pPr>
            <w:r>
              <w:rPr>
                <w:i/>
                <w:sz w:val="19"/>
              </w:rPr>
              <w:t>Liquor Control Amendment Regulations (No. 3) 2009</w:t>
            </w:r>
          </w:p>
        </w:tc>
        <w:tc>
          <w:tcPr>
            <w:tcW w:w="1276" w:type="dxa"/>
          </w:tcPr>
          <w:p>
            <w:pPr>
              <w:pStyle w:val="nTable"/>
              <w:spacing w:after="40"/>
              <w:rPr>
                <w:sz w:val="19"/>
              </w:rPr>
            </w:pPr>
            <w:r>
              <w:rPr>
                <w:sz w:val="19"/>
              </w:rPr>
              <w:t>24 Jul 2009 p. 2949</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rPr>
                <w:i/>
                <w:sz w:val="19"/>
              </w:rPr>
            </w:pPr>
            <w:r>
              <w:rPr>
                <w:i/>
                <w:sz w:val="19"/>
              </w:rPr>
              <w:t>Liquor Control Amendment Regulations (No. 4) 2009</w:t>
            </w:r>
          </w:p>
        </w:tc>
        <w:tc>
          <w:tcPr>
            <w:tcW w:w="1276" w:type="dxa"/>
          </w:tcPr>
          <w:p>
            <w:pPr>
              <w:pStyle w:val="nTable"/>
              <w:spacing w:after="40"/>
              <w:rPr>
                <w:sz w:val="19"/>
              </w:rPr>
            </w:pPr>
            <w:r>
              <w:rPr>
                <w:sz w:val="19"/>
              </w:rPr>
              <w:t>24 Jul 2009 p. 2952</w:t>
            </w:r>
          </w:p>
        </w:tc>
        <w:tc>
          <w:tcPr>
            <w:tcW w:w="2693" w:type="dxa"/>
          </w:tcPr>
          <w:p>
            <w:pPr>
              <w:pStyle w:val="nTable"/>
              <w:spacing w:after="40"/>
              <w:rPr>
                <w:snapToGrid w:val="0"/>
                <w:spacing w:val="-2"/>
                <w:sz w:val="19"/>
                <w:lang w:val="en-US"/>
              </w:rPr>
            </w:pPr>
            <w:r>
              <w:rPr>
                <w:snapToGrid w:val="0"/>
                <w:spacing w:val="-2"/>
                <w:sz w:val="19"/>
                <w:lang w:val="en-US"/>
              </w:rPr>
              <w:t xml:space="preserve">r. 1 and 2: </w:t>
            </w:r>
            <w:r>
              <w:rPr>
                <w:sz w:val="19"/>
              </w:rPr>
              <w:t>24 Jul 2009</w:t>
            </w:r>
            <w:r>
              <w:rPr>
                <w:snapToGrid w:val="0"/>
                <w:spacing w:val="-2"/>
                <w:sz w:val="19"/>
                <w:lang w:val="en-US"/>
              </w:rPr>
              <w:t xml:space="preserve"> (see r. 2(a));</w:t>
            </w:r>
            <w:r>
              <w:rPr>
                <w:snapToGrid w:val="0"/>
                <w:spacing w:val="-2"/>
                <w:sz w:val="19"/>
                <w:lang w:val="en-US"/>
              </w:rPr>
              <w:br/>
              <w:t xml:space="preserve">Regulations other than r. 1 and 2: </w:t>
            </w:r>
            <w:r>
              <w:rPr>
                <w:sz w:val="19"/>
              </w:rPr>
              <w:t>25 Jul 2009</w:t>
            </w:r>
            <w:r>
              <w:rPr>
                <w:snapToGrid w:val="0"/>
                <w:spacing w:val="-2"/>
                <w:sz w:val="19"/>
                <w:lang w:val="en-US"/>
              </w:rPr>
              <w:t xml:space="preserve"> (see r. 2(b))</w:t>
            </w:r>
          </w:p>
        </w:tc>
      </w:tr>
      <w:tr>
        <w:trPr>
          <w:cantSplit/>
        </w:trPr>
        <w:tc>
          <w:tcPr>
            <w:tcW w:w="3119" w:type="dxa"/>
          </w:tcPr>
          <w:p>
            <w:pPr>
              <w:pStyle w:val="nTable"/>
              <w:spacing w:after="40"/>
              <w:ind w:right="113"/>
              <w:rPr>
                <w:iCs/>
                <w:sz w:val="19"/>
              </w:rPr>
            </w:pPr>
            <w:r>
              <w:rPr>
                <w:i/>
                <w:sz w:val="19"/>
              </w:rPr>
              <w:t>Liquor Control Amendment Regulations (No. 7) 2009</w:t>
            </w:r>
          </w:p>
        </w:tc>
        <w:tc>
          <w:tcPr>
            <w:tcW w:w="1276" w:type="dxa"/>
          </w:tcPr>
          <w:p>
            <w:pPr>
              <w:pStyle w:val="nTable"/>
              <w:spacing w:after="40"/>
              <w:rPr>
                <w:sz w:val="19"/>
              </w:rPr>
            </w:pPr>
            <w:r>
              <w:rPr>
                <w:sz w:val="19"/>
              </w:rPr>
              <w:t>20 Nov 2009 p. 4662</w:t>
            </w:r>
            <w:r>
              <w:rPr>
                <w:sz w:val="19"/>
              </w:rPr>
              <w:noBreakHyphen/>
              <w:t>6</w:t>
            </w:r>
          </w:p>
        </w:tc>
        <w:tc>
          <w:tcPr>
            <w:tcW w:w="2693" w:type="dxa"/>
          </w:tcPr>
          <w:p>
            <w:pPr>
              <w:pStyle w:val="nTable"/>
              <w:spacing w:after="40"/>
              <w:rPr>
                <w:sz w:val="19"/>
              </w:rPr>
            </w:pPr>
            <w:r>
              <w:rPr>
                <w:sz w:val="19"/>
              </w:rPr>
              <w:t>r. 1 and 2: 20 Nov 2009 (see r. 2(a));</w:t>
            </w:r>
            <w:r>
              <w:rPr>
                <w:sz w:val="19"/>
              </w:rPr>
              <w:br/>
              <w:t>Regulations other than r. 1 and 2: 1 Jan 2010 (see r. 2(b))</w:t>
            </w:r>
          </w:p>
        </w:tc>
      </w:tr>
      <w:tr>
        <w:trPr>
          <w:cantSplit/>
        </w:trPr>
        <w:tc>
          <w:tcPr>
            <w:tcW w:w="3119" w:type="dxa"/>
          </w:tcPr>
          <w:p>
            <w:pPr>
              <w:pStyle w:val="nTable"/>
              <w:spacing w:after="40"/>
              <w:ind w:right="113"/>
              <w:rPr>
                <w:i/>
                <w:sz w:val="19"/>
              </w:rPr>
            </w:pPr>
            <w:r>
              <w:rPr>
                <w:i/>
                <w:sz w:val="19"/>
              </w:rPr>
              <w:t>Liquor Control Amendment Regulations (No. 8) 2009</w:t>
            </w:r>
          </w:p>
        </w:tc>
        <w:tc>
          <w:tcPr>
            <w:tcW w:w="1276" w:type="dxa"/>
          </w:tcPr>
          <w:p>
            <w:pPr>
              <w:pStyle w:val="nTable"/>
              <w:spacing w:after="40"/>
              <w:rPr>
                <w:sz w:val="19"/>
              </w:rPr>
            </w:pPr>
            <w:r>
              <w:rPr>
                <w:sz w:val="19"/>
              </w:rPr>
              <w:t>15 Jan 2010 p. 70</w:t>
            </w:r>
            <w:r>
              <w:rPr>
                <w:sz w:val="19"/>
              </w:rPr>
              <w:noBreakHyphen/>
              <w:t>2</w:t>
            </w:r>
          </w:p>
        </w:tc>
        <w:tc>
          <w:tcPr>
            <w:tcW w:w="2693" w:type="dxa"/>
          </w:tcPr>
          <w:p>
            <w:pPr>
              <w:pStyle w:val="nTable"/>
              <w:spacing w:after="40"/>
              <w:rPr>
                <w:sz w:val="19"/>
              </w:rPr>
            </w:pPr>
            <w:r>
              <w:rPr>
                <w:snapToGrid w:val="0"/>
                <w:spacing w:val="-2"/>
                <w:sz w:val="19"/>
                <w:lang w:val="en-US"/>
              </w:rPr>
              <w:t>r. 1 and 2: 15 Jan 2010 (see r. 2(a));</w:t>
            </w:r>
            <w:r>
              <w:rPr>
                <w:snapToGrid w:val="0"/>
                <w:spacing w:val="-2"/>
                <w:sz w:val="19"/>
                <w:lang w:val="en-US"/>
              </w:rPr>
              <w:br/>
              <w:t>Regulations other than r. 1 and 2: 16 Jan 2010 (see r. 2(b))</w:t>
            </w:r>
          </w:p>
        </w:tc>
      </w:tr>
      <w:tr>
        <w:trPr>
          <w:cantSplit/>
        </w:trPr>
        <w:tc>
          <w:tcPr>
            <w:tcW w:w="3119" w:type="dxa"/>
          </w:tcPr>
          <w:p>
            <w:pPr>
              <w:pStyle w:val="nTable"/>
              <w:spacing w:after="40"/>
              <w:ind w:right="113"/>
              <w:rPr>
                <w:i/>
                <w:sz w:val="19"/>
              </w:rPr>
            </w:pPr>
            <w:r>
              <w:rPr>
                <w:i/>
                <w:sz w:val="19"/>
              </w:rPr>
              <w:t>Liquor Control Amendment Regulations 2010</w:t>
            </w:r>
          </w:p>
        </w:tc>
        <w:tc>
          <w:tcPr>
            <w:tcW w:w="1276" w:type="dxa"/>
          </w:tcPr>
          <w:p>
            <w:pPr>
              <w:pStyle w:val="nTable"/>
              <w:spacing w:after="40"/>
              <w:rPr>
                <w:sz w:val="19"/>
              </w:rPr>
            </w:pPr>
            <w:r>
              <w:rPr>
                <w:sz w:val="19"/>
              </w:rPr>
              <w:t>2 Mar 2010 p. 833</w:t>
            </w:r>
            <w:r>
              <w:rPr>
                <w:sz w:val="19"/>
              </w:rPr>
              <w:noBreakHyphen/>
              <w:t>4</w:t>
            </w:r>
          </w:p>
        </w:tc>
        <w:tc>
          <w:tcPr>
            <w:tcW w:w="2693" w:type="dxa"/>
          </w:tcPr>
          <w:p>
            <w:pPr>
              <w:pStyle w:val="nTable"/>
              <w:spacing w:after="40"/>
              <w:rPr>
                <w:snapToGrid w:val="0"/>
                <w:spacing w:val="-2"/>
                <w:sz w:val="19"/>
                <w:lang w:val="en-US"/>
              </w:rPr>
            </w:pPr>
            <w:r>
              <w:rPr>
                <w:snapToGrid w:val="0"/>
                <w:spacing w:val="-2"/>
                <w:sz w:val="19"/>
                <w:lang w:val="en-US"/>
              </w:rPr>
              <w:t>r. 1 and 2: 2 Mar 2010 (see r. 2(a));</w:t>
            </w:r>
            <w:r>
              <w:rPr>
                <w:snapToGrid w:val="0"/>
                <w:spacing w:val="-2"/>
                <w:sz w:val="19"/>
                <w:lang w:val="en-US"/>
              </w:rPr>
              <w:br/>
              <w:t>Regulations other than r. 1 and 2: 3 Mar 2010 (see r. 2(b))</w:t>
            </w:r>
          </w:p>
        </w:tc>
      </w:tr>
      <w:tr>
        <w:trPr>
          <w:cantSplit/>
        </w:trPr>
        <w:tc>
          <w:tcPr>
            <w:tcW w:w="3119" w:type="dxa"/>
          </w:tcPr>
          <w:p>
            <w:pPr>
              <w:pStyle w:val="nTable"/>
              <w:spacing w:after="40"/>
              <w:ind w:right="113"/>
              <w:rPr>
                <w:i/>
                <w:sz w:val="19"/>
              </w:rPr>
            </w:pPr>
            <w:r>
              <w:rPr>
                <w:i/>
                <w:sz w:val="19"/>
              </w:rPr>
              <w:t>Liquor Control Amendment Regulations (No. 2) 2010</w:t>
            </w:r>
          </w:p>
        </w:tc>
        <w:tc>
          <w:tcPr>
            <w:tcW w:w="1276" w:type="dxa"/>
          </w:tcPr>
          <w:p>
            <w:pPr>
              <w:pStyle w:val="nTable"/>
              <w:spacing w:after="40"/>
              <w:rPr>
                <w:sz w:val="19"/>
              </w:rPr>
            </w:pPr>
            <w:r>
              <w:rPr>
                <w:sz w:val="19"/>
              </w:rPr>
              <w:t>28 May 2010 p. 2301</w:t>
            </w:r>
          </w:p>
        </w:tc>
        <w:tc>
          <w:tcPr>
            <w:tcW w:w="2693" w:type="dxa"/>
          </w:tcPr>
          <w:p>
            <w:pPr>
              <w:pStyle w:val="nTable"/>
              <w:spacing w:after="40"/>
              <w:rPr>
                <w:snapToGrid w:val="0"/>
                <w:spacing w:val="-2"/>
                <w:sz w:val="19"/>
                <w:lang w:val="en-US"/>
              </w:rPr>
            </w:pPr>
            <w:r>
              <w:rPr>
                <w:snapToGrid w:val="0"/>
                <w:spacing w:val="-2"/>
                <w:sz w:val="19"/>
                <w:lang w:val="en-US"/>
              </w:rPr>
              <w:t>r. 1 and 2: 28 May 2010 (see  r. 2(a));</w:t>
            </w:r>
            <w:r>
              <w:rPr>
                <w:snapToGrid w:val="0"/>
                <w:spacing w:val="-2"/>
                <w:sz w:val="19"/>
                <w:lang w:val="en-US"/>
              </w:rPr>
              <w:br/>
              <w:t>Regulations other than r. 1 and 2: 29 May 2010 (see r. 2(b))</w:t>
            </w:r>
          </w:p>
        </w:tc>
      </w:tr>
      <w:tr>
        <w:trPr>
          <w:cantSplit/>
        </w:trPr>
        <w:tc>
          <w:tcPr>
            <w:tcW w:w="3119" w:type="dxa"/>
          </w:tcPr>
          <w:p>
            <w:pPr>
              <w:pStyle w:val="nTable"/>
              <w:spacing w:after="40"/>
              <w:ind w:right="113"/>
              <w:rPr>
                <w:i/>
                <w:sz w:val="19"/>
              </w:rPr>
            </w:pPr>
            <w:r>
              <w:rPr>
                <w:i/>
                <w:sz w:val="19"/>
              </w:rPr>
              <w:t>Liquor Control Amendment Regulations (No. 3) 2010</w:t>
            </w:r>
          </w:p>
        </w:tc>
        <w:tc>
          <w:tcPr>
            <w:tcW w:w="1276" w:type="dxa"/>
          </w:tcPr>
          <w:p>
            <w:pPr>
              <w:pStyle w:val="nTable"/>
              <w:spacing w:after="40"/>
              <w:rPr>
                <w:sz w:val="19"/>
              </w:rPr>
            </w:pPr>
            <w:r>
              <w:rPr>
                <w:sz w:val="19"/>
              </w:rPr>
              <w:t>8 Jun 2010 p. 2619</w:t>
            </w:r>
          </w:p>
        </w:tc>
        <w:tc>
          <w:tcPr>
            <w:tcW w:w="2693" w:type="dxa"/>
          </w:tcPr>
          <w:p>
            <w:pPr>
              <w:pStyle w:val="nTable"/>
              <w:spacing w:after="40"/>
              <w:rPr>
                <w:snapToGrid w:val="0"/>
                <w:spacing w:val="-2"/>
                <w:sz w:val="19"/>
                <w:lang w:val="en-US"/>
              </w:rPr>
            </w:pPr>
            <w:r>
              <w:rPr>
                <w:snapToGrid w:val="0"/>
                <w:spacing w:val="-2"/>
                <w:sz w:val="19"/>
                <w:lang w:val="en-US"/>
              </w:rPr>
              <w:t>r. 1 and 2: 8 Jun 2010 (see r. 2(a));</w:t>
            </w:r>
            <w:r>
              <w:rPr>
                <w:snapToGrid w:val="0"/>
                <w:spacing w:val="-2"/>
                <w:sz w:val="19"/>
                <w:lang w:val="en-US"/>
              </w:rPr>
              <w:br/>
              <w:t>Regulations other than r. 1 and 2: 9 Jun 2010 (see r. 2(b))</w:t>
            </w:r>
          </w:p>
        </w:tc>
      </w:tr>
      <w:tr>
        <w:trPr>
          <w:cantSplit/>
        </w:trPr>
        <w:tc>
          <w:tcPr>
            <w:tcW w:w="7088" w:type="dxa"/>
            <w:gridSpan w:val="3"/>
          </w:tcPr>
          <w:p>
            <w:pPr>
              <w:pStyle w:val="nTable"/>
              <w:spacing w:after="40"/>
              <w:rPr>
                <w:snapToGrid w:val="0"/>
                <w:spacing w:val="-2"/>
                <w:sz w:val="19"/>
                <w:lang w:val="en-US"/>
              </w:rPr>
            </w:pPr>
            <w:r>
              <w:rPr>
                <w:b/>
                <w:sz w:val="19"/>
              </w:rPr>
              <w:t xml:space="preserve">Reprint 9: The </w:t>
            </w:r>
            <w:r>
              <w:rPr>
                <w:b/>
                <w:i/>
                <w:sz w:val="19"/>
              </w:rPr>
              <w:t>Liquor Control Regulations 1989</w:t>
            </w:r>
            <w:r>
              <w:rPr>
                <w:b/>
                <w:sz w:val="19"/>
              </w:rPr>
              <w:t xml:space="preserve"> as at 18 Jun 2010 </w:t>
            </w:r>
            <w:r>
              <w:rPr>
                <w:sz w:val="19"/>
              </w:rPr>
              <w:t>(includes amendments listed above)</w:t>
            </w:r>
          </w:p>
        </w:tc>
      </w:tr>
      <w:tr>
        <w:trPr>
          <w:cantSplit/>
        </w:trPr>
        <w:tc>
          <w:tcPr>
            <w:tcW w:w="3119" w:type="dxa"/>
          </w:tcPr>
          <w:p>
            <w:pPr>
              <w:pStyle w:val="nTable"/>
              <w:spacing w:after="40"/>
              <w:ind w:right="113"/>
              <w:rPr>
                <w:i/>
                <w:sz w:val="19"/>
              </w:rPr>
            </w:pPr>
            <w:r>
              <w:rPr>
                <w:i/>
                <w:sz w:val="19"/>
              </w:rPr>
              <w:t>Liquor Control Amendment Regulations (No. 6) 2010</w:t>
            </w:r>
          </w:p>
        </w:tc>
        <w:tc>
          <w:tcPr>
            <w:tcW w:w="1276" w:type="dxa"/>
          </w:tcPr>
          <w:p>
            <w:pPr>
              <w:pStyle w:val="nTable"/>
              <w:spacing w:after="40"/>
              <w:rPr>
                <w:sz w:val="19"/>
              </w:rPr>
            </w:pPr>
            <w:r>
              <w:rPr>
                <w:sz w:val="19"/>
              </w:rPr>
              <w:t>17 Sep 2010 p. 4762</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5) 2010</w:t>
            </w:r>
          </w:p>
        </w:tc>
        <w:tc>
          <w:tcPr>
            <w:tcW w:w="1276" w:type="dxa"/>
          </w:tcPr>
          <w:p>
            <w:pPr>
              <w:pStyle w:val="nTable"/>
              <w:spacing w:after="40"/>
              <w:rPr>
                <w:sz w:val="19"/>
              </w:rPr>
            </w:pPr>
            <w:r>
              <w:rPr>
                <w:sz w:val="19"/>
              </w:rPr>
              <w:t>17 Sep 2010 p. 4765</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7) 2010</w:t>
            </w:r>
          </w:p>
        </w:tc>
        <w:tc>
          <w:tcPr>
            <w:tcW w:w="1276" w:type="dxa"/>
          </w:tcPr>
          <w:p>
            <w:pPr>
              <w:pStyle w:val="nTable"/>
              <w:spacing w:after="40"/>
              <w:rPr>
                <w:sz w:val="19"/>
              </w:rPr>
            </w:pPr>
            <w:r>
              <w:rPr>
                <w:sz w:val="19"/>
              </w:rPr>
              <w:t>17 Sep 2010 p. 4768</w:t>
            </w:r>
          </w:p>
        </w:tc>
        <w:tc>
          <w:tcPr>
            <w:tcW w:w="2693" w:type="dxa"/>
          </w:tcPr>
          <w:p>
            <w:pPr>
              <w:pStyle w:val="nTable"/>
              <w:spacing w:after="40"/>
              <w:rPr>
                <w:snapToGrid w:val="0"/>
                <w:spacing w:val="-2"/>
                <w:sz w:val="19"/>
                <w:lang w:val="en-US"/>
              </w:rPr>
            </w:pPr>
            <w:r>
              <w:rPr>
                <w:snapToGrid w:val="0"/>
                <w:spacing w:val="-2"/>
                <w:sz w:val="19"/>
                <w:lang w:val="en-US"/>
              </w:rPr>
              <w:t>r. 1 and 2: 17 Sep 2010 (see r. 2(a));</w:t>
            </w:r>
            <w:r>
              <w:rPr>
                <w:snapToGrid w:val="0"/>
                <w:spacing w:val="-2"/>
                <w:sz w:val="19"/>
                <w:lang w:val="en-US"/>
              </w:rPr>
              <w:br/>
              <w:t>Regulations other than r. 1 and 2: 18 Sep 2010 (see r. 2(b))</w:t>
            </w:r>
          </w:p>
        </w:tc>
      </w:tr>
      <w:tr>
        <w:trPr>
          <w:cantSplit/>
        </w:trPr>
        <w:tc>
          <w:tcPr>
            <w:tcW w:w="3119" w:type="dxa"/>
          </w:tcPr>
          <w:p>
            <w:pPr>
              <w:pStyle w:val="nTable"/>
              <w:spacing w:after="40"/>
              <w:ind w:right="113"/>
              <w:rPr>
                <w:i/>
                <w:sz w:val="19"/>
              </w:rPr>
            </w:pPr>
            <w:r>
              <w:rPr>
                <w:i/>
                <w:sz w:val="19"/>
              </w:rPr>
              <w:t>Liquor Control Amendment Regulations (No. 4) 2010</w:t>
            </w:r>
          </w:p>
        </w:tc>
        <w:tc>
          <w:tcPr>
            <w:tcW w:w="1276" w:type="dxa"/>
          </w:tcPr>
          <w:p>
            <w:pPr>
              <w:pStyle w:val="nTable"/>
              <w:spacing w:after="40"/>
              <w:rPr>
                <w:sz w:val="19"/>
              </w:rPr>
            </w:pPr>
            <w:r>
              <w:rPr>
                <w:sz w:val="19"/>
              </w:rPr>
              <w:t>22 Oct 2010 p. 5225</w:t>
            </w:r>
            <w:r>
              <w:rPr>
                <w:sz w:val="19"/>
              </w:rPr>
              <w:noBreakHyphen/>
              <w:t>9</w:t>
            </w:r>
          </w:p>
        </w:tc>
        <w:tc>
          <w:tcPr>
            <w:tcW w:w="2693" w:type="dxa"/>
          </w:tcPr>
          <w:p>
            <w:pPr>
              <w:pStyle w:val="nTable"/>
              <w:spacing w:after="40"/>
              <w:rPr>
                <w:snapToGrid w:val="0"/>
                <w:spacing w:val="-2"/>
                <w:sz w:val="19"/>
                <w:lang w:val="en-US"/>
              </w:rPr>
            </w:pPr>
            <w:r>
              <w:rPr>
                <w:snapToGrid w:val="0"/>
                <w:spacing w:val="-2"/>
                <w:sz w:val="19"/>
                <w:lang w:val="en-US"/>
              </w:rPr>
              <w:t>r. 1 and 2: 22 Oct 2010 (see r. 2(a));</w:t>
            </w:r>
            <w:r>
              <w:rPr>
                <w:snapToGrid w:val="0"/>
                <w:spacing w:val="-2"/>
                <w:sz w:val="19"/>
                <w:lang w:val="en-US"/>
              </w:rPr>
              <w:br/>
              <w:t>Regulations other than r. 1 and 2: 23 Oct 2010 (see r. 2(b))</w:t>
            </w:r>
          </w:p>
        </w:tc>
      </w:tr>
      <w:tr>
        <w:trPr>
          <w:cantSplit/>
        </w:trPr>
        <w:tc>
          <w:tcPr>
            <w:tcW w:w="3119" w:type="dxa"/>
          </w:tcPr>
          <w:p>
            <w:pPr>
              <w:pStyle w:val="nTable"/>
              <w:spacing w:after="40"/>
              <w:ind w:right="113"/>
              <w:rPr>
                <w:i/>
                <w:sz w:val="19"/>
              </w:rPr>
            </w:pPr>
            <w:r>
              <w:rPr>
                <w:i/>
                <w:sz w:val="19"/>
              </w:rPr>
              <w:t xml:space="preserve">Liquor Control Amendment Regulations (No. 10) 2010 </w:t>
            </w:r>
          </w:p>
        </w:tc>
        <w:tc>
          <w:tcPr>
            <w:tcW w:w="1276" w:type="dxa"/>
          </w:tcPr>
          <w:p>
            <w:pPr>
              <w:pStyle w:val="nTable"/>
              <w:spacing w:after="40"/>
              <w:rPr>
                <w:sz w:val="19"/>
              </w:rPr>
            </w:pPr>
            <w:r>
              <w:rPr>
                <w:sz w:val="19"/>
              </w:rPr>
              <w:t>19 Nov 2010 p. 5743</w:t>
            </w:r>
            <w:r>
              <w:rPr>
                <w:sz w:val="19"/>
              </w:rPr>
              <w:noBreakHyphen/>
              <w:t>7</w:t>
            </w:r>
          </w:p>
        </w:tc>
        <w:tc>
          <w:tcPr>
            <w:tcW w:w="2693" w:type="dxa"/>
          </w:tcPr>
          <w:p>
            <w:pPr>
              <w:pStyle w:val="nTable"/>
              <w:spacing w:after="40"/>
              <w:rPr>
                <w:snapToGrid w:val="0"/>
                <w:spacing w:val="-2"/>
                <w:sz w:val="19"/>
                <w:lang w:val="en-US"/>
              </w:rPr>
            </w:pPr>
            <w:r>
              <w:rPr>
                <w:snapToGrid w:val="0"/>
                <w:spacing w:val="-2"/>
                <w:sz w:val="19"/>
                <w:lang w:val="en-US"/>
              </w:rPr>
              <w:t>r. 1 and 2: 19 Nov 2010 (see r. 2(a));</w:t>
            </w:r>
            <w:r>
              <w:rPr>
                <w:snapToGrid w:val="0"/>
                <w:spacing w:val="-2"/>
                <w:sz w:val="19"/>
                <w:lang w:val="en-US"/>
              </w:rPr>
              <w:br/>
              <w:t xml:space="preserve">Regulations other than r. 1 and 2: </w:t>
            </w:r>
            <w:r>
              <w:rPr>
                <w:sz w:val="19"/>
              </w:rPr>
              <w:t xml:space="preserve">1 Jan 2011 (see r. 2(b)) </w:t>
            </w:r>
          </w:p>
        </w:tc>
      </w:tr>
      <w:tr>
        <w:trPr>
          <w:cantSplit/>
        </w:trPr>
        <w:tc>
          <w:tcPr>
            <w:tcW w:w="3119" w:type="dxa"/>
          </w:tcPr>
          <w:p>
            <w:pPr>
              <w:pStyle w:val="nTable"/>
              <w:spacing w:after="40"/>
              <w:ind w:right="113"/>
              <w:rPr>
                <w:i/>
                <w:sz w:val="19"/>
              </w:rPr>
            </w:pPr>
            <w:r>
              <w:rPr>
                <w:i/>
                <w:sz w:val="19"/>
              </w:rPr>
              <w:t>Liquor Control Amendment Regulations (No. 8) 2010</w:t>
            </w:r>
          </w:p>
        </w:tc>
        <w:tc>
          <w:tcPr>
            <w:tcW w:w="1276" w:type="dxa"/>
          </w:tcPr>
          <w:p>
            <w:pPr>
              <w:pStyle w:val="nTable"/>
              <w:spacing w:after="40"/>
              <w:rPr>
                <w:sz w:val="19"/>
              </w:rPr>
            </w:pPr>
            <w:r>
              <w:rPr>
                <w:sz w:val="19"/>
              </w:rPr>
              <w:t>3 Dec 2010 p. 6059</w:t>
            </w:r>
            <w:r>
              <w:rPr>
                <w:sz w:val="19"/>
              </w:rPr>
              <w:noBreakHyphen/>
              <w:t>60</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9) 2010</w:t>
            </w:r>
          </w:p>
        </w:tc>
        <w:tc>
          <w:tcPr>
            <w:tcW w:w="1276" w:type="dxa"/>
          </w:tcPr>
          <w:p>
            <w:pPr>
              <w:pStyle w:val="nTable"/>
              <w:spacing w:after="40"/>
              <w:rPr>
                <w:sz w:val="19"/>
              </w:rPr>
            </w:pPr>
            <w:r>
              <w:rPr>
                <w:sz w:val="19"/>
              </w:rPr>
              <w:t>3 Dec 2010 p. 6062</w:t>
            </w:r>
            <w:r>
              <w:rPr>
                <w:sz w:val="19"/>
              </w:rPr>
              <w:noBreakHyphen/>
              <w:t>3</w:t>
            </w:r>
          </w:p>
        </w:tc>
        <w:tc>
          <w:tcPr>
            <w:tcW w:w="2693" w:type="dxa"/>
          </w:tcPr>
          <w:p>
            <w:pPr>
              <w:pStyle w:val="nTable"/>
              <w:spacing w:after="40"/>
              <w:rPr>
                <w:snapToGrid w:val="0"/>
                <w:spacing w:val="-2"/>
                <w:sz w:val="19"/>
                <w:lang w:val="en-US"/>
              </w:rPr>
            </w:pPr>
            <w:r>
              <w:rPr>
                <w:snapToGrid w:val="0"/>
                <w:spacing w:val="-2"/>
                <w:sz w:val="19"/>
                <w:lang w:val="en-US"/>
              </w:rPr>
              <w:t>r. 1 and 2: 3 Dec 2010 (see r. 2(a));</w:t>
            </w:r>
            <w:r>
              <w:rPr>
                <w:snapToGrid w:val="0"/>
                <w:spacing w:val="-2"/>
                <w:sz w:val="19"/>
                <w:lang w:val="en-US"/>
              </w:rPr>
              <w:br/>
              <w:t>Regulations other than r. 1 and 2: 4 Dec 2010 (see r. 2(b))</w:t>
            </w:r>
          </w:p>
        </w:tc>
      </w:tr>
      <w:tr>
        <w:trPr>
          <w:cantSplit/>
        </w:trPr>
        <w:tc>
          <w:tcPr>
            <w:tcW w:w="3119" w:type="dxa"/>
          </w:tcPr>
          <w:p>
            <w:pPr>
              <w:pStyle w:val="nTable"/>
              <w:spacing w:after="40"/>
              <w:ind w:right="113"/>
              <w:rPr>
                <w:i/>
                <w:sz w:val="19"/>
              </w:rPr>
            </w:pPr>
            <w:r>
              <w:rPr>
                <w:i/>
                <w:sz w:val="19"/>
              </w:rPr>
              <w:t>Liquor Control Amendment Regulations (No. 2) 2011</w:t>
            </w:r>
          </w:p>
        </w:tc>
        <w:tc>
          <w:tcPr>
            <w:tcW w:w="1276" w:type="dxa"/>
          </w:tcPr>
          <w:p>
            <w:pPr>
              <w:pStyle w:val="nTable"/>
              <w:spacing w:after="40"/>
              <w:rPr>
                <w:sz w:val="19"/>
              </w:rPr>
            </w:pPr>
            <w:r>
              <w:rPr>
                <w:sz w:val="19"/>
              </w:rPr>
              <w:t>3 May 2011 p. 1600</w:t>
            </w:r>
          </w:p>
        </w:tc>
        <w:tc>
          <w:tcPr>
            <w:tcW w:w="2693" w:type="dxa"/>
          </w:tcPr>
          <w:p>
            <w:pPr>
              <w:pStyle w:val="nTable"/>
              <w:spacing w:after="40"/>
              <w:rPr>
                <w:snapToGrid w:val="0"/>
                <w:spacing w:val="-2"/>
                <w:sz w:val="19"/>
                <w:lang w:val="en-US"/>
              </w:rPr>
            </w:pPr>
            <w:r>
              <w:rPr>
                <w:snapToGrid w:val="0"/>
                <w:spacing w:val="-2"/>
                <w:sz w:val="19"/>
                <w:lang w:val="en-US"/>
              </w:rPr>
              <w:t>r. 1 and 2: 3 May 2011 (see r. 2(a));</w:t>
            </w:r>
            <w:r>
              <w:rPr>
                <w:snapToGrid w:val="0"/>
                <w:spacing w:val="-2"/>
                <w:sz w:val="19"/>
                <w:lang w:val="en-US"/>
              </w:rPr>
              <w:br/>
              <w:t>Regulations other than r. 1 and 2: 4 May 2011 (see r. 2(b))</w:t>
            </w:r>
          </w:p>
        </w:tc>
      </w:tr>
      <w:tr>
        <w:trPr>
          <w:cantSplit/>
        </w:trPr>
        <w:tc>
          <w:tcPr>
            <w:tcW w:w="3119" w:type="dxa"/>
          </w:tcPr>
          <w:p>
            <w:pPr>
              <w:pStyle w:val="nTable"/>
              <w:spacing w:after="40"/>
              <w:ind w:right="113"/>
              <w:rPr>
                <w:i/>
                <w:sz w:val="19"/>
              </w:rPr>
            </w:pPr>
            <w:r>
              <w:rPr>
                <w:i/>
                <w:sz w:val="19"/>
              </w:rPr>
              <w:t>Liquor Control Amendment Regulations 2011</w:t>
            </w:r>
          </w:p>
        </w:tc>
        <w:tc>
          <w:tcPr>
            <w:tcW w:w="1276" w:type="dxa"/>
          </w:tcPr>
          <w:p>
            <w:pPr>
              <w:pStyle w:val="nTable"/>
              <w:spacing w:after="40"/>
              <w:rPr>
                <w:sz w:val="19"/>
              </w:rPr>
            </w:pPr>
            <w:r>
              <w:rPr>
                <w:sz w:val="19"/>
              </w:rPr>
              <w:t>27 May 2011 p. 1931</w:t>
            </w:r>
            <w:r>
              <w:rPr>
                <w:sz w:val="19"/>
              </w:rPr>
              <w:noBreakHyphen/>
              <w:t>2</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7) 2011</w:t>
            </w:r>
          </w:p>
        </w:tc>
        <w:tc>
          <w:tcPr>
            <w:tcW w:w="1276" w:type="dxa"/>
          </w:tcPr>
          <w:p>
            <w:pPr>
              <w:pStyle w:val="nTable"/>
              <w:spacing w:after="40"/>
              <w:rPr>
                <w:sz w:val="19"/>
              </w:rPr>
            </w:pPr>
            <w:r>
              <w:rPr>
                <w:sz w:val="19"/>
              </w:rPr>
              <w:t>27 May 2011 p. 1934</w:t>
            </w:r>
            <w:r>
              <w:rPr>
                <w:sz w:val="19"/>
              </w:rPr>
              <w:noBreakHyphen/>
              <w:t>5</w:t>
            </w:r>
          </w:p>
        </w:tc>
        <w:tc>
          <w:tcPr>
            <w:tcW w:w="2693" w:type="dxa"/>
          </w:tcPr>
          <w:p>
            <w:pPr>
              <w:pStyle w:val="nTable"/>
              <w:spacing w:after="40"/>
              <w:rPr>
                <w:snapToGrid w:val="0"/>
                <w:spacing w:val="-2"/>
                <w:sz w:val="19"/>
                <w:lang w:val="en-US"/>
              </w:rPr>
            </w:pPr>
            <w:r>
              <w:rPr>
                <w:snapToGrid w:val="0"/>
                <w:spacing w:val="-2"/>
                <w:sz w:val="19"/>
                <w:lang w:val="en-US"/>
              </w:rPr>
              <w:t>r. 1 and 2: 27 May 2011 (see r. 2(a));</w:t>
            </w:r>
            <w:r>
              <w:rPr>
                <w:snapToGrid w:val="0"/>
                <w:spacing w:val="-2"/>
                <w:sz w:val="19"/>
                <w:lang w:val="en-US"/>
              </w:rPr>
              <w:br/>
              <w:t>Regulations other than r. 1 and 2: 28 May 2011 (see r. 2(b))</w:t>
            </w:r>
          </w:p>
        </w:tc>
      </w:tr>
      <w:tr>
        <w:trPr>
          <w:cantSplit/>
        </w:trPr>
        <w:tc>
          <w:tcPr>
            <w:tcW w:w="3119" w:type="dxa"/>
          </w:tcPr>
          <w:p>
            <w:pPr>
              <w:pStyle w:val="nTable"/>
              <w:spacing w:after="40"/>
              <w:ind w:right="113"/>
              <w:rPr>
                <w:i/>
                <w:sz w:val="19"/>
              </w:rPr>
            </w:pPr>
            <w:r>
              <w:rPr>
                <w:i/>
                <w:sz w:val="19"/>
              </w:rPr>
              <w:t>Liquor Control Amendment Regulations (No. 3) 2011</w:t>
            </w:r>
          </w:p>
        </w:tc>
        <w:tc>
          <w:tcPr>
            <w:tcW w:w="1276" w:type="dxa"/>
          </w:tcPr>
          <w:p>
            <w:pPr>
              <w:pStyle w:val="nTable"/>
              <w:spacing w:after="40"/>
              <w:rPr>
                <w:sz w:val="19"/>
              </w:rPr>
            </w:pPr>
            <w:r>
              <w:rPr>
                <w:sz w:val="19"/>
              </w:rPr>
              <w:t>3 Jun 2011 p. 1994</w:t>
            </w:r>
            <w:r>
              <w:rPr>
                <w:sz w:val="19"/>
              </w:rPr>
              <w:noBreakHyphen/>
              <w:t>2002</w:t>
            </w:r>
          </w:p>
        </w:tc>
        <w:tc>
          <w:tcPr>
            <w:tcW w:w="2693" w:type="dxa"/>
          </w:tcPr>
          <w:p>
            <w:pPr>
              <w:pStyle w:val="nTable"/>
              <w:spacing w:after="40"/>
              <w:rPr>
                <w:snapToGrid w:val="0"/>
                <w:spacing w:val="-2"/>
                <w:sz w:val="19"/>
                <w:lang w:val="en-US"/>
              </w:rPr>
            </w:pPr>
            <w:r>
              <w:rPr>
                <w:snapToGrid w:val="0"/>
                <w:spacing w:val="-2"/>
                <w:sz w:val="19"/>
                <w:lang w:val="en-US"/>
              </w:rPr>
              <w:t>Pt. 1: 3 Jun 2011 (see r. 2(a));</w:t>
            </w:r>
            <w:r>
              <w:rPr>
                <w:snapToGrid w:val="0"/>
                <w:spacing w:val="-2"/>
                <w:sz w:val="19"/>
                <w:lang w:val="en-US"/>
              </w:rPr>
              <w:br/>
              <w:t xml:space="preserve">Regulations other than Pt. 1: 7 Jun 2011 (see r. 2(b) and </w:t>
            </w:r>
            <w:r>
              <w:rPr>
                <w:i/>
                <w:snapToGrid w:val="0"/>
                <w:spacing w:val="-2"/>
                <w:sz w:val="19"/>
                <w:lang w:val="en-US"/>
              </w:rPr>
              <w:t>Gazette</w:t>
            </w:r>
            <w:r>
              <w:rPr>
                <w:snapToGrid w:val="0"/>
                <w:spacing w:val="-2"/>
                <w:sz w:val="19"/>
                <w:lang w:val="en-US"/>
              </w:rPr>
              <w:t xml:space="preserve"> 3 Jun 2011 p. 1975)</w:t>
            </w:r>
          </w:p>
        </w:tc>
      </w:tr>
      <w:tr>
        <w:trPr>
          <w:cantSplit/>
        </w:trPr>
        <w:tc>
          <w:tcPr>
            <w:tcW w:w="3119" w:type="dxa"/>
          </w:tcPr>
          <w:p>
            <w:pPr>
              <w:pStyle w:val="nTable"/>
              <w:spacing w:after="40"/>
              <w:ind w:right="113"/>
              <w:rPr>
                <w:i/>
                <w:sz w:val="19"/>
              </w:rPr>
            </w:pPr>
            <w:r>
              <w:rPr>
                <w:i/>
                <w:sz w:val="19"/>
              </w:rPr>
              <w:t>Liquor Control Amendment Regulations (No. 5) 2011</w:t>
            </w:r>
          </w:p>
        </w:tc>
        <w:tc>
          <w:tcPr>
            <w:tcW w:w="1276" w:type="dxa"/>
          </w:tcPr>
          <w:p>
            <w:pPr>
              <w:pStyle w:val="nTable"/>
              <w:spacing w:after="40"/>
              <w:rPr>
                <w:sz w:val="19"/>
              </w:rPr>
            </w:pPr>
            <w:r>
              <w:rPr>
                <w:sz w:val="19"/>
              </w:rPr>
              <w:t>15 Jul 2011 p. 2955</w:t>
            </w:r>
            <w:r>
              <w:rPr>
                <w:sz w:val="19"/>
              </w:rPr>
              <w:noBreakHyphen/>
              <w:t>66</w:t>
            </w:r>
          </w:p>
        </w:tc>
        <w:tc>
          <w:tcPr>
            <w:tcW w:w="2693" w:type="dxa"/>
          </w:tcPr>
          <w:p>
            <w:pPr>
              <w:pStyle w:val="nTable"/>
              <w:spacing w:after="40"/>
              <w:rPr>
                <w:snapToGrid w:val="0"/>
                <w:spacing w:val="-2"/>
                <w:sz w:val="19"/>
                <w:lang w:val="en-US"/>
              </w:rPr>
            </w:pPr>
            <w:r>
              <w:rPr>
                <w:snapToGrid w:val="0"/>
                <w:spacing w:val="-2"/>
                <w:sz w:val="19"/>
                <w:lang w:val="en-US"/>
              </w:rPr>
              <w:t>r. 1 and 2: 15 Jul 2011 (see r. 2(a));</w:t>
            </w:r>
            <w:r>
              <w:rPr>
                <w:snapToGrid w:val="0"/>
                <w:spacing w:val="-2"/>
                <w:sz w:val="19"/>
                <w:lang w:val="en-US"/>
              </w:rPr>
              <w:br/>
              <w:t>Regulations other than r. 1 and 2: 16 Jul 2011 (see r. 2(b))</w:t>
            </w:r>
          </w:p>
        </w:tc>
      </w:tr>
      <w:tr>
        <w:trPr>
          <w:cantSplit/>
        </w:trPr>
        <w:tc>
          <w:tcPr>
            <w:tcW w:w="7088" w:type="dxa"/>
            <w:gridSpan w:val="3"/>
            <w:tcBorders>
              <w:bottom w:val="single" w:sz="4" w:space="0" w:color="auto"/>
            </w:tcBorders>
          </w:tcPr>
          <w:p>
            <w:pPr>
              <w:pStyle w:val="nTable"/>
              <w:spacing w:after="40"/>
              <w:rPr>
                <w:snapToGrid w:val="0"/>
                <w:spacing w:val="-2"/>
                <w:sz w:val="19"/>
                <w:lang w:val="en-US"/>
              </w:rPr>
            </w:pPr>
            <w:r>
              <w:rPr>
                <w:b/>
                <w:sz w:val="19"/>
              </w:rPr>
              <w:t xml:space="preserve">Reprint 10: The </w:t>
            </w:r>
            <w:r>
              <w:rPr>
                <w:b/>
                <w:i/>
                <w:sz w:val="19"/>
              </w:rPr>
              <w:t>Liquor Control Regulations 1989</w:t>
            </w:r>
            <w:r>
              <w:rPr>
                <w:b/>
                <w:sz w:val="19"/>
              </w:rPr>
              <w:t xml:space="preserve"> as at 16 Sep 2011 </w:t>
            </w:r>
            <w:r>
              <w:rPr>
                <w:sz w:val="19"/>
              </w:rPr>
              <w:t>(includes amendments listed above)</w:t>
            </w:r>
          </w:p>
        </w:tc>
      </w:tr>
    </w:tbl>
    <w:p>
      <w:pPr>
        <w:pStyle w:val="nSubsection"/>
        <w:spacing w:before="160"/>
      </w:pPr>
      <w:r>
        <w:rPr>
          <w:vertAlign w:val="superscript"/>
        </w:rPr>
        <w:t>2</w:t>
      </w:r>
      <w:r>
        <w:tab/>
        <w:t xml:space="preserve">Formerly referred to the </w:t>
      </w:r>
      <w:r>
        <w:rPr>
          <w:i/>
          <w:iCs/>
        </w:rPr>
        <w:t>Liquor Licensing Act 1988</w:t>
      </w:r>
      <w:r>
        <w:t xml:space="preserve"> the short title of which was changed to the </w:t>
      </w:r>
      <w:r>
        <w:rPr>
          <w:i/>
          <w:iCs/>
        </w:rPr>
        <w:t>Liquor Control Act 1988</w:t>
      </w:r>
      <w:r>
        <w:t xml:space="preserve"> by the </w:t>
      </w:r>
      <w:r>
        <w:rPr>
          <w:i/>
          <w:iCs/>
        </w:rPr>
        <w:t>Liquor and Gaming Legislation Amendment Act 2006</w:t>
      </w:r>
      <w:r>
        <w:t xml:space="preserve"> s. 4. The reference was changed under the </w:t>
      </w:r>
      <w:r>
        <w:rPr>
          <w:i/>
          <w:iCs/>
        </w:rPr>
        <w:t>Reprints Act 1984</w:t>
      </w:r>
      <w:r>
        <w:t xml:space="preserve"> s. 7(3)(gb).</w:t>
      </w:r>
    </w:p>
    <w:p>
      <w:pPr>
        <w:pStyle w:val="nSubsection"/>
      </w:pPr>
      <w:r>
        <w:rPr>
          <w:vertAlign w:val="superscript"/>
        </w:rPr>
        <w:t>3</w:t>
      </w:r>
      <w:r>
        <w:tab/>
        <w:t xml:space="preserve">Repealed by the </w:t>
      </w:r>
      <w:r>
        <w:rPr>
          <w:i/>
        </w:rPr>
        <w:t>Tax</w:t>
      </w:r>
      <w:r>
        <w:t xml:space="preserve"> </w:t>
      </w:r>
      <w:r>
        <w:rPr>
          <w:i/>
          <w:iCs/>
        </w:rPr>
        <w:t>Laws Amendment (Repeal of Inoperative Provisions) Act 2006</w:t>
      </w:r>
      <w:r>
        <w:t xml:space="preserve"> (Cwlth).</w:t>
      </w:r>
    </w:p>
    <w:p>
      <w:pPr>
        <w:pStyle w:val="nSubsection"/>
      </w:pPr>
      <w:r>
        <w:rPr>
          <w:vertAlign w:val="superscript"/>
        </w:rPr>
        <w:t>4</w:t>
      </w:r>
      <w:r>
        <w:tab/>
        <w:t xml:space="preserve">Repealed by the </w:t>
      </w:r>
      <w:r>
        <w:rPr>
          <w:i/>
        </w:rPr>
        <w:t>Aged Care Amendment Act 2011</w:t>
      </w:r>
      <w:r>
        <w:t xml:space="preserve"> (Cwlth).</w:t>
      </w:r>
    </w:p>
    <w:p>
      <w:pPr>
        <w:pStyle w:val="nSubsection"/>
      </w:pPr>
      <w:r>
        <w:rPr>
          <w:vertAlign w:val="superscript"/>
        </w:rPr>
        <w:t>5</w:t>
      </w:r>
      <w:r>
        <w:tab/>
        <w:t>Commenced 7 May 2007.</w:t>
      </w:r>
    </w:p>
    <w:p>
      <w:pPr>
        <w:pStyle w:val="nSubsection"/>
      </w:pPr>
      <w:r>
        <w:rPr>
          <w:vertAlign w:val="superscript"/>
        </w:rPr>
        <w:t>6</w:t>
      </w:r>
      <w:r>
        <w:tab/>
        <w:t xml:space="preserve">Now known as the </w:t>
      </w:r>
      <w:r>
        <w:rPr>
          <w:i/>
          <w:iCs/>
        </w:rPr>
        <w:t>Liquor Control Regulations 1989</w:t>
      </w:r>
      <w:r>
        <w:t>; citation changed (see note under r. 1).</w:t>
      </w:r>
    </w:p>
    <w:p>
      <w:pPr>
        <w:pStyle w:val="nSubsection"/>
      </w:pPr>
      <w:r>
        <w:rPr>
          <w:vertAlign w:val="superscript"/>
        </w:rPr>
        <w:t>7</w:t>
      </w:r>
      <w:r>
        <w:tab/>
        <w:t xml:space="preserve">Disallowed on 26 Apr 1992, see </w:t>
      </w:r>
      <w:r>
        <w:rPr>
          <w:i/>
        </w:rPr>
        <w:t>Gazette</w:t>
      </w:r>
      <w:r>
        <w:t xml:space="preserve"> 1 May 1992 p. 1844.</w:t>
      </w:r>
    </w:p>
    <w:p>
      <w:pPr>
        <w:pStyle w:val="nSubsection"/>
      </w:pPr>
      <w:r>
        <w:rPr>
          <w:vertAlign w:val="superscript"/>
        </w:rPr>
        <w:t>8</w:t>
      </w:r>
      <w:r>
        <w:tab/>
        <w:t xml:space="preserve">The </w:t>
      </w:r>
      <w:r>
        <w:rPr>
          <w:i/>
        </w:rPr>
        <w:t>Liquor Licensing Amendment Regulations (No. 2) 2001</w:t>
      </w:r>
      <w:r>
        <w:t xml:space="preserve"> r. 2(3) and (4) are transitional provisions that are of no further effect.</w:t>
      </w:r>
    </w:p>
    <w:p>
      <w:pPr>
        <w:pStyle w:val="nSubsection"/>
      </w:pPr>
      <w:r>
        <w:rPr>
          <w:vertAlign w:val="superscript"/>
        </w:rPr>
        <w:t>9</w:t>
      </w:r>
      <w:r>
        <w:tab/>
        <w:t xml:space="preserve">The amendments in the </w:t>
      </w:r>
      <w:r>
        <w:rPr>
          <w:i/>
        </w:rPr>
        <w:t>Liquor Licensing Amendment Regulations 2004</w:t>
      </w:r>
      <w:r>
        <w:t xml:space="preserve"> r. 3 and 5 are not included because of an error in the reference to the provisions to be amended.</w:t>
      </w:r>
    </w:p>
    <w:p>
      <w:pPr>
        <w:pStyle w:val="nSubsection"/>
      </w:pPr>
      <w:r>
        <w:rPr>
          <w:vertAlign w:val="superscript"/>
        </w:rPr>
        <w:t>10</w:t>
      </w:r>
      <w:r>
        <w:tab/>
        <w:t xml:space="preserve">The </w:t>
      </w:r>
      <w:r>
        <w:rPr>
          <w:i/>
        </w:rPr>
        <w:t>Liquor Control Amendment Regulations (No. 2) 2</w:t>
      </w:r>
      <w:r>
        <w:rPr>
          <w:i/>
          <w:sz w:val="19"/>
        </w:rPr>
        <w:t>007 </w:t>
      </w:r>
      <w:r>
        <w:t xml:space="preserve">r. 12 could not have effect as the reference to the </w:t>
      </w:r>
      <w:r>
        <w:rPr>
          <w:i/>
          <w:iCs/>
        </w:rPr>
        <w:t>Liquor Licensing Act 1988</w:t>
      </w:r>
      <w:r>
        <w:t xml:space="preserve"> was changed to the </w:t>
      </w:r>
      <w:r>
        <w:rPr>
          <w:i/>
          <w:iCs/>
        </w:rPr>
        <w:t xml:space="preserve">Liquor Control Act 1988 </w:t>
      </w:r>
      <w:r>
        <w:t xml:space="preserve">under the </w:t>
      </w:r>
      <w:r>
        <w:rPr>
          <w:i/>
          <w:iCs/>
        </w:rPr>
        <w:t>Reprints Act 1984</w:t>
      </w:r>
      <w:r>
        <w:t xml:space="preserve"> s. 7(3)(gb) (see note </w:t>
      </w:r>
      <w:r>
        <w:rPr>
          <w:vertAlign w:val="superscript"/>
        </w:rPr>
        <w:t>2</w:t>
      </w:r>
      <w:r>
        <w:t xml:space="preserve"> above). </w:t>
      </w:r>
    </w:p>
    <w:p>
      <w:pPr>
        <w:sectPr>
          <w:headerReference w:type="even" r:id="rId36"/>
          <w:headerReference w:type="default" r:id="rId37"/>
          <w:headerReference w:type="first" r:id="rId38"/>
          <w:pgSz w:w="11906" w:h="16838" w:code="9"/>
          <w:pgMar w:top="2376" w:right="2404" w:bottom="3544" w:left="2404" w:header="720" w:footer="3380" w:gutter="0"/>
          <w:cols w:space="720"/>
          <w:noEndnote/>
          <w:docGrid w:linePitch="326"/>
        </w:sectPr>
      </w:pPr>
    </w:p>
    <w:p>
      <w:pPr>
        <w:pStyle w:val="nHeading2"/>
        <w:rPr>
          <w:sz w:val="28"/>
        </w:rPr>
      </w:pPr>
      <w:bookmarkStart w:id="1161" w:name="_Toc294860740"/>
      <w:bookmarkStart w:id="1162" w:name="_Toc298410644"/>
      <w:bookmarkStart w:id="1163" w:name="_Toc300583798"/>
      <w:bookmarkStart w:id="1164" w:name="_Toc300837734"/>
      <w:bookmarkStart w:id="1165" w:name="_Toc300926177"/>
      <w:bookmarkStart w:id="1166" w:name="_Toc301770422"/>
      <w:bookmarkStart w:id="1167" w:name="_Toc302391561"/>
      <w:bookmarkStart w:id="1168" w:name="_Toc303261630"/>
      <w:bookmarkStart w:id="1169" w:name="_Toc303261714"/>
      <w:bookmarkStart w:id="1170" w:name="_Toc303323212"/>
      <w:bookmarkStart w:id="1171" w:name="_Toc303323529"/>
      <w:bookmarkStart w:id="1172" w:name="_Toc303323613"/>
      <w:bookmarkStart w:id="1173" w:name="_Toc303323697"/>
      <w:bookmarkStart w:id="1174" w:name="_Toc303323781"/>
      <w:bookmarkStart w:id="1175" w:name="_Toc303323865"/>
      <w:bookmarkStart w:id="1176" w:name="_Toc303323949"/>
      <w:bookmarkStart w:id="1177" w:name="_Toc303926995"/>
      <w:r>
        <w:rPr>
          <w:sz w:val="28"/>
        </w:rPr>
        <w:t>Defined Terms</w:t>
      </w:r>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bookmarkStart w:id="1178" w:name="DefinedTerms"/>
      <w:bookmarkEnd w:id="1178"/>
      <w:r>
        <w:t>accredited higher education course</w:t>
      </w:r>
      <w:r>
        <w:tab/>
        <w:t>18F(1)</w:t>
      </w:r>
    </w:p>
    <w:p>
      <w:pPr>
        <w:pStyle w:val="DefinedTerms"/>
      </w:pPr>
      <w:r>
        <w:t>aged person</w:t>
      </w:r>
      <w:r>
        <w:tab/>
        <w:t>8(2)</w:t>
      </w:r>
    </w:p>
    <w:p>
      <w:pPr>
        <w:pStyle w:val="DefinedTerms"/>
      </w:pPr>
      <w:r>
        <w:t>agricultural region</w:t>
      </w:r>
      <w:r>
        <w:tab/>
        <w:t>8D(1)</w:t>
      </w:r>
    </w:p>
    <w:p>
      <w:pPr>
        <w:pStyle w:val="DefinedTerms"/>
      </w:pPr>
      <w:r>
        <w:t>aggregate amount</w:t>
      </w:r>
      <w:r>
        <w:tab/>
        <w:t>24(2)</w:t>
      </w:r>
    </w:p>
    <w:p>
      <w:pPr>
        <w:pStyle w:val="DefinedTerms"/>
      </w:pPr>
      <w:r>
        <w:t>alcohol based food essence</w:t>
      </w:r>
      <w:r>
        <w:tab/>
        <w:t>4A(2)</w:t>
      </w:r>
    </w:p>
    <w:p>
      <w:pPr>
        <w:pStyle w:val="DefinedTerms"/>
      </w:pPr>
      <w:r>
        <w:t>alcohol based novelty food item</w:t>
      </w:r>
      <w:r>
        <w:tab/>
        <w:t>4A(2)</w:t>
      </w:r>
    </w:p>
    <w:p>
      <w:pPr>
        <w:pStyle w:val="DefinedTerms"/>
      </w:pPr>
      <w:r>
        <w:t>amusement venue</w:t>
      </w:r>
      <w:r>
        <w:tab/>
        <w:t>9A(19)</w:t>
      </w:r>
    </w:p>
    <w:p>
      <w:pPr>
        <w:pStyle w:val="DefinedTerms"/>
      </w:pPr>
      <w:r>
        <w:t>anticipated number of patrons</w:t>
      </w:r>
      <w:r>
        <w:tab/>
        <w:t>3A(1), 14AC(1)</w:t>
      </w:r>
    </w:p>
    <w:p>
      <w:pPr>
        <w:pStyle w:val="DefinedTerms"/>
      </w:pPr>
      <w:r>
        <w:t xml:space="preserve">approval application </w:t>
      </w:r>
      <w:r>
        <w:tab/>
        <w:t>14ADA(1)</w:t>
      </w:r>
    </w:p>
    <w:p>
      <w:pPr>
        <w:pStyle w:val="DefinedTerms"/>
      </w:pPr>
      <w:r>
        <w:t>approved manager</w:t>
      </w:r>
      <w:r>
        <w:tab/>
        <w:t>3A(1)</w:t>
      </w:r>
    </w:p>
    <w:p>
      <w:pPr>
        <w:pStyle w:val="DefinedTerms"/>
      </w:pPr>
      <w:r>
        <w:t>approved operator</w:t>
      </w:r>
      <w:r>
        <w:tab/>
        <w:t>8(2)</w:t>
      </w:r>
    </w:p>
    <w:p>
      <w:pPr>
        <w:pStyle w:val="DefinedTerms"/>
      </w:pPr>
      <w:r>
        <w:t>approved VET course</w:t>
      </w:r>
      <w:r>
        <w:tab/>
        <w:t>18F(1)</w:t>
      </w:r>
    </w:p>
    <w:p>
      <w:pPr>
        <w:pStyle w:val="DefinedTerms"/>
      </w:pPr>
      <w:r>
        <w:t>approved viticulture course</w:t>
      </w:r>
      <w:r>
        <w:tab/>
        <w:t>9A(10e)</w:t>
      </w:r>
    </w:p>
    <w:p>
      <w:pPr>
        <w:pStyle w:val="DefinedTerms"/>
      </w:pPr>
      <w:r>
        <w:t>attendee</w:t>
      </w:r>
      <w:r>
        <w:tab/>
        <w:t>8B(2)</w:t>
      </w:r>
    </w:p>
    <w:p>
      <w:pPr>
        <w:pStyle w:val="DefinedTerms"/>
      </w:pPr>
      <w:r>
        <w:t>authorised arrangement</w:t>
      </w:r>
      <w:r>
        <w:tab/>
        <w:t>8E(1)</w:t>
      </w:r>
    </w:p>
    <w:p>
      <w:pPr>
        <w:pStyle w:val="DefinedTerms"/>
      </w:pPr>
      <w:r>
        <w:t>bar</w:t>
      </w:r>
      <w:r>
        <w:tab/>
        <w:t>11(1)</w:t>
      </w:r>
    </w:p>
    <w:p>
      <w:pPr>
        <w:pStyle w:val="DefinedTerms"/>
      </w:pPr>
      <w:r>
        <w:t>caterer</w:t>
      </w:r>
      <w:r>
        <w:tab/>
        <w:t>9A(14A)</w:t>
      </w:r>
    </w:p>
    <w:p>
      <w:pPr>
        <w:pStyle w:val="DefinedTerms"/>
      </w:pPr>
      <w:r>
        <w:t>commencement day</w:t>
      </w:r>
      <w:r>
        <w:tab/>
        <w:t xml:space="preserve"> 14ADG(1)</w:t>
      </w:r>
    </w:p>
    <w:p>
      <w:pPr>
        <w:pStyle w:val="DefinedTerms"/>
      </w:pPr>
      <w:r>
        <w:t>commercial vessel</w:t>
      </w:r>
      <w:r>
        <w:tab/>
        <w:t>8(3)</w:t>
      </w:r>
    </w:p>
    <w:p>
      <w:pPr>
        <w:pStyle w:val="DefinedTerms"/>
      </w:pPr>
      <w:r>
        <w:t>country charter vehicle</w:t>
      </w:r>
      <w:r>
        <w:tab/>
        <w:t>8F(1)</w:t>
      </w:r>
    </w:p>
    <w:p>
      <w:pPr>
        <w:pStyle w:val="DefinedTerms"/>
      </w:pPr>
      <w:r>
        <w:t>course of instruction or training</w:t>
      </w:r>
      <w:r>
        <w:tab/>
        <w:t>9A(10e)</w:t>
      </w:r>
    </w:p>
    <w:p>
      <w:pPr>
        <w:pStyle w:val="DefinedTerms"/>
      </w:pPr>
      <w:r>
        <w:t>crowd controller</w:t>
      </w:r>
      <w:r>
        <w:tab/>
        <w:t>18EB(3)</w:t>
      </w:r>
    </w:p>
    <w:p>
      <w:pPr>
        <w:pStyle w:val="DefinedTerms"/>
      </w:pPr>
      <w:r>
        <w:t>current</w:t>
      </w:r>
      <w:r>
        <w:tab/>
        <w:t>26(1ab)</w:t>
      </w:r>
    </w:p>
    <w:p>
      <w:pPr>
        <w:pStyle w:val="DefinedTerms"/>
      </w:pPr>
      <w:r>
        <w:t>current negative determination</w:t>
      </w:r>
      <w:r>
        <w:tab/>
        <w:t>8A(3)</w:t>
      </w:r>
    </w:p>
    <w:p>
      <w:pPr>
        <w:pStyle w:val="DefinedTerms"/>
      </w:pPr>
      <w:r>
        <w:t>disabled person</w:t>
      </w:r>
      <w:r>
        <w:tab/>
        <w:t>8(2)</w:t>
      </w:r>
    </w:p>
    <w:p>
      <w:pPr>
        <w:pStyle w:val="DefinedTerms"/>
      </w:pPr>
      <w:r>
        <w:t>entertainment</w:t>
      </w:r>
      <w:r>
        <w:tab/>
        <w:t>8A(1)</w:t>
      </w:r>
    </w:p>
    <w:p>
      <w:pPr>
        <w:pStyle w:val="DefinedTerms"/>
      </w:pPr>
      <w:r>
        <w:t>farmers’ market</w:t>
      </w:r>
      <w:r>
        <w:tab/>
        <w:t>8D(1)</w:t>
      </w:r>
    </w:p>
    <w:p>
      <w:pPr>
        <w:pStyle w:val="DefinedTerms"/>
      </w:pPr>
      <w:r>
        <w:t>function</w:t>
      </w:r>
      <w:r>
        <w:tab/>
        <w:t>8F(1)</w:t>
      </w:r>
    </w:p>
    <w:p>
      <w:pPr>
        <w:pStyle w:val="DefinedTerms"/>
      </w:pPr>
      <w:r>
        <w:t>higher education course</w:t>
      </w:r>
      <w:r>
        <w:tab/>
        <w:t>3A(1)</w:t>
      </w:r>
    </w:p>
    <w:p>
      <w:pPr>
        <w:pStyle w:val="DefinedTerms"/>
      </w:pPr>
      <w:r>
        <w:t xml:space="preserve">higher education institution </w:t>
      </w:r>
      <w:r>
        <w:tab/>
        <w:t>3A(1)</w:t>
      </w:r>
    </w:p>
    <w:p>
      <w:pPr>
        <w:pStyle w:val="DefinedTerms"/>
      </w:pPr>
      <w:r>
        <w:t>host club</w:t>
      </w:r>
      <w:r>
        <w:tab/>
        <w:t>9G</w:t>
      </w:r>
    </w:p>
    <w:p>
      <w:pPr>
        <w:pStyle w:val="DefinedTerms"/>
      </w:pPr>
      <w:r>
        <w:t>hostel</w:t>
      </w:r>
      <w:r>
        <w:tab/>
        <w:t>8(2)</w:t>
      </w:r>
    </w:p>
    <w:p>
      <w:pPr>
        <w:pStyle w:val="DefinedTerms"/>
      </w:pPr>
      <w:r>
        <w:t>inter</w:t>
      </w:r>
      <w:r>
        <w:noBreakHyphen/>
        <w:t>State voyage</w:t>
      </w:r>
      <w:r>
        <w:tab/>
        <w:t>8(3)</w:t>
      </w:r>
    </w:p>
    <w:p>
      <w:pPr>
        <w:pStyle w:val="DefinedTerms"/>
      </w:pPr>
      <w:r>
        <w:t>live entertainment</w:t>
      </w:r>
      <w:r>
        <w:tab/>
        <w:t>8A(1)</w:t>
      </w:r>
    </w:p>
    <w:p>
      <w:pPr>
        <w:pStyle w:val="DefinedTerms"/>
      </w:pPr>
      <w:r>
        <w:t>lodgment fee</w:t>
      </w:r>
      <w:r>
        <w:tab/>
        <w:t>26(4)(b)</w:t>
      </w:r>
    </w:p>
    <w:p>
      <w:pPr>
        <w:pStyle w:val="DefinedTerms"/>
      </w:pPr>
      <w:r>
        <w:t>lodgment period</w:t>
      </w:r>
      <w:r>
        <w:tab/>
        <w:t>26(4)(a)</w:t>
      </w:r>
    </w:p>
    <w:p>
      <w:pPr>
        <w:pStyle w:val="DefinedTerms"/>
      </w:pPr>
      <w:r>
        <w:t>manager’s approval</w:t>
      </w:r>
      <w:r>
        <w:tab/>
        <w:t>3A(1)</w:t>
      </w:r>
    </w:p>
    <w:p>
      <w:pPr>
        <w:pStyle w:val="DefinedTerms"/>
      </w:pPr>
      <w:r>
        <w:t>maximum number of patrons</w:t>
      </w:r>
      <w:r>
        <w:tab/>
        <w:t>3A(1), 14AC(1)</w:t>
      </w:r>
    </w:p>
    <w:p>
      <w:pPr>
        <w:pStyle w:val="DefinedTerms"/>
      </w:pPr>
      <w:r>
        <w:t>negative determination</w:t>
      </w:r>
      <w:r>
        <w:tab/>
        <w:t>8A(1)</w:t>
      </w:r>
    </w:p>
    <w:p>
      <w:pPr>
        <w:pStyle w:val="DefinedTerms"/>
      </w:pPr>
      <w:r>
        <w:t>notional wholesale selling price</w:t>
      </w:r>
      <w:r>
        <w:tab/>
        <w:t>3A(1)</w:t>
      </w:r>
    </w:p>
    <w:p>
      <w:pPr>
        <w:pStyle w:val="DefinedTerms"/>
      </w:pPr>
      <w:r>
        <w:t>organised function</w:t>
      </w:r>
      <w:r>
        <w:tab/>
        <w:t>8E(1)</w:t>
      </w:r>
    </w:p>
    <w:p>
      <w:pPr>
        <w:pStyle w:val="DefinedTerms"/>
      </w:pPr>
      <w:r>
        <w:t>overseas voyage</w:t>
      </w:r>
      <w:r>
        <w:tab/>
        <w:t>8(3)</w:t>
      </w:r>
    </w:p>
    <w:p>
      <w:pPr>
        <w:pStyle w:val="DefinedTerms"/>
      </w:pPr>
      <w:r>
        <w:t>permit area</w:t>
      </w:r>
      <w:r>
        <w:tab/>
        <w:t>14AC(1)</w:t>
      </w:r>
    </w:p>
    <w:p>
      <w:pPr>
        <w:pStyle w:val="DefinedTerms"/>
      </w:pPr>
      <w:r>
        <w:t>photograph</w:t>
      </w:r>
      <w:r>
        <w:tab/>
        <w:t>18B(3a), 18C(2)</w:t>
      </w:r>
    </w:p>
    <w:p>
      <w:pPr>
        <w:pStyle w:val="DefinedTerms"/>
      </w:pPr>
      <w:r>
        <w:t>prescribed permit</w:t>
      </w:r>
      <w:r>
        <w:tab/>
        <w:t>14AC(1)</w:t>
      </w:r>
    </w:p>
    <w:p>
      <w:pPr>
        <w:pStyle w:val="DefinedTerms"/>
      </w:pPr>
      <w:r>
        <w:t>primary production</w:t>
      </w:r>
      <w:r>
        <w:tab/>
        <w:t>8D(1)</w:t>
      </w:r>
    </w:p>
    <w:p>
      <w:pPr>
        <w:pStyle w:val="DefinedTerms"/>
      </w:pPr>
      <w:r>
        <w:t>producer</w:t>
      </w:r>
      <w:r>
        <w:tab/>
        <w:t>3A(1)</w:t>
      </w:r>
    </w:p>
    <w:p>
      <w:pPr>
        <w:pStyle w:val="DefinedTerms"/>
      </w:pPr>
      <w:r>
        <w:t>producers’ association</w:t>
      </w:r>
      <w:r>
        <w:tab/>
        <w:t>8D(1)</w:t>
      </w:r>
    </w:p>
    <w:p>
      <w:pPr>
        <w:pStyle w:val="DefinedTerms"/>
      </w:pPr>
      <w:r>
        <w:t>purchase</w:t>
      </w:r>
      <w:r>
        <w:tab/>
        <w:t>5(2)(b)</w:t>
      </w:r>
    </w:p>
    <w:p>
      <w:pPr>
        <w:pStyle w:val="DefinedTerms"/>
      </w:pPr>
      <w:r>
        <w:t>relevant body corporate</w:t>
      </w:r>
      <w:r>
        <w:tab/>
        <w:t>5B(2), (3) and (4)(a)</w:t>
      </w:r>
    </w:p>
    <w:p>
      <w:pPr>
        <w:pStyle w:val="DefinedTerms"/>
      </w:pPr>
      <w:r>
        <w:t>relevant lot</w:t>
      </w:r>
      <w:r>
        <w:tab/>
        <w:t>11(1)</w:t>
      </w:r>
    </w:p>
    <w:p>
      <w:pPr>
        <w:pStyle w:val="DefinedTerms"/>
      </w:pPr>
      <w:r>
        <w:t>relevant premises</w:t>
      </w:r>
      <w:r>
        <w:tab/>
        <w:t>11(1)</w:t>
      </w:r>
    </w:p>
    <w:p>
      <w:pPr>
        <w:pStyle w:val="DefinedTerms"/>
      </w:pPr>
      <w:r>
        <w:t>renewal application</w:t>
      </w:r>
      <w:r>
        <w:tab/>
        <w:t>14ADD(1)</w:t>
      </w:r>
    </w:p>
    <w:p>
      <w:pPr>
        <w:pStyle w:val="DefinedTerms"/>
      </w:pPr>
      <w:r>
        <w:t>responsible adult</w:t>
      </w:r>
      <w:r>
        <w:tab/>
        <w:t>8A(1), 8F(1)</w:t>
      </w:r>
    </w:p>
    <w:p>
      <w:pPr>
        <w:pStyle w:val="DefinedTerms"/>
      </w:pPr>
      <w:r>
        <w:t>restricted material</w:t>
      </w:r>
      <w:r>
        <w:tab/>
        <w:t>8A(1)</w:t>
      </w:r>
    </w:p>
    <w:p>
      <w:pPr>
        <w:pStyle w:val="DefinedTerms"/>
      </w:pPr>
      <w:r>
        <w:t>retail sale</w:t>
      </w:r>
      <w:r>
        <w:tab/>
        <w:t>4A(2)</w:t>
      </w:r>
    </w:p>
    <w:p>
      <w:pPr>
        <w:pStyle w:val="DefinedTerms"/>
      </w:pPr>
      <w:r>
        <w:t>room service restaurant</w:t>
      </w:r>
      <w:r>
        <w:tab/>
        <w:t>9A(17)</w:t>
      </w:r>
    </w:p>
    <w:p>
      <w:pPr>
        <w:pStyle w:val="DefinedTerms"/>
      </w:pPr>
      <w:r>
        <w:t>sale</w:t>
      </w:r>
      <w:r>
        <w:tab/>
        <w:t>5(2)(a)</w:t>
      </w:r>
    </w:p>
    <w:p>
      <w:pPr>
        <w:pStyle w:val="DefinedTerms"/>
      </w:pPr>
      <w:r>
        <w:t>signature</w:t>
      </w:r>
      <w:r>
        <w:tab/>
        <w:t>18C(2)</w:t>
      </w:r>
    </w:p>
    <w:p>
      <w:pPr>
        <w:pStyle w:val="DefinedTerms"/>
      </w:pPr>
      <w:r>
        <w:t>school</w:t>
      </w:r>
      <w:r>
        <w:tab/>
        <w:t>8F(1)</w:t>
      </w:r>
    </w:p>
    <w:p>
      <w:pPr>
        <w:pStyle w:val="DefinedTerms"/>
      </w:pPr>
      <w:r>
        <w:t>small charter vehicle</w:t>
      </w:r>
      <w:r>
        <w:tab/>
        <w:t>8F(1)</w:t>
      </w:r>
    </w:p>
    <w:p>
      <w:pPr>
        <w:pStyle w:val="DefinedTerms"/>
      </w:pPr>
      <w:r>
        <w:t>special event</w:t>
      </w:r>
      <w:r>
        <w:tab/>
        <w:t>9A(10e)</w:t>
      </w:r>
    </w:p>
    <w:p>
      <w:pPr>
        <w:pStyle w:val="DefinedTerms"/>
      </w:pPr>
      <w:r>
        <w:t>specified</w:t>
      </w:r>
      <w:r>
        <w:tab/>
        <w:t>9A(3)</w:t>
      </w:r>
    </w:p>
    <w:p>
      <w:pPr>
        <w:pStyle w:val="DefinedTerms"/>
      </w:pPr>
      <w:r>
        <w:t>standard drink</w:t>
      </w:r>
      <w:r>
        <w:tab/>
        <w:t>8C(1)</w:t>
      </w:r>
    </w:p>
    <w:p>
      <w:pPr>
        <w:pStyle w:val="DefinedTerms"/>
      </w:pPr>
      <w:r>
        <w:t>tax period</w:t>
      </w:r>
      <w:r>
        <w:tab/>
        <w:t>3A(1)</w:t>
      </w:r>
    </w:p>
    <w:p>
      <w:pPr>
        <w:pStyle w:val="DefinedTerms"/>
      </w:pPr>
      <w:r>
        <w:t>tourist</w:t>
      </w:r>
      <w:r>
        <w:tab/>
        <w:t>9A(9)</w:t>
      </w:r>
    </w:p>
    <w:p>
      <w:pPr>
        <w:pStyle w:val="DefinedTerms"/>
      </w:pPr>
      <w:r>
        <w:t>transitioned approval</w:t>
      </w:r>
      <w:r>
        <w:tab/>
        <w:t>14ADG(1)</w:t>
      </w:r>
    </w:p>
    <w:p>
      <w:pPr>
        <w:pStyle w:val="DefinedTerms"/>
      </w:pPr>
      <w:r>
        <w:t>vocational education and training institution</w:t>
      </w:r>
      <w:r>
        <w:tab/>
        <w:t>3A(1), 9A(10e)</w:t>
      </w:r>
    </w:p>
    <w:p>
      <w:pPr>
        <w:pStyle w:val="DefinedTerms"/>
      </w:pPr>
      <w:r>
        <w:t>WA territorial seas</w:t>
      </w:r>
      <w:r>
        <w:tab/>
        <w:t>8(1a)</w:t>
      </w:r>
    </w:p>
    <w:p>
      <w:pPr>
        <w:pStyle w:val="DefinedTerms"/>
      </w:pPr>
      <w:r>
        <w:t>WET</w:t>
      </w:r>
      <w:r>
        <w:tab/>
        <w:t>3A(1)</w:t>
      </w:r>
    </w:p>
    <w:p>
      <w:pPr>
        <w:pStyle w:val="DefinedTerms"/>
      </w:pPr>
      <w:r>
        <w:t>wholesaler</w:t>
      </w:r>
      <w:r>
        <w:tab/>
        <w:t>3A(1)</w:t>
      </w:r>
    </w:p>
    <w:p>
      <w:pPr>
        <w:pStyle w:val="DefinedTerms"/>
      </w:pPr>
      <w:r>
        <w:t>wine produced by a producer</w:t>
      </w:r>
      <w:r>
        <w:tab/>
        <w:t>21A(3)</w:t>
      </w:r>
    </w:p>
    <w:p>
      <w:pPr>
        <w:pStyle w:val="DefinedTerms"/>
      </w:pPr>
      <w:r>
        <w:t>worker</w:t>
      </w:r>
      <w:r>
        <w:tab/>
        <w:t>9A(3)</w:t>
      </w:r>
    </w:p>
    <w:p>
      <w:pPr>
        <w:pStyle w:val="DefinedTerms"/>
      </w:pPr>
      <w:r>
        <w:t>works canteen</w:t>
      </w:r>
      <w:r>
        <w:tab/>
        <w:t>9A(3)</w:t>
      </w:r>
    </w:p>
    <w:p/>
    <w:p/>
    <w:p>
      <w:pPr>
        <w:tabs>
          <w:tab w:val="left" w:pos="2291"/>
        </w:tabs>
      </w:pPr>
    </w:p>
    <w:p/>
    <w:p/>
    <w:p/>
    <w:p/>
    <w:p/>
    <w:p/>
    <w:p>
      <w:pPr>
        <w:pBdr>
          <w:top w:val="double" w:sz="4" w:space="0" w:color="auto"/>
        </w:pBdr>
        <w:jc w:val="center"/>
        <w:rPr>
          <w:rFonts w:ascii="Arial" w:hAnsi="Arial" w:cs="Arial"/>
          <w:sz w:val="12"/>
        </w:rPr>
      </w:pPr>
      <w:r>
        <w:rPr>
          <w:rFonts w:ascii="Arial" w:hAnsi="Arial" w:cs="Arial"/>
          <w:sz w:val="12"/>
        </w:rPr>
        <w:t>By Authority: JOHN A. STRIJK, Government Printer</w:t>
      </w:r>
    </w:p>
    <w:sectPr>
      <w:headerReference w:type="even" r:id="rId39"/>
      <w:headerReference w:type="default" r:id="rId40"/>
      <w:headerReference w:type="first" r:id="rId41"/>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10-a0-01</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iv</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10-a0-01</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10-a0-01</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5</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16 Sep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10-a0-01</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r>
  </w:tbl>
  <w:p>
    <w:pPr>
      <w:pStyle w:val="Header"/>
      <w:pBdr>
        <w:top w:val="single" w:sz="4" w:space="1" w:color="auto"/>
      </w:pBd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Forms</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fldSimple w:instr=" styleref CharSchText ">
            <w:r>
              <w:rPr>
                <w:noProof/>
              </w:rPr>
              <w:t>Forms</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p>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Right"/>
            <w:ind w:right="17"/>
            <w:jc w:val="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64" w:type="dxa"/>
        </w:tcPr>
        <w:p>
          <w:pPr>
            <w:pStyle w:val="HeaderTextLeft"/>
          </w:pPr>
        </w:p>
      </w:tc>
    </w:tr>
    <w:tr>
      <w:tc>
        <w:tcPr>
          <w:tcW w:w="1548" w:type="dxa"/>
        </w:tcPr>
        <w:p>
          <w:pPr>
            <w:pStyle w:val="HeaderNumberLeft"/>
          </w:pPr>
        </w:p>
      </w:tc>
      <w:tc>
        <w:tcPr>
          <w:tcW w:w="5764" w:type="dxa"/>
        </w:tcPr>
        <w:p>
          <w:pPr>
            <w:pStyle w:val="HeaderTextLeft"/>
          </w:pPr>
        </w:p>
      </w:tc>
    </w:tr>
    <w:tr>
      <w:trPr>
        <w:cantSplit/>
      </w:trPr>
      <w:tc>
        <w:tcPr>
          <w:tcW w:w="7312" w:type="dxa"/>
          <w:gridSpan w:val="2"/>
        </w:tcPr>
        <w:p>
          <w:pPr>
            <w:pStyle w:val="HeaderSectionLeft"/>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vAlign w:val="bottom"/>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c>
        <w:tcPr>
          <w:tcW w:w="7263" w:type="dxa"/>
          <w:gridSpan w:val="2"/>
        </w:tcPr>
        <w:p>
          <w:pPr>
            <w:pStyle w:val="HeaderNumberRight"/>
            <w:ind w:right="17"/>
            <w:rPr>
              <w:bCs/>
            </w:rPr>
          </w:pPr>
          <w:r>
            <w:rPr>
              <w:bCs/>
            </w:rPr>
            <w:t>Defined Terms</w:t>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Liquor Control Regulations 1989</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4</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Liquor Control Regulations 1989</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p>
      </w:tc>
    </w:tr>
    <w:tr>
      <w:trPr>
        <w:cantSplit/>
      </w:trPr>
      <w:tc>
        <w:tcPr>
          <w:tcW w:w="7263" w:type="dxa"/>
          <w:gridSpan w:val="2"/>
        </w:tcPr>
        <w:p>
          <w:pPr>
            <w:pStyle w:val="HeaderSectionRight"/>
            <w:ind w:right="17"/>
          </w:pPr>
          <w:r>
            <w:t xml:space="preserve">r. </w:t>
          </w:r>
          <w:fldSimple w:instr=" styleref CharSectno ">
            <w:r>
              <w:rPr>
                <w:noProof/>
              </w:rPr>
              <w:t>4AB</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Liquor Control Regulations 1989</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Form </w:t>
          </w:r>
          <w:r>
            <w:fldChar w:fldCharType="begin"/>
          </w:r>
          <w:r>
            <w:instrText xml:space="preserve"> IF </w:instrText>
          </w:r>
          <w:fldSimple w:instr=" StyleRef CharSClsNo ">
            <w:r>
              <w:rPr>
                <w:noProof/>
              </w:rPr>
              <w:instrText>19</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19</w:instrText>
            </w:r>
          </w:fldSimple>
          <w:r>
            <w:instrText xml:space="preserve"> </w:instrText>
          </w:r>
          <w:r>
            <w:fldChar w:fldCharType="separate"/>
          </w:r>
          <w:r>
            <w:rPr>
              <w:noProof/>
            </w:rPr>
            <w:t>19</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E9A296B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9516EC7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E4B0D01E"/>
    <w:lvl w:ilvl="0">
      <w:start w:val="1"/>
      <w:numFmt w:val="decimal"/>
      <w:pStyle w:val="ListNumber3"/>
      <w:lvlText w:val="%1."/>
      <w:lvlJc w:val="left"/>
      <w:pPr>
        <w:tabs>
          <w:tab w:val="num" w:pos="926"/>
        </w:tabs>
        <w:ind w:left="926" w:hanging="360"/>
      </w:pPr>
    </w:lvl>
  </w:abstractNum>
  <w:abstractNum w:abstractNumId="3">
    <w:nsid w:val="FFFFFF7F"/>
    <w:multiLevelType w:val="singleLevel"/>
    <w:tmpl w:val="44EEF1E0"/>
    <w:lvl w:ilvl="0">
      <w:start w:val="1"/>
      <w:numFmt w:val="decimal"/>
      <w:pStyle w:val="ListNumber2"/>
      <w:lvlText w:val="%1."/>
      <w:lvlJc w:val="left"/>
      <w:pPr>
        <w:tabs>
          <w:tab w:val="num" w:pos="643"/>
        </w:tabs>
        <w:ind w:left="643" w:hanging="360"/>
      </w:pPr>
    </w:lvl>
  </w:abstractNum>
  <w:abstractNum w:abstractNumId="4">
    <w:nsid w:val="FFFFFF80"/>
    <w:multiLevelType w:val="singleLevel"/>
    <w:tmpl w:val="99B88E1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64AED7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D6CA7D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E7C6E70"/>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5EE62EB6"/>
    <w:lvl w:ilvl="0">
      <w:start w:val="1"/>
      <w:numFmt w:val="decimal"/>
      <w:pStyle w:val="ListNumber"/>
      <w:lvlText w:val="%1."/>
      <w:lvlJc w:val="left"/>
      <w:pPr>
        <w:tabs>
          <w:tab w:val="num" w:pos="360"/>
        </w:tabs>
        <w:ind w:left="360" w:hanging="360"/>
      </w:pPr>
    </w:lvl>
  </w:abstractNum>
  <w:abstractNum w:abstractNumId="9">
    <w:nsid w:val="FFFFFF89"/>
    <w:multiLevelType w:val="singleLevel"/>
    <w:tmpl w:val="B19432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4137B7E"/>
    <w:multiLevelType w:val="singleLevel"/>
    <w:tmpl w:val="12824FDC"/>
    <w:name w:val="SectionNumbers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13">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6">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7">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2FF52EB"/>
    <w:multiLevelType w:val="multilevel"/>
    <w:tmpl w:val="6CC2ABC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2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3">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359138CB"/>
    <w:multiLevelType w:val="multilevel"/>
    <w:tmpl w:val="C868F7A4"/>
    <w:name w:val="TableNumbers"/>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nsid w:val="3C2808C0"/>
    <w:multiLevelType w:val="singleLevel"/>
    <w:tmpl w:val="47200FCC"/>
    <w:lvl w:ilvl="0">
      <w:start w:val="1"/>
      <w:numFmt w:val="bullet"/>
      <w:pStyle w:val="NotesPerm2"/>
      <w:lvlText w:val=""/>
      <w:lvlJc w:val="left"/>
      <w:pPr>
        <w:tabs>
          <w:tab w:val="num" w:pos="1446"/>
        </w:tabs>
        <w:ind w:left="1446" w:hanging="567"/>
      </w:pPr>
      <w:rPr>
        <w:rFonts w:ascii="Symbol" w:hAnsi="Symbol" w:hint="default"/>
      </w:rPr>
    </w:lvl>
  </w:abstractNum>
  <w:abstractNum w:abstractNumId="27">
    <w:nsid w:val="40AC5273"/>
    <w:multiLevelType w:val="hybridMultilevel"/>
    <w:tmpl w:val="A238A67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30">
    <w:nsid w:val="545E5583"/>
    <w:multiLevelType w:val="singleLevel"/>
    <w:tmpl w:val="A1A4C37C"/>
    <w:name w:val="SectionNumbers22"/>
    <w:lvl w:ilvl="0">
      <w:start w:val="15"/>
      <w:numFmt w:val="decimal"/>
      <w:lvlText w:val="%1"/>
      <w:lvlJc w:val="center"/>
      <w:pPr>
        <w:tabs>
          <w:tab w:val="num" w:pos="360"/>
        </w:tabs>
        <w:ind w:left="0" w:firstLine="0"/>
      </w:pPr>
      <w:rPr>
        <w:rFonts w:ascii="Times New Roman" w:hAnsi="Times New Roman" w:hint="default"/>
        <w:b w:val="0"/>
        <w:i w:val="0"/>
        <w:sz w:val="22"/>
      </w:rPr>
    </w:lvl>
  </w:abstractNum>
  <w:abstractNum w:abstractNumId="31">
    <w:nsid w:val="54DD66C3"/>
    <w:multiLevelType w:val="singleLevel"/>
    <w:tmpl w:val="3C20E898"/>
    <w:name w:val="SectionNumbers2"/>
    <w:lvl w:ilvl="0">
      <w:start w:val="15"/>
      <w:numFmt w:val="decimal"/>
      <w:lvlText w:val="%1"/>
      <w:lvlJc w:val="left"/>
      <w:pPr>
        <w:tabs>
          <w:tab w:val="num" w:pos="360"/>
        </w:tabs>
        <w:ind w:left="0" w:firstLine="0"/>
      </w:pPr>
      <w:rPr>
        <w:rFonts w:ascii="Times New Roman" w:hAnsi="Times New Roman" w:hint="default"/>
        <w:b/>
        <w:i w:val="0"/>
        <w:sz w:val="24"/>
      </w:rPr>
    </w:lvl>
  </w:abstractNum>
  <w:abstractNum w:abstractNumId="32">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3">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34">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35">
    <w:nsid w:val="6BC6581E"/>
    <w:multiLevelType w:val="singleLevel"/>
    <w:tmpl w:val="12824FDC"/>
    <w:name w:val="SectionNumbers2222"/>
    <w:lvl w:ilvl="0">
      <w:start w:val="15"/>
      <w:numFmt w:val="decimal"/>
      <w:lvlText w:val="%1"/>
      <w:lvlJc w:val="left"/>
      <w:pPr>
        <w:tabs>
          <w:tab w:val="num" w:pos="700"/>
        </w:tabs>
        <w:ind w:left="0" w:firstLine="340"/>
      </w:pPr>
      <w:rPr>
        <w:rFonts w:ascii="Times New Roman" w:hAnsi="Times New Roman" w:hint="default"/>
        <w:b w:val="0"/>
        <w:i w:val="0"/>
        <w:sz w:val="22"/>
      </w:rPr>
    </w:lvl>
  </w:abstractNum>
  <w:abstractNum w:abstractNumId="36">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7">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8">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37"/>
  </w:num>
  <w:num w:numId="2">
    <w:abstractNumId w:val="19"/>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6"/>
  </w:num>
  <w:num w:numId="14">
    <w:abstractNumId w:val="27"/>
  </w:num>
  <w:num w:numId="15">
    <w:abstractNumId w:val="16"/>
  </w:num>
  <w:num w:numId="16">
    <w:abstractNumId w:val="3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567"/>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martTagType w:namespaceuri="urn:schemas-microsoft-com:office:smarttags" w:name="country-region"/>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TableAm">
    <w:name w:val="TableAm"/>
    <w:basedOn w:val="Normal"/>
    <w:pPr>
      <w:tabs>
        <w:tab w:val="left" w:pos="567"/>
      </w:tabs>
      <w:spacing w:before="120"/>
    </w:p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lang w:val="en-AU"/>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2"/>
      </w:numPr>
    </w:p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3"/>
      </w:numPr>
    </w:pPr>
  </w:style>
  <w:style w:type="paragraph" w:styleId="ListBullet2">
    <w:name w:val="List Bullet 2"/>
    <w:basedOn w:val="Normal"/>
    <w:autoRedefine/>
    <w:pPr>
      <w:numPr>
        <w:numId w:val="4"/>
      </w:numPr>
      <w:tabs>
        <w:tab w:val="clear" w:pos="643"/>
        <w:tab w:val="num" w:pos="720"/>
      </w:tabs>
      <w:ind w:left="720"/>
    </w:pPr>
  </w:style>
  <w:style w:type="paragraph" w:styleId="ListBullet3">
    <w:name w:val="List Bullet 3"/>
    <w:basedOn w:val="Normal"/>
    <w:autoRedefine/>
    <w:pPr>
      <w:numPr>
        <w:numId w:val="5"/>
      </w:numPr>
      <w:tabs>
        <w:tab w:val="clear" w:pos="926"/>
        <w:tab w:val="num" w:pos="1080"/>
      </w:tabs>
      <w:ind w:left="1080"/>
    </w:pPr>
  </w:style>
  <w:style w:type="paragraph" w:styleId="ListBullet4">
    <w:name w:val="List Bullet 4"/>
    <w:basedOn w:val="Normal"/>
    <w:autoRedefine/>
    <w:pPr>
      <w:numPr>
        <w:numId w:val="6"/>
      </w:numPr>
      <w:tabs>
        <w:tab w:val="clear" w:pos="1209"/>
        <w:tab w:val="num" w:pos="1440"/>
      </w:tabs>
      <w:ind w:left="1440"/>
    </w:pPr>
  </w:style>
  <w:style w:type="paragraph" w:styleId="ListBullet5">
    <w:name w:val="List Bullet 5"/>
    <w:basedOn w:val="Normal"/>
    <w:autoRedefine/>
    <w:pPr>
      <w:numPr>
        <w:numId w:val="7"/>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8"/>
      </w:numPr>
    </w:pPr>
  </w:style>
  <w:style w:type="paragraph" w:styleId="ListNumber2">
    <w:name w:val="List Number 2"/>
    <w:basedOn w:val="Normal"/>
    <w:pPr>
      <w:numPr>
        <w:numId w:val="9"/>
      </w:numPr>
      <w:tabs>
        <w:tab w:val="clear" w:pos="643"/>
        <w:tab w:val="num" w:pos="720"/>
      </w:tabs>
      <w:ind w:left="720"/>
    </w:pPr>
  </w:style>
  <w:style w:type="paragraph" w:styleId="ListNumber3">
    <w:name w:val="List Number 3"/>
    <w:basedOn w:val="Normal"/>
    <w:pPr>
      <w:numPr>
        <w:numId w:val="10"/>
      </w:numPr>
      <w:tabs>
        <w:tab w:val="clear" w:pos="926"/>
        <w:tab w:val="num" w:pos="1080"/>
      </w:tabs>
      <w:ind w:left="1080"/>
    </w:pPr>
  </w:style>
  <w:style w:type="paragraph" w:styleId="ListNumber4">
    <w:name w:val="List Number 4"/>
    <w:basedOn w:val="Normal"/>
    <w:pPr>
      <w:numPr>
        <w:numId w:val="11"/>
      </w:numPr>
      <w:tabs>
        <w:tab w:val="clear" w:pos="1209"/>
        <w:tab w:val="num" w:pos="1440"/>
      </w:tabs>
      <w:ind w:left="1440"/>
    </w:pPr>
  </w:style>
  <w:style w:type="paragraph" w:styleId="ListNumber5">
    <w:name w:val="List Number 5"/>
    <w:basedOn w:val="Normal"/>
    <w:pPr>
      <w:numPr>
        <w:numId w:val="12"/>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SDivNo">
    <w:name w:val="CharSDivNo"/>
    <w:basedOn w:val="DefaultParagraphFont"/>
    <w:rPr>
      <w:sz w:val="24"/>
      <w:lang w:val="en-AU"/>
    </w:rPr>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13"/>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Page1">
    <w:name w:val="Page1"/>
    <w:basedOn w:val="Normal"/>
    <w:pPr>
      <w:spacing w:before="5103"/>
    </w:pPr>
    <w:rPr>
      <w:b/>
      <w:sz w:val="34"/>
    </w:r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zMiscellaneousText">
    <w:name w:val="zMiscellaneousText"/>
    <w:basedOn w:val="zSubsection"/>
  </w:style>
  <w:style w:type="paragraph" w:customStyle="1" w:styleId="nor">
    <w:name w:val="nor"/>
    <w:basedOn w:val="Subsection"/>
    <w:pPr>
      <w:keepLines/>
      <w:tabs>
        <w:tab w:val="left" w:pos="1418"/>
      </w:tabs>
      <w:spacing w:before="0" w:line="240" w:lineRule="auto"/>
      <w:ind w:left="1418"/>
    </w:pPr>
  </w:style>
  <w:style w:type="paragraph" w:customStyle="1" w:styleId="ReprintNo">
    <w:name w:val="ReprintNo."/>
    <w:pPr>
      <w:outlineLvl w:val="0"/>
    </w:pPr>
    <w:rPr>
      <w:b/>
      <w:noProof/>
      <w:sz w:val="28"/>
      <w:lang w:eastAsia="en-US"/>
    </w:rPr>
  </w:style>
  <w:style w:type="paragraph" w:customStyle="1" w:styleId="SignatureText">
    <w:name w:val="SignatureText"/>
    <w:basedOn w:val="Normal"/>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CommentSubject">
    <w:name w:val="annotation subject"/>
    <w:basedOn w:val="CommentText"/>
    <w:next w:val="CommentText"/>
    <w:semiHidden/>
    <w:rPr>
      <w:b/>
      <w:bCs/>
      <w:sz w:val="20"/>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header" Target="header17.xml"/><Relationship Id="rId3" Type="http://schemas.microsoft.com/office/2007/relationships/stylesWithEffects" Target="stylesWithEffects.xml"/><Relationship Id="rId21" Type="http://schemas.openxmlformats.org/officeDocument/2006/relationships/image" Target="media/image3.wmf"/><Relationship Id="rId34" Type="http://schemas.openxmlformats.org/officeDocument/2006/relationships/header" Target="header12.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image" Target="media/image5.png"/><Relationship Id="rId38"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image" Target="media/image4.wmf"/><Relationship Id="rId41" Type="http://schemas.openxmlformats.org/officeDocument/2006/relationships/header" Target="header1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7.xml"/><Relationship Id="rId32" Type="http://schemas.openxmlformats.org/officeDocument/2006/relationships/header" Target="header11.xml"/><Relationship Id="rId37" Type="http://schemas.openxmlformats.org/officeDocument/2006/relationships/header" Target="header15.xml"/><Relationship Id="rId40" Type="http://schemas.openxmlformats.org/officeDocument/2006/relationships/header" Target="header1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eader" Target="header14.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0.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header" Target="header8.xml"/><Relationship Id="rId30" Type="http://schemas.openxmlformats.org/officeDocument/2006/relationships/header" Target="header9.xml"/><Relationship Id="rId35" Type="http://schemas.openxmlformats.org/officeDocument/2006/relationships/header" Target="header13.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104</Pages>
  <Words>23935</Words>
  <Characters>115368</Characters>
  <Application>Microsoft Office Word</Application>
  <DocSecurity>0</DocSecurity>
  <Lines>4120</Lines>
  <Paragraphs>2401</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136902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Liquor Control Regulations 1989 - 10-a0-01</dc:title>
  <dc:subject/>
  <dc:creator/>
  <cp:keywords/>
  <dc:description/>
  <cp:lastModifiedBy>svcMRProcess</cp:lastModifiedBy>
  <cp:revision>4</cp:revision>
  <cp:lastPrinted>2011-09-27T07:40:00Z</cp:lastPrinted>
  <dcterms:created xsi:type="dcterms:W3CDTF">2020-02-26T14:01:00Z</dcterms:created>
  <dcterms:modified xsi:type="dcterms:W3CDTF">2020-02-26T14:01:00Z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27 January 1989 pp.209-61</vt:lpwstr>
  </property>
  <property fmtid="{D5CDD505-2E9C-101B-9397-08002B2CF9AE}" pid="3" name="CommencementDate">
    <vt:lpwstr>20110916</vt:lpwstr>
  </property>
  <property fmtid="{D5CDD505-2E9C-101B-9397-08002B2CF9AE}" pid="4" name="DocumentType">
    <vt:lpwstr>Reg</vt:lpwstr>
  </property>
  <property fmtid="{D5CDD505-2E9C-101B-9397-08002B2CF9AE}" pid="5" name="OwlsUID">
    <vt:i4>4569</vt:i4>
  </property>
  <property fmtid="{D5CDD505-2E9C-101B-9397-08002B2CF9AE}" pid="6" name="AsAtDate">
    <vt:lpwstr>16 Sep 2011</vt:lpwstr>
  </property>
  <property fmtid="{D5CDD505-2E9C-101B-9397-08002B2CF9AE}" pid="7" name="Suffix">
    <vt:lpwstr>10-a0-01</vt:lpwstr>
  </property>
  <property fmtid="{D5CDD505-2E9C-101B-9397-08002B2CF9AE}" pid="8" name="ReprintNo">
    <vt:lpwstr>10</vt:lpwstr>
  </property>
  <property fmtid="{D5CDD505-2E9C-101B-9397-08002B2CF9AE}" pid="9" name="ReprintedAsAt">
    <vt:filetime>2011-09-15T16:00:00Z</vt:filetime>
  </property>
</Properties>
</file>