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E8" w:rsidRDefault="002D3FE8">
      <w:pPr>
        <w:pStyle w:val="WA"/>
      </w:pPr>
      <w:bookmarkStart w:id="0" w:name="_GoBack"/>
      <w:bookmarkEnd w:id="0"/>
      <w:smartTag w:uri="urn:schemas-microsoft-com:office:smarttags" w:element="State">
        <w:smartTag w:uri="urn:schemas-microsoft-com:office:smarttags" w:element="place">
          <w:r>
            <w:t>Western Australia</w:t>
          </w:r>
        </w:smartTag>
      </w:smartTag>
    </w:p>
    <w:p w:rsidR="002D3FE8" w:rsidRDefault="002D3FE8">
      <w:pPr>
        <w:pStyle w:val="NameofActRegPage1"/>
        <w:spacing w:before="3760" w:after="4200"/>
      </w:pPr>
      <w:r>
        <w:fldChar w:fldCharType="begin"/>
      </w:r>
      <w:r>
        <w:instrText xml:space="preserve"> STYLEREF "Name Of Act/Reg"</w:instrText>
      </w:r>
      <w:r>
        <w:fldChar w:fldCharType="separate"/>
      </w:r>
      <w:r w:rsidR="00316BD3">
        <w:rPr>
          <w:noProof/>
        </w:rPr>
        <w:t>Bills of Sale Regulations 2001</w:t>
      </w:r>
      <w:r>
        <w:fldChar w:fldCharType="end"/>
      </w:r>
    </w:p>
    <w:p w:rsidR="002D3FE8" w:rsidRDefault="002D3FE8">
      <w:pPr>
        <w:jc w:val="center"/>
        <w:rPr>
          <w:b/>
        </w:rPr>
        <w:sectPr w:rsidR="002D3FE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D3FE8" w:rsidRDefault="002D3FE8">
      <w:pPr>
        <w:pStyle w:val="WA"/>
      </w:pPr>
      <w:smartTag w:uri="urn:schemas-microsoft-com:office:smarttags" w:element="State">
        <w:smartTag w:uri="urn:schemas-microsoft-com:office:smarttags" w:element="place">
          <w:r>
            <w:lastRenderedPageBreak/>
            <w:t>Western Australia</w:t>
          </w:r>
        </w:smartTag>
      </w:smartTag>
    </w:p>
    <w:p w:rsidR="002D3FE8" w:rsidRDefault="002D3FE8">
      <w:pPr>
        <w:pStyle w:val="NameofActRegPage1"/>
      </w:pPr>
      <w:r>
        <w:fldChar w:fldCharType="begin"/>
      </w:r>
      <w:r>
        <w:instrText xml:space="preserve"> STYLEREF "Name Of Act/Reg"</w:instrText>
      </w:r>
      <w:r>
        <w:fldChar w:fldCharType="separate"/>
      </w:r>
      <w:r w:rsidR="00316BD3">
        <w:rPr>
          <w:noProof/>
        </w:rPr>
        <w:t>Bills of Sale Regulations 2001</w:t>
      </w:r>
      <w:r>
        <w:fldChar w:fldCharType="end"/>
      </w:r>
    </w:p>
    <w:p w:rsidR="002D3FE8" w:rsidRDefault="002D3FE8">
      <w:pPr>
        <w:pStyle w:val="Arrangement"/>
      </w:pPr>
      <w:r>
        <w:t>CONTENTS</w:t>
      </w:r>
    </w:p>
    <w:p w:rsidR="00ED098C" w:rsidRDefault="002D3FE8">
      <w:pPr>
        <w:pStyle w:val="TOC4"/>
        <w:rPr>
          <w:noProof/>
          <w:sz w:val="24"/>
          <w:szCs w:val="24"/>
          <w:lang w:val="en-US"/>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ED098C">
        <w:rPr>
          <w:noProof/>
        </w:rPr>
        <w:t>1.</w:t>
      </w:r>
      <w:r w:rsidR="00ED098C">
        <w:rPr>
          <w:noProof/>
          <w:sz w:val="24"/>
          <w:szCs w:val="24"/>
          <w:lang w:val="en-US"/>
        </w:rPr>
        <w:tab/>
      </w:r>
      <w:r w:rsidR="00ED098C">
        <w:rPr>
          <w:noProof/>
        </w:rPr>
        <w:t>Citation</w:t>
      </w:r>
      <w:r w:rsidR="00ED098C">
        <w:rPr>
          <w:noProof/>
        </w:rPr>
        <w:tab/>
      </w:r>
      <w:r w:rsidR="00ED098C">
        <w:rPr>
          <w:noProof/>
        </w:rPr>
        <w:fldChar w:fldCharType="begin"/>
      </w:r>
      <w:r w:rsidR="00ED098C">
        <w:rPr>
          <w:noProof/>
        </w:rPr>
        <w:instrText xml:space="preserve"> PAGEREF _Toc305743026 \h </w:instrText>
      </w:r>
      <w:r w:rsidR="00ED098C">
        <w:rPr>
          <w:noProof/>
        </w:rPr>
      </w:r>
      <w:r w:rsidR="00ED098C">
        <w:rPr>
          <w:noProof/>
        </w:rPr>
        <w:fldChar w:fldCharType="separate"/>
      </w:r>
      <w:r w:rsidR="00316BD3">
        <w:rPr>
          <w:noProof/>
        </w:rPr>
        <w:t>1</w:t>
      </w:r>
      <w:r w:rsidR="00ED098C">
        <w:rPr>
          <w:noProof/>
        </w:rPr>
        <w:fldChar w:fldCharType="end"/>
      </w:r>
    </w:p>
    <w:p w:rsidR="00ED098C" w:rsidRDefault="00ED098C">
      <w:pPr>
        <w:pStyle w:val="TOC4"/>
        <w:rPr>
          <w:noProof/>
          <w:sz w:val="24"/>
          <w:szCs w:val="24"/>
          <w:lang w:val="en-US"/>
        </w:rPr>
      </w:pPr>
      <w:r>
        <w:rPr>
          <w:noProof/>
        </w:rPr>
        <w:t>2</w:t>
      </w:r>
      <w:r w:rsidRPr="000840BE">
        <w:rPr>
          <w:noProof/>
          <w:spacing w:val="-2"/>
        </w:rPr>
        <w:t>.</w:t>
      </w:r>
      <w:r>
        <w:rPr>
          <w:noProof/>
          <w:sz w:val="24"/>
          <w:szCs w:val="24"/>
          <w:lang w:val="en-US"/>
        </w:rPr>
        <w:tab/>
      </w:r>
      <w:r w:rsidRPr="000840BE">
        <w:rPr>
          <w:noProof/>
          <w:spacing w:val="-2"/>
        </w:rPr>
        <w:t>Commencement</w:t>
      </w:r>
      <w:r>
        <w:rPr>
          <w:noProof/>
        </w:rPr>
        <w:tab/>
      </w:r>
      <w:r>
        <w:rPr>
          <w:noProof/>
        </w:rPr>
        <w:fldChar w:fldCharType="begin"/>
      </w:r>
      <w:r>
        <w:rPr>
          <w:noProof/>
        </w:rPr>
        <w:instrText xml:space="preserve"> PAGEREF _Toc305743027 \h </w:instrText>
      </w:r>
      <w:r>
        <w:rPr>
          <w:noProof/>
        </w:rPr>
      </w:r>
      <w:r>
        <w:rPr>
          <w:noProof/>
        </w:rPr>
        <w:fldChar w:fldCharType="separate"/>
      </w:r>
      <w:r w:rsidR="00316BD3">
        <w:rPr>
          <w:noProof/>
        </w:rPr>
        <w:t>1</w:t>
      </w:r>
      <w:r>
        <w:rPr>
          <w:noProof/>
        </w:rPr>
        <w:fldChar w:fldCharType="end"/>
      </w:r>
    </w:p>
    <w:p w:rsidR="00ED098C" w:rsidRDefault="00ED098C">
      <w:pPr>
        <w:pStyle w:val="TOC4"/>
        <w:rPr>
          <w:noProof/>
          <w:sz w:val="24"/>
          <w:szCs w:val="24"/>
          <w:lang w:val="en-US"/>
        </w:rPr>
      </w:pPr>
      <w:r>
        <w:rPr>
          <w:noProof/>
        </w:rPr>
        <w:t>3</w:t>
      </w:r>
      <w:r w:rsidRPr="000840BE">
        <w:rPr>
          <w:noProof/>
          <w:snapToGrid w:val="0"/>
        </w:rPr>
        <w:t>.</w:t>
      </w:r>
      <w:r>
        <w:rPr>
          <w:noProof/>
          <w:sz w:val="24"/>
          <w:szCs w:val="24"/>
          <w:lang w:val="en-US"/>
        </w:rPr>
        <w:tab/>
      </w:r>
      <w:r w:rsidRPr="000840BE">
        <w:rPr>
          <w:noProof/>
          <w:snapToGrid w:val="0"/>
        </w:rPr>
        <w:t>Limiting the definition of company</w:t>
      </w:r>
      <w:r>
        <w:rPr>
          <w:noProof/>
        </w:rPr>
        <w:tab/>
      </w:r>
      <w:r>
        <w:rPr>
          <w:noProof/>
        </w:rPr>
        <w:fldChar w:fldCharType="begin"/>
      </w:r>
      <w:r>
        <w:rPr>
          <w:noProof/>
        </w:rPr>
        <w:instrText xml:space="preserve"> PAGEREF _Toc305743028 \h </w:instrText>
      </w:r>
      <w:r>
        <w:rPr>
          <w:noProof/>
        </w:rPr>
      </w:r>
      <w:r>
        <w:rPr>
          <w:noProof/>
        </w:rPr>
        <w:fldChar w:fldCharType="separate"/>
      </w:r>
      <w:r w:rsidR="00316BD3">
        <w:rPr>
          <w:noProof/>
        </w:rPr>
        <w:t>1</w:t>
      </w:r>
      <w:r>
        <w:rPr>
          <w:noProof/>
        </w:rPr>
        <w:fldChar w:fldCharType="end"/>
      </w:r>
    </w:p>
    <w:p w:rsidR="00ED098C" w:rsidRDefault="00ED098C">
      <w:pPr>
        <w:pStyle w:val="TOC2"/>
        <w:tabs>
          <w:tab w:val="right" w:leader="dot" w:pos="7086"/>
        </w:tabs>
        <w:rPr>
          <w:b w:val="0"/>
          <w:noProof/>
          <w:sz w:val="24"/>
          <w:szCs w:val="24"/>
          <w:lang w:val="en-US"/>
        </w:rPr>
      </w:pPr>
      <w:r>
        <w:rPr>
          <w:noProof/>
        </w:rPr>
        <w:t>Notes</w:t>
      </w:r>
    </w:p>
    <w:p w:rsidR="00ED098C" w:rsidRDefault="00ED098C">
      <w:pPr>
        <w:pStyle w:val="TOC4"/>
        <w:rPr>
          <w:noProof/>
          <w:sz w:val="24"/>
          <w:szCs w:val="24"/>
          <w:lang w:val="en-US"/>
        </w:rPr>
      </w:pPr>
      <w:r>
        <w:rPr>
          <w:noProof/>
        </w:rPr>
        <w:t>Compilation table</w:t>
      </w:r>
      <w:r>
        <w:rPr>
          <w:noProof/>
        </w:rPr>
        <w:tab/>
      </w:r>
      <w:r>
        <w:rPr>
          <w:noProof/>
        </w:rPr>
        <w:fldChar w:fldCharType="begin"/>
      </w:r>
      <w:r>
        <w:rPr>
          <w:noProof/>
        </w:rPr>
        <w:instrText xml:space="preserve"> PAGEREF _Toc305743030 \h </w:instrText>
      </w:r>
      <w:r>
        <w:rPr>
          <w:noProof/>
        </w:rPr>
      </w:r>
      <w:r>
        <w:rPr>
          <w:noProof/>
        </w:rPr>
        <w:fldChar w:fldCharType="separate"/>
      </w:r>
      <w:r w:rsidR="00316BD3">
        <w:rPr>
          <w:noProof/>
        </w:rPr>
        <w:t>2</w:t>
      </w:r>
      <w:r>
        <w:rPr>
          <w:noProof/>
        </w:rPr>
        <w:fldChar w:fldCharType="end"/>
      </w:r>
    </w:p>
    <w:p w:rsidR="00ED098C" w:rsidRDefault="00ED098C">
      <w:pPr>
        <w:pStyle w:val="TOC4"/>
        <w:rPr>
          <w:noProof/>
          <w:sz w:val="24"/>
          <w:szCs w:val="24"/>
          <w:lang w:val="en-US"/>
        </w:rPr>
      </w:pPr>
      <w:r w:rsidRPr="000840BE">
        <w:rPr>
          <w:noProof/>
          <w:snapToGrid w:val="0"/>
        </w:rPr>
        <w:t>Provisions that have not come into operation</w:t>
      </w:r>
      <w:r>
        <w:rPr>
          <w:noProof/>
        </w:rPr>
        <w:tab/>
      </w:r>
      <w:r>
        <w:rPr>
          <w:noProof/>
        </w:rPr>
        <w:fldChar w:fldCharType="begin"/>
      </w:r>
      <w:r>
        <w:rPr>
          <w:noProof/>
        </w:rPr>
        <w:instrText xml:space="preserve"> PAGEREF _Toc305743031 \h </w:instrText>
      </w:r>
      <w:r>
        <w:rPr>
          <w:noProof/>
        </w:rPr>
      </w:r>
      <w:r>
        <w:rPr>
          <w:noProof/>
        </w:rPr>
        <w:fldChar w:fldCharType="separate"/>
      </w:r>
      <w:r w:rsidR="00316BD3">
        <w:rPr>
          <w:noProof/>
        </w:rPr>
        <w:t>2</w:t>
      </w:r>
      <w:r>
        <w:rPr>
          <w:noProof/>
        </w:rPr>
        <w:fldChar w:fldCharType="end"/>
      </w:r>
    </w:p>
    <w:p w:rsidR="002D3FE8" w:rsidRDefault="002D3FE8">
      <w:pPr>
        <w:pStyle w:val="TOC2"/>
      </w:pPr>
      <w:r>
        <w:fldChar w:fldCharType="end"/>
      </w:r>
    </w:p>
    <w:p w:rsidR="002D3FE8" w:rsidRDefault="002D3FE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D3FE8" w:rsidRDefault="002D3FE8">
      <w:pPr>
        <w:pStyle w:val="NoteHeading"/>
        <w:sectPr w:rsidR="002D3FE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D3FE8" w:rsidRDefault="002D3FE8">
      <w:pPr>
        <w:pStyle w:val="WA"/>
      </w:pPr>
      <w:smartTag w:uri="urn:schemas-microsoft-com:office:smarttags" w:element="State">
        <w:smartTag w:uri="urn:schemas-microsoft-com:office:smarttags" w:element="place">
          <w:r>
            <w:t>Western Australia</w:t>
          </w:r>
        </w:smartTag>
      </w:smartTag>
    </w:p>
    <w:p w:rsidR="002D3FE8" w:rsidRDefault="002D3FE8">
      <w:pPr>
        <w:pStyle w:val="PrincipalActReg"/>
      </w:pPr>
      <w:r>
        <w:t>Bills of Sale Act 1899</w:t>
      </w:r>
    </w:p>
    <w:p w:rsidR="002D3FE8" w:rsidRDefault="002D3FE8">
      <w:pPr>
        <w:pStyle w:val="NameofActReg"/>
      </w:pPr>
      <w:r>
        <w:rPr>
          <w:noProof/>
        </w:rPr>
        <w:t>Bills of Sale Regulations 2001</w:t>
      </w:r>
    </w:p>
    <w:p w:rsidR="002D3FE8" w:rsidRDefault="002D3FE8">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305743026"/>
      <w:r>
        <w:rPr>
          <w:rStyle w:val="CharSectno"/>
        </w:rPr>
        <w:t>1</w:t>
      </w:r>
      <w:r>
        <w:t>.</w:t>
      </w:r>
      <w:r>
        <w:tab/>
        <w:t>Citation</w:t>
      </w:r>
      <w:bookmarkEnd w:id="1"/>
      <w:bookmarkEnd w:id="2"/>
      <w:bookmarkEnd w:id="3"/>
      <w:bookmarkEnd w:id="4"/>
      <w:bookmarkEnd w:id="5"/>
      <w:bookmarkEnd w:id="6"/>
      <w:bookmarkEnd w:id="7"/>
    </w:p>
    <w:p w:rsidR="002D3FE8" w:rsidRDefault="002D3FE8">
      <w:pPr>
        <w:pStyle w:val="Subsection"/>
        <w:ind w:right="565"/>
        <w:rPr>
          <w:i/>
        </w:rPr>
      </w:pPr>
      <w:r>
        <w:tab/>
      </w:r>
      <w:r>
        <w:tab/>
      </w:r>
      <w:r>
        <w:rPr>
          <w:spacing w:val="-2"/>
        </w:rPr>
        <w:t>These</w:t>
      </w:r>
      <w:r>
        <w:t xml:space="preserve"> </w:t>
      </w:r>
      <w:r>
        <w:rPr>
          <w:spacing w:val="-2"/>
        </w:rPr>
        <w:t>regulations</w:t>
      </w:r>
      <w:r>
        <w:t xml:space="preserve"> may be cited as the </w:t>
      </w:r>
      <w:r>
        <w:rPr>
          <w:i/>
        </w:rPr>
        <w:t>Bills of Sale Regulations 2001</w:t>
      </w:r>
      <w:r>
        <w:t>.</w:t>
      </w:r>
    </w:p>
    <w:p w:rsidR="002D3FE8" w:rsidRDefault="002D3FE8">
      <w:pPr>
        <w:pStyle w:val="Heading5"/>
        <w:rPr>
          <w:spacing w:val="-2"/>
        </w:rPr>
      </w:pPr>
      <w:bookmarkStart w:id="8" w:name="_Toc423332723"/>
      <w:bookmarkStart w:id="9" w:name="_Toc425219442"/>
      <w:bookmarkStart w:id="10" w:name="_Toc426249309"/>
      <w:bookmarkStart w:id="11" w:name="_Toc449924705"/>
      <w:bookmarkStart w:id="12" w:name="_Toc449947723"/>
      <w:bookmarkStart w:id="13" w:name="_Toc454185714"/>
      <w:bookmarkStart w:id="14" w:name="_Toc305743027"/>
      <w:r>
        <w:rPr>
          <w:rStyle w:val="CharSectno"/>
        </w:rPr>
        <w:t>2</w:t>
      </w:r>
      <w:r>
        <w:rPr>
          <w:spacing w:val="-2"/>
        </w:rPr>
        <w:t>.</w:t>
      </w:r>
      <w:r>
        <w:rPr>
          <w:spacing w:val="-2"/>
        </w:rPr>
        <w:tab/>
        <w:t>Commencement</w:t>
      </w:r>
      <w:bookmarkEnd w:id="8"/>
      <w:bookmarkEnd w:id="9"/>
      <w:bookmarkEnd w:id="10"/>
      <w:bookmarkEnd w:id="11"/>
      <w:bookmarkEnd w:id="12"/>
      <w:bookmarkEnd w:id="13"/>
      <w:bookmarkEnd w:id="14"/>
    </w:p>
    <w:p w:rsidR="002D3FE8" w:rsidRDefault="002D3FE8">
      <w:pPr>
        <w:pStyle w:val="Subsection"/>
        <w:rPr>
          <w:spacing w:val="-2"/>
        </w:rPr>
      </w:pPr>
      <w:r>
        <w:rPr>
          <w:spacing w:val="-2"/>
        </w:rPr>
        <w:tab/>
      </w:r>
      <w:r>
        <w:rPr>
          <w:spacing w:val="-2"/>
        </w:rPr>
        <w:tab/>
        <w:t xml:space="preserve">These regulations come into operation on the later of — </w:t>
      </w:r>
    </w:p>
    <w:p w:rsidR="002D3FE8" w:rsidRDefault="002D3FE8">
      <w:pPr>
        <w:pStyle w:val="Indenta"/>
      </w:pPr>
      <w:r>
        <w:tab/>
        <w:t>(a)</w:t>
      </w:r>
      <w:r>
        <w:tab/>
        <w:t xml:space="preserve">the start of the day on which they are published in the </w:t>
      </w:r>
      <w:r>
        <w:rPr>
          <w:i/>
        </w:rPr>
        <w:t>Gazette</w:t>
      </w:r>
      <w:r>
        <w:t>; or</w:t>
      </w:r>
    </w:p>
    <w:p w:rsidR="002D3FE8" w:rsidRDefault="002D3FE8">
      <w:pPr>
        <w:pStyle w:val="Indenta"/>
      </w:pPr>
      <w:r>
        <w:tab/>
        <w:t>(b)</w:t>
      </w:r>
      <w:r>
        <w:tab/>
        <w:t xml:space="preserve">immediately after Part 8 of the </w:t>
      </w:r>
      <w:r>
        <w:rPr>
          <w:i/>
        </w:rPr>
        <w:t>Corporations (Consequential Amendments) Act 2001</w:t>
      </w:r>
      <w:r>
        <w:t xml:space="preserve"> comes into operation.</w:t>
      </w:r>
    </w:p>
    <w:p w:rsidR="002D3FE8" w:rsidRDefault="002D3FE8">
      <w:pPr>
        <w:pStyle w:val="Heading5"/>
        <w:rPr>
          <w:snapToGrid w:val="0"/>
        </w:rPr>
      </w:pPr>
      <w:bookmarkStart w:id="15" w:name="_Toc423332724"/>
      <w:bookmarkStart w:id="16" w:name="_Toc425219443"/>
      <w:bookmarkStart w:id="17" w:name="_Toc426249310"/>
      <w:bookmarkStart w:id="18" w:name="_Toc449924706"/>
      <w:bookmarkStart w:id="19" w:name="_Toc449947724"/>
      <w:bookmarkStart w:id="20" w:name="_Toc454185715"/>
      <w:bookmarkStart w:id="21" w:name="_Toc305743028"/>
      <w:r>
        <w:rPr>
          <w:rStyle w:val="CharSectno"/>
        </w:rPr>
        <w:t>3</w:t>
      </w:r>
      <w:r>
        <w:rPr>
          <w:snapToGrid w:val="0"/>
        </w:rPr>
        <w:t>.</w:t>
      </w:r>
      <w:r>
        <w:rPr>
          <w:snapToGrid w:val="0"/>
        </w:rPr>
        <w:tab/>
        <w:t>Limiting the definition of company</w:t>
      </w:r>
      <w:bookmarkEnd w:id="15"/>
      <w:bookmarkEnd w:id="16"/>
      <w:bookmarkEnd w:id="17"/>
      <w:bookmarkEnd w:id="18"/>
      <w:bookmarkEnd w:id="19"/>
      <w:bookmarkEnd w:id="20"/>
      <w:bookmarkEnd w:id="21"/>
    </w:p>
    <w:p w:rsidR="002D3FE8" w:rsidRDefault="002D3FE8">
      <w:pPr>
        <w:pStyle w:val="Subsection"/>
      </w:pPr>
      <w:r>
        <w:tab/>
        <w:t>(1)</w:t>
      </w:r>
      <w:r>
        <w:tab/>
        <w:t xml:space="preserve">For the purposes of the definition of “company” in section 3(5) of the Act, the following registered bodies are specified — </w:t>
      </w:r>
    </w:p>
    <w:p w:rsidR="002D3FE8" w:rsidRDefault="002D3FE8">
      <w:pPr>
        <w:pStyle w:val="Indenta"/>
      </w:pPr>
      <w:r>
        <w:tab/>
        <w:t>(a)</w:t>
      </w:r>
      <w:r>
        <w:tab/>
        <w:t>a registered Australian body that was formed or incorporated in the State;</w:t>
      </w:r>
    </w:p>
    <w:p w:rsidR="002D3FE8" w:rsidRDefault="002D3FE8">
      <w:pPr>
        <w:pStyle w:val="Indenta"/>
      </w:pPr>
      <w:r>
        <w:tab/>
        <w:t>(b)</w:t>
      </w:r>
      <w:r>
        <w:tab/>
        <w:t>a registered Australian body that was not formed or incorporated in the State and that does not have its head office or principal place of business in the State.</w:t>
      </w:r>
    </w:p>
    <w:p w:rsidR="002D3FE8" w:rsidRDefault="002D3FE8">
      <w:pPr>
        <w:pStyle w:val="Subsection"/>
      </w:pPr>
      <w:r>
        <w:tab/>
        <w:t>(2)</w:t>
      </w:r>
      <w:r>
        <w:tab/>
        <w:t xml:space="preserve">In this regulation, </w:t>
      </w:r>
      <w:r>
        <w:rPr>
          <w:rStyle w:val="CharDefText"/>
        </w:rPr>
        <w:t>registered Australian body</w:t>
      </w:r>
      <w:r>
        <w:t xml:space="preserve"> has the meaning given by the </w:t>
      </w:r>
      <w:r>
        <w:rPr>
          <w:i/>
        </w:rPr>
        <w:t>Corporations Act 2001</w:t>
      </w:r>
      <w:r>
        <w:t xml:space="preserve"> of the Commonwealth.</w:t>
      </w:r>
    </w:p>
    <w:p w:rsidR="002D3FE8" w:rsidRDefault="002D3FE8">
      <w:pPr>
        <w:sectPr w:rsidR="002D3FE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D3FE8" w:rsidRDefault="002D3FE8">
      <w:pPr>
        <w:pStyle w:val="nHeading2"/>
      </w:pPr>
      <w:bookmarkStart w:id="22" w:name="_Toc305743029"/>
      <w:r>
        <w:t>Notes</w:t>
      </w:r>
      <w:bookmarkEnd w:id="22"/>
    </w:p>
    <w:p w:rsidR="002D3FE8" w:rsidRDefault="002D3FE8">
      <w:pPr>
        <w:pStyle w:val="nSubsection"/>
        <w:rPr>
          <w:snapToGrid w:val="0"/>
        </w:rPr>
      </w:pPr>
      <w:r>
        <w:rPr>
          <w:snapToGrid w:val="0"/>
          <w:vertAlign w:val="superscript"/>
        </w:rPr>
        <w:t>1</w:t>
      </w:r>
      <w:r>
        <w:rPr>
          <w:snapToGrid w:val="0"/>
        </w:rPr>
        <w:tab/>
        <w:t xml:space="preserve">This is a compilation of the </w:t>
      </w:r>
      <w:r>
        <w:rPr>
          <w:i/>
          <w:snapToGrid w:val="0"/>
        </w:rPr>
        <w:t>Bills of Sale Regulations 2001</w:t>
      </w:r>
      <w:r>
        <w:rPr>
          <w:snapToGrid w:val="0"/>
        </w:rPr>
        <w:t xml:space="preserve"> and includes the amendments made by the other written laws referred to in the following table</w:t>
      </w:r>
      <w:r w:rsidR="00514B8F">
        <w:rPr>
          <w:snapToGrid w:val="0"/>
          <w:vertAlign w:val="superscript"/>
        </w:rPr>
        <w:t> 1a</w:t>
      </w:r>
      <w:r>
        <w:rPr>
          <w:snapToGrid w:val="0"/>
        </w:rPr>
        <w:t>.</w:t>
      </w:r>
    </w:p>
    <w:p w:rsidR="002D3FE8" w:rsidRDefault="002D3FE8">
      <w:pPr>
        <w:pStyle w:val="nHeading3"/>
      </w:pPr>
      <w:bookmarkStart w:id="23" w:name="_Toc511102520"/>
      <w:bookmarkStart w:id="24" w:name="_Toc513888953"/>
      <w:bookmarkStart w:id="25" w:name="_Toc305743030"/>
      <w:r>
        <w:t>Compilation table</w:t>
      </w:r>
      <w:bookmarkEnd w:id="23"/>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D3FE8">
        <w:trPr>
          <w:tblHeader/>
        </w:trPr>
        <w:tc>
          <w:tcPr>
            <w:tcW w:w="3119" w:type="dxa"/>
            <w:tcBorders>
              <w:top w:val="single" w:sz="8" w:space="0" w:color="auto"/>
            </w:tcBorders>
          </w:tcPr>
          <w:p w:rsidR="002D3FE8" w:rsidRDefault="002D3FE8">
            <w:pPr>
              <w:pStyle w:val="nTable"/>
              <w:spacing w:before="60" w:after="60"/>
              <w:rPr>
                <w:b/>
              </w:rPr>
            </w:pPr>
            <w:r>
              <w:rPr>
                <w:b/>
              </w:rPr>
              <w:t>Citation</w:t>
            </w:r>
          </w:p>
        </w:tc>
        <w:tc>
          <w:tcPr>
            <w:tcW w:w="1276" w:type="dxa"/>
            <w:tcBorders>
              <w:top w:val="single" w:sz="8" w:space="0" w:color="auto"/>
            </w:tcBorders>
          </w:tcPr>
          <w:p w:rsidR="002D3FE8" w:rsidRDefault="002D3FE8">
            <w:pPr>
              <w:pStyle w:val="nTable"/>
              <w:spacing w:before="60" w:after="60"/>
              <w:rPr>
                <w:b/>
              </w:rPr>
            </w:pPr>
            <w:r>
              <w:rPr>
                <w:b/>
              </w:rPr>
              <w:t>Gazettal</w:t>
            </w:r>
          </w:p>
        </w:tc>
        <w:tc>
          <w:tcPr>
            <w:tcW w:w="2693" w:type="dxa"/>
            <w:tcBorders>
              <w:top w:val="single" w:sz="8" w:space="0" w:color="auto"/>
            </w:tcBorders>
          </w:tcPr>
          <w:p w:rsidR="002D3FE8" w:rsidRDefault="002D3FE8">
            <w:pPr>
              <w:pStyle w:val="nTable"/>
              <w:spacing w:before="60" w:after="60"/>
              <w:rPr>
                <w:b/>
              </w:rPr>
            </w:pPr>
            <w:r>
              <w:rPr>
                <w:b/>
              </w:rPr>
              <w:t>Commencement</w:t>
            </w:r>
          </w:p>
        </w:tc>
      </w:tr>
      <w:tr w:rsidR="002D3FE8">
        <w:tc>
          <w:tcPr>
            <w:tcW w:w="3119" w:type="dxa"/>
            <w:tcBorders>
              <w:top w:val="single" w:sz="8" w:space="0" w:color="auto"/>
              <w:bottom w:val="single" w:sz="8" w:space="0" w:color="auto"/>
            </w:tcBorders>
          </w:tcPr>
          <w:p w:rsidR="002D3FE8" w:rsidRDefault="002D3FE8">
            <w:pPr>
              <w:pStyle w:val="nTable"/>
            </w:pPr>
            <w:r>
              <w:rPr>
                <w:i/>
                <w:snapToGrid w:val="0"/>
              </w:rPr>
              <w:t>Bills of Sale Regulations 2001</w:t>
            </w:r>
          </w:p>
        </w:tc>
        <w:tc>
          <w:tcPr>
            <w:tcW w:w="1276" w:type="dxa"/>
            <w:tcBorders>
              <w:top w:val="single" w:sz="8" w:space="0" w:color="auto"/>
              <w:bottom w:val="single" w:sz="8" w:space="0" w:color="auto"/>
            </w:tcBorders>
          </w:tcPr>
          <w:p w:rsidR="002D3FE8" w:rsidRDefault="002D3FE8">
            <w:pPr>
              <w:pStyle w:val="nTable"/>
            </w:pPr>
            <w:r>
              <w:t>29 Jun 2001 p. 3243</w:t>
            </w:r>
          </w:p>
        </w:tc>
        <w:tc>
          <w:tcPr>
            <w:tcW w:w="2693" w:type="dxa"/>
            <w:tcBorders>
              <w:top w:val="single" w:sz="8" w:space="0" w:color="auto"/>
              <w:bottom w:val="single" w:sz="8" w:space="0" w:color="auto"/>
            </w:tcBorders>
          </w:tcPr>
          <w:p w:rsidR="002D3FE8" w:rsidRDefault="002D3FE8">
            <w:pPr>
              <w:pStyle w:val="nTable"/>
            </w:pPr>
            <w:r>
              <w:t xml:space="preserve">15 Jul 2001 (see r. 2 and </w:t>
            </w:r>
            <w:r>
              <w:rPr>
                <w:i/>
              </w:rPr>
              <w:t>Gazette</w:t>
            </w:r>
            <w:r>
              <w:t xml:space="preserve"> 29 Jun 2001 p. 3257and Cwlth </w:t>
            </w:r>
            <w:r>
              <w:rPr>
                <w:i/>
              </w:rPr>
              <w:t>Gazette</w:t>
            </w:r>
            <w:r>
              <w:t xml:space="preserve"> No. S285)</w:t>
            </w:r>
          </w:p>
        </w:tc>
      </w:tr>
    </w:tbl>
    <w:p w:rsidR="002D3FE8" w:rsidRDefault="002D3FE8"/>
    <w:p w:rsidR="00514B8F" w:rsidRDefault="00514B8F" w:rsidP="002D3FE8">
      <w:pPr>
        <w:pStyle w:val="nSubsection"/>
        <w:spacing w:before="360"/>
        <w:ind w:left="482" w:hanging="482"/>
      </w:pPr>
      <w:r>
        <w:rPr>
          <w:vertAlign w:val="superscript"/>
        </w:rPr>
        <w:t>1a</w:t>
      </w:r>
      <w:r>
        <w:tab/>
        <w:t>On the date as at which thi</w:t>
      </w:r>
      <w:bookmarkStart w:id="26" w:name="_Hlt507390729"/>
      <w:bookmarkEnd w:id="26"/>
      <w:r>
        <w:t>s compilation was prepared, provisions referred to in the following table had not come into operation and were therefore not included in this compilation.  For the text of the provisions see the endnotes referred to in the table.</w:t>
      </w:r>
    </w:p>
    <w:p w:rsidR="00514B8F" w:rsidRDefault="00514B8F" w:rsidP="002D3FE8">
      <w:pPr>
        <w:pStyle w:val="nHeading3"/>
        <w:keepLines/>
        <w:rPr>
          <w:snapToGrid w:val="0"/>
        </w:rPr>
      </w:pPr>
      <w:bookmarkStart w:id="27" w:name="_Toc171843051"/>
      <w:bookmarkStart w:id="28" w:name="_Toc305662868"/>
      <w:bookmarkStart w:id="29" w:name="_Toc305743031"/>
      <w:r>
        <w:rPr>
          <w:snapToGrid w:val="0"/>
        </w:rPr>
        <w:t>Provisions that have not come into operation</w:t>
      </w:r>
      <w:bookmarkEnd w:id="27"/>
      <w:bookmarkEnd w:id="28"/>
      <w:bookmarkEnd w:id="29"/>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rsidR="00514B8F" w:rsidTr="002D3FE8">
        <w:tc>
          <w:tcPr>
            <w:tcW w:w="2195" w:type="dxa"/>
            <w:gridSpan w:val="2"/>
            <w:tcBorders>
              <w:top w:val="single" w:sz="8" w:space="0" w:color="auto"/>
              <w:bottom w:val="single" w:sz="8" w:space="0" w:color="auto"/>
            </w:tcBorders>
          </w:tcPr>
          <w:p w:rsidR="00514B8F" w:rsidRDefault="00514B8F" w:rsidP="002D3FE8">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514B8F" w:rsidRDefault="00514B8F" w:rsidP="002D3FE8">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rsidR="00514B8F" w:rsidRDefault="00514B8F" w:rsidP="002D3FE8">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rsidR="00514B8F" w:rsidRDefault="00514B8F" w:rsidP="002D3FE8">
            <w:pPr>
              <w:pStyle w:val="nTable"/>
              <w:keepNext/>
              <w:keepLines/>
              <w:spacing w:after="40"/>
              <w:rPr>
                <w:b/>
                <w:snapToGrid w:val="0"/>
                <w:sz w:val="19"/>
                <w:lang w:val="en-US"/>
              </w:rPr>
            </w:pPr>
            <w:r>
              <w:rPr>
                <w:b/>
                <w:snapToGrid w:val="0"/>
                <w:sz w:val="19"/>
                <w:lang w:val="en-US"/>
              </w:rPr>
              <w:t>Commencement</w:t>
            </w:r>
          </w:p>
        </w:tc>
      </w:tr>
      <w:tr w:rsidR="00514B8F" w:rsidRPr="005D5DA4" w:rsidTr="002D3FE8">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rsidR="00514B8F" w:rsidRPr="005D5DA4" w:rsidRDefault="00514B8F" w:rsidP="002D3FE8">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s. 32(2)(b)</w:t>
            </w:r>
            <w:r>
              <w:rPr>
                <w:snapToGrid w:val="0"/>
                <w:sz w:val="19"/>
                <w:vertAlign w:val="superscript"/>
                <w:lang w:val="en-US"/>
              </w:rPr>
              <w:t> 2</w:t>
            </w:r>
          </w:p>
        </w:tc>
        <w:tc>
          <w:tcPr>
            <w:tcW w:w="1134" w:type="dxa"/>
            <w:tcBorders>
              <w:bottom w:val="single" w:sz="4" w:space="0" w:color="auto"/>
            </w:tcBorders>
          </w:tcPr>
          <w:p w:rsidR="00514B8F" w:rsidRDefault="00514B8F" w:rsidP="002D3FE8">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rsidR="00514B8F" w:rsidRPr="005D5DA4" w:rsidRDefault="00514B8F" w:rsidP="002D3FE8">
            <w:pPr>
              <w:pStyle w:val="nTable"/>
              <w:spacing w:after="40"/>
              <w:rPr>
                <w:sz w:val="19"/>
              </w:rPr>
            </w:pPr>
            <w:r>
              <w:rPr>
                <w:sz w:val="19"/>
              </w:rPr>
              <w:t>4 Oct 2011</w:t>
            </w:r>
          </w:p>
        </w:tc>
        <w:tc>
          <w:tcPr>
            <w:tcW w:w="2463" w:type="dxa"/>
            <w:gridSpan w:val="2"/>
            <w:tcBorders>
              <w:bottom w:val="single" w:sz="4" w:space="0" w:color="auto"/>
            </w:tcBorders>
          </w:tcPr>
          <w:p w:rsidR="00514B8F" w:rsidRPr="005D5DA4" w:rsidRDefault="00514B8F" w:rsidP="002D3FE8">
            <w:pPr>
              <w:pStyle w:val="nTable"/>
              <w:spacing w:after="40"/>
              <w:rPr>
                <w:snapToGrid w:val="0"/>
                <w:sz w:val="19"/>
                <w:lang w:val="en-US"/>
              </w:rPr>
            </w:pPr>
            <w:r w:rsidRPr="005D5DA4">
              <w:rPr>
                <w:snapToGrid w:val="0"/>
                <w:sz w:val="19"/>
                <w:lang w:val="en-US"/>
              </w:rPr>
              <w:t xml:space="preserve">Operative immediately before the registration commencement time as defined in the </w:t>
            </w:r>
            <w:r w:rsidRPr="005D5DA4">
              <w:rPr>
                <w:i/>
                <w:snapToGrid w:val="0"/>
                <w:sz w:val="19"/>
                <w:lang w:val="en-US"/>
              </w:rPr>
              <w:t>Personal Property Securities Act 2009</w:t>
            </w:r>
            <w:r w:rsidRPr="005D5DA4">
              <w:rPr>
                <w:snapToGrid w:val="0"/>
                <w:sz w:val="19"/>
                <w:lang w:val="en-US"/>
              </w:rPr>
              <w:t xml:space="preserve"> (Cwlth) s. 306(2) (see s. 2(c))</w:t>
            </w:r>
          </w:p>
        </w:tc>
      </w:tr>
    </w:tbl>
    <w:p w:rsidR="00514B8F" w:rsidRDefault="00514B8F" w:rsidP="00514B8F">
      <w:pPr>
        <w:pStyle w:val="nSubsection"/>
        <w:rPr>
          <w:snapToGrid w:val="0"/>
        </w:rPr>
      </w:pPr>
      <w:r>
        <w:rPr>
          <w:snapToGrid w:val="0"/>
          <w:vertAlign w:val="superscript"/>
        </w:rPr>
        <w:t>2</w:t>
      </w:r>
      <w:r>
        <w:rPr>
          <w:snapToGrid w:val="0"/>
        </w:rPr>
        <w:tab/>
        <w:t xml:space="preserve">On the date as at which this compilation was prepared, the </w:t>
      </w:r>
      <w:r w:rsidRPr="004C62F8">
        <w:rPr>
          <w:i/>
          <w:snapToGrid w:val="0"/>
        </w:rPr>
        <w:t xml:space="preserve">Personal Property </w:t>
      </w:r>
      <w:r>
        <w:rPr>
          <w:i/>
          <w:snapToGrid w:val="0"/>
        </w:rPr>
        <w:t xml:space="preserve">Securities </w:t>
      </w:r>
      <w:r w:rsidRPr="004C62F8">
        <w:rPr>
          <w:i/>
          <w:snapToGrid w:val="0"/>
        </w:rPr>
        <w:t>(</w:t>
      </w:r>
      <w:r>
        <w:rPr>
          <w:i/>
          <w:snapToGrid w:val="0"/>
        </w:rPr>
        <w:t>Consequential Repeals and Amendments</w:t>
      </w:r>
      <w:r w:rsidRPr="004C62F8">
        <w:rPr>
          <w:i/>
          <w:snapToGrid w:val="0"/>
        </w:rPr>
        <w:t>) Act 2011</w:t>
      </w:r>
      <w:r>
        <w:rPr>
          <w:snapToGrid w:val="0"/>
        </w:rPr>
        <w:t xml:space="preserve"> s. 32(2)(b) had not come into operation.  It reads as follows:</w:t>
      </w:r>
    </w:p>
    <w:p w:rsidR="00514B8F" w:rsidRDefault="00514B8F" w:rsidP="00514B8F">
      <w:pPr>
        <w:pStyle w:val="BlankOpen"/>
      </w:pPr>
    </w:p>
    <w:p w:rsidR="00514B8F" w:rsidRDefault="00514B8F" w:rsidP="00514B8F">
      <w:pPr>
        <w:pStyle w:val="nzHeading5"/>
      </w:pPr>
      <w:bookmarkStart w:id="30" w:name="_Toc305577977"/>
      <w:bookmarkStart w:id="31" w:name="_Toc305578180"/>
      <w:bookmarkStart w:id="32" w:name="_Toc305578810"/>
      <w:r>
        <w:rPr>
          <w:rStyle w:val="CharSectno"/>
        </w:rPr>
        <w:t>32</w:t>
      </w:r>
      <w:r>
        <w:t>.</w:t>
      </w:r>
      <w:r>
        <w:tab/>
      </w:r>
      <w:r>
        <w:rPr>
          <w:i/>
        </w:rPr>
        <w:t>Bills of Sale Act 1899</w:t>
      </w:r>
      <w:r>
        <w:t xml:space="preserve"> and regulations repealed</w:t>
      </w:r>
      <w:bookmarkEnd w:id="30"/>
      <w:bookmarkEnd w:id="31"/>
      <w:bookmarkEnd w:id="32"/>
    </w:p>
    <w:p w:rsidR="00514B8F" w:rsidRDefault="00514B8F" w:rsidP="00514B8F">
      <w:pPr>
        <w:pStyle w:val="nzSubsection"/>
      </w:pPr>
      <w:r>
        <w:tab/>
        <w:t>(2)</w:t>
      </w:r>
      <w:r>
        <w:tab/>
        <w:t>These regulations are repealed:</w:t>
      </w:r>
    </w:p>
    <w:p w:rsidR="00514B8F" w:rsidRDefault="00514B8F" w:rsidP="00514B8F">
      <w:pPr>
        <w:pStyle w:val="nzIndenta"/>
      </w:pPr>
      <w:r>
        <w:tab/>
        <w:t>(b)</w:t>
      </w:r>
      <w:r>
        <w:tab/>
        <w:t xml:space="preserve">the </w:t>
      </w:r>
      <w:r>
        <w:rPr>
          <w:i/>
        </w:rPr>
        <w:t>Bills of Sale Regulations 2001</w:t>
      </w:r>
      <w:r>
        <w:t>.</w:t>
      </w:r>
    </w:p>
    <w:p w:rsidR="00514B8F" w:rsidRPr="0091618A" w:rsidRDefault="00514B8F" w:rsidP="00514B8F">
      <w:pPr>
        <w:pStyle w:val="BlankClose"/>
        <w:rPr>
          <w:snapToGrid w:val="0"/>
        </w:rPr>
      </w:pPr>
    </w:p>
    <w:p w:rsidR="00514B8F" w:rsidRDefault="00514B8F"/>
    <w:p w:rsidR="002D3FE8" w:rsidRDefault="002D3FE8">
      <w:pPr>
        <w:sectPr w:rsidR="002D3FE8">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2D3FE8" w:rsidRDefault="002D3FE8"/>
    <w:sectPr w:rsidR="002D3FE8">
      <w:headerReference w:type="even" r:id="rId28"/>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84" w:rsidRDefault="006B2984">
      <w:r>
        <w:separator/>
      </w:r>
    </w:p>
  </w:endnote>
  <w:endnote w:type="continuationSeparator" w:id="0">
    <w:p w:rsidR="006B2984" w:rsidRDefault="006B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Footer"/>
      <w:tabs>
        <w:tab w:val="clear" w:pos="4153"/>
        <w:tab w:val="right" w:pos="7088"/>
      </w:tabs>
      <w:rPr>
        <w:rStyle w:val="PageNumber"/>
      </w:rPr>
    </w:pPr>
  </w:p>
  <w:p w:rsidR="00FD3B9D" w:rsidRDefault="00FD3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D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D3">
      <w:rPr>
        <w:rFonts w:ascii="Arial" w:hAnsi="Arial" w:cs="Arial"/>
        <w:sz w:val="20"/>
        <w:lang w:val="en-US"/>
      </w:rPr>
      <w:t>04 Oct 2011</w:t>
    </w:r>
    <w:r>
      <w:rPr>
        <w:rFonts w:ascii="Arial" w:hAnsi="Arial" w:cs="Arial"/>
        <w:sz w:val="20"/>
        <w:lang w:val="en-US"/>
      </w:rPr>
      <w:fldChar w:fldCharType="end"/>
    </w:r>
  </w:p>
  <w:p w:rsidR="00FD3B9D" w:rsidRDefault="00FD3B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Footer"/>
      <w:tabs>
        <w:tab w:val="clear" w:pos="4153"/>
        <w:tab w:val="right" w:pos="7088"/>
      </w:tabs>
      <w:rPr>
        <w:rStyle w:val="PageNumber"/>
      </w:rPr>
    </w:pPr>
  </w:p>
  <w:p w:rsidR="00FD3B9D" w:rsidRDefault="00FD3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D3">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D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FD3B9D" w:rsidRDefault="00FD3B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Footer"/>
      <w:tabs>
        <w:tab w:val="clear" w:pos="4153"/>
        <w:tab w:val="right" w:pos="7088"/>
      </w:tabs>
      <w:rPr>
        <w:rStyle w:val="PageNumber"/>
      </w:rPr>
    </w:pPr>
  </w:p>
  <w:p w:rsidR="00FD3B9D" w:rsidRDefault="00FD3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D3">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D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FD3B9D" w:rsidRDefault="00FD3B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Footer"/>
      <w:tabs>
        <w:tab w:val="clear" w:pos="4153"/>
        <w:tab w:val="right" w:pos="7088"/>
      </w:tabs>
      <w:rPr>
        <w:rStyle w:val="PageNumber"/>
      </w:rPr>
    </w:pPr>
  </w:p>
  <w:p w:rsidR="00FD3B9D" w:rsidRDefault="00FD3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D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D3">
      <w:rPr>
        <w:rFonts w:ascii="Arial" w:hAnsi="Arial" w:cs="Arial"/>
        <w:sz w:val="20"/>
        <w:lang w:val="en-US"/>
      </w:rPr>
      <w:t>04 Oct 2011</w:t>
    </w:r>
    <w:r>
      <w:rPr>
        <w:rFonts w:ascii="Arial" w:hAnsi="Arial" w:cs="Arial"/>
        <w:sz w:val="20"/>
        <w:lang w:val="en-US"/>
      </w:rPr>
      <w:fldChar w:fldCharType="end"/>
    </w:r>
  </w:p>
  <w:p w:rsidR="00FD3B9D" w:rsidRDefault="00FD3B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Footer"/>
      <w:tabs>
        <w:tab w:val="clear" w:pos="4153"/>
        <w:tab w:val="right" w:pos="7088"/>
      </w:tabs>
      <w:rPr>
        <w:rStyle w:val="PageNumber"/>
      </w:rPr>
    </w:pPr>
  </w:p>
  <w:p w:rsidR="00FD3B9D" w:rsidRDefault="00FD3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D3">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D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D3B9D" w:rsidRDefault="00FD3B9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Footer"/>
      <w:tabs>
        <w:tab w:val="clear" w:pos="4153"/>
        <w:tab w:val="right" w:pos="7088"/>
      </w:tabs>
      <w:rPr>
        <w:rStyle w:val="PageNumber"/>
      </w:rPr>
    </w:pPr>
  </w:p>
  <w:p w:rsidR="00FD3B9D" w:rsidRDefault="00FD3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D3">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D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6BD3">
      <w:rPr>
        <w:rStyle w:val="PageNumber"/>
        <w:rFonts w:ascii="Arial" w:hAnsi="Arial" w:cs="Arial"/>
        <w:noProof/>
      </w:rPr>
      <w:t>i</w:t>
    </w:r>
    <w:r>
      <w:rPr>
        <w:rStyle w:val="PageNumber"/>
        <w:rFonts w:ascii="Arial" w:hAnsi="Arial" w:cs="Arial"/>
      </w:rPr>
      <w:fldChar w:fldCharType="end"/>
    </w:r>
  </w:p>
  <w:p w:rsidR="00FD3B9D" w:rsidRDefault="00FD3B9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Footer"/>
      <w:tabs>
        <w:tab w:val="clear" w:pos="4153"/>
        <w:tab w:val="right" w:pos="7088"/>
      </w:tabs>
      <w:rPr>
        <w:rStyle w:val="PageNumber"/>
      </w:rPr>
    </w:pPr>
  </w:p>
  <w:p w:rsidR="00FD3B9D" w:rsidRDefault="00FD3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BD3">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D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D3">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rsidR="00FD3B9D" w:rsidRDefault="00FD3B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Footer"/>
      <w:tabs>
        <w:tab w:val="clear" w:pos="4153"/>
        <w:tab w:val="right" w:pos="7088"/>
      </w:tabs>
      <w:rPr>
        <w:rStyle w:val="PageNumber"/>
      </w:rPr>
    </w:pPr>
  </w:p>
  <w:p w:rsidR="00FD3B9D" w:rsidRDefault="00FD3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D3">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D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p>
  <w:p w:rsidR="00FD3B9D" w:rsidRDefault="00FD3B9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Footer"/>
      <w:tabs>
        <w:tab w:val="clear" w:pos="4153"/>
        <w:tab w:val="right" w:pos="7088"/>
      </w:tabs>
      <w:rPr>
        <w:rStyle w:val="PageNumber"/>
      </w:rPr>
    </w:pPr>
  </w:p>
  <w:p w:rsidR="00FD3B9D" w:rsidRDefault="00FD3B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D3">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D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BD3">
      <w:rPr>
        <w:rStyle w:val="CharPageNo"/>
        <w:rFonts w:ascii="Arial" w:hAnsi="Arial"/>
        <w:noProof/>
      </w:rPr>
      <w:t>1</w:t>
    </w:r>
    <w:r>
      <w:rPr>
        <w:rStyle w:val="CharPageNo"/>
        <w:rFonts w:ascii="Arial" w:hAnsi="Arial"/>
      </w:rPr>
      <w:fldChar w:fldCharType="end"/>
    </w:r>
  </w:p>
  <w:p w:rsidR="00FD3B9D" w:rsidRDefault="00FD3B9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84" w:rsidRDefault="006B2984">
      <w:r>
        <w:separator/>
      </w:r>
    </w:p>
  </w:footnote>
  <w:footnote w:type="continuationSeparator" w:id="0">
    <w:p w:rsidR="006B2984" w:rsidRDefault="006B2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3B9D">
      <w:trPr>
        <w:cantSplit/>
      </w:trPr>
      <w:tc>
        <w:tcPr>
          <w:tcW w:w="7258" w:type="dxa"/>
          <w:gridSpan w:val="2"/>
        </w:tcPr>
        <w:p w:rsidR="00FD3B9D" w:rsidRDefault="00FD3B9D">
          <w:pPr>
            <w:pStyle w:val="HeaderActNameRight"/>
            <w:ind w:right="17"/>
          </w:pPr>
          <w:fldSimple w:instr=" Styleref &quot;Name of Act/Reg&quot; ">
            <w:r w:rsidR="00316BD3">
              <w:rPr>
                <w:noProof/>
              </w:rPr>
              <w:t>Bills of Sale Regulations 2001</w:t>
            </w:r>
          </w:fldSimple>
        </w:p>
      </w:tc>
    </w:tr>
    <w:tr w:rsidR="00FD3B9D">
      <w:tc>
        <w:tcPr>
          <w:tcW w:w="5715" w:type="dxa"/>
        </w:tcPr>
        <w:p w:rsidR="00FD3B9D" w:rsidRDefault="00FD3B9D">
          <w:pPr>
            <w:pStyle w:val="HeaderTextRight"/>
          </w:pPr>
        </w:p>
      </w:tc>
      <w:tc>
        <w:tcPr>
          <w:tcW w:w="1548" w:type="dxa"/>
        </w:tcPr>
        <w:p w:rsidR="00FD3B9D" w:rsidRDefault="00FD3B9D">
          <w:pPr>
            <w:pStyle w:val="HeaderNumberRight"/>
            <w:ind w:right="17"/>
          </w:pPr>
        </w:p>
      </w:tc>
    </w:tr>
    <w:tr w:rsidR="00FD3B9D">
      <w:tc>
        <w:tcPr>
          <w:tcW w:w="5715" w:type="dxa"/>
        </w:tcPr>
        <w:p w:rsidR="00FD3B9D" w:rsidRDefault="00FD3B9D">
          <w:pPr>
            <w:pStyle w:val="HeaderTextRight"/>
          </w:pPr>
        </w:p>
      </w:tc>
      <w:tc>
        <w:tcPr>
          <w:tcW w:w="1548" w:type="dxa"/>
        </w:tcPr>
        <w:p w:rsidR="00FD3B9D" w:rsidRDefault="00FD3B9D">
          <w:pPr>
            <w:pStyle w:val="HeaderNumberRight"/>
            <w:ind w:right="17"/>
          </w:pPr>
        </w:p>
      </w:tc>
    </w:tr>
    <w:tr w:rsidR="00FD3B9D">
      <w:trPr>
        <w:cantSplit/>
      </w:trPr>
      <w:tc>
        <w:tcPr>
          <w:tcW w:w="7258" w:type="dxa"/>
          <w:gridSpan w:val="2"/>
        </w:tcPr>
        <w:p w:rsidR="00FD3B9D" w:rsidRDefault="00FD3B9D">
          <w:pPr>
            <w:pStyle w:val="HeaderSectionRight"/>
            <w:ind w:right="17"/>
          </w:pPr>
        </w:p>
      </w:tc>
    </w:tr>
  </w:tbl>
  <w:p w:rsidR="00FD3B9D" w:rsidRDefault="00FD3B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3B9D">
      <w:trPr>
        <w:cantSplit/>
      </w:trPr>
      <w:tc>
        <w:tcPr>
          <w:tcW w:w="7258" w:type="dxa"/>
          <w:gridSpan w:val="2"/>
        </w:tcPr>
        <w:p w:rsidR="00FD3B9D" w:rsidRDefault="00FD3B9D">
          <w:pPr>
            <w:pStyle w:val="HeaderActNameLeft"/>
          </w:pPr>
          <w:fldSimple w:instr=" Styleref &quot;Name of Act/Reg&quot; ">
            <w:r w:rsidR="00316BD3">
              <w:rPr>
                <w:noProof/>
              </w:rPr>
              <w:t>Bills of Sale Regulations 2001</w:t>
            </w:r>
          </w:fldSimple>
        </w:p>
      </w:tc>
    </w:tr>
    <w:tr w:rsidR="00FD3B9D">
      <w:tc>
        <w:tcPr>
          <w:tcW w:w="1548" w:type="dxa"/>
        </w:tcPr>
        <w:p w:rsidR="00FD3B9D" w:rsidRDefault="00FD3B9D">
          <w:pPr>
            <w:pStyle w:val="HeaderNumberLeft"/>
          </w:pPr>
        </w:p>
      </w:tc>
      <w:tc>
        <w:tcPr>
          <w:tcW w:w="5715" w:type="dxa"/>
        </w:tcPr>
        <w:p w:rsidR="00FD3B9D" w:rsidRDefault="00FD3B9D">
          <w:pPr>
            <w:pStyle w:val="HeaderTextLeft"/>
          </w:pPr>
        </w:p>
      </w:tc>
    </w:tr>
    <w:tr w:rsidR="00FD3B9D">
      <w:tc>
        <w:tcPr>
          <w:tcW w:w="1548" w:type="dxa"/>
        </w:tcPr>
        <w:p w:rsidR="00FD3B9D" w:rsidRDefault="00FD3B9D">
          <w:pPr>
            <w:pStyle w:val="HeaderNumberLeft"/>
          </w:pPr>
        </w:p>
      </w:tc>
      <w:tc>
        <w:tcPr>
          <w:tcW w:w="5715" w:type="dxa"/>
        </w:tcPr>
        <w:p w:rsidR="00FD3B9D" w:rsidRDefault="00FD3B9D">
          <w:pPr>
            <w:pStyle w:val="HeaderTextLeft"/>
          </w:pPr>
        </w:p>
      </w:tc>
    </w:tr>
    <w:tr w:rsidR="00FD3B9D">
      <w:trPr>
        <w:cantSplit/>
      </w:trPr>
      <w:tc>
        <w:tcPr>
          <w:tcW w:w="7258" w:type="dxa"/>
          <w:gridSpan w:val="2"/>
        </w:tcPr>
        <w:p w:rsidR="00FD3B9D" w:rsidRDefault="00FD3B9D">
          <w:pPr>
            <w:pStyle w:val="HeaderSectionLeft"/>
            <w:rPr>
              <w:b w:val="0"/>
            </w:rPr>
          </w:pPr>
          <w:r>
            <w:rPr>
              <w:b w:val="0"/>
            </w:rPr>
            <w:t>Contents</w:t>
          </w:r>
        </w:p>
      </w:tc>
    </w:tr>
  </w:tbl>
  <w:p w:rsidR="00FD3B9D" w:rsidRDefault="00FD3B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3B9D">
      <w:trPr>
        <w:cantSplit/>
      </w:trPr>
      <w:tc>
        <w:tcPr>
          <w:tcW w:w="7258" w:type="dxa"/>
          <w:gridSpan w:val="2"/>
        </w:tcPr>
        <w:p w:rsidR="00FD3B9D" w:rsidRDefault="00FD3B9D">
          <w:pPr>
            <w:pStyle w:val="HeaderActNameRight"/>
            <w:ind w:right="17"/>
          </w:pPr>
          <w:fldSimple w:instr=" Styleref &quot;Name of Act/Reg&quot; ">
            <w:r w:rsidR="00316BD3">
              <w:rPr>
                <w:noProof/>
              </w:rPr>
              <w:t>Bills of Sale Regulations 2001</w:t>
            </w:r>
          </w:fldSimple>
        </w:p>
      </w:tc>
    </w:tr>
    <w:tr w:rsidR="00FD3B9D">
      <w:tc>
        <w:tcPr>
          <w:tcW w:w="5715" w:type="dxa"/>
        </w:tcPr>
        <w:p w:rsidR="00FD3B9D" w:rsidRDefault="00FD3B9D">
          <w:pPr>
            <w:pStyle w:val="HeaderTextRight"/>
          </w:pPr>
        </w:p>
      </w:tc>
      <w:tc>
        <w:tcPr>
          <w:tcW w:w="1548" w:type="dxa"/>
        </w:tcPr>
        <w:p w:rsidR="00FD3B9D" w:rsidRDefault="00FD3B9D">
          <w:pPr>
            <w:pStyle w:val="HeaderNumberRight"/>
            <w:ind w:right="17"/>
          </w:pPr>
        </w:p>
      </w:tc>
    </w:tr>
    <w:tr w:rsidR="00FD3B9D">
      <w:tc>
        <w:tcPr>
          <w:tcW w:w="5715" w:type="dxa"/>
        </w:tcPr>
        <w:p w:rsidR="00FD3B9D" w:rsidRDefault="00FD3B9D">
          <w:pPr>
            <w:pStyle w:val="HeaderTextRight"/>
          </w:pPr>
        </w:p>
      </w:tc>
      <w:tc>
        <w:tcPr>
          <w:tcW w:w="1548" w:type="dxa"/>
        </w:tcPr>
        <w:p w:rsidR="00FD3B9D" w:rsidRDefault="00FD3B9D">
          <w:pPr>
            <w:pStyle w:val="HeaderNumberRight"/>
            <w:ind w:right="17"/>
          </w:pPr>
        </w:p>
      </w:tc>
    </w:tr>
    <w:tr w:rsidR="00FD3B9D">
      <w:trPr>
        <w:cantSplit/>
      </w:trPr>
      <w:tc>
        <w:tcPr>
          <w:tcW w:w="7258" w:type="dxa"/>
          <w:gridSpan w:val="2"/>
        </w:tcPr>
        <w:p w:rsidR="00FD3B9D" w:rsidRDefault="00FD3B9D">
          <w:pPr>
            <w:pStyle w:val="HeaderSectionRight"/>
            <w:ind w:right="17"/>
            <w:rPr>
              <w:b w:val="0"/>
            </w:rPr>
          </w:pPr>
          <w:r>
            <w:rPr>
              <w:b w:val="0"/>
            </w:rPr>
            <w:t>Contents</w:t>
          </w:r>
        </w:p>
      </w:tc>
    </w:tr>
  </w:tbl>
  <w:p w:rsidR="00FD3B9D" w:rsidRDefault="00FD3B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3B9D">
      <w:trPr>
        <w:cantSplit/>
      </w:trPr>
      <w:tc>
        <w:tcPr>
          <w:tcW w:w="7258" w:type="dxa"/>
          <w:gridSpan w:val="2"/>
        </w:tcPr>
        <w:p w:rsidR="00FD3B9D" w:rsidRDefault="00FD3B9D">
          <w:pPr>
            <w:pStyle w:val="HeaderActNameLeft"/>
          </w:pPr>
          <w:fldSimple w:instr=" Styleref &quot;Name of Act/Reg&quot; ">
            <w:r w:rsidR="00316BD3">
              <w:rPr>
                <w:noProof/>
              </w:rPr>
              <w:t>Bills of Sale Regulations 2001</w:t>
            </w:r>
          </w:fldSimple>
        </w:p>
      </w:tc>
    </w:tr>
    <w:tr w:rsidR="00FD3B9D">
      <w:tc>
        <w:tcPr>
          <w:tcW w:w="1548" w:type="dxa"/>
        </w:tcPr>
        <w:p w:rsidR="00FD3B9D" w:rsidRDefault="00FD3B9D">
          <w:pPr>
            <w:pStyle w:val="HeaderNumberLeft"/>
          </w:pPr>
          <w:r>
            <w:fldChar w:fldCharType="begin"/>
          </w:r>
          <w:r>
            <w:instrText xml:space="preserve"> styleref CharPartNo </w:instrText>
          </w:r>
          <w:r>
            <w:fldChar w:fldCharType="end"/>
          </w:r>
        </w:p>
      </w:tc>
      <w:tc>
        <w:tcPr>
          <w:tcW w:w="5715" w:type="dxa"/>
        </w:tcPr>
        <w:p w:rsidR="00FD3B9D" w:rsidRDefault="00FD3B9D">
          <w:pPr>
            <w:pStyle w:val="HeaderTextLeft"/>
          </w:pPr>
          <w:r>
            <w:fldChar w:fldCharType="begin"/>
          </w:r>
          <w:r>
            <w:instrText xml:space="preserve"> styleref CharPartText </w:instrText>
          </w:r>
          <w:r>
            <w:fldChar w:fldCharType="end"/>
          </w:r>
        </w:p>
      </w:tc>
    </w:tr>
    <w:tr w:rsidR="00FD3B9D">
      <w:tc>
        <w:tcPr>
          <w:tcW w:w="1548" w:type="dxa"/>
        </w:tcPr>
        <w:p w:rsidR="00FD3B9D" w:rsidRDefault="00FD3B9D">
          <w:pPr>
            <w:pStyle w:val="HeaderNumberLeft"/>
          </w:pPr>
          <w:r>
            <w:fldChar w:fldCharType="begin"/>
          </w:r>
          <w:r>
            <w:instrText xml:space="preserve"> styleref CharDivNo </w:instrText>
          </w:r>
          <w:r>
            <w:fldChar w:fldCharType="end"/>
          </w:r>
        </w:p>
      </w:tc>
      <w:tc>
        <w:tcPr>
          <w:tcW w:w="5715" w:type="dxa"/>
        </w:tcPr>
        <w:p w:rsidR="00FD3B9D" w:rsidRDefault="00FD3B9D">
          <w:pPr>
            <w:pStyle w:val="HeaderTextLeft"/>
          </w:pPr>
          <w:r>
            <w:fldChar w:fldCharType="begin"/>
          </w:r>
          <w:r>
            <w:instrText xml:space="preserve"> styleref CharDivText </w:instrText>
          </w:r>
          <w:r>
            <w:fldChar w:fldCharType="end"/>
          </w:r>
        </w:p>
      </w:tc>
    </w:tr>
    <w:tr w:rsidR="00FD3B9D">
      <w:trPr>
        <w:cantSplit/>
      </w:trPr>
      <w:tc>
        <w:tcPr>
          <w:tcW w:w="7258" w:type="dxa"/>
          <w:gridSpan w:val="2"/>
        </w:tcPr>
        <w:p w:rsidR="00FD3B9D" w:rsidRDefault="00FD3B9D">
          <w:pPr>
            <w:pStyle w:val="HeaderSectionLeft"/>
          </w:pPr>
          <w:r>
            <w:t xml:space="preserve">r. </w:t>
          </w:r>
          <w:fldSimple w:instr=" styleref CharSectno ">
            <w:r w:rsidR="00316BD3">
              <w:rPr>
                <w:noProof/>
              </w:rPr>
              <w:t>1</w:t>
            </w:r>
          </w:fldSimple>
        </w:p>
      </w:tc>
    </w:tr>
  </w:tbl>
  <w:p w:rsidR="00FD3B9D" w:rsidRDefault="00FD3B9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3B9D">
      <w:trPr>
        <w:cantSplit/>
      </w:trPr>
      <w:tc>
        <w:tcPr>
          <w:tcW w:w="7258" w:type="dxa"/>
          <w:gridSpan w:val="2"/>
        </w:tcPr>
        <w:p w:rsidR="00FD3B9D" w:rsidRDefault="00FD3B9D">
          <w:pPr>
            <w:pStyle w:val="HeaderActNameRight"/>
            <w:ind w:right="17"/>
          </w:pPr>
          <w:fldSimple w:instr=" Styleref &quot;Name of Act/Reg&quot; ">
            <w:r w:rsidR="00316BD3">
              <w:rPr>
                <w:noProof/>
              </w:rPr>
              <w:t>Bills of Sale Regulations 2001</w:t>
            </w:r>
          </w:fldSimple>
        </w:p>
      </w:tc>
    </w:tr>
    <w:tr w:rsidR="00FD3B9D">
      <w:tc>
        <w:tcPr>
          <w:tcW w:w="5715" w:type="dxa"/>
        </w:tcPr>
        <w:p w:rsidR="00FD3B9D" w:rsidRDefault="00FD3B9D">
          <w:pPr>
            <w:pStyle w:val="HeaderTextRight"/>
          </w:pPr>
          <w:r>
            <w:fldChar w:fldCharType="begin"/>
          </w:r>
          <w:r>
            <w:instrText xml:space="preserve"> styleref CharPartText </w:instrText>
          </w:r>
          <w:r>
            <w:fldChar w:fldCharType="end"/>
          </w:r>
        </w:p>
      </w:tc>
      <w:tc>
        <w:tcPr>
          <w:tcW w:w="1548" w:type="dxa"/>
        </w:tcPr>
        <w:p w:rsidR="00FD3B9D" w:rsidRDefault="00FD3B9D">
          <w:pPr>
            <w:pStyle w:val="HeaderNumberRight"/>
            <w:ind w:right="17"/>
          </w:pPr>
          <w:r>
            <w:fldChar w:fldCharType="begin"/>
          </w:r>
          <w:r>
            <w:instrText xml:space="preserve"> styleref CharPartNo </w:instrText>
          </w:r>
          <w:r>
            <w:fldChar w:fldCharType="end"/>
          </w:r>
        </w:p>
      </w:tc>
    </w:tr>
    <w:tr w:rsidR="00FD3B9D">
      <w:tc>
        <w:tcPr>
          <w:tcW w:w="5715" w:type="dxa"/>
        </w:tcPr>
        <w:p w:rsidR="00FD3B9D" w:rsidRDefault="00FD3B9D">
          <w:pPr>
            <w:pStyle w:val="HeaderTextRight"/>
          </w:pPr>
          <w:r>
            <w:fldChar w:fldCharType="begin"/>
          </w:r>
          <w:r>
            <w:instrText xml:space="preserve"> styleref CharDivText </w:instrText>
          </w:r>
          <w:r>
            <w:fldChar w:fldCharType="end"/>
          </w:r>
        </w:p>
      </w:tc>
      <w:tc>
        <w:tcPr>
          <w:tcW w:w="1548" w:type="dxa"/>
        </w:tcPr>
        <w:p w:rsidR="00FD3B9D" w:rsidRDefault="00FD3B9D">
          <w:pPr>
            <w:pStyle w:val="HeaderNumberRight"/>
            <w:ind w:right="17"/>
          </w:pPr>
          <w:r>
            <w:fldChar w:fldCharType="begin"/>
          </w:r>
          <w:r>
            <w:instrText xml:space="preserve"> styleref CharDivNo </w:instrText>
          </w:r>
          <w:r>
            <w:fldChar w:fldCharType="end"/>
          </w:r>
        </w:p>
      </w:tc>
    </w:tr>
    <w:tr w:rsidR="00FD3B9D">
      <w:trPr>
        <w:cantSplit/>
      </w:trPr>
      <w:tc>
        <w:tcPr>
          <w:tcW w:w="7258" w:type="dxa"/>
          <w:gridSpan w:val="2"/>
        </w:tcPr>
        <w:p w:rsidR="00FD3B9D" w:rsidRDefault="00FD3B9D">
          <w:pPr>
            <w:pStyle w:val="HeaderSectionRight"/>
            <w:ind w:right="17"/>
          </w:pPr>
          <w:r>
            <w:t xml:space="preserve">r. </w:t>
          </w:r>
          <w:fldSimple w:instr=" styleref CharSectno ">
            <w:r w:rsidR="00316BD3">
              <w:rPr>
                <w:noProof/>
              </w:rPr>
              <w:t>1</w:t>
            </w:r>
          </w:fldSimple>
        </w:p>
      </w:tc>
    </w:tr>
  </w:tbl>
  <w:p w:rsidR="00FD3B9D" w:rsidRDefault="00FD3B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D" w:rsidRDefault="00FD3B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3B9D">
      <w:trPr>
        <w:cantSplit/>
      </w:trPr>
      <w:tc>
        <w:tcPr>
          <w:tcW w:w="7258" w:type="dxa"/>
          <w:gridSpan w:val="2"/>
        </w:tcPr>
        <w:p w:rsidR="00FD3B9D" w:rsidRDefault="00FD3B9D">
          <w:pPr>
            <w:pStyle w:val="HeaderActNameLeft"/>
          </w:pPr>
          <w:fldSimple w:instr=" Styleref &quot;Name of Act/Reg&quot; ">
            <w:r w:rsidR="00316BD3">
              <w:rPr>
                <w:noProof/>
              </w:rPr>
              <w:t>Bills of Sale Regulations 2001</w:t>
            </w:r>
          </w:fldSimple>
        </w:p>
      </w:tc>
    </w:tr>
    <w:tr w:rsidR="00FD3B9D">
      <w:tc>
        <w:tcPr>
          <w:tcW w:w="1548" w:type="dxa"/>
        </w:tcPr>
        <w:p w:rsidR="00FD3B9D" w:rsidRDefault="00FD3B9D">
          <w:pPr>
            <w:pStyle w:val="HeaderNumberLeft"/>
          </w:pPr>
        </w:p>
      </w:tc>
      <w:tc>
        <w:tcPr>
          <w:tcW w:w="5715" w:type="dxa"/>
        </w:tcPr>
        <w:p w:rsidR="00FD3B9D" w:rsidRDefault="00FD3B9D">
          <w:pPr>
            <w:pStyle w:val="HeaderTextLeft"/>
          </w:pPr>
        </w:p>
      </w:tc>
    </w:tr>
    <w:tr w:rsidR="00FD3B9D">
      <w:tc>
        <w:tcPr>
          <w:tcW w:w="1548" w:type="dxa"/>
        </w:tcPr>
        <w:p w:rsidR="00FD3B9D" w:rsidRDefault="00FD3B9D">
          <w:pPr>
            <w:pStyle w:val="HeaderNumberLeft"/>
          </w:pPr>
        </w:p>
      </w:tc>
      <w:tc>
        <w:tcPr>
          <w:tcW w:w="5715" w:type="dxa"/>
        </w:tcPr>
        <w:p w:rsidR="00FD3B9D" w:rsidRDefault="00FD3B9D">
          <w:pPr>
            <w:pStyle w:val="HeaderTextLeft"/>
          </w:pPr>
        </w:p>
      </w:tc>
    </w:tr>
    <w:tr w:rsidR="00FD3B9D">
      <w:trPr>
        <w:cantSplit/>
      </w:trPr>
      <w:tc>
        <w:tcPr>
          <w:tcW w:w="7258" w:type="dxa"/>
          <w:gridSpan w:val="2"/>
        </w:tcPr>
        <w:p w:rsidR="00FD3B9D" w:rsidRDefault="00FD3B9D">
          <w:pPr>
            <w:pStyle w:val="HeaderSectionRight"/>
            <w:ind w:right="17"/>
            <w:jc w:val="left"/>
          </w:pPr>
        </w:p>
      </w:tc>
    </w:tr>
  </w:tbl>
  <w:p w:rsidR="00FD3B9D" w:rsidRDefault="00FD3B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CA6E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5842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00E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8E6A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EC2B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0CED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F648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FC36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BEFE2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3036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F36F0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92EC0C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59211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71FEB3A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8F"/>
    <w:rsid w:val="001F1909"/>
    <w:rsid w:val="00236B35"/>
    <w:rsid w:val="002D3FE8"/>
    <w:rsid w:val="00316BD3"/>
    <w:rsid w:val="00514B8F"/>
    <w:rsid w:val="005254DF"/>
    <w:rsid w:val="006B2984"/>
    <w:rsid w:val="00C8313E"/>
    <w:rsid w:val="00ED098C"/>
    <w:rsid w:val="00FD3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2456</Characters>
  <Application>Microsoft Office Word</Application>
  <DocSecurity>0</DocSecurity>
  <Lines>102</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Regulations 2001 - 00-b0-01</dc:title>
  <dc:subject/>
  <dc:creator>Matthew Pether</dc:creator>
  <cp:keywords/>
  <dc:description/>
  <cp:lastModifiedBy>svcMRProcess</cp:lastModifiedBy>
  <cp:revision>4</cp:revision>
  <cp:lastPrinted>2001-06-25T08:26:00Z</cp:lastPrinted>
  <dcterms:created xsi:type="dcterms:W3CDTF">2013-02-13T06:55:00Z</dcterms:created>
  <dcterms:modified xsi:type="dcterms:W3CDTF">2013-02-13T06:55:00Z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2001 p.3243</vt:lpwstr>
  </property>
  <property fmtid="{D5CDD505-2E9C-101B-9397-08002B2CF9AE}" pid="3" name="CommencementDate">
    <vt:lpwstr>20111004</vt:lpwstr>
  </property>
  <property fmtid="{D5CDD505-2E9C-101B-9397-08002B2CF9AE}" pid="4" name="AsAtDate">
    <vt:lpwstr>04 Oct 2011</vt:lpwstr>
  </property>
  <property fmtid="{D5CDD505-2E9C-101B-9397-08002B2CF9AE}" pid="5" name="Suffix">
    <vt:lpwstr>00-b0-01</vt:lpwstr>
  </property>
  <property fmtid="{D5CDD505-2E9C-101B-9397-08002B2CF9AE}" pid="6" name="OWLSUId">
    <vt:i4>3185</vt:i4>
  </property>
  <property fmtid="{D5CDD505-2E9C-101B-9397-08002B2CF9AE}" pid="7" name="DocumentType">
    <vt:lpwstr>Reg</vt:lpwstr>
  </property>
</Properties>
</file>