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Vocational Education and Training Act 1996</w:t>
      </w:r>
    </w:p>
    <w:p>
      <w:pPr>
        <w:pStyle w:val="NameofActRegPage1"/>
        <w:spacing w:before="1800" w:after="420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_Toc307322558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_Toc307322559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_Toc307322560 \h </w:instrText>
      </w:r>
      <w:r>
        <w:fldChar w:fldCharType="separate"/>
      </w:r>
      <w:r>
        <w:t>1</w:t>
      </w:r>
      <w:r>
        <w:fldChar w:fldCharType="end"/>
      </w:r>
    </w:p>
    <w:p>
      <w:pPr>
        <w:pStyle w:val="TOC2"/>
        <w:tabs>
          <w:tab w:val="right" w:leader="dot" w:pos="7086"/>
        </w:tabs>
        <w:rPr>
          <w:b w:val="0"/>
          <w:sz w:val="24"/>
          <w:szCs w:val="24"/>
          <w:lang w:val="en-US"/>
        </w:rPr>
      </w:pPr>
      <w:r>
        <w:t>Part 2 — General matters</w:t>
      </w:r>
    </w:p>
    <w:p>
      <w:pPr>
        <w:pStyle w:val="TOC8"/>
        <w:rPr>
          <w:sz w:val="24"/>
          <w:szCs w:val="24"/>
          <w:lang w:val="en-US"/>
        </w:rPr>
      </w:pPr>
      <w:r>
        <w:t>4.</w:t>
      </w:r>
      <w:r>
        <w:tab/>
        <w:t>Approved VET courses (Act s. 5)</w:t>
      </w:r>
      <w:r>
        <w:tab/>
      </w:r>
      <w:r>
        <w:fldChar w:fldCharType="begin"/>
      </w:r>
      <w:r>
        <w:instrText xml:space="preserve"> PAGEREF _Toc307322562 \h </w:instrText>
      </w:r>
      <w:r>
        <w:fldChar w:fldCharType="separate"/>
      </w:r>
      <w:r>
        <w:t>3</w:t>
      </w:r>
      <w:r>
        <w:fldChar w:fldCharType="end"/>
      </w:r>
    </w:p>
    <w:p>
      <w:pPr>
        <w:pStyle w:val="TOC8"/>
        <w:rPr>
          <w:sz w:val="24"/>
          <w:szCs w:val="24"/>
          <w:lang w:val="en-US"/>
        </w:rPr>
      </w:pPr>
      <w:r>
        <w:t>5.</w:t>
      </w:r>
      <w:r>
        <w:tab/>
        <w:t>Corresponding laws (Act s. 5)</w:t>
      </w:r>
      <w:r>
        <w:tab/>
      </w:r>
      <w:r>
        <w:fldChar w:fldCharType="begin"/>
      </w:r>
      <w:r>
        <w:instrText xml:space="preserve"> PAGEREF _Toc307322563 \h </w:instrText>
      </w:r>
      <w:r>
        <w:fldChar w:fldCharType="separate"/>
      </w:r>
      <w:r>
        <w:t>3</w:t>
      </w:r>
      <w:r>
        <w:fldChar w:fldCharType="end"/>
      </w:r>
    </w:p>
    <w:p>
      <w:pPr>
        <w:pStyle w:val="TOC8"/>
        <w:rPr>
          <w:sz w:val="24"/>
          <w:szCs w:val="24"/>
          <w:lang w:val="en-US"/>
        </w:rPr>
      </w:pPr>
      <w:r>
        <w:t>6.</w:t>
      </w:r>
      <w:r>
        <w:tab/>
        <w:t>Prescribed VET qualifications (Act s. 5)</w:t>
      </w:r>
      <w:r>
        <w:tab/>
      </w:r>
      <w:r>
        <w:fldChar w:fldCharType="begin"/>
      </w:r>
      <w:r>
        <w:instrText xml:space="preserve"> PAGEREF _Toc307322564 \h </w:instrText>
      </w:r>
      <w:r>
        <w:fldChar w:fldCharType="separate"/>
      </w:r>
      <w:r>
        <w:t>4</w:t>
      </w:r>
      <w:r>
        <w:fldChar w:fldCharType="end"/>
      </w:r>
    </w:p>
    <w:p>
      <w:pPr>
        <w:pStyle w:val="TOC2"/>
        <w:tabs>
          <w:tab w:val="right" w:leader="dot" w:pos="7086"/>
        </w:tabs>
        <w:rPr>
          <w:b w:val="0"/>
          <w:sz w:val="24"/>
          <w:szCs w:val="24"/>
          <w:lang w:val="en-US"/>
        </w:rPr>
      </w:pPr>
      <w:r>
        <w:t>Part 3 — Regulations for Part 7A of the Act</w:t>
      </w:r>
    </w:p>
    <w:p>
      <w:pPr>
        <w:pStyle w:val="TOC4"/>
        <w:tabs>
          <w:tab w:val="right" w:leader="dot" w:pos="7086"/>
        </w:tabs>
        <w:rPr>
          <w:b w:val="0"/>
          <w:sz w:val="24"/>
          <w:szCs w:val="24"/>
          <w:lang w:val="en-US"/>
        </w:rPr>
      </w:pPr>
      <w:r>
        <w:t>Division 1 — General matters</w:t>
      </w:r>
    </w:p>
    <w:p>
      <w:pPr>
        <w:pStyle w:val="TOC8"/>
        <w:rPr>
          <w:sz w:val="24"/>
          <w:szCs w:val="24"/>
          <w:lang w:val="en-US"/>
        </w:rPr>
      </w:pPr>
      <w:r>
        <w:t>7.</w:t>
      </w:r>
      <w:r>
        <w:tab/>
        <w:t>Terms used</w:t>
      </w:r>
      <w:r>
        <w:tab/>
      </w:r>
      <w:r>
        <w:fldChar w:fldCharType="begin"/>
      </w:r>
      <w:r>
        <w:instrText xml:space="preserve"> PAGEREF _Toc307322567 \h </w:instrText>
      </w:r>
      <w:r>
        <w:fldChar w:fldCharType="separate"/>
      </w:r>
      <w:r>
        <w:t>5</w:t>
      </w:r>
      <w:r>
        <w:fldChar w:fldCharType="end"/>
      </w:r>
    </w:p>
    <w:p>
      <w:pPr>
        <w:pStyle w:val="TOC8"/>
        <w:rPr>
          <w:sz w:val="24"/>
          <w:szCs w:val="24"/>
          <w:lang w:val="en-US"/>
        </w:rPr>
      </w:pPr>
      <w:r>
        <w:t>8.</w:t>
      </w:r>
      <w:r>
        <w:tab/>
        <w:t>AQTF standards, use of by Council</w:t>
      </w:r>
      <w:r>
        <w:tab/>
      </w:r>
      <w:r>
        <w:fldChar w:fldCharType="begin"/>
      </w:r>
      <w:r>
        <w:instrText xml:space="preserve"> PAGEREF _Toc307322568 \h </w:instrText>
      </w:r>
      <w:r>
        <w:fldChar w:fldCharType="separate"/>
      </w:r>
      <w:r>
        <w:t>6</w:t>
      </w:r>
      <w:r>
        <w:fldChar w:fldCharType="end"/>
      </w:r>
    </w:p>
    <w:p>
      <w:pPr>
        <w:pStyle w:val="TOC8"/>
        <w:rPr>
          <w:sz w:val="24"/>
          <w:szCs w:val="24"/>
          <w:lang w:val="en-US"/>
        </w:rPr>
      </w:pPr>
      <w:r>
        <w:t>9.</w:t>
      </w:r>
      <w:r>
        <w:tab/>
        <w:t>Register</w:t>
      </w:r>
      <w:r>
        <w:tab/>
      </w:r>
      <w:r>
        <w:fldChar w:fldCharType="begin"/>
      </w:r>
      <w:r>
        <w:instrText xml:space="preserve"> PAGEREF _Toc307322569 \h </w:instrText>
      </w:r>
      <w:r>
        <w:fldChar w:fldCharType="separate"/>
      </w:r>
      <w:r>
        <w:t>7</w:t>
      </w:r>
      <w:r>
        <w:fldChar w:fldCharType="end"/>
      </w:r>
    </w:p>
    <w:p>
      <w:pPr>
        <w:pStyle w:val="TOC4"/>
        <w:tabs>
          <w:tab w:val="right" w:leader="dot" w:pos="7086"/>
        </w:tabs>
        <w:rPr>
          <w:b w:val="0"/>
          <w:sz w:val="24"/>
          <w:szCs w:val="24"/>
          <w:lang w:val="en-US"/>
        </w:rPr>
      </w:pPr>
      <w:r>
        <w:t>Division 2 — Registration of training providers</w:t>
      </w:r>
    </w:p>
    <w:p>
      <w:pPr>
        <w:pStyle w:val="TOC8"/>
        <w:rPr>
          <w:sz w:val="24"/>
          <w:szCs w:val="24"/>
          <w:lang w:val="en-US"/>
        </w:rPr>
      </w:pPr>
      <w:r>
        <w:t>10.</w:t>
      </w:r>
      <w:r>
        <w:tab/>
        <w:t>Applying to be a registered training provider</w:t>
      </w:r>
      <w:r>
        <w:tab/>
      </w:r>
      <w:r>
        <w:fldChar w:fldCharType="begin"/>
      </w:r>
      <w:r>
        <w:instrText xml:space="preserve"> PAGEREF _Toc307322571 \h </w:instrText>
      </w:r>
      <w:r>
        <w:fldChar w:fldCharType="separate"/>
      </w:r>
      <w:r>
        <w:t>8</w:t>
      </w:r>
      <w:r>
        <w:fldChar w:fldCharType="end"/>
      </w:r>
    </w:p>
    <w:p>
      <w:pPr>
        <w:pStyle w:val="TOC8"/>
        <w:rPr>
          <w:sz w:val="24"/>
          <w:szCs w:val="24"/>
          <w:lang w:val="en-US"/>
        </w:rPr>
      </w:pPr>
      <w:r>
        <w:t>11.</w:t>
      </w:r>
      <w:r>
        <w:tab/>
        <w:t>Dealing with applications</w:t>
      </w:r>
      <w:r>
        <w:tab/>
      </w:r>
      <w:r>
        <w:fldChar w:fldCharType="begin"/>
      </w:r>
      <w:r>
        <w:instrText xml:space="preserve"> PAGEREF _Toc307322572 \h </w:instrText>
      </w:r>
      <w:r>
        <w:fldChar w:fldCharType="separate"/>
      </w:r>
      <w:r>
        <w:t>8</w:t>
      </w:r>
      <w:r>
        <w:fldChar w:fldCharType="end"/>
      </w:r>
    </w:p>
    <w:p>
      <w:pPr>
        <w:pStyle w:val="TOC8"/>
        <w:rPr>
          <w:sz w:val="24"/>
          <w:szCs w:val="24"/>
          <w:lang w:val="en-US"/>
        </w:rPr>
      </w:pPr>
      <w:r>
        <w:t>12.</w:t>
      </w:r>
      <w:r>
        <w:tab/>
        <w:t>Registering training providers</w:t>
      </w:r>
      <w:r>
        <w:tab/>
      </w:r>
      <w:r>
        <w:fldChar w:fldCharType="begin"/>
      </w:r>
      <w:r>
        <w:instrText xml:space="preserve"> PAGEREF _Toc307322573 \h </w:instrText>
      </w:r>
      <w:r>
        <w:fldChar w:fldCharType="separate"/>
      </w:r>
      <w:r>
        <w:t>9</w:t>
      </w:r>
      <w:r>
        <w:fldChar w:fldCharType="end"/>
      </w:r>
    </w:p>
    <w:p>
      <w:pPr>
        <w:pStyle w:val="TOC8"/>
        <w:rPr>
          <w:sz w:val="24"/>
          <w:szCs w:val="24"/>
          <w:lang w:val="en-US"/>
        </w:rPr>
      </w:pPr>
      <w:r>
        <w:t>13.</w:t>
      </w:r>
      <w:r>
        <w:tab/>
        <w:t>Conditions of registration</w:t>
      </w:r>
      <w:r>
        <w:tab/>
      </w:r>
      <w:r>
        <w:fldChar w:fldCharType="begin"/>
      </w:r>
      <w:r>
        <w:instrText xml:space="preserve"> PAGEREF _Toc307322574 \h </w:instrText>
      </w:r>
      <w:r>
        <w:fldChar w:fldCharType="separate"/>
      </w:r>
      <w:r>
        <w:t>11</w:t>
      </w:r>
      <w:r>
        <w:fldChar w:fldCharType="end"/>
      </w:r>
    </w:p>
    <w:p>
      <w:pPr>
        <w:pStyle w:val="TOC8"/>
        <w:rPr>
          <w:sz w:val="24"/>
          <w:szCs w:val="24"/>
          <w:lang w:val="en-US"/>
        </w:rPr>
      </w:pPr>
      <w:r>
        <w:t>14.</w:t>
      </w:r>
      <w:r>
        <w:tab/>
        <w:t>Period of registration</w:t>
      </w:r>
      <w:r>
        <w:tab/>
      </w:r>
      <w:r>
        <w:fldChar w:fldCharType="begin"/>
      </w:r>
      <w:r>
        <w:instrText xml:space="preserve"> PAGEREF _Toc307322575 \h </w:instrText>
      </w:r>
      <w:r>
        <w:fldChar w:fldCharType="separate"/>
      </w:r>
      <w:r>
        <w:t>12</w:t>
      </w:r>
      <w:r>
        <w:fldChar w:fldCharType="end"/>
      </w:r>
    </w:p>
    <w:p>
      <w:pPr>
        <w:pStyle w:val="TOC8"/>
        <w:rPr>
          <w:sz w:val="24"/>
          <w:szCs w:val="24"/>
          <w:lang w:val="en-US"/>
        </w:rPr>
      </w:pPr>
      <w:r>
        <w:t>15.</w:t>
      </w:r>
      <w:r>
        <w:tab/>
        <w:t>Annual fees payable by registered training providers</w:t>
      </w:r>
      <w:r>
        <w:tab/>
      </w:r>
      <w:r>
        <w:fldChar w:fldCharType="begin"/>
      </w:r>
      <w:r>
        <w:instrText xml:space="preserve"> PAGEREF _Toc307322576 \h </w:instrText>
      </w:r>
      <w:r>
        <w:fldChar w:fldCharType="separate"/>
      </w:r>
      <w:r>
        <w:t>12</w:t>
      </w:r>
      <w:r>
        <w:fldChar w:fldCharType="end"/>
      </w:r>
    </w:p>
    <w:p>
      <w:pPr>
        <w:pStyle w:val="TOC8"/>
        <w:rPr>
          <w:sz w:val="24"/>
          <w:szCs w:val="24"/>
          <w:lang w:val="en-US"/>
        </w:rPr>
      </w:pPr>
      <w:r>
        <w:t>16.</w:t>
      </w:r>
      <w:r>
        <w:tab/>
        <w:t>Renewal of registration</w:t>
      </w:r>
      <w:r>
        <w:tab/>
      </w:r>
      <w:r>
        <w:fldChar w:fldCharType="begin"/>
      </w:r>
      <w:r>
        <w:instrText xml:space="preserve"> PAGEREF _Toc307322577 \h </w:instrText>
      </w:r>
      <w:r>
        <w:fldChar w:fldCharType="separate"/>
      </w:r>
      <w:r>
        <w:t>13</w:t>
      </w:r>
      <w:r>
        <w:fldChar w:fldCharType="end"/>
      </w:r>
    </w:p>
    <w:p>
      <w:pPr>
        <w:pStyle w:val="TOC8"/>
        <w:rPr>
          <w:sz w:val="24"/>
          <w:szCs w:val="24"/>
          <w:lang w:val="en-US"/>
        </w:rPr>
      </w:pPr>
      <w:r>
        <w:t>17.</w:t>
      </w:r>
      <w:r>
        <w:tab/>
        <w:t>Varying registrations</w:t>
      </w:r>
      <w:r>
        <w:tab/>
      </w:r>
      <w:r>
        <w:fldChar w:fldCharType="begin"/>
      </w:r>
      <w:r>
        <w:instrText xml:space="preserve"> PAGEREF _Toc307322578 \h </w:instrText>
      </w:r>
      <w:r>
        <w:fldChar w:fldCharType="separate"/>
      </w:r>
      <w:r>
        <w:t>14</w:t>
      </w:r>
      <w:r>
        <w:fldChar w:fldCharType="end"/>
      </w:r>
    </w:p>
    <w:p>
      <w:pPr>
        <w:pStyle w:val="TOC8"/>
        <w:rPr>
          <w:sz w:val="24"/>
          <w:szCs w:val="24"/>
          <w:lang w:val="en-US"/>
        </w:rPr>
      </w:pPr>
      <w:r>
        <w:t>18.</w:t>
      </w:r>
      <w:r>
        <w:tab/>
        <w:t>Cancelling registration if provider’s operations change</w:t>
      </w:r>
      <w:r>
        <w:tab/>
      </w:r>
      <w:r>
        <w:fldChar w:fldCharType="begin"/>
      </w:r>
      <w:r>
        <w:instrText xml:space="preserve"> PAGEREF _Toc307322579 \h </w:instrText>
      </w:r>
      <w:r>
        <w:fldChar w:fldCharType="separate"/>
      </w:r>
      <w:r>
        <w:t>15</w:t>
      </w:r>
      <w:r>
        <w:fldChar w:fldCharType="end"/>
      </w:r>
    </w:p>
    <w:p>
      <w:pPr>
        <w:pStyle w:val="TOC8"/>
        <w:rPr>
          <w:sz w:val="24"/>
          <w:szCs w:val="24"/>
          <w:lang w:val="en-US"/>
        </w:rPr>
      </w:pPr>
      <w:r>
        <w:t>19.</w:t>
      </w:r>
      <w:r>
        <w:tab/>
        <w:t>Suspending or cancelling registration</w:t>
      </w:r>
      <w:r>
        <w:tab/>
      </w:r>
      <w:r>
        <w:fldChar w:fldCharType="begin"/>
      </w:r>
      <w:r>
        <w:instrText xml:space="preserve"> PAGEREF _Toc307322580 \h </w:instrText>
      </w:r>
      <w:r>
        <w:fldChar w:fldCharType="separate"/>
      </w:r>
      <w:r>
        <w:t>15</w:t>
      </w:r>
      <w:r>
        <w:fldChar w:fldCharType="end"/>
      </w:r>
    </w:p>
    <w:p>
      <w:pPr>
        <w:pStyle w:val="TOC8"/>
        <w:rPr>
          <w:sz w:val="24"/>
          <w:szCs w:val="24"/>
          <w:lang w:val="en-US"/>
        </w:rPr>
      </w:pPr>
      <w:r>
        <w:t>20.</w:t>
      </w:r>
      <w:r>
        <w:tab/>
        <w:t>Suspension of WA registered provider may be on terms</w:t>
      </w:r>
      <w:r>
        <w:tab/>
      </w:r>
      <w:r>
        <w:fldChar w:fldCharType="begin"/>
      </w:r>
      <w:r>
        <w:instrText xml:space="preserve"> PAGEREF _Toc307322581 \h </w:instrText>
      </w:r>
      <w:r>
        <w:fldChar w:fldCharType="separate"/>
      </w:r>
      <w:r>
        <w:t>17</w:t>
      </w:r>
      <w:r>
        <w:fldChar w:fldCharType="end"/>
      </w:r>
    </w:p>
    <w:p>
      <w:pPr>
        <w:pStyle w:val="TOC8"/>
        <w:rPr>
          <w:sz w:val="24"/>
          <w:szCs w:val="24"/>
          <w:lang w:val="en-US"/>
        </w:rPr>
      </w:pPr>
      <w:r>
        <w:t>21.</w:t>
      </w:r>
      <w:r>
        <w:tab/>
        <w:t>Effect of suspension of WA registered provider</w:t>
      </w:r>
      <w:r>
        <w:tab/>
      </w:r>
      <w:r>
        <w:fldChar w:fldCharType="begin"/>
      </w:r>
      <w:r>
        <w:instrText xml:space="preserve"> PAGEREF _Toc307322582 \h </w:instrText>
      </w:r>
      <w:r>
        <w:fldChar w:fldCharType="separate"/>
      </w:r>
      <w:r>
        <w:t>18</w:t>
      </w:r>
      <w:r>
        <w:fldChar w:fldCharType="end"/>
      </w:r>
    </w:p>
    <w:p>
      <w:pPr>
        <w:pStyle w:val="TOC8"/>
        <w:rPr>
          <w:sz w:val="24"/>
          <w:szCs w:val="24"/>
          <w:lang w:val="en-US"/>
        </w:rPr>
      </w:pPr>
      <w:r>
        <w:t>22.</w:t>
      </w:r>
      <w:r>
        <w:tab/>
        <w:t>Orders against providers registered outside WA</w:t>
      </w:r>
      <w:r>
        <w:tab/>
      </w:r>
      <w:r>
        <w:fldChar w:fldCharType="begin"/>
      </w:r>
      <w:r>
        <w:instrText xml:space="preserve"> PAGEREF _Toc307322583 \h </w:instrText>
      </w:r>
      <w:r>
        <w:fldChar w:fldCharType="separate"/>
      </w:r>
      <w:r>
        <w:t>18</w:t>
      </w:r>
      <w:r>
        <w:fldChar w:fldCharType="end"/>
      </w:r>
    </w:p>
    <w:p>
      <w:pPr>
        <w:pStyle w:val="TOC8"/>
        <w:rPr>
          <w:sz w:val="24"/>
          <w:szCs w:val="24"/>
          <w:lang w:val="en-US"/>
        </w:rPr>
      </w:pPr>
      <w:r>
        <w:t>23.</w:t>
      </w:r>
      <w:r>
        <w:tab/>
        <w:t>Fees</w:t>
      </w:r>
      <w:r>
        <w:tab/>
      </w:r>
      <w:r>
        <w:fldChar w:fldCharType="begin"/>
      </w:r>
      <w:r>
        <w:instrText xml:space="preserve"> PAGEREF _Toc307322584 \h </w:instrText>
      </w:r>
      <w:r>
        <w:fldChar w:fldCharType="separate"/>
      </w:r>
      <w:r>
        <w:t>19</w:t>
      </w:r>
      <w:r>
        <w:fldChar w:fldCharType="end"/>
      </w:r>
    </w:p>
    <w:p>
      <w:pPr>
        <w:pStyle w:val="TOC4"/>
        <w:tabs>
          <w:tab w:val="right" w:leader="dot" w:pos="7086"/>
        </w:tabs>
        <w:rPr>
          <w:b w:val="0"/>
          <w:sz w:val="24"/>
          <w:szCs w:val="24"/>
          <w:lang w:val="en-US"/>
        </w:rPr>
      </w:pPr>
      <w:r>
        <w:t>Division 3 — Audits of training providers</w:t>
      </w:r>
    </w:p>
    <w:p>
      <w:pPr>
        <w:pStyle w:val="TOC8"/>
        <w:rPr>
          <w:sz w:val="24"/>
          <w:szCs w:val="24"/>
          <w:lang w:val="en-US"/>
        </w:rPr>
      </w:pPr>
      <w:r>
        <w:t>24.</w:t>
      </w:r>
      <w:r>
        <w:tab/>
        <w:t>Term used: compliance audit</w:t>
      </w:r>
      <w:r>
        <w:tab/>
      </w:r>
      <w:r>
        <w:fldChar w:fldCharType="begin"/>
      </w:r>
      <w:r>
        <w:instrText xml:space="preserve"> PAGEREF _Toc307322586 \h </w:instrText>
      </w:r>
      <w:r>
        <w:fldChar w:fldCharType="separate"/>
      </w:r>
      <w:r>
        <w:t>19</w:t>
      </w:r>
      <w:r>
        <w:fldChar w:fldCharType="end"/>
      </w:r>
    </w:p>
    <w:p>
      <w:pPr>
        <w:pStyle w:val="TOC8"/>
        <w:rPr>
          <w:sz w:val="24"/>
          <w:szCs w:val="24"/>
          <w:lang w:val="en-US"/>
        </w:rPr>
      </w:pPr>
      <w:r>
        <w:t>25.</w:t>
      </w:r>
      <w:r>
        <w:tab/>
        <w:t>Audits</w:t>
      </w:r>
      <w:r>
        <w:tab/>
      </w:r>
      <w:r>
        <w:fldChar w:fldCharType="begin"/>
      </w:r>
      <w:r>
        <w:instrText xml:space="preserve"> PAGEREF _Toc307322587 \h </w:instrText>
      </w:r>
      <w:r>
        <w:fldChar w:fldCharType="separate"/>
      </w:r>
      <w:r>
        <w:t>19</w:t>
      </w:r>
      <w:r>
        <w:fldChar w:fldCharType="end"/>
      </w:r>
    </w:p>
    <w:p>
      <w:pPr>
        <w:pStyle w:val="TOC4"/>
        <w:tabs>
          <w:tab w:val="right" w:leader="dot" w:pos="7086"/>
        </w:tabs>
        <w:rPr>
          <w:b w:val="0"/>
          <w:sz w:val="24"/>
          <w:szCs w:val="24"/>
          <w:lang w:val="en-US"/>
        </w:rPr>
      </w:pPr>
      <w:r>
        <w:t>Division 4 — Obligations of registered training providers</w:t>
      </w:r>
    </w:p>
    <w:p>
      <w:pPr>
        <w:pStyle w:val="TOC8"/>
        <w:rPr>
          <w:sz w:val="24"/>
          <w:szCs w:val="24"/>
          <w:lang w:val="en-US"/>
        </w:rPr>
      </w:pPr>
      <w:r>
        <w:t>26.</w:t>
      </w:r>
      <w:r>
        <w:tab/>
        <w:t>Reporting to the Council</w:t>
      </w:r>
      <w:r>
        <w:tab/>
      </w:r>
      <w:r>
        <w:fldChar w:fldCharType="begin"/>
      </w:r>
      <w:r>
        <w:instrText xml:space="preserve"> PAGEREF _Toc307322589 \h </w:instrText>
      </w:r>
      <w:r>
        <w:fldChar w:fldCharType="separate"/>
      </w:r>
      <w:r>
        <w:t>20</w:t>
      </w:r>
      <w:r>
        <w:fldChar w:fldCharType="end"/>
      </w:r>
    </w:p>
    <w:p>
      <w:pPr>
        <w:pStyle w:val="TOC8"/>
        <w:rPr>
          <w:sz w:val="24"/>
          <w:szCs w:val="24"/>
          <w:lang w:val="en-US"/>
        </w:rPr>
      </w:pPr>
      <w:r>
        <w:t>27.</w:t>
      </w:r>
      <w:r>
        <w:tab/>
        <w:t>Giving Council information on ceasing operations</w:t>
      </w:r>
      <w:r>
        <w:tab/>
      </w:r>
      <w:r>
        <w:fldChar w:fldCharType="begin"/>
      </w:r>
      <w:r>
        <w:instrText xml:space="preserve"> PAGEREF _Toc307322590 \h </w:instrText>
      </w:r>
      <w:r>
        <w:fldChar w:fldCharType="separate"/>
      </w:r>
      <w:r>
        <w:t>21</w:t>
      </w:r>
      <w:r>
        <w:fldChar w:fldCharType="end"/>
      </w:r>
    </w:p>
    <w:p>
      <w:pPr>
        <w:pStyle w:val="TOC4"/>
        <w:tabs>
          <w:tab w:val="right" w:leader="dot" w:pos="7086"/>
        </w:tabs>
        <w:rPr>
          <w:b w:val="0"/>
          <w:sz w:val="24"/>
          <w:szCs w:val="24"/>
          <w:lang w:val="en-US"/>
        </w:rPr>
      </w:pPr>
      <w:r>
        <w:t>Division 5 — Accreditation of VET courses</w:t>
      </w:r>
    </w:p>
    <w:p>
      <w:pPr>
        <w:pStyle w:val="TOC8"/>
        <w:rPr>
          <w:sz w:val="24"/>
          <w:szCs w:val="24"/>
          <w:lang w:val="en-US"/>
        </w:rPr>
      </w:pPr>
      <w:r>
        <w:t>28.</w:t>
      </w:r>
      <w:r>
        <w:tab/>
        <w:t>Applying to have a VET course accredited</w:t>
      </w:r>
      <w:r>
        <w:tab/>
      </w:r>
      <w:r>
        <w:fldChar w:fldCharType="begin"/>
      </w:r>
      <w:r>
        <w:instrText xml:space="preserve"> PAGEREF _Toc307322592 \h </w:instrText>
      </w:r>
      <w:r>
        <w:fldChar w:fldCharType="separate"/>
      </w:r>
      <w:r>
        <w:t>22</w:t>
      </w:r>
      <w:r>
        <w:fldChar w:fldCharType="end"/>
      </w:r>
    </w:p>
    <w:p>
      <w:pPr>
        <w:pStyle w:val="TOC8"/>
        <w:rPr>
          <w:sz w:val="24"/>
          <w:szCs w:val="24"/>
          <w:lang w:val="en-US"/>
        </w:rPr>
      </w:pPr>
      <w:r>
        <w:t>29.</w:t>
      </w:r>
      <w:r>
        <w:tab/>
        <w:t>Dealing with applications</w:t>
      </w:r>
      <w:r>
        <w:tab/>
      </w:r>
      <w:r>
        <w:fldChar w:fldCharType="begin"/>
      </w:r>
      <w:r>
        <w:instrText xml:space="preserve"> PAGEREF _Toc307322593 \h </w:instrText>
      </w:r>
      <w:r>
        <w:fldChar w:fldCharType="separate"/>
      </w:r>
      <w:r>
        <w:t>22</w:t>
      </w:r>
      <w:r>
        <w:fldChar w:fldCharType="end"/>
      </w:r>
    </w:p>
    <w:p>
      <w:pPr>
        <w:pStyle w:val="TOC8"/>
        <w:rPr>
          <w:sz w:val="24"/>
          <w:szCs w:val="24"/>
          <w:lang w:val="en-US"/>
        </w:rPr>
      </w:pPr>
      <w:r>
        <w:t>30.</w:t>
      </w:r>
      <w:r>
        <w:tab/>
        <w:t>Accrediting VET courses</w:t>
      </w:r>
      <w:r>
        <w:tab/>
      </w:r>
      <w:r>
        <w:fldChar w:fldCharType="begin"/>
      </w:r>
      <w:r>
        <w:instrText xml:space="preserve"> PAGEREF _Toc307322594 \h </w:instrText>
      </w:r>
      <w:r>
        <w:fldChar w:fldCharType="separate"/>
      </w:r>
      <w:r>
        <w:t>23</w:t>
      </w:r>
      <w:r>
        <w:fldChar w:fldCharType="end"/>
      </w:r>
    </w:p>
    <w:p>
      <w:pPr>
        <w:pStyle w:val="TOC8"/>
        <w:rPr>
          <w:sz w:val="24"/>
          <w:szCs w:val="24"/>
          <w:lang w:val="en-US"/>
        </w:rPr>
      </w:pPr>
      <w:r>
        <w:t>31.</w:t>
      </w:r>
      <w:r>
        <w:tab/>
        <w:t>Period of accreditation</w:t>
      </w:r>
      <w:r>
        <w:tab/>
      </w:r>
      <w:r>
        <w:fldChar w:fldCharType="begin"/>
      </w:r>
      <w:r>
        <w:instrText xml:space="preserve"> PAGEREF _Toc307322595 \h </w:instrText>
      </w:r>
      <w:r>
        <w:fldChar w:fldCharType="separate"/>
      </w:r>
      <w:r>
        <w:t>23</w:t>
      </w:r>
      <w:r>
        <w:fldChar w:fldCharType="end"/>
      </w:r>
    </w:p>
    <w:p>
      <w:pPr>
        <w:pStyle w:val="TOC8"/>
        <w:rPr>
          <w:sz w:val="24"/>
          <w:szCs w:val="24"/>
          <w:lang w:val="en-US"/>
        </w:rPr>
      </w:pPr>
      <w:r>
        <w:t>32.</w:t>
      </w:r>
      <w:r>
        <w:tab/>
        <w:t>Renewing accreditation</w:t>
      </w:r>
      <w:r>
        <w:tab/>
      </w:r>
      <w:r>
        <w:fldChar w:fldCharType="begin"/>
      </w:r>
      <w:r>
        <w:instrText xml:space="preserve"> PAGEREF _Toc307322596 \h </w:instrText>
      </w:r>
      <w:r>
        <w:fldChar w:fldCharType="separate"/>
      </w:r>
      <w:r>
        <w:t>24</w:t>
      </w:r>
      <w:r>
        <w:fldChar w:fldCharType="end"/>
      </w:r>
    </w:p>
    <w:p>
      <w:pPr>
        <w:pStyle w:val="TOC8"/>
        <w:rPr>
          <w:sz w:val="24"/>
          <w:szCs w:val="24"/>
          <w:lang w:val="en-US"/>
        </w:rPr>
      </w:pPr>
      <w:r>
        <w:t>33.</w:t>
      </w:r>
      <w:r>
        <w:tab/>
        <w:t>Cancelling accreditation</w:t>
      </w:r>
      <w:r>
        <w:tab/>
      </w:r>
      <w:r>
        <w:fldChar w:fldCharType="begin"/>
      </w:r>
      <w:r>
        <w:instrText xml:space="preserve"> PAGEREF _Toc307322597 \h </w:instrText>
      </w:r>
      <w:r>
        <w:fldChar w:fldCharType="separate"/>
      </w:r>
      <w:r>
        <w:t>24</w:t>
      </w:r>
      <w:r>
        <w:fldChar w:fldCharType="end"/>
      </w:r>
    </w:p>
    <w:p>
      <w:pPr>
        <w:pStyle w:val="TOC2"/>
        <w:tabs>
          <w:tab w:val="right" w:leader="dot" w:pos="7086"/>
        </w:tabs>
        <w:rPr>
          <w:b w:val="0"/>
          <w:sz w:val="24"/>
          <w:szCs w:val="24"/>
          <w:lang w:val="en-US"/>
        </w:rPr>
      </w:pPr>
      <w:r>
        <w:t>Part 4 — Regulations for Part 7 of the Act</w:t>
      </w:r>
    </w:p>
    <w:p>
      <w:pPr>
        <w:pStyle w:val="TOC4"/>
        <w:tabs>
          <w:tab w:val="right" w:leader="dot" w:pos="7086"/>
        </w:tabs>
        <w:rPr>
          <w:b w:val="0"/>
          <w:sz w:val="24"/>
          <w:szCs w:val="24"/>
          <w:lang w:val="en-US"/>
        </w:rPr>
      </w:pPr>
      <w:r>
        <w:t>Division 1 — General matters</w:t>
      </w:r>
    </w:p>
    <w:p>
      <w:pPr>
        <w:pStyle w:val="TOC8"/>
        <w:rPr>
          <w:sz w:val="24"/>
          <w:szCs w:val="24"/>
          <w:lang w:val="en-US"/>
        </w:rPr>
      </w:pPr>
      <w:r>
        <w:t>34.</w:t>
      </w:r>
      <w:r>
        <w:tab/>
        <w:t>Term used: nominated training provider</w:t>
      </w:r>
      <w:r>
        <w:tab/>
      </w:r>
      <w:r>
        <w:fldChar w:fldCharType="begin"/>
      </w:r>
      <w:r>
        <w:instrText xml:space="preserve"> PAGEREF _Toc307322600 \h </w:instrText>
      </w:r>
      <w:r>
        <w:fldChar w:fldCharType="separate"/>
      </w:r>
      <w:r>
        <w:t>25</w:t>
      </w:r>
      <w:r>
        <w:fldChar w:fldCharType="end"/>
      </w:r>
    </w:p>
    <w:p>
      <w:pPr>
        <w:pStyle w:val="TOC8"/>
        <w:rPr>
          <w:sz w:val="24"/>
          <w:szCs w:val="24"/>
          <w:lang w:val="en-US"/>
        </w:rPr>
      </w:pPr>
      <w:r>
        <w:t>35.</w:t>
      </w:r>
      <w:r>
        <w:tab/>
        <w:t>Chief executive may delegate</w:t>
      </w:r>
      <w:r>
        <w:tab/>
      </w:r>
      <w:r>
        <w:fldChar w:fldCharType="begin"/>
      </w:r>
      <w:r>
        <w:instrText xml:space="preserve"> PAGEREF _Toc307322601 \h </w:instrText>
      </w:r>
      <w:r>
        <w:fldChar w:fldCharType="separate"/>
      </w:r>
      <w:r>
        <w:t>25</w:t>
      </w:r>
      <w:r>
        <w:fldChar w:fldCharType="end"/>
      </w:r>
    </w:p>
    <w:p>
      <w:pPr>
        <w:pStyle w:val="TOC4"/>
        <w:tabs>
          <w:tab w:val="right" w:leader="dot" w:pos="7086"/>
        </w:tabs>
        <w:rPr>
          <w:b w:val="0"/>
          <w:sz w:val="24"/>
          <w:szCs w:val="24"/>
          <w:lang w:val="en-US"/>
        </w:rPr>
      </w:pPr>
      <w:r>
        <w:t>Division 2 — Classifying prescribed VET qualifications</w:t>
      </w:r>
    </w:p>
    <w:p>
      <w:pPr>
        <w:pStyle w:val="TOC8"/>
        <w:rPr>
          <w:sz w:val="24"/>
          <w:szCs w:val="24"/>
          <w:lang w:val="en-US"/>
        </w:rPr>
      </w:pPr>
      <w:r>
        <w:t>36.</w:t>
      </w:r>
      <w:r>
        <w:tab/>
        <w:t>Who Board must consult (Act s. 60C)</w:t>
      </w:r>
      <w:r>
        <w:tab/>
      </w:r>
      <w:r>
        <w:fldChar w:fldCharType="begin"/>
      </w:r>
      <w:r>
        <w:instrText xml:space="preserve"> PAGEREF _Toc307322603 \h </w:instrText>
      </w:r>
      <w:r>
        <w:fldChar w:fldCharType="separate"/>
      </w:r>
      <w:r>
        <w:t>26</w:t>
      </w:r>
      <w:r>
        <w:fldChar w:fldCharType="end"/>
      </w:r>
    </w:p>
    <w:p>
      <w:pPr>
        <w:pStyle w:val="TOC8"/>
        <w:rPr>
          <w:sz w:val="24"/>
          <w:szCs w:val="24"/>
          <w:lang w:val="en-US"/>
        </w:rPr>
      </w:pPr>
      <w:r>
        <w:t>37.</w:t>
      </w:r>
      <w:r>
        <w:tab/>
        <w:t>Board’s advice and recommendations to Minister (Act s. 60C)</w:t>
      </w:r>
      <w:r>
        <w:tab/>
      </w:r>
      <w:r>
        <w:fldChar w:fldCharType="begin"/>
      </w:r>
      <w:r>
        <w:instrText xml:space="preserve"> PAGEREF _Toc307322604 \h </w:instrText>
      </w:r>
      <w:r>
        <w:fldChar w:fldCharType="separate"/>
      </w:r>
      <w:r>
        <w:t>26</w:t>
      </w:r>
      <w:r>
        <w:fldChar w:fldCharType="end"/>
      </w:r>
    </w:p>
    <w:p>
      <w:pPr>
        <w:pStyle w:val="TOC4"/>
        <w:tabs>
          <w:tab w:val="right" w:leader="dot" w:pos="7086"/>
        </w:tabs>
        <w:rPr>
          <w:b w:val="0"/>
          <w:sz w:val="24"/>
          <w:szCs w:val="24"/>
          <w:lang w:val="en-US"/>
        </w:rPr>
      </w:pPr>
      <w:r>
        <w:t>Division 3 — Training contracts</w:t>
      </w:r>
    </w:p>
    <w:p>
      <w:pPr>
        <w:pStyle w:val="TOC8"/>
        <w:rPr>
          <w:sz w:val="24"/>
          <w:szCs w:val="24"/>
          <w:lang w:val="en-US"/>
        </w:rPr>
      </w:pPr>
      <w:r>
        <w:t>38.</w:t>
      </w:r>
      <w:r>
        <w:tab/>
        <w:t>Form and content of training contracts</w:t>
      </w:r>
      <w:r>
        <w:tab/>
      </w:r>
      <w:r>
        <w:fldChar w:fldCharType="begin"/>
      </w:r>
      <w:r>
        <w:instrText xml:space="preserve"> PAGEREF _Toc307322606 \h </w:instrText>
      </w:r>
      <w:r>
        <w:fldChar w:fldCharType="separate"/>
      </w:r>
      <w:r>
        <w:t>27</w:t>
      </w:r>
      <w:r>
        <w:fldChar w:fldCharType="end"/>
      </w:r>
    </w:p>
    <w:p>
      <w:pPr>
        <w:pStyle w:val="TOC8"/>
        <w:rPr>
          <w:sz w:val="24"/>
          <w:szCs w:val="24"/>
          <w:lang w:val="en-US"/>
        </w:rPr>
      </w:pPr>
      <w:r>
        <w:t>39.</w:t>
      </w:r>
      <w:r>
        <w:tab/>
        <w:t>Probation periods of training contracts</w:t>
      </w:r>
      <w:r>
        <w:tab/>
      </w:r>
      <w:r>
        <w:fldChar w:fldCharType="begin"/>
      </w:r>
      <w:r>
        <w:instrText xml:space="preserve"> PAGEREF _Toc307322607 \h </w:instrText>
      </w:r>
      <w:r>
        <w:fldChar w:fldCharType="separate"/>
      </w:r>
      <w:r>
        <w:t>28</w:t>
      </w:r>
      <w:r>
        <w:fldChar w:fldCharType="end"/>
      </w:r>
    </w:p>
    <w:p>
      <w:pPr>
        <w:pStyle w:val="TOC8"/>
        <w:rPr>
          <w:sz w:val="24"/>
          <w:szCs w:val="24"/>
          <w:lang w:val="en-US"/>
        </w:rPr>
      </w:pPr>
      <w:r>
        <w:t>40.</w:t>
      </w:r>
      <w:r>
        <w:tab/>
        <w:t>Children’s capacity to enter into training contracts</w:t>
      </w:r>
      <w:r>
        <w:tab/>
      </w:r>
      <w:r>
        <w:fldChar w:fldCharType="begin"/>
      </w:r>
      <w:r>
        <w:instrText xml:space="preserve"> PAGEREF _Toc307322608 \h </w:instrText>
      </w:r>
      <w:r>
        <w:fldChar w:fldCharType="separate"/>
      </w:r>
      <w:r>
        <w:t>28</w:t>
      </w:r>
      <w:r>
        <w:fldChar w:fldCharType="end"/>
      </w:r>
    </w:p>
    <w:p>
      <w:pPr>
        <w:pStyle w:val="TOC8"/>
        <w:rPr>
          <w:sz w:val="24"/>
          <w:szCs w:val="24"/>
          <w:lang w:val="en-US"/>
        </w:rPr>
      </w:pPr>
      <w:r>
        <w:t>41.</w:t>
      </w:r>
      <w:r>
        <w:tab/>
        <w:t>Lodging training contracts for registration (Act s. 60F)</w:t>
      </w:r>
      <w:r>
        <w:tab/>
      </w:r>
      <w:r>
        <w:fldChar w:fldCharType="begin"/>
      </w:r>
      <w:r>
        <w:instrText xml:space="preserve"> PAGEREF _Toc307322609 \h </w:instrText>
      </w:r>
      <w:r>
        <w:fldChar w:fldCharType="separate"/>
      </w:r>
      <w:r>
        <w:t>30</w:t>
      </w:r>
      <w:r>
        <w:fldChar w:fldCharType="end"/>
      </w:r>
    </w:p>
    <w:p>
      <w:pPr>
        <w:pStyle w:val="TOC8"/>
        <w:rPr>
          <w:sz w:val="24"/>
          <w:szCs w:val="24"/>
          <w:lang w:val="en-US"/>
        </w:rPr>
      </w:pPr>
      <w:r>
        <w:t>42.</w:t>
      </w:r>
      <w:r>
        <w:tab/>
        <w:t>Registering training contracts (Act s. 60F)</w:t>
      </w:r>
      <w:r>
        <w:tab/>
      </w:r>
      <w:r>
        <w:fldChar w:fldCharType="begin"/>
      </w:r>
      <w:r>
        <w:instrText xml:space="preserve"> PAGEREF _Toc307322610 \h </w:instrText>
      </w:r>
      <w:r>
        <w:fldChar w:fldCharType="separate"/>
      </w:r>
      <w:r>
        <w:t>30</w:t>
      </w:r>
      <w:r>
        <w:fldChar w:fldCharType="end"/>
      </w:r>
    </w:p>
    <w:p>
      <w:pPr>
        <w:pStyle w:val="TOC8"/>
        <w:rPr>
          <w:sz w:val="24"/>
          <w:szCs w:val="24"/>
          <w:lang w:val="en-US"/>
        </w:rPr>
      </w:pPr>
      <w:r>
        <w:t>43.</w:t>
      </w:r>
      <w:r>
        <w:tab/>
        <w:t>Training plans for training contracts</w:t>
      </w:r>
      <w:r>
        <w:tab/>
      </w:r>
      <w:r>
        <w:fldChar w:fldCharType="begin"/>
      </w:r>
      <w:r>
        <w:instrText xml:space="preserve"> PAGEREF _Toc307322611 \h </w:instrText>
      </w:r>
      <w:r>
        <w:fldChar w:fldCharType="separate"/>
      </w:r>
      <w:r>
        <w:t>31</w:t>
      </w:r>
      <w:r>
        <w:fldChar w:fldCharType="end"/>
      </w:r>
    </w:p>
    <w:p>
      <w:pPr>
        <w:pStyle w:val="TOC8"/>
        <w:rPr>
          <w:sz w:val="24"/>
          <w:szCs w:val="24"/>
          <w:lang w:val="en-US"/>
        </w:rPr>
      </w:pPr>
      <w:r>
        <w:t>44.</w:t>
      </w:r>
      <w:r>
        <w:tab/>
        <w:t>Cancellation of registration by chief executive (Act s. 60F)</w:t>
      </w:r>
      <w:r>
        <w:tab/>
      </w:r>
      <w:r>
        <w:fldChar w:fldCharType="begin"/>
      </w:r>
      <w:r>
        <w:instrText xml:space="preserve"> PAGEREF _Toc307322612 \h </w:instrText>
      </w:r>
      <w:r>
        <w:fldChar w:fldCharType="separate"/>
      </w:r>
      <w:r>
        <w:t>32</w:t>
      </w:r>
      <w:r>
        <w:fldChar w:fldCharType="end"/>
      </w:r>
    </w:p>
    <w:p>
      <w:pPr>
        <w:pStyle w:val="TOC8"/>
        <w:rPr>
          <w:sz w:val="24"/>
          <w:szCs w:val="24"/>
          <w:lang w:val="en-US"/>
        </w:rPr>
      </w:pPr>
      <w:r>
        <w:t>45.</w:t>
      </w:r>
      <w:r>
        <w:tab/>
        <w:t>Chief executive may require persons involved in training contracts to provide information</w:t>
      </w:r>
      <w:r>
        <w:tab/>
      </w:r>
      <w:r>
        <w:fldChar w:fldCharType="begin"/>
      </w:r>
      <w:r>
        <w:instrText xml:space="preserve"> PAGEREF _Toc307322613 \h </w:instrText>
      </w:r>
      <w:r>
        <w:fldChar w:fldCharType="separate"/>
      </w:r>
      <w:r>
        <w:t>33</w:t>
      </w:r>
      <w:r>
        <w:fldChar w:fldCharType="end"/>
      </w:r>
    </w:p>
    <w:p>
      <w:pPr>
        <w:pStyle w:val="TOC8"/>
        <w:rPr>
          <w:sz w:val="24"/>
          <w:szCs w:val="24"/>
          <w:lang w:val="en-US"/>
        </w:rPr>
      </w:pPr>
      <w:r>
        <w:t>46.</w:t>
      </w:r>
      <w:r>
        <w:tab/>
        <w:t>Variation of training contract by parties (Act s. 60E)</w:t>
      </w:r>
      <w:r>
        <w:tab/>
      </w:r>
      <w:r>
        <w:fldChar w:fldCharType="begin"/>
      </w:r>
      <w:r>
        <w:instrText xml:space="preserve"> PAGEREF _Toc307322614 \h </w:instrText>
      </w:r>
      <w:r>
        <w:fldChar w:fldCharType="separate"/>
      </w:r>
      <w:r>
        <w:t>33</w:t>
      </w:r>
      <w:r>
        <w:fldChar w:fldCharType="end"/>
      </w:r>
    </w:p>
    <w:p>
      <w:pPr>
        <w:pStyle w:val="TOC8"/>
        <w:rPr>
          <w:sz w:val="24"/>
          <w:szCs w:val="24"/>
          <w:lang w:val="en-US"/>
        </w:rPr>
      </w:pPr>
      <w:r>
        <w:t>47.</w:t>
      </w:r>
      <w:r>
        <w:tab/>
        <w:t>Assignment of training contract to another employer (Act s. 60E)</w:t>
      </w:r>
      <w:r>
        <w:tab/>
      </w:r>
      <w:r>
        <w:fldChar w:fldCharType="begin"/>
      </w:r>
      <w:r>
        <w:instrText xml:space="preserve"> PAGEREF _Toc307322615 \h </w:instrText>
      </w:r>
      <w:r>
        <w:fldChar w:fldCharType="separate"/>
      </w:r>
      <w:r>
        <w:t>34</w:t>
      </w:r>
      <w:r>
        <w:fldChar w:fldCharType="end"/>
      </w:r>
    </w:p>
    <w:p>
      <w:pPr>
        <w:pStyle w:val="TOC8"/>
        <w:rPr>
          <w:sz w:val="24"/>
          <w:szCs w:val="24"/>
          <w:lang w:val="en-US"/>
        </w:rPr>
      </w:pPr>
      <w:r>
        <w:t>48.</w:t>
      </w:r>
      <w:r>
        <w:tab/>
        <w:t>Suspension of training contract by parties (Act s. 60E)</w:t>
      </w:r>
      <w:r>
        <w:tab/>
      </w:r>
      <w:r>
        <w:fldChar w:fldCharType="begin"/>
      </w:r>
      <w:r>
        <w:instrText xml:space="preserve"> PAGEREF _Toc307322616 \h </w:instrText>
      </w:r>
      <w:r>
        <w:fldChar w:fldCharType="separate"/>
      </w:r>
      <w:r>
        <w:t>35</w:t>
      </w:r>
      <w:r>
        <w:fldChar w:fldCharType="end"/>
      </w:r>
    </w:p>
    <w:p>
      <w:pPr>
        <w:pStyle w:val="TOC8"/>
        <w:rPr>
          <w:sz w:val="24"/>
          <w:szCs w:val="24"/>
          <w:lang w:val="en-US"/>
        </w:rPr>
      </w:pPr>
      <w:r>
        <w:t>49.</w:t>
      </w:r>
      <w:r>
        <w:tab/>
        <w:t>Suspension by employer (Act s. 60E)</w:t>
      </w:r>
      <w:r>
        <w:tab/>
      </w:r>
      <w:r>
        <w:fldChar w:fldCharType="begin"/>
      </w:r>
      <w:r>
        <w:instrText xml:space="preserve"> PAGEREF _Toc307322617 \h </w:instrText>
      </w:r>
      <w:r>
        <w:fldChar w:fldCharType="separate"/>
      </w:r>
      <w:r>
        <w:t>36</w:t>
      </w:r>
      <w:r>
        <w:fldChar w:fldCharType="end"/>
      </w:r>
    </w:p>
    <w:p>
      <w:pPr>
        <w:pStyle w:val="TOC8"/>
        <w:rPr>
          <w:sz w:val="24"/>
          <w:szCs w:val="24"/>
          <w:lang w:val="en-US"/>
        </w:rPr>
      </w:pPr>
      <w:r>
        <w:t>50.</w:t>
      </w:r>
      <w:r>
        <w:tab/>
        <w:t>Termination of training contract by parties (Act s. 60G)</w:t>
      </w:r>
      <w:r>
        <w:tab/>
      </w:r>
      <w:r>
        <w:fldChar w:fldCharType="begin"/>
      </w:r>
      <w:r>
        <w:instrText xml:space="preserve"> PAGEREF _Toc307322618 \h </w:instrText>
      </w:r>
      <w:r>
        <w:fldChar w:fldCharType="separate"/>
      </w:r>
      <w:r>
        <w:t>37</w:t>
      </w:r>
      <w:r>
        <w:fldChar w:fldCharType="end"/>
      </w:r>
    </w:p>
    <w:p>
      <w:pPr>
        <w:pStyle w:val="TOC8"/>
        <w:rPr>
          <w:sz w:val="24"/>
          <w:szCs w:val="24"/>
          <w:lang w:val="en-US"/>
        </w:rPr>
      </w:pPr>
      <w:r>
        <w:t>51.</w:t>
      </w:r>
      <w:r>
        <w:tab/>
        <w:t>Approval of termination of training contract by chief executive (Act s. 60G)</w:t>
      </w:r>
      <w:r>
        <w:tab/>
      </w:r>
      <w:r>
        <w:fldChar w:fldCharType="begin"/>
      </w:r>
      <w:r>
        <w:instrText xml:space="preserve"> PAGEREF _Toc307322619 \h </w:instrText>
      </w:r>
      <w:r>
        <w:fldChar w:fldCharType="separate"/>
      </w:r>
      <w:r>
        <w:t>38</w:t>
      </w:r>
      <w:r>
        <w:fldChar w:fldCharType="end"/>
      </w:r>
    </w:p>
    <w:p>
      <w:pPr>
        <w:pStyle w:val="TOC8"/>
        <w:rPr>
          <w:sz w:val="24"/>
          <w:szCs w:val="24"/>
          <w:lang w:val="en-US"/>
        </w:rPr>
      </w:pPr>
      <w:r>
        <w:t>52.</w:t>
      </w:r>
      <w:r>
        <w:tab/>
        <w:t>Completion of training contract</w:t>
      </w:r>
      <w:r>
        <w:tab/>
      </w:r>
      <w:r>
        <w:fldChar w:fldCharType="begin"/>
      </w:r>
      <w:r>
        <w:instrText xml:space="preserve"> PAGEREF _Toc307322620 \h </w:instrText>
      </w:r>
      <w:r>
        <w:fldChar w:fldCharType="separate"/>
      </w:r>
      <w:r>
        <w:t>38</w:t>
      </w:r>
      <w:r>
        <w:fldChar w:fldCharType="end"/>
      </w:r>
    </w:p>
    <w:p>
      <w:pPr>
        <w:pStyle w:val="TOC4"/>
        <w:tabs>
          <w:tab w:val="right" w:leader="dot" w:pos="7086"/>
        </w:tabs>
        <w:rPr>
          <w:b w:val="0"/>
          <w:sz w:val="24"/>
          <w:szCs w:val="24"/>
          <w:lang w:val="en-US"/>
        </w:rPr>
      </w:pPr>
      <w:r>
        <w:t>Division 4 — Procedure and appeals</w:t>
      </w:r>
    </w:p>
    <w:p>
      <w:pPr>
        <w:pStyle w:val="TOC8"/>
        <w:rPr>
          <w:sz w:val="24"/>
          <w:szCs w:val="24"/>
          <w:lang w:val="en-US"/>
        </w:rPr>
      </w:pPr>
      <w:r>
        <w:t>53.</w:t>
      </w:r>
      <w:r>
        <w:tab/>
        <w:t>Procedure on applications</w:t>
      </w:r>
      <w:r>
        <w:tab/>
      </w:r>
      <w:r>
        <w:fldChar w:fldCharType="begin"/>
      </w:r>
      <w:r>
        <w:instrText xml:space="preserve"> PAGEREF _Toc307322622 \h </w:instrText>
      </w:r>
      <w:r>
        <w:fldChar w:fldCharType="separate"/>
      </w:r>
      <w:r>
        <w:t>38</w:t>
      </w:r>
      <w:r>
        <w:fldChar w:fldCharType="end"/>
      </w:r>
    </w:p>
    <w:p>
      <w:pPr>
        <w:pStyle w:val="TOC8"/>
        <w:rPr>
          <w:sz w:val="24"/>
          <w:szCs w:val="24"/>
          <w:lang w:val="en-US"/>
        </w:rPr>
      </w:pPr>
      <w:r>
        <w:t>54.</w:t>
      </w:r>
      <w:r>
        <w:tab/>
        <w:t>Appeals</w:t>
      </w:r>
      <w:r>
        <w:tab/>
      </w:r>
      <w:r>
        <w:fldChar w:fldCharType="begin"/>
      </w:r>
      <w:r>
        <w:instrText xml:space="preserve"> PAGEREF _Toc307322623 \h </w:instrText>
      </w:r>
      <w:r>
        <w:fldChar w:fldCharType="separate"/>
      </w:r>
      <w:r>
        <w:t>39</w:t>
      </w:r>
      <w:r>
        <w:fldChar w:fldCharType="end"/>
      </w:r>
    </w:p>
    <w:p>
      <w:pPr>
        <w:pStyle w:val="TOC2"/>
        <w:tabs>
          <w:tab w:val="right" w:leader="dot" w:pos="7086"/>
        </w:tabs>
        <w:rPr>
          <w:b w:val="0"/>
          <w:sz w:val="24"/>
          <w:szCs w:val="24"/>
          <w:lang w:val="en-US"/>
        </w:rPr>
      </w:pPr>
      <w:r>
        <w:t>Part 5 — Repeals and transitional matters</w:t>
      </w:r>
    </w:p>
    <w:p>
      <w:pPr>
        <w:pStyle w:val="TOC8"/>
        <w:rPr>
          <w:sz w:val="24"/>
          <w:szCs w:val="24"/>
          <w:lang w:val="en-US"/>
        </w:rPr>
      </w:pPr>
      <w:r>
        <w:t>55.</w:t>
      </w:r>
      <w:r>
        <w:tab/>
        <w:t>Term used: commencement</w:t>
      </w:r>
      <w:r>
        <w:tab/>
      </w:r>
      <w:r>
        <w:fldChar w:fldCharType="begin"/>
      </w:r>
      <w:r>
        <w:instrText xml:space="preserve"> PAGEREF _Toc307322625 \h </w:instrText>
      </w:r>
      <w:r>
        <w:fldChar w:fldCharType="separate"/>
      </w:r>
      <w:r>
        <w:t>40</w:t>
      </w:r>
      <w:r>
        <w:fldChar w:fldCharType="end"/>
      </w:r>
    </w:p>
    <w:p>
      <w:pPr>
        <w:pStyle w:val="TOC8"/>
        <w:rPr>
          <w:sz w:val="24"/>
          <w:szCs w:val="24"/>
          <w:lang w:val="en-US"/>
        </w:rPr>
      </w:pPr>
      <w:r>
        <w:t>56.</w:t>
      </w:r>
      <w:r>
        <w:tab/>
        <w:t>Repeals</w:t>
      </w:r>
      <w:r>
        <w:tab/>
      </w:r>
      <w:r>
        <w:fldChar w:fldCharType="begin"/>
      </w:r>
      <w:r>
        <w:instrText xml:space="preserve"> PAGEREF _Toc307322626 \h </w:instrText>
      </w:r>
      <w:r>
        <w:fldChar w:fldCharType="separate"/>
      </w:r>
      <w:r>
        <w:t>40</w:t>
      </w:r>
      <w:r>
        <w:fldChar w:fldCharType="end"/>
      </w:r>
    </w:p>
    <w:p>
      <w:pPr>
        <w:pStyle w:val="TOC8"/>
        <w:rPr>
          <w:sz w:val="24"/>
          <w:szCs w:val="24"/>
          <w:lang w:val="en-US"/>
        </w:rPr>
      </w:pPr>
      <w:r>
        <w:t>57.</w:t>
      </w:r>
      <w:r>
        <w:tab/>
        <w:t>Registered training providers</w:t>
      </w:r>
      <w:r>
        <w:tab/>
      </w:r>
      <w:r>
        <w:fldChar w:fldCharType="begin"/>
      </w:r>
      <w:r>
        <w:instrText xml:space="preserve"> PAGEREF _Toc307322627 \h </w:instrText>
      </w:r>
      <w:r>
        <w:fldChar w:fldCharType="separate"/>
      </w:r>
      <w:r>
        <w:t>40</w:t>
      </w:r>
      <w:r>
        <w:fldChar w:fldCharType="end"/>
      </w:r>
    </w:p>
    <w:p>
      <w:pPr>
        <w:pStyle w:val="TOC8"/>
        <w:rPr>
          <w:sz w:val="24"/>
          <w:szCs w:val="24"/>
          <w:lang w:val="en-US"/>
        </w:rPr>
      </w:pPr>
      <w:r>
        <w:t>58.</w:t>
      </w:r>
      <w:r>
        <w:tab/>
        <w:t>Accredited courses</w:t>
      </w:r>
      <w:r>
        <w:tab/>
      </w:r>
      <w:r>
        <w:fldChar w:fldCharType="begin"/>
      </w:r>
      <w:r>
        <w:instrText xml:space="preserve"> PAGEREF _Toc307322628 \h </w:instrText>
      </w:r>
      <w:r>
        <w:fldChar w:fldCharType="separate"/>
      </w:r>
      <w:r>
        <w:t>40</w:t>
      </w:r>
      <w:r>
        <w:fldChar w:fldCharType="end"/>
      </w:r>
    </w:p>
    <w:p>
      <w:pPr>
        <w:pStyle w:val="TOC8"/>
        <w:rPr>
          <w:sz w:val="24"/>
          <w:szCs w:val="24"/>
          <w:lang w:val="en-US"/>
        </w:rPr>
      </w:pPr>
      <w:r>
        <w:t>59.</w:t>
      </w:r>
      <w:r>
        <w:tab/>
        <w:t>Traineeship contracts</w:t>
      </w:r>
      <w:r>
        <w:tab/>
      </w:r>
      <w:r>
        <w:fldChar w:fldCharType="begin"/>
      </w:r>
      <w:r>
        <w:instrText xml:space="preserve"> PAGEREF _Toc307322629 \h </w:instrText>
      </w:r>
      <w:r>
        <w:fldChar w:fldCharType="separate"/>
      </w:r>
      <w:r>
        <w:t>40</w:t>
      </w:r>
      <w:r>
        <w:fldChar w:fldCharType="end"/>
      </w:r>
    </w:p>
    <w:p>
      <w:pPr>
        <w:pStyle w:val="TOC8"/>
        <w:rPr>
          <w:sz w:val="24"/>
          <w:szCs w:val="24"/>
          <w:lang w:val="en-US"/>
        </w:rPr>
      </w:pPr>
      <w:r>
        <w:t>60.</w:t>
      </w:r>
      <w:r>
        <w:tab/>
        <w:t>Apprentices learning trades, transitional provisions for</w:t>
      </w:r>
      <w:r>
        <w:tab/>
      </w:r>
      <w:r>
        <w:fldChar w:fldCharType="begin"/>
      </w:r>
      <w:r>
        <w:instrText xml:space="preserve"> PAGEREF _Toc307322630 \h </w:instrText>
      </w:r>
      <w:r>
        <w:fldChar w:fldCharType="separate"/>
      </w:r>
      <w:r>
        <w:t>41</w:t>
      </w:r>
      <w:r>
        <w:fldChar w:fldCharType="end"/>
      </w:r>
    </w:p>
    <w:p>
      <w:pPr>
        <w:pStyle w:val="TOC2"/>
        <w:tabs>
          <w:tab w:val="right" w:leader="dot" w:pos="7086"/>
        </w:tabs>
        <w:rPr>
          <w:b w:val="0"/>
          <w:sz w:val="24"/>
          <w:szCs w:val="24"/>
          <w:lang w:val="en-US"/>
        </w:rPr>
      </w:pPr>
      <w:r>
        <w:t>Schedule 1 — Training contract</w:t>
      </w:r>
    </w:p>
    <w:p>
      <w:pPr>
        <w:pStyle w:val="TOC2"/>
        <w:tabs>
          <w:tab w:val="right" w:leader="dot" w:pos="7086"/>
        </w:tabs>
        <w:rPr>
          <w:b w:val="0"/>
          <w:sz w:val="24"/>
          <w:szCs w:val="24"/>
          <w:lang w:val="en-US"/>
        </w:rPr>
      </w:pPr>
      <w:r>
        <w:t>Schedule 2 — Provisions about old agreements and old training contracts</w:t>
      </w:r>
    </w:p>
    <w:p>
      <w:pPr>
        <w:pStyle w:val="TOC8"/>
        <w:rPr>
          <w:sz w:val="24"/>
          <w:szCs w:val="24"/>
          <w:lang w:val="en-US"/>
        </w:rPr>
      </w:pPr>
      <w:r>
        <w:t>1.</w:t>
      </w:r>
      <w:r>
        <w:tab/>
        <w:t>Terms used</w:t>
      </w:r>
      <w:r>
        <w:tab/>
      </w:r>
      <w:r>
        <w:fldChar w:fldCharType="begin"/>
      </w:r>
      <w:r>
        <w:instrText xml:space="preserve"> PAGEREF _Toc307322633 \h </w:instrText>
      </w:r>
      <w:r>
        <w:fldChar w:fldCharType="separate"/>
      </w:r>
      <w:r>
        <w:t>57</w:t>
      </w:r>
      <w:r>
        <w:fldChar w:fldCharType="end"/>
      </w:r>
    </w:p>
    <w:p>
      <w:pPr>
        <w:pStyle w:val="TOC8"/>
        <w:rPr>
          <w:sz w:val="24"/>
          <w:szCs w:val="24"/>
          <w:lang w:val="en-US"/>
        </w:rPr>
      </w:pPr>
      <w:r>
        <w:t>2.</w:t>
      </w:r>
      <w:r>
        <w:tab/>
        <w:t>Old agreements to be read with modifications</w:t>
      </w:r>
      <w:r>
        <w:tab/>
      </w:r>
      <w:r>
        <w:fldChar w:fldCharType="begin"/>
      </w:r>
      <w:r>
        <w:instrText xml:space="preserve"> PAGEREF _Toc307322634 \h </w:instrText>
      </w:r>
      <w:r>
        <w:fldChar w:fldCharType="separate"/>
      </w:r>
      <w:r>
        <w:t>57</w:t>
      </w:r>
      <w:r>
        <w:fldChar w:fldCharType="end"/>
      </w:r>
    </w:p>
    <w:p>
      <w:pPr>
        <w:pStyle w:val="TOC8"/>
        <w:rPr>
          <w:sz w:val="24"/>
          <w:szCs w:val="24"/>
          <w:lang w:val="en-US"/>
        </w:rPr>
      </w:pPr>
      <w:r>
        <w:t>3.</w:t>
      </w:r>
      <w:r>
        <w:tab/>
        <w:t>Old agreements and contracts not terminated by sale of business</w:t>
      </w:r>
      <w:r>
        <w:tab/>
      </w:r>
      <w:r>
        <w:fldChar w:fldCharType="begin"/>
      </w:r>
      <w:r>
        <w:instrText xml:space="preserve"> PAGEREF _Toc307322635 \h </w:instrText>
      </w:r>
      <w:r>
        <w:fldChar w:fldCharType="separate"/>
      </w:r>
      <w:r>
        <w:t>59</w:t>
      </w:r>
      <w:r>
        <w:fldChar w:fldCharType="end"/>
      </w:r>
    </w:p>
    <w:p>
      <w:pPr>
        <w:pStyle w:val="TOC8"/>
        <w:rPr>
          <w:sz w:val="24"/>
          <w:szCs w:val="24"/>
          <w:lang w:val="en-US"/>
        </w:rPr>
      </w:pPr>
      <w:r>
        <w:t>4.</w:t>
      </w:r>
      <w:r>
        <w:tab/>
        <w:t>Technical instruction requirements for trade apprentices</w:t>
      </w:r>
      <w:r>
        <w:tab/>
      </w:r>
      <w:r>
        <w:fldChar w:fldCharType="begin"/>
      </w:r>
      <w:r>
        <w:instrText xml:space="preserve"> PAGEREF _Toc307322636 \h </w:instrText>
      </w:r>
      <w:r>
        <w:fldChar w:fldCharType="separate"/>
      </w:r>
      <w:r>
        <w:t>59</w:t>
      </w:r>
      <w:r>
        <w:fldChar w:fldCharType="end"/>
      </w:r>
    </w:p>
    <w:p>
      <w:pPr>
        <w:pStyle w:val="TOC8"/>
        <w:rPr>
          <w:sz w:val="24"/>
          <w:szCs w:val="24"/>
          <w:lang w:val="en-US"/>
        </w:rPr>
      </w:pPr>
      <w:r>
        <w:t>5.</w:t>
      </w:r>
      <w:r>
        <w:tab/>
        <w:t>Final certificates for trade apprentices</w:t>
      </w:r>
      <w:r>
        <w:tab/>
      </w:r>
      <w:r>
        <w:fldChar w:fldCharType="begin"/>
      </w:r>
      <w:r>
        <w:instrText xml:space="preserve"> PAGEREF _Toc307322637 \h </w:instrText>
      </w:r>
      <w:r>
        <w:fldChar w:fldCharType="separate"/>
      </w:r>
      <w:r>
        <w:t>59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_Toc307322639 \h </w:instrText>
      </w:r>
      <w:r>
        <w:fldChar w:fldCharType="separate"/>
      </w:r>
      <w:r>
        <w:t>60</w:t>
      </w:r>
      <w:r>
        <w:fldChar w:fldCharType="end"/>
      </w:r>
    </w:p>
    <w:p>
      <w:pPr>
        <w:pStyle w:val="TOC8"/>
        <w:rPr>
          <w:sz w:val="24"/>
          <w:szCs w:val="24"/>
          <w:lang w:val="en-US"/>
        </w:rPr>
      </w:pPr>
      <w:r>
        <w:tab/>
        <w:t>Provisions that have not come into operation</w:t>
      </w:r>
      <w:r>
        <w:tab/>
      </w:r>
      <w:r>
        <w:fldChar w:fldCharType="begin"/>
      </w:r>
      <w:r>
        <w:instrText xml:space="preserve"> PAGEREF _Toc307322640 \h </w:instrText>
      </w:r>
      <w:r>
        <w:fldChar w:fldCharType="separate"/>
      </w:r>
      <w:r>
        <w:t>60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1" w:name="_Toc229464985"/>
      <w:bookmarkStart w:id="2" w:name="_Toc229465026"/>
      <w:bookmarkStart w:id="3" w:name="_Toc229465554"/>
      <w:bookmarkStart w:id="4" w:name="_Toc229465677"/>
      <w:bookmarkStart w:id="5" w:name="_Toc229466357"/>
      <w:bookmarkStart w:id="6" w:name="_Toc229467274"/>
      <w:bookmarkStart w:id="7" w:name="_Toc229467463"/>
      <w:bookmarkStart w:id="8" w:name="_Toc229471568"/>
      <w:bookmarkStart w:id="9" w:name="_Toc229472292"/>
      <w:bookmarkStart w:id="10" w:name="_Toc231116500"/>
      <w:bookmarkStart w:id="11" w:name="_Toc231120736"/>
      <w:bookmarkStart w:id="12" w:name="_Toc231121779"/>
      <w:bookmarkStart w:id="13" w:name="_Toc231178929"/>
      <w:bookmarkStart w:id="14" w:name="_Toc232395100"/>
      <w:bookmarkStart w:id="15" w:name="_Toc232396085"/>
      <w:bookmarkStart w:id="16" w:name="_Toc307322557"/>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23332722"/>
      <w:bookmarkStart w:id="18" w:name="_Toc425219441"/>
      <w:bookmarkStart w:id="19" w:name="_Toc426249308"/>
      <w:bookmarkStart w:id="20" w:name="_Toc449924704"/>
      <w:bookmarkStart w:id="21" w:name="_Toc449947722"/>
      <w:bookmarkStart w:id="22" w:name="_Toc454185713"/>
      <w:bookmarkStart w:id="23" w:name="_Toc515958686"/>
      <w:bookmarkStart w:id="24" w:name="_Toc229472293"/>
      <w:bookmarkStart w:id="25" w:name="_Toc231116501"/>
      <w:bookmarkStart w:id="26" w:name="_Toc307322558"/>
      <w:r>
        <w:rPr>
          <w:rStyle w:val="CharSectno"/>
        </w:rPr>
        <w:t>1</w:t>
      </w:r>
      <w:r>
        <w:t>.</w:t>
      </w:r>
      <w:r>
        <w:tab/>
        <w:t>Citation</w:t>
      </w:r>
      <w:bookmarkEnd w:id="17"/>
      <w:bookmarkEnd w:id="18"/>
      <w:bookmarkEnd w:id="19"/>
      <w:bookmarkEnd w:id="20"/>
      <w:bookmarkEnd w:id="21"/>
      <w:bookmarkEnd w:id="22"/>
      <w:bookmarkEnd w:id="23"/>
      <w:bookmarkEnd w:id="24"/>
      <w:bookmarkEnd w:id="25"/>
      <w:bookmarkEnd w:id="26"/>
    </w:p>
    <w:p>
      <w:pPr>
        <w:pStyle w:val="Subsection"/>
        <w:rPr>
          <w:i/>
        </w:rPr>
      </w:pPr>
      <w:r>
        <w:tab/>
      </w:r>
      <w:r>
        <w:tab/>
      </w:r>
      <w:bookmarkStart w:id="27" w:name="Start_Cursor"/>
      <w:bookmarkEnd w:id="27"/>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515958687"/>
      <w:bookmarkStart w:id="35" w:name="_Toc229472294"/>
      <w:bookmarkStart w:id="36" w:name="_Toc231116502"/>
      <w:bookmarkStart w:id="37" w:name="_Toc307322559"/>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bookmarkEnd w:id="36"/>
      <w:bookmarkEnd w:id="3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38" w:name="_Toc232329270"/>
      <w:bookmarkStart w:id="39" w:name="_Toc307322560"/>
      <w:bookmarkStart w:id="40" w:name="_Toc113695922"/>
      <w:bookmarkStart w:id="41" w:name="_Toc231120739"/>
      <w:bookmarkStart w:id="42" w:name="_Toc231121782"/>
      <w:bookmarkStart w:id="43" w:name="_Toc229304362"/>
      <w:bookmarkStart w:id="44" w:name="_Toc229472295"/>
      <w:r>
        <w:rPr>
          <w:rStyle w:val="CharSectno"/>
        </w:rPr>
        <w:t>3</w:t>
      </w:r>
      <w:r>
        <w:t>.</w:t>
      </w:r>
      <w:r>
        <w:tab/>
        <w:t>Terms used</w:t>
      </w:r>
      <w:bookmarkEnd w:id="38"/>
      <w:bookmarkEnd w:id="39"/>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 Implementation handbook</w:t>
      </w:r>
      <w:r>
        <w:t xml:space="preserve"> means the </w:t>
      </w:r>
      <w:r>
        <w:rPr>
          <w:i/>
          <w:iCs/>
        </w:rPr>
        <w:t>Australian Qualifications Framework Implementation Handbook</w:t>
      </w:r>
      <w:r>
        <w:t>, Fourth Edition, 2007, published by the Australian Qualifications Framework Advisory Board (ISBN 978-186366-644-2);</w:t>
      </w:r>
    </w:p>
    <w:p>
      <w:pPr>
        <w:pStyle w:val="Defstart"/>
      </w:pPr>
      <w:r>
        <w:tab/>
      </w:r>
      <w:r>
        <w:rPr>
          <w:rStyle w:val="CharDefText"/>
        </w:rPr>
        <w:t>AQTF</w:t>
      </w:r>
      <w:r>
        <w:t xml:space="preserve"> means the Australian Quality Training Framework;</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NTIS</w:t>
      </w:r>
      <w:r>
        <w:t xml:space="preserve"> means the National Training Information Service managed by the Commonwealth;</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w:t>
      </w:r>
    </w:p>
    <w:p>
      <w:pPr>
        <w:pStyle w:val="Defstart"/>
      </w:pPr>
      <w:r>
        <w:tab/>
      </w:r>
      <w:r>
        <w:rPr>
          <w:rStyle w:val="CharDefText"/>
        </w:rPr>
        <w:t>WA</w:t>
      </w:r>
      <w:r>
        <w:t xml:space="preserve"> means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Heading2"/>
      </w:pPr>
      <w:bookmarkStart w:id="45" w:name="_Toc232329271"/>
      <w:bookmarkStart w:id="46" w:name="_Toc232395104"/>
      <w:bookmarkStart w:id="47" w:name="_Toc232396089"/>
      <w:bookmarkStart w:id="48" w:name="_Toc307322561"/>
      <w:r>
        <w:rPr>
          <w:rStyle w:val="CharPartNo"/>
        </w:rPr>
        <w:t>Part 2</w:t>
      </w:r>
      <w:r>
        <w:rPr>
          <w:rStyle w:val="CharDivNo"/>
        </w:rPr>
        <w:t> </w:t>
      </w:r>
      <w:r>
        <w:t>—</w:t>
      </w:r>
      <w:r>
        <w:rPr>
          <w:rStyle w:val="CharDivText"/>
        </w:rPr>
        <w:t> </w:t>
      </w:r>
      <w:r>
        <w:rPr>
          <w:rStyle w:val="CharPartText"/>
        </w:rPr>
        <w:t>General matters</w:t>
      </w:r>
      <w:bookmarkEnd w:id="45"/>
      <w:bookmarkEnd w:id="46"/>
      <w:bookmarkEnd w:id="47"/>
      <w:bookmarkEnd w:id="48"/>
    </w:p>
    <w:p>
      <w:pPr>
        <w:pStyle w:val="Heading5"/>
      </w:pPr>
      <w:bookmarkStart w:id="49" w:name="_Toc232329272"/>
      <w:bookmarkStart w:id="50" w:name="_Toc307322562"/>
      <w:r>
        <w:rPr>
          <w:rStyle w:val="CharSectno"/>
        </w:rPr>
        <w:t>4</w:t>
      </w:r>
      <w:r>
        <w:t>.</w:t>
      </w:r>
      <w:r>
        <w:tab/>
        <w:t>Approved VET courses (Act s. 5)</w:t>
      </w:r>
      <w:bookmarkEnd w:id="49"/>
      <w:bookmarkEnd w:id="50"/>
    </w:p>
    <w:p>
      <w:pPr>
        <w:pStyle w:val="Subsection"/>
      </w:pPr>
      <w:r>
        <w:tab/>
        <w:t>(1)</w:t>
      </w:r>
      <w:r>
        <w:tab/>
        <w:t>In this regulation —</w:t>
      </w:r>
    </w:p>
    <w:p>
      <w:pPr>
        <w:pStyle w:val="Defstart"/>
      </w:pPr>
      <w:r>
        <w:tab/>
      </w:r>
      <w:r>
        <w:rPr>
          <w:rStyle w:val="CharDefText"/>
        </w:rPr>
        <w:t>listed</w:t>
      </w:r>
      <w:r>
        <w:t xml:space="preserve"> means listed on the NTIS.</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Heading5"/>
      </w:pPr>
      <w:bookmarkStart w:id="51" w:name="_Toc232329273"/>
      <w:bookmarkStart w:id="52" w:name="_Toc307322563"/>
      <w:r>
        <w:rPr>
          <w:rStyle w:val="CharSectno"/>
        </w:rPr>
        <w:t>5</w:t>
      </w:r>
      <w:r>
        <w:t>.</w:t>
      </w:r>
      <w:r>
        <w:tab/>
        <w:t>Corresponding laws (Act s. 5)</w:t>
      </w:r>
      <w:bookmarkEnd w:id="51"/>
      <w:bookmarkEnd w:id="52"/>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State">
              <w:smartTag w:uri="urn:schemas-microsoft-com:office:smarttags" w:element="plac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State">
              <w:smartTag w:uri="urn:schemas-microsoft-com:office:smarttags" w:element="plac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State">
              <w:smartTag w:uri="urn:schemas-microsoft-com:office:smarttags" w:element="place">
                <w:r>
                  <w:t>Northern Territory</w:t>
                </w:r>
              </w:smartTag>
            </w:smartTag>
          </w:p>
        </w:tc>
        <w:tc>
          <w:tcPr>
            <w:tcW w:w="4162" w:type="dxa"/>
          </w:tcPr>
          <w:p>
            <w:pPr>
              <w:pStyle w:val="TableNAm"/>
              <w:spacing w:before="0"/>
            </w:pPr>
            <w:smartTag w:uri="urn:schemas-microsoft-com:office:smarttags" w:element="State">
              <w:smartTag w:uri="urn:schemas-microsoft-com:office:smarttags" w:element="plac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State">
              <w:smartTag w:uri="urn:schemas-microsoft-com:office:smarttags" w:element="plac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State">
              <w:smartTag w:uri="urn:schemas-microsoft-com:office:smarttags" w:element="plac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State">
              <w:smartTag w:uri="urn:schemas-microsoft-com:office:smarttags" w:element="plac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State">
              <w:smartTag w:uri="urn:schemas-microsoft-com:office:smarttags" w:element="plac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53" w:name="_Toc232329274"/>
      <w:bookmarkStart w:id="54" w:name="_Toc307322564"/>
      <w:r>
        <w:rPr>
          <w:rStyle w:val="CharSectno"/>
        </w:rPr>
        <w:t>6</w:t>
      </w:r>
      <w:r>
        <w:t>.</w:t>
      </w:r>
      <w:r>
        <w:tab/>
        <w:t>Prescribed VET qualifications (Act s. 5)</w:t>
      </w:r>
      <w:bookmarkEnd w:id="53"/>
      <w:bookmarkEnd w:id="54"/>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55" w:name="_Toc232329275"/>
      <w:bookmarkStart w:id="56" w:name="_Toc232395108"/>
      <w:bookmarkStart w:id="57" w:name="_Toc232396093"/>
      <w:bookmarkStart w:id="58" w:name="_Toc307322565"/>
      <w:r>
        <w:rPr>
          <w:rStyle w:val="CharPartNo"/>
        </w:rPr>
        <w:t>Part 3</w:t>
      </w:r>
      <w:r>
        <w:t> — </w:t>
      </w:r>
      <w:r>
        <w:rPr>
          <w:rStyle w:val="CharPartText"/>
        </w:rPr>
        <w:t>Regulations for Part 7A of the Act</w:t>
      </w:r>
      <w:bookmarkEnd w:id="55"/>
      <w:bookmarkEnd w:id="56"/>
      <w:bookmarkEnd w:id="57"/>
      <w:bookmarkEnd w:id="58"/>
    </w:p>
    <w:p>
      <w:pPr>
        <w:pStyle w:val="Heading3"/>
      </w:pPr>
      <w:bookmarkStart w:id="59" w:name="_Toc232329276"/>
      <w:bookmarkStart w:id="60" w:name="_Toc232395109"/>
      <w:bookmarkStart w:id="61" w:name="_Toc232396094"/>
      <w:bookmarkStart w:id="62" w:name="_Toc307322566"/>
      <w:r>
        <w:rPr>
          <w:rStyle w:val="CharDivNo"/>
        </w:rPr>
        <w:t>Division 1</w:t>
      </w:r>
      <w:r>
        <w:t> — </w:t>
      </w:r>
      <w:r>
        <w:rPr>
          <w:rStyle w:val="CharDivText"/>
        </w:rPr>
        <w:t>General matters</w:t>
      </w:r>
      <w:bookmarkEnd w:id="59"/>
      <w:bookmarkEnd w:id="60"/>
      <w:bookmarkEnd w:id="61"/>
      <w:bookmarkEnd w:id="62"/>
    </w:p>
    <w:p>
      <w:pPr>
        <w:pStyle w:val="Heading5"/>
      </w:pPr>
      <w:bookmarkStart w:id="63" w:name="_Toc232329277"/>
      <w:bookmarkStart w:id="64" w:name="_Toc307322567"/>
      <w:r>
        <w:rPr>
          <w:rStyle w:val="CharSectno"/>
        </w:rPr>
        <w:t>7</w:t>
      </w:r>
      <w:r>
        <w:t>.</w:t>
      </w:r>
      <w:r>
        <w:tab/>
        <w:t>Terms used</w:t>
      </w:r>
      <w:bookmarkEnd w:id="63"/>
      <w:bookmarkEnd w:id="64"/>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w:t>
      </w:r>
      <w:r>
        <w:rPr>
          <w:i/>
          <w:iCs/>
        </w:rPr>
        <w:t xml:space="preserve">AQTF 2007 Standards for State and Territory Registering Bodies </w:t>
      </w:r>
      <w:r>
        <w:t>(published by the Commonwealth of Australia 2007);</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is a reference to the standard as published from time to time.</w:t>
      </w:r>
    </w:p>
    <w:p>
      <w:pPr>
        <w:pStyle w:val="Footnotesection"/>
      </w:pPr>
      <w:r>
        <w:tab/>
        <w:t>[Regulation 7 amended in Gazette 25 Oct 2011 p. 4509.]</w:t>
      </w:r>
    </w:p>
    <w:p>
      <w:pPr>
        <w:pStyle w:val="Heading5"/>
      </w:pPr>
      <w:bookmarkStart w:id="65" w:name="_Toc232329278"/>
      <w:bookmarkStart w:id="66" w:name="_Toc307322568"/>
      <w:r>
        <w:rPr>
          <w:rStyle w:val="CharSectno"/>
        </w:rPr>
        <w:t>8</w:t>
      </w:r>
      <w:r>
        <w:t>.</w:t>
      </w:r>
      <w:r>
        <w:tab/>
        <w:t>AQTF standards, use of by Council</w:t>
      </w:r>
      <w:bookmarkEnd w:id="65"/>
      <w:bookmarkEnd w:id="66"/>
    </w:p>
    <w:p>
      <w:pPr>
        <w:pStyle w:val="Subsection"/>
      </w:pPr>
      <w:r>
        <w:tab/>
        <w:t>(1)</w:t>
      </w:r>
      <w:r>
        <w:tab/>
        <w:t>In performing its functions under Part 7A of the Act, the Council must have regard to —</w:t>
      </w:r>
    </w:p>
    <w:p>
      <w:pPr>
        <w:pStyle w:val="Indenta"/>
      </w:pPr>
      <w:r>
        <w:tab/>
        <w:t>(a)</w:t>
      </w:r>
      <w:r>
        <w:tab/>
        <w:t xml:space="preserve">the </w:t>
      </w:r>
      <w:r>
        <w:rPr>
          <w:i/>
          <w:iCs/>
        </w:rPr>
        <w:t xml:space="preserve">AQTF 2007 Standards for State and Territory Registering Bodies </w:t>
      </w:r>
      <w:r>
        <w:t>(published by the Commonwealth of Australia 2007); and</w:t>
      </w:r>
    </w:p>
    <w:p>
      <w:pPr>
        <w:pStyle w:val="Indenta"/>
      </w:pPr>
      <w:r>
        <w:tab/>
        <w:t>(b)</w:t>
      </w:r>
      <w:r>
        <w:tab/>
        <w:t xml:space="preserve">the </w:t>
      </w:r>
      <w:r>
        <w:rPr>
          <w:i/>
          <w:iCs/>
        </w:rPr>
        <w:t xml:space="preserve">AQTF 2007 Standards for State and Territory Course Accrediting Bodies </w:t>
      </w:r>
      <w:r>
        <w:t>(published by the Commonwealth of Australia 2007).</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bookmarkStart w:id="67" w:name="_Toc232329279"/>
      <w:r>
        <w:tab/>
        <w:t>[Regulation 8 amended in Gazette 25 Oct 2011 p. 4509.]</w:t>
      </w:r>
    </w:p>
    <w:p>
      <w:pPr>
        <w:pStyle w:val="Heading5"/>
      </w:pPr>
      <w:bookmarkStart w:id="68" w:name="_Toc307322569"/>
      <w:r>
        <w:rPr>
          <w:rStyle w:val="CharSectno"/>
        </w:rPr>
        <w:t>9</w:t>
      </w:r>
      <w:r>
        <w:t>.</w:t>
      </w:r>
      <w:r>
        <w:tab/>
        <w:t>Register</w:t>
      </w:r>
      <w:bookmarkEnd w:id="67"/>
      <w:bookmarkEnd w:id="68"/>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NTIS as soon as practicable after it is recorded on the register.</w:t>
      </w:r>
    </w:p>
    <w:p>
      <w:pPr>
        <w:pStyle w:val="Heading3"/>
      </w:pPr>
      <w:bookmarkStart w:id="69" w:name="_Toc232329280"/>
      <w:bookmarkStart w:id="70" w:name="_Toc232395113"/>
      <w:bookmarkStart w:id="71" w:name="_Toc232396098"/>
      <w:bookmarkStart w:id="72" w:name="_Toc307322570"/>
      <w:r>
        <w:rPr>
          <w:rStyle w:val="CharDivNo"/>
        </w:rPr>
        <w:t>Division 2</w:t>
      </w:r>
      <w:r>
        <w:t> — </w:t>
      </w:r>
      <w:r>
        <w:rPr>
          <w:rStyle w:val="CharDivText"/>
        </w:rPr>
        <w:t>Registration of training providers</w:t>
      </w:r>
      <w:bookmarkEnd w:id="69"/>
      <w:bookmarkEnd w:id="70"/>
      <w:bookmarkEnd w:id="71"/>
      <w:bookmarkEnd w:id="72"/>
    </w:p>
    <w:p>
      <w:pPr>
        <w:pStyle w:val="Heading5"/>
      </w:pPr>
      <w:bookmarkStart w:id="73" w:name="_Toc232329281"/>
      <w:bookmarkStart w:id="74" w:name="_Toc307322571"/>
      <w:r>
        <w:rPr>
          <w:rStyle w:val="CharSectno"/>
        </w:rPr>
        <w:t>10</w:t>
      </w:r>
      <w:r>
        <w:t>.</w:t>
      </w:r>
      <w:r>
        <w:tab/>
        <w:t>Applying to be a registered training provider</w:t>
      </w:r>
      <w:bookmarkEnd w:id="73"/>
      <w:bookmarkEnd w:id="74"/>
    </w:p>
    <w:p>
      <w:pPr>
        <w:pStyle w:val="Subsection"/>
        <w:keepNext/>
      </w:pPr>
      <w:r>
        <w:tab/>
        <w:t>(1)</w:t>
      </w:r>
      <w:r>
        <w:tab/>
        <w:t>If a person is or intends to be a training provider and —</w:t>
      </w:r>
    </w:p>
    <w:p>
      <w:pPr>
        <w:pStyle w:val="Indenta"/>
      </w:pPr>
      <w:r>
        <w:tab/>
        <w:t>(a)</w:t>
      </w:r>
      <w:r>
        <w:tab/>
        <w:t>the person’s principal place of business; or</w:t>
      </w:r>
    </w:p>
    <w:p>
      <w:pPr>
        <w:pStyle w:val="Indenta"/>
      </w:pPr>
      <w:r>
        <w:tab/>
        <w:t>(b)</w:t>
      </w:r>
      <w:r>
        <w:tab/>
        <w:t>all or most of the vocational education and training that the person provides or intends to provide,</w:t>
      </w:r>
    </w:p>
    <w:p>
      <w:pPr>
        <w:pStyle w:val="Subsection"/>
      </w:pPr>
      <w:r>
        <w:tab/>
      </w:r>
      <w:r>
        <w:tab/>
        <w:t>is or will be in WA, the person may apply to be registered under section 58B of the Act.</w:t>
      </w:r>
    </w:p>
    <w:p>
      <w:pPr>
        <w:pStyle w:val="Subsection"/>
      </w:pPr>
      <w:r>
        <w:tab/>
        <w:t>(2)</w:t>
      </w:r>
      <w:r>
        <w:tab/>
        <w:t>A person who is or intends to be a training provider and who under subregulation (1) cannot apply to be registered under section 58B of the Act may apply under a corresponding law to be registered.</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Heading5"/>
      </w:pPr>
      <w:bookmarkStart w:id="75" w:name="_Toc232329282"/>
      <w:bookmarkStart w:id="76" w:name="_Toc307322572"/>
      <w:r>
        <w:rPr>
          <w:rStyle w:val="CharSectno"/>
        </w:rPr>
        <w:t>11</w:t>
      </w:r>
      <w:r>
        <w:t>.</w:t>
      </w:r>
      <w:r>
        <w:tab/>
        <w:t>Dealing with applications</w:t>
      </w:r>
      <w:bookmarkEnd w:id="75"/>
      <w:bookmarkEnd w:id="76"/>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77" w:name="_Toc232329283"/>
      <w:bookmarkStart w:id="78" w:name="_Toc307322573"/>
      <w:r>
        <w:rPr>
          <w:rStyle w:val="CharSectno"/>
        </w:rPr>
        <w:t>12</w:t>
      </w:r>
      <w:r>
        <w:t>.</w:t>
      </w:r>
      <w:r>
        <w:tab/>
        <w:t>Registering training providers</w:t>
      </w:r>
      <w:bookmarkEnd w:id="77"/>
      <w:bookmarkEnd w:id="78"/>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regulation 10(1) applies to the provider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until the Council receives a notice from the registering body under that law that the provider’s registration under that law has been cancelled.</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bookmarkStart w:id="79" w:name="_Toc232329284"/>
      <w:r>
        <w:tab/>
        <w:t>[Regulation 12 amended in Gazette 25 Oct 2011 p. 4509.]</w:t>
      </w:r>
    </w:p>
    <w:p>
      <w:pPr>
        <w:pStyle w:val="Heading5"/>
      </w:pPr>
      <w:bookmarkStart w:id="80" w:name="_Toc307322574"/>
      <w:r>
        <w:rPr>
          <w:rStyle w:val="CharSectno"/>
        </w:rPr>
        <w:t>13</w:t>
      </w:r>
      <w:r>
        <w:t>.</w:t>
      </w:r>
      <w:r>
        <w:tab/>
        <w:t>Conditions of registration</w:t>
      </w:r>
      <w:bookmarkEnd w:id="79"/>
      <w:bookmarkEnd w:id="80"/>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shows the provider does meet those 3 standards, take all steps necessary to meet them;</w:t>
      </w:r>
    </w:p>
    <w:p>
      <w:pPr>
        <w:pStyle w:val="Ednotepara"/>
      </w:pPr>
      <w:r>
        <w:tab/>
        <w:t>[(c)</w:t>
      </w:r>
      <w:r>
        <w:tab/>
        <w:t>deleted]</w:t>
      </w:r>
    </w:p>
    <w:p>
      <w:pPr>
        <w:pStyle w:val="Indenta"/>
      </w:pPr>
      <w:r>
        <w:tab/>
        <w:t>(d)</w:t>
      </w:r>
      <w:r>
        <w:tab/>
        <w:t>the provider must, if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pPr>
      <w:bookmarkStart w:id="81" w:name="_Toc232329285"/>
      <w:r>
        <w:tab/>
        <w:t>(4)</w:t>
      </w:r>
      <w:r>
        <w:tab/>
        <w:t>Any condition imposed under subregulation (3) must be consistent with the continuing registration requirements.</w:t>
      </w:r>
    </w:p>
    <w:p>
      <w:pPr>
        <w:pStyle w:val="Footnotesection"/>
      </w:pPr>
      <w:r>
        <w:tab/>
        <w:t>[Regulation 13 amended in Gazette 25 Oct 2011 p. 4510.]</w:t>
      </w:r>
    </w:p>
    <w:p>
      <w:pPr>
        <w:pStyle w:val="Heading5"/>
      </w:pPr>
      <w:bookmarkStart w:id="82" w:name="_Toc307322575"/>
      <w:r>
        <w:rPr>
          <w:rStyle w:val="CharSectno"/>
        </w:rPr>
        <w:t>14</w:t>
      </w:r>
      <w:r>
        <w:t>.</w:t>
      </w:r>
      <w:r>
        <w:tab/>
        <w:t>Period of registration</w:t>
      </w:r>
      <w:bookmarkEnd w:id="81"/>
      <w:bookmarkEnd w:id="82"/>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83" w:name="_Toc232329286"/>
      <w:bookmarkStart w:id="84" w:name="_Toc307322576"/>
      <w:r>
        <w:rPr>
          <w:rStyle w:val="CharSectno"/>
        </w:rPr>
        <w:t>15</w:t>
      </w:r>
      <w:r>
        <w:t>.</w:t>
      </w:r>
      <w:r>
        <w:tab/>
        <w:t>Annual fees payable by registered training providers</w:t>
      </w:r>
      <w:bookmarkEnd w:id="83"/>
      <w:bookmarkEnd w:id="84"/>
    </w:p>
    <w:p>
      <w:pPr>
        <w:pStyle w:val="Subsection"/>
      </w:pPr>
      <w:r>
        <w:tab/>
      </w:r>
      <w:r>
        <w:tab/>
        <w:t>A WA registered provider must pay an annual fee set under regulation 23 on or before each anniversary of the provider’s registration or its renewal.</w:t>
      </w:r>
    </w:p>
    <w:p>
      <w:pPr>
        <w:pStyle w:val="Heading5"/>
      </w:pPr>
      <w:bookmarkStart w:id="85" w:name="_Toc232329287"/>
      <w:bookmarkStart w:id="86" w:name="_Toc307322577"/>
      <w:r>
        <w:rPr>
          <w:rStyle w:val="CharSectno"/>
        </w:rPr>
        <w:t>16</w:t>
      </w:r>
      <w:r>
        <w:t>.</w:t>
      </w:r>
      <w:r>
        <w:tab/>
        <w:t>Renewal of registration</w:t>
      </w:r>
      <w:bookmarkEnd w:id="85"/>
      <w:bookmarkEnd w:id="86"/>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regulation 10(1) applies to the provider;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bookmarkStart w:id="87" w:name="_Toc232329288"/>
      <w:r>
        <w:tab/>
        <w:t>[Regulation 16 amended in Gazette 25 Oct 2011 p. 4510.]</w:t>
      </w:r>
    </w:p>
    <w:p>
      <w:pPr>
        <w:pStyle w:val="Heading5"/>
      </w:pPr>
      <w:bookmarkStart w:id="88" w:name="_Toc307322578"/>
      <w:r>
        <w:rPr>
          <w:rStyle w:val="CharSectno"/>
        </w:rPr>
        <w:t>17</w:t>
      </w:r>
      <w:r>
        <w:t>.</w:t>
      </w:r>
      <w:r>
        <w:tab/>
        <w:t>Varying registrations</w:t>
      </w:r>
      <w:bookmarkEnd w:id="87"/>
      <w:bookmarkEnd w:id="88"/>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The Council must not vary a WA registered provider’s registration to change the provider’s scope of registration unless it is satisfied that regulation 10(1) applies to the provider and that —</w:t>
      </w:r>
    </w:p>
    <w:p>
      <w:pPr>
        <w:pStyle w:val="Indenta"/>
      </w:pPr>
      <w:r>
        <w:tab/>
        <w:t>(a)</w:t>
      </w:r>
      <w:r>
        <w:tab/>
        <w:t>the provider meets the standards in the continuing registration requirements; or</w:t>
      </w:r>
    </w:p>
    <w:p>
      <w:pPr>
        <w:pStyle w:val="Indenta"/>
      </w:pPr>
      <w:r>
        <w:tab/>
        <w:t>(b)</w:t>
      </w:r>
      <w:r>
        <w:tab/>
        <w:t>a compliance audit has been conducted on the provider within the previous 3 months and the provider has been found to meet those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Footnotesection"/>
      </w:pPr>
      <w:bookmarkStart w:id="89" w:name="_Toc232329289"/>
      <w:r>
        <w:tab/>
        <w:t>[Regulation 17 amended in Gazette 25 Oct 2011 p. 4510.]</w:t>
      </w:r>
    </w:p>
    <w:p>
      <w:pPr>
        <w:pStyle w:val="Heading5"/>
      </w:pPr>
      <w:bookmarkStart w:id="90" w:name="_Toc307322579"/>
      <w:r>
        <w:rPr>
          <w:rStyle w:val="CharSectno"/>
        </w:rPr>
        <w:t>18</w:t>
      </w:r>
      <w:r>
        <w:t>.</w:t>
      </w:r>
      <w:r>
        <w:tab/>
        <w:t>Cancelling registration if provider’s operations change</w:t>
      </w:r>
      <w:bookmarkEnd w:id="89"/>
      <w:bookmarkEnd w:id="90"/>
    </w:p>
    <w:p>
      <w:pPr>
        <w:pStyle w:val="Subsection"/>
      </w:pPr>
      <w:r>
        <w:tab/>
        <w:t>(1)</w:t>
      </w:r>
      <w:r>
        <w:tab/>
        <w:t>Under section 58B of the Act, the Council may cancel a WA registered provider’s registration if it is satisfied —</w:t>
      </w:r>
    </w:p>
    <w:p>
      <w:pPr>
        <w:pStyle w:val="Indenta"/>
      </w:pPr>
      <w:r>
        <w:tab/>
        <w:t>(a)</w:t>
      </w:r>
      <w:r>
        <w:tab/>
        <w:t>the provider’s principal place of business is not in WA; or</w:t>
      </w:r>
    </w:p>
    <w:p>
      <w:pPr>
        <w:pStyle w:val="Indenta"/>
      </w:pPr>
      <w:r>
        <w:tab/>
        <w:t>(b)</w:t>
      </w:r>
      <w:r>
        <w:tab/>
        <w:t>all or most of the vocational education and training that the provider provides is not in WA.</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the Council must not cancel the registration until the application is decided.</w:t>
      </w:r>
    </w:p>
    <w:p>
      <w:pPr>
        <w:pStyle w:val="Heading5"/>
      </w:pPr>
      <w:bookmarkStart w:id="91" w:name="_Toc232329290"/>
      <w:bookmarkStart w:id="92" w:name="_Toc307322580"/>
      <w:r>
        <w:rPr>
          <w:rStyle w:val="CharSectno"/>
        </w:rPr>
        <w:t>19</w:t>
      </w:r>
      <w:r>
        <w:t>.</w:t>
      </w:r>
      <w:r>
        <w:tab/>
        <w:t>Suspending or cancelling registration</w:t>
      </w:r>
      <w:bookmarkEnd w:id="91"/>
      <w:bookmarkEnd w:id="92"/>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provider’s principal place of business is no longer in WA; or</w:t>
      </w:r>
    </w:p>
    <w:p>
      <w:pPr>
        <w:pStyle w:val="Indenta"/>
      </w:pPr>
      <w:r>
        <w:tab/>
        <w:t>(b)</w:t>
      </w:r>
      <w:r>
        <w:tab/>
        <w:t>all or most of the vocational education and training that the provider provides is no longer in WA,</w:t>
      </w:r>
    </w:p>
    <w:p>
      <w:pPr>
        <w:pStyle w:val="Subsection"/>
      </w:pPr>
      <w:r>
        <w:tab/>
      </w:r>
      <w:r>
        <w:tab/>
        <w:t>and even if the provider has applied to another registering body to be registered as a training provider under a corresponding law.</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the registering body of any other jurisdiction where the provider operates.</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pPr>
      <w:bookmarkStart w:id="93" w:name="_Toc232329291"/>
      <w:r>
        <w:tab/>
        <w:t>[Regulation 19 amended in Gazette 25 Oct 2011 p. 4510.]</w:t>
      </w:r>
    </w:p>
    <w:p>
      <w:pPr>
        <w:pStyle w:val="Heading5"/>
      </w:pPr>
      <w:bookmarkStart w:id="94" w:name="_Toc307322581"/>
      <w:r>
        <w:rPr>
          <w:rStyle w:val="CharSectno"/>
        </w:rPr>
        <w:t>20</w:t>
      </w:r>
      <w:r>
        <w:t>.</w:t>
      </w:r>
      <w:r>
        <w:tab/>
        <w:t>Suspension of WA registered provider may be on terms</w:t>
      </w:r>
      <w:bookmarkEnd w:id="93"/>
      <w:bookmarkEnd w:id="94"/>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95" w:name="_Toc232329292"/>
      <w:bookmarkStart w:id="96" w:name="_Toc307322582"/>
      <w:r>
        <w:rPr>
          <w:rStyle w:val="CharSectno"/>
        </w:rPr>
        <w:t>21</w:t>
      </w:r>
      <w:r>
        <w:t>.</w:t>
      </w:r>
      <w:r>
        <w:tab/>
        <w:t>Effect of suspension of WA registered provider</w:t>
      </w:r>
      <w:bookmarkEnd w:id="95"/>
      <w:bookmarkEnd w:id="96"/>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97" w:name="_Toc232329293"/>
      <w:bookmarkStart w:id="98" w:name="_Toc307322583"/>
      <w:r>
        <w:rPr>
          <w:rStyle w:val="CharSectno"/>
        </w:rPr>
        <w:t>22</w:t>
      </w:r>
      <w:r>
        <w:t>.</w:t>
      </w:r>
      <w:r>
        <w:tab/>
        <w:t>Orders against providers registered outside WA</w:t>
      </w:r>
      <w:bookmarkEnd w:id="97"/>
      <w:bookmarkEnd w:id="98"/>
    </w:p>
    <w:p>
      <w:pPr>
        <w:pStyle w:val="Subsection"/>
      </w:pPr>
      <w:r>
        <w:tab/>
        <w:t>(1)</w:t>
      </w:r>
      <w:r>
        <w:tab/>
        <w:t>The Council may make an order under section 58B(c) of the Act against a registered training provider who is not a WA registered provider if the Council is satisfied as to any of these matters —</w:t>
      </w:r>
    </w:p>
    <w:p>
      <w:pPr>
        <w:pStyle w:val="Indenta"/>
      </w:pPr>
      <w:r>
        <w:tab/>
        <w:t>(a)</w:t>
      </w:r>
      <w:r>
        <w:tab/>
        <w:t>the provider does not meet the standards in the continuing registration requirements;</w:t>
      </w:r>
    </w:p>
    <w:p>
      <w:pPr>
        <w:pStyle w:val="Indenta"/>
      </w:pPr>
      <w:r>
        <w:tab/>
        <w:t>(b)</w:t>
      </w:r>
      <w:r>
        <w:tab/>
        <w:t>the provider has contravened a condition to which its registration is subject;</w:t>
      </w:r>
    </w:p>
    <w:p>
      <w:pPr>
        <w:pStyle w:val="Indenta"/>
      </w:pPr>
      <w:r>
        <w:tab/>
        <w:t>(c)</w:t>
      </w:r>
      <w:r>
        <w:tab/>
        <w:t>the provider is not a fit and proper person to be registered having regard to the matters in regulation 12(6).</w:t>
      </w:r>
    </w:p>
    <w:p>
      <w:pPr>
        <w:pStyle w:val="Subsection"/>
      </w:pPr>
      <w:r>
        <w:tab/>
        <w:t>(2)</w:t>
      </w:r>
      <w:r>
        <w:tab/>
        <w:t>An order made under section 58B(c) of the Act against a registered training provider who is not a WA registered provider may relate to the whole or a part of the provider’s scope of registration, as the Council decides.</w:t>
      </w:r>
    </w:p>
    <w:p>
      <w:pPr>
        <w:pStyle w:val="Subsection"/>
      </w:pPr>
      <w:r>
        <w:tab/>
        <w:t>(3)</w:t>
      </w:r>
      <w:r>
        <w:tab/>
        <w:t>Any order made under section 58B(c) of the Act against a registered training provider who is not a WA registered provider —</w:t>
      </w:r>
    </w:p>
    <w:p>
      <w:pPr>
        <w:pStyle w:val="Indenta"/>
      </w:pPr>
      <w:r>
        <w:tab/>
        <w:t>(a)</w:t>
      </w:r>
      <w:r>
        <w:tab/>
        <w:t>must be consistent with the continuing registration requirements; and</w:t>
      </w:r>
    </w:p>
    <w:p>
      <w:pPr>
        <w:pStyle w:val="Indenta"/>
      </w:pPr>
      <w:r>
        <w:tab/>
        <w:t>(b)</w:t>
      </w:r>
      <w:r>
        <w:tab/>
        <w:t>must be in writing and be given to the provider.</w:t>
      </w:r>
    </w:p>
    <w:p>
      <w:pPr>
        <w:pStyle w:val="Footnotesection"/>
      </w:pPr>
      <w:bookmarkStart w:id="99" w:name="_Toc232329294"/>
      <w:r>
        <w:tab/>
        <w:t>[Regulation 22 amended in Gazette 25 Oct 2011 p. 4511.]</w:t>
      </w:r>
    </w:p>
    <w:p>
      <w:pPr>
        <w:pStyle w:val="Heading5"/>
      </w:pPr>
      <w:bookmarkStart w:id="100" w:name="_Toc307322584"/>
      <w:r>
        <w:rPr>
          <w:rStyle w:val="CharSectno"/>
        </w:rPr>
        <w:t>23</w:t>
      </w:r>
      <w:r>
        <w:t>.</w:t>
      </w:r>
      <w:r>
        <w:tab/>
        <w:t>Fees</w:t>
      </w:r>
      <w:bookmarkEnd w:id="99"/>
      <w:bookmarkEnd w:id="100"/>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pPr>
      <w:bookmarkStart w:id="101" w:name="_Toc232329295"/>
      <w:bookmarkStart w:id="102" w:name="_Toc232395128"/>
      <w:bookmarkStart w:id="103" w:name="_Toc232396113"/>
      <w:bookmarkStart w:id="104" w:name="_Toc307322585"/>
      <w:r>
        <w:rPr>
          <w:rStyle w:val="CharDivNo"/>
        </w:rPr>
        <w:t>Division 3</w:t>
      </w:r>
      <w:r>
        <w:t> — </w:t>
      </w:r>
      <w:r>
        <w:rPr>
          <w:rStyle w:val="CharDivText"/>
        </w:rPr>
        <w:t>Audits of training providers</w:t>
      </w:r>
      <w:bookmarkEnd w:id="101"/>
      <w:bookmarkEnd w:id="102"/>
      <w:bookmarkEnd w:id="103"/>
      <w:bookmarkEnd w:id="104"/>
    </w:p>
    <w:p>
      <w:pPr>
        <w:pStyle w:val="Heading5"/>
      </w:pPr>
      <w:bookmarkStart w:id="105" w:name="_Toc232329296"/>
      <w:bookmarkStart w:id="106" w:name="_Toc307322586"/>
      <w:r>
        <w:rPr>
          <w:rStyle w:val="CharSectno"/>
        </w:rPr>
        <w:t>24</w:t>
      </w:r>
      <w:r>
        <w:t>.</w:t>
      </w:r>
      <w:r>
        <w:tab/>
        <w:t>Term used: compliance audit</w:t>
      </w:r>
      <w:bookmarkEnd w:id="105"/>
      <w:bookmarkEnd w:id="106"/>
    </w:p>
    <w:p>
      <w:pPr>
        <w:pStyle w:val="Subsection"/>
        <w:keepNext/>
      </w:pPr>
      <w:r>
        <w:tab/>
      </w:r>
      <w:r>
        <w:tab/>
        <w:t>In this Division —</w:t>
      </w:r>
    </w:p>
    <w:p>
      <w:pPr>
        <w:pStyle w:val="Defstart"/>
      </w:pPr>
      <w:r>
        <w:tab/>
      </w:r>
      <w:r>
        <w:rPr>
          <w:rStyle w:val="CharDefText"/>
        </w:rPr>
        <w:t>compliance audit</w:t>
      </w:r>
      <w:r>
        <w:t xml:space="preserve"> means an audit to establish whether a person meets the relevant registration requirements.</w:t>
      </w:r>
    </w:p>
    <w:p>
      <w:pPr>
        <w:pStyle w:val="Footnotesection"/>
      </w:pPr>
      <w:bookmarkStart w:id="107" w:name="_Toc232329297"/>
      <w:r>
        <w:tab/>
        <w:t>[Regulation 24 amended in Gazette 25 Oct 2011 p. 4511.]</w:t>
      </w:r>
    </w:p>
    <w:p>
      <w:pPr>
        <w:pStyle w:val="Heading5"/>
      </w:pPr>
      <w:bookmarkStart w:id="108" w:name="_Toc307322587"/>
      <w:r>
        <w:rPr>
          <w:rStyle w:val="CharSectno"/>
        </w:rPr>
        <w:t>25</w:t>
      </w:r>
      <w:r>
        <w:t>.</w:t>
      </w:r>
      <w:r>
        <w:tab/>
        <w:t>Audits</w:t>
      </w:r>
      <w:bookmarkEnd w:id="107"/>
      <w:bookmarkEnd w:id="108"/>
    </w:p>
    <w:p>
      <w:pPr>
        <w:pStyle w:val="Subsection"/>
      </w:pPr>
      <w:r>
        <w:tab/>
        <w:t>(1)</w:t>
      </w:r>
      <w:r>
        <w:tab/>
        <w:t>An inquiry conducted under section 58D of the Act may be in the form of a compliance audit.</w:t>
      </w:r>
    </w:p>
    <w:p>
      <w:pPr>
        <w:pStyle w:val="Subsection"/>
      </w:pPr>
      <w:r>
        <w:tab/>
        <w:t>(2)</w:t>
      </w:r>
      <w:r>
        <w:tab/>
        <w:t xml:space="preserve">A compliance audit must comply with the </w:t>
      </w:r>
      <w:r>
        <w:rPr>
          <w:i/>
          <w:iCs/>
        </w:rPr>
        <w:t xml:space="preserve">AQTF 2007 Standards for State and Territory Registering Bodies </w:t>
      </w:r>
      <w:r>
        <w:t>(published by the Commonwealth of Australia 2007).</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Heading3"/>
      </w:pPr>
      <w:bookmarkStart w:id="109" w:name="_Toc232329298"/>
      <w:bookmarkStart w:id="110" w:name="_Toc232395131"/>
      <w:bookmarkStart w:id="111" w:name="_Toc232396116"/>
      <w:bookmarkStart w:id="112" w:name="_Toc307322588"/>
      <w:r>
        <w:rPr>
          <w:rStyle w:val="CharDivNo"/>
        </w:rPr>
        <w:t>Division 4</w:t>
      </w:r>
      <w:r>
        <w:t> — </w:t>
      </w:r>
      <w:r>
        <w:rPr>
          <w:rStyle w:val="CharDivText"/>
        </w:rPr>
        <w:t>Obligations of registered training providers</w:t>
      </w:r>
      <w:bookmarkEnd w:id="109"/>
      <w:bookmarkEnd w:id="110"/>
      <w:bookmarkEnd w:id="111"/>
      <w:bookmarkEnd w:id="112"/>
    </w:p>
    <w:p>
      <w:pPr>
        <w:pStyle w:val="Heading5"/>
      </w:pPr>
      <w:bookmarkStart w:id="113" w:name="_Toc232329299"/>
      <w:bookmarkStart w:id="114" w:name="_Toc307322589"/>
      <w:r>
        <w:rPr>
          <w:rStyle w:val="CharSectno"/>
        </w:rPr>
        <w:t>26</w:t>
      </w:r>
      <w:r>
        <w:t>.</w:t>
      </w:r>
      <w:r>
        <w:tab/>
        <w:t>Reporting to the Council</w:t>
      </w:r>
      <w:bookmarkEnd w:id="113"/>
      <w:bookmarkEnd w:id="114"/>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personal details of the persons to whom the courses were provided;</w:t>
      </w:r>
    </w:p>
    <w:p>
      <w:pPr>
        <w:pStyle w:val="Indenta"/>
      </w:pPr>
      <w:r>
        <w:tab/>
        <w:t>(c)</w:t>
      </w:r>
      <w:r>
        <w:tab/>
        <w:t>the approved VET qualifications and prescribed VET qualifications the provider conferred;</w:t>
      </w:r>
    </w:p>
    <w:p>
      <w:pPr>
        <w:pStyle w:val="Indenta"/>
      </w:pPr>
      <w:r>
        <w:tab/>
        <w:t>(d)</w:t>
      </w:r>
      <w:r>
        <w:tab/>
        <w:t>the personal details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Heading5"/>
      </w:pPr>
      <w:bookmarkStart w:id="115" w:name="_Toc232329300"/>
      <w:bookmarkStart w:id="116" w:name="_Toc307322590"/>
      <w:r>
        <w:rPr>
          <w:rStyle w:val="CharSectno"/>
        </w:rPr>
        <w:t>27</w:t>
      </w:r>
      <w:r>
        <w:t>.</w:t>
      </w:r>
      <w:r>
        <w:tab/>
        <w:t>Giving Council information on ceasing operations</w:t>
      </w:r>
      <w:bookmarkEnd w:id="115"/>
      <w:bookmarkEnd w:id="116"/>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bookmarkStart w:id="117" w:name="_Toc232329301"/>
      <w:bookmarkStart w:id="118" w:name="_Toc232395134"/>
      <w:bookmarkStart w:id="119" w:name="_Toc232396119"/>
      <w:r>
        <w:tab/>
        <w:t>[Regulation 27 amended in Gazette 25 Oct 2011 p. 4511.]</w:t>
      </w:r>
    </w:p>
    <w:p>
      <w:pPr>
        <w:pStyle w:val="Heading3"/>
      </w:pPr>
      <w:bookmarkStart w:id="120" w:name="_Toc307322591"/>
      <w:r>
        <w:rPr>
          <w:rStyle w:val="CharDivNo"/>
        </w:rPr>
        <w:t>Division 5</w:t>
      </w:r>
      <w:r>
        <w:t> — </w:t>
      </w:r>
      <w:r>
        <w:rPr>
          <w:rStyle w:val="CharDivText"/>
        </w:rPr>
        <w:t>Accreditation of VET courses</w:t>
      </w:r>
      <w:bookmarkEnd w:id="117"/>
      <w:bookmarkEnd w:id="118"/>
      <w:bookmarkEnd w:id="119"/>
      <w:bookmarkEnd w:id="120"/>
    </w:p>
    <w:p>
      <w:pPr>
        <w:pStyle w:val="Heading5"/>
      </w:pPr>
      <w:bookmarkStart w:id="121" w:name="_Toc232329302"/>
      <w:bookmarkStart w:id="122" w:name="_Toc307322592"/>
      <w:r>
        <w:rPr>
          <w:rStyle w:val="CharSectno"/>
        </w:rPr>
        <w:t>28</w:t>
      </w:r>
      <w:r>
        <w:t>.</w:t>
      </w:r>
      <w:r>
        <w:tab/>
        <w:t>Applying to have a VET course accredited</w:t>
      </w:r>
      <w:bookmarkEnd w:id="121"/>
      <w:bookmarkEnd w:id="122"/>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$1 080;</w:t>
      </w:r>
    </w:p>
    <w:p>
      <w:pPr>
        <w:pStyle w:val="Indenti"/>
      </w:pPr>
      <w:r>
        <w:tab/>
        <w:t>(ii)</w:t>
      </w:r>
      <w:r>
        <w:tab/>
        <w:t>for any other VET course — $540.</w:t>
      </w:r>
    </w:p>
    <w:p>
      <w:pPr>
        <w:pStyle w:val="Heading5"/>
      </w:pPr>
      <w:bookmarkStart w:id="123" w:name="_Toc232329303"/>
      <w:bookmarkStart w:id="124" w:name="_Toc307322593"/>
      <w:r>
        <w:rPr>
          <w:rStyle w:val="CharSectno"/>
        </w:rPr>
        <w:t>29</w:t>
      </w:r>
      <w:r>
        <w:t>.</w:t>
      </w:r>
      <w:r>
        <w:tab/>
        <w:t>Dealing with applications</w:t>
      </w:r>
      <w:bookmarkEnd w:id="123"/>
      <w:bookmarkEnd w:id="124"/>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25" w:name="_Toc232329304"/>
      <w:bookmarkStart w:id="126" w:name="_Toc307322594"/>
      <w:r>
        <w:rPr>
          <w:rStyle w:val="CharSectno"/>
        </w:rPr>
        <w:t>30</w:t>
      </w:r>
      <w:r>
        <w:t>.</w:t>
      </w:r>
      <w:r>
        <w:tab/>
        <w:t>Accrediting VET courses</w:t>
      </w:r>
      <w:bookmarkEnd w:id="125"/>
      <w:bookmarkEnd w:id="126"/>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r>
        <w:rPr>
          <w:i/>
          <w:iCs/>
        </w:rPr>
        <w:t xml:space="preserve">AQTF 2007 Standards for State and Territory Course Accrediting Bodies </w:t>
      </w:r>
      <w:r>
        <w:t>(published by the Commonwealth of Australia 2007); and</w:t>
      </w:r>
    </w:p>
    <w:p>
      <w:pPr>
        <w:pStyle w:val="Indenta"/>
      </w:pPr>
      <w:r>
        <w:tab/>
        <w:t>(b)</w:t>
      </w:r>
      <w:r>
        <w:tab/>
        <w:t>it is satisfied the VET course meets the accreditation standards; and</w:t>
      </w:r>
    </w:p>
    <w:p>
      <w:pPr>
        <w:pStyle w:val="Indenta"/>
      </w:pPr>
      <w:r>
        <w:tab/>
        <w:t>(c)</w:t>
      </w:r>
      <w:r>
        <w:tab/>
        <w:t>in the case of a VET course for a prescribed VET qualification — it is satisfied the course complies with the guidelines in the AQF Implementation Handbook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r>
        <w:rPr>
          <w:i/>
          <w:iCs/>
        </w:rPr>
        <w:t xml:space="preserve">AQTF 2007 Standards for State and Territory Course Accrediting Bodies </w:t>
      </w:r>
      <w:r>
        <w:t>(published by the Commonwealth of Australia 2007);</w:t>
      </w:r>
    </w:p>
    <w:p>
      <w:pPr>
        <w:pStyle w:val="Indenta"/>
      </w:pPr>
      <w:r>
        <w:tab/>
        <w:t>(c)</w:t>
      </w:r>
      <w:r>
        <w:tab/>
        <w:t>give that person written notice of any condition to which the accreditation is subject.</w:t>
      </w:r>
    </w:p>
    <w:p>
      <w:pPr>
        <w:pStyle w:val="Heading5"/>
      </w:pPr>
      <w:bookmarkStart w:id="127" w:name="_Toc232329305"/>
      <w:bookmarkStart w:id="128" w:name="_Toc307322595"/>
      <w:r>
        <w:rPr>
          <w:rStyle w:val="CharSectno"/>
        </w:rPr>
        <w:t>31</w:t>
      </w:r>
      <w:r>
        <w:t>.</w:t>
      </w:r>
      <w:r>
        <w:tab/>
        <w:t>Period of accreditation</w:t>
      </w:r>
      <w:bookmarkEnd w:id="127"/>
      <w:bookmarkEnd w:id="128"/>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29" w:name="_Toc232329306"/>
      <w:bookmarkStart w:id="130" w:name="_Toc307322596"/>
      <w:r>
        <w:rPr>
          <w:rStyle w:val="CharSectno"/>
        </w:rPr>
        <w:t>32</w:t>
      </w:r>
      <w:r>
        <w:t>.</w:t>
      </w:r>
      <w:r>
        <w:tab/>
        <w:t>Renewing accreditation</w:t>
      </w:r>
      <w:bookmarkEnd w:id="129"/>
      <w:bookmarkEnd w:id="130"/>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31" w:name="_Toc232329307"/>
      <w:bookmarkStart w:id="132" w:name="_Toc307322597"/>
      <w:r>
        <w:rPr>
          <w:rStyle w:val="CharSectno"/>
        </w:rPr>
        <w:t>33</w:t>
      </w:r>
      <w:r>
        <w:t>.</w:t>
      </w:r>
      <w:r>
        <w:tab/>
        <w:t>Cancelling accreditation</w:t>
      </w:r>
      <w:bookmarkEnd w:id="131"/>
      <w:bookmarkEnd w:id="132"/>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33" w:name="_Toc232329308"/>
      <w:bookmarkStart w:id="134" w:name="_Toc232395141"/>
      <w:bookmarkStart w:id="135" w:name="_Toc232396126"/>
      <w:bookmarkStart w:id="136" w:name="_Toc307322598"/>
      <w:r>
        <w:rPr>
          <w:rStyle w:val="CharPartNo"/>
        </w:rPr>
        <w:t>Part 4</w:t>
      </w:r>
      <w:r>
        <w:t> — </w:t>
      </w:r>
      <w:r>
        <w:rPr>
          <w:rStyle w:val="CharPartText"/>
        </w:rPr>
        <w:t>Regulations for Part 7 of the Act</w:t>
      </w:r>
      <w:bookmarkEnd w:id="133"/>
      <w:bookmarkEnd w:id="134"/>
      <w:bookmarkEnd w:id="135"/>
      <w:bookmarkEnd w:id="136"/>
    </w:p>
    <w:p>
      <w:pPr>
        <w:pStyle w:val="Heading3"/>
      </w:pPr>
      <w:bookmarkStart w:id="137" w:name="_Toc232329309"/>
      <w:bookmarkStart w:id="138" w:name="_Toc232395142"/>
      <w:bookmarkStart w:id="139" w:name="_Toc232396127"/>
      <w:bookmarkStart w:id="140" w:name="_Toc307322599"/>
      <w:r>
        <w:rPr>
          <w:rStyle w:val="CharDivNo"/>
        </w:rPr>
        <w:t>Division 1</w:t>
      </w:r>
      <w:r>
        <w:t> — </w:t>
      </w:r>
      <w:r>
        <w:rPr>
          <w:rStyle w:val="CharDivText"/>
        </w:rPr>
        <w:t>General matters</w:t>
      </w:r>
      <w:bookmarkEnd w:id="137"/>
      <w:bookmarkEnd w:id="138"/>
      <w:bookmarkEnd w:id="139"/>
      <w:bookmarkEnd w:id="140"/>
    </w:p>
    <w:p>
      <w:pPr>
        <w:pStyle w:val="Heading5"/>
      </w:pPr>
      <w:bookmarkStart w:id="141" w:name="_Toc232329310"/>
      <w:bookmarkStart w:id="142" w:name="_Toc307322600"/>
      <w:r>
        <w:rPr>
          <w:rStyle w:val="CharSectno"/>
        </w:rPr>
        <w:t>34</w:t>
      </w:r>
      <w:r>
        <w:t>.</w:t>
      </w:r>
      <w:r>
        <w:tab/>
        <w:t>Term used: nominated training provider</w:t>
      </w:r>
      <w:bookmarkEnd w:id="141"/>
      <w:bookmarkEnd w:id="142"/>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43" w:name="_Toc232329311"/>
      <w:bookmarkStart w:id="144" w:name="_Toc307322601"/>
      <w:r>
        <w:rPr>
          <w:rStyle w:val="CharSectno"/>
        </w:rPr>
        <w:t>35</w:t>
      </w:r>
      <w:r>
        <w:t>.</w:t>
      </w:r>
      <w:r>
        <w:tab/>
        <w:t>Chief executive may delegate</w:t>
      </w:r>
      <w:bookmarkEnd w:id="143"/>
      <w:bookmarkEnd w:id="144"/>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45" w:name="_Toc232329312"/>
      <w:bookmarkStart w:id="146" w:name="_Toc232395145"/>
      <w:bookmarkStart w:id="147" w:name="_Toc232396130"/>
      <w:bookmarkStart w:id="148" w:name="_Toc307322602"/>
      <w:r>
        <w:rPr>
          <w:rStyle w:val="CharDivNo"/>
        </w:rPr>
        <w:t>Division 2</w:t>
      </w:r>
      <w:r>
        <w:t> — </w:t>
      </w:r>
      <w:r>
        <w:rPr>
          <w:rStyle w:val="CharDivText"/>
        </w:rPr>
        <w:t>Classifying prescribed VET qualifications</w:t>
      </w:r>
      <w:bookmarkEnd w:id="145"/>
      <w:bookmarkEnd w:id="146"/>
      <w:bookmarkEnd w:id="147"/>
      <w:bookmarkEnd w:id="148"/>
    </w:p>
    <w:p>
      <w:pPr>
        <w:pStyle w:val="Heading5"/>
      </w:pPr>
      <w:bookmarkStart w:id="149" w:name="_Toc232329313"/>
      <w:bookmarkStart w:id="150" w:name="_Toc307322603"/>
      <w:r>
        <w:rPr>
          <w:rStyle w:val="CharSectno"/>
        </w:rPr>
        <w:t>36</w:t>
      </w:r>
      <w:r>
        <w:t>.</w:t>
      </w:r>
      <w:r>
        <w:tab/>
        <w:t>Who Board must consult (Act s. 60C)</w:t>
      </w:r>
      <w:bookmarkEnd w:id="149"/>
      <w:bookmarkEnd w:id="150"/>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51" w:name="_Toc232329314"/>
      <w:bookmarkStart w:id="152" w:name="_Toc307322604"/>
      <w:r>
        <w:rPr>
          <w:rStyle w:val="CharSectno"/>
        </w:rPr>
        <w:t>37</w:t>
      </w:r>
      <w:r>
        <w:t>.</w:t>
      </w:r>
      <w:r>
        <w:tab/>
        <w:t>Board’s advice and recommendations to Minister (Act s. 60C)</w:t>
      </w:r>
      <w:bookmarkEnd w:id="151"/>
      <w:bookmarkEnd w:id="152"/>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 Implementation Handbook.</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Heading3"/>
      </w:pPr>
      <w:bookmarkStart w:id="153" w:name="_Toc232329315"/>
      <w:bookmarkStart w:id="154" w:name="_Toc232395148"/>
      <w:bookmarkStart w:id="155" w:name="_Toc232396133"/>
      <w:bookmarkStart w:id="156" w:name="_Toc307322605"/>
      <w:r>
        <w:rPr>
          <w:rStyle w:val="CharDivNo"/>
        </w:rPr>
        <w:t>Division 3</w:t>
      </w:r>
      <w:r>
        <w:t> — </w:t>
      </w:r>
      <w:r>
        <w:rPr>
          <w:rStyle w:val="CharDivText"/>
        </w:rPr>
        <w:t>Training contracts</w:t>
      </w:r>
      <w:bookmarkEnd w:id="153"/>
      <w:bookmarkEnd w:id="154"/>
      <w:bookmarkEnd w:id="155"/>
      <w:bookmarkEnd w:id="156"/>
    </w:p>
    <w:p>
      <w:pPr>
        <w:pStyle w:val="Heading5"/>
      </w:pPr>
      <w:bookmarkStart w:id="157" w:name="_Toc232329316"/>
      <w:bookmarkStart w:id="158" w:name="_Toc307322606"/>
      <w:r>
        <w:rPr>
          <w:rStyle w:val="CharSectno"/>
        </w:rPr>
        <w:t>38</w:t>
      </w:r>
      <w:r>
        <w:t>.</w:t>
      </w:r>
      <w:r>
        <w:tab/>
        <w:t>Form and content of training contracts</w:t>
      </w:r>
      <w:bookmarkEnd w:id="157"/>
      <w:bookmarkEnd w:id="158"/>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159" w:name="_Toc232329317"/>
      <w:bookmarkStart w:id="160" w:name="_Toc307322607"/>
      <w:r>
        <w:rPr>
          <w:rStyle w:val="CharSectno"/>
        </w:rPr>
        <w:t>39</w:t>
      </w:r>
      <w:r>
        <w:t>.</w:t>
      </w:r>
      <w:r>
        <w:tab/>
        <w:t>Probation periods of training contracts</w:t>
      </w:r>
      <w:bookmarkEnd w:id="159"/>
      <w:bookmarkEnd w:id="160"/>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161" w:name="_Toc232329318"/>
      <w:bookmarkStart w:id="162" w:name="_Toc307322608"/>
      <w:r>
        <w:rPr>
          <w:rStyle w:val="CharSectno"/>
        </w:rPr>
        <w:t>40</w:t>
      </w:r>
      <w:r>
        <w:t>.</w:t>
      </w:r>
      <w:r>
        <w:tab/>
        <w:t>Children’s capacity to enter into training contracts</w:t>
      </w:r>
      <w:bookmarkEnd w:id="161"/>
      <w:bookmarkEnd w:id="162"/>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163" w:name="_Toc232329319"/>
      <w:bookmarkStart w:id="164" w:name="_Toc307322609"/>
      <w:r>
        <w:rPr>
          <w:rStyle w:val="CharSectno"/>
        </w:rPr>
        <w:t>41</w:t>
      </w:r>
      <w:r>
        <w:t>.</w:t>
      </w:r>
      <w:r>
        <w:tab/>
        <w:t>Lodging training contracts for registration (Act s. 60F)</w:t>
      </w:r>
      <w:bookmarkEnd w:id="163"/>
      <w:bookmarkEnd w:id="164"/>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65" w:name="_Toc232329320"/>
      <w:bookmarkStart w:id="166" w:name="_Toc307322610"/>
      <w:r>
        <w:rPr>
          <w:rStyle w:val="CharSectno"/>
        </w:rPr>
        <w:t>42</w:t>
      </w:r>
      <w:r>
        <w:t>.</w:t>
      </w:r>
      <w:r>
        <w:tab/>
        <w:t>Registering training contracts (Act s. 60F)</w:t>
      </w:r>
      <w:bookmarkEnd w:id="165"/>
      <w:bookmarkEnd w:id="166"/>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167" w:name="_Toc232329321"/>
      <w:bookmarkStart w:id="168" w:name="_Toc307322611"/>
      <w:r>
        <w:rPr>
          <w:rStyle w:val="CharSectno"/>
        </w:rPr>
        <w:t>43</w:t>
      </w:r>
      <w:r>
        <w:t>.</w:t>
      </w:r>
      <w:r>
        <w:tab/>
        <w:t>Training plans for training contracts</w:t>
      </w:r>
      <w:bookmarkEnd w:id="167"/>
      <w:bookmarkEnd w:id="168"/>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169" w:name="_Toc232329322"/>
      <w:bookmarkStart w:id="170" w:name="_Toc307322612"/>
      <w:r>
        <w:rPr>
          <w:rStyle w:val="CharSectno"/>
        </w:rPr>
        <w:t>44</w:t>
      </w:r>
      <w:r>
        <w:t>.</w:t>
      </w:r>
      <w:r>
        <w:tab/>
        <w:t>Cancellation of registration by chief executive (Act s. 60F)</w:t>
      </w:r>
      <w:bookmarkEnd w:id="169"/>
      <w:bookmarkEnd w:id="170"/>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171" w:name="_Toc232329323"/>
      <w:bookmarkStart w:id="172" w:name="_Toc307322613"/>
      <w:r>
        <w:rPr>
          <w:rStyle w:val="CharSectno"/>
        </w:rPr>
        <w:t>45</w:t>
      </w:r>
      <w:r>
        <w:t>.</w:t>
      </w:r>
      <w:r>
        <w:tab/>
        <w:t>Chief executive may require persons involved in training contracts to provide information</w:t>
      </w:r>
      <w:bookmarkEnd w:id="171"/>
      <w:bookmarkEnd w:id="172"/>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173" w:name="_Toc232329324"/>
      <w:bookmarkStart w:id="174" w:name="_Toc307322614"/>
      <w:r>
        <w:rPr>
          <w:rStyle w:val="CharSectno"/>
        </w:rPr>
        <w:t>46</w:t>
      </w:r>
      <w:r>
        <w:t>.</w:t>
      </w:r>
      <w:r>
        <w:tab/>
        <w:t>Variation of training contract by parties (Act s. 60E)</w:t>
      </w:r>
      <w:bookmarkEnd w:id="173"/>
      <w:bookmarkEnd w:id="174"/>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75" w:name="_Toc232329325"/>
      <w:bookmarkStart w:id="176" w:name="_Toc307322615"/>
      <w:r>
        <w:rPr>
          <w:rStyle w:val="CharSectno"/>
        </w:rPr>
        <w:t>47</w:t>
      </w:r>
      <w:r>
        <w:t>.</w:t>
      </w:r>
      <w:r>
        <w:tab/>
        <w:t>Assignment of training contract to another employer (Act s. 60E)</w:t>
      </w:r>
      <w:bookmarkEnd w:id="175"/>
      <w:bookmarkEnd w:id="176"/>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177" w:name="_Toc232329326"/>
      <w:bookmarkStart w:id="178" w:name="_Toc307322616"/>
      <w:r>
        <w:rPr>
          <w:rStyle w:val="CharSectno"/>
        </w:rPr>
        <w:t>48</w:t>
      </w:r>
      <w:r>
        <w:t>.</w:t>
      </w:r>
      <w:r>
        <w:tab/>
        <w:t>Suspension of training contract by parties (Act s. 60E)</w:t>
      </w:r>
      <w:bookmarkEnd w:id="177"/>
      <w:bookmarkEnd w:id="178"/>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179" w:name="_Toc232329327"/>
      <w:bookmarkStart w:id="180" w:name="_Toc307322617"/>
      <w:r>
        <w:rPr>
          <w:rStyle w:val="CharSectno"/>
        </w:rPr>
        <w:t>49</w:t>
      </w:r>
      <w:r>
        <w:t>.</w:t>
      </w:r>
      <w:r>
        <w:tab/>
        <w:t>Suspension by employer (Act s. 60E)</w:t>
      </w:r>
      <w:bookmarkEnd w:id="179"/>
      <w:bookmarkEnd w:id="180"/>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181" w:name="_Toc232329328"/>
      <w:bookmarkStart w:id="182" w:name="_Toc307322618"/>
      <w:r>
        <w:rPr>
          <w:rStyle w:val="CharSectno"/>
        </w:rPr>
        <w:t>50</w:t>
      </w:r>
      <w:r>
        <w:t>.</w:t>
      </w:r>
      <w:r>
        <w:tab/>
        <w:t>Termination of training contract by parties (Act s. 60G)</w:t>
      </w:r>
      <w:bookmarkEnd w:id="181"/>
      <w:bookmarkEnd w:id="182"/>
    </w:p>
    <w:p>
      <w:pPr>
        <w:pStyle w:val="Subsection"/>
      </w:pPr>
      <w:r>
        <w:tab/>
      </w:r>
      <w:r>
        <w:tab/>
        <w:t>A party to a training contract may terminate the contract during the contract’s probation period without the approval of the chief executive.</w:t>
      </w:r>
    </w:p>
    <w:p>
      <w:pPr>
        <w:pStyle w:val="Heading5"/>
      </w:pPr>
      <w:bookmarkStart w:id="183" w:name="_Toc232329329"/>
      <w:bookmarkStart w:id="184" w:name="_Toc307322619"/>
      <w:r>
        <w:rPr>
          <w:rStyle w:val="CharSectno"/>
        </w:rPr>
        <w:t>51</w:t>
      </w:r>
      <w:r>
        <w:t>.</w:t>
      </w:r>
      <w:r>
        <w:tab/>
        <w:t>Approval of termination of training contract by chief executive (Act s. 60G)</w:t>
      </w:r>
      <w:bookmarkEnd w:id="183"/>
      <w:bookmarkEnd w:id="184"/>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185" w:name="_Toc232329330"/>
      <w:bookmarkStart w:id="186" w:name="_Toc307322620"/>
      <w:r>
        <w:rPr>
          <w:rStyle w:val="CharSectno"/>
        </w:rPr>
        <w:t>52</w:t>
      </w:r>
      <w:r>
        <w:t>.</w:t>
      </w:r>
      <w:r>
        <w:tab/>
        <w:t>Completion of training contract</w:t>
      </w:r>
      <w:bookmarkEnd w:id="185"/>
      <w:bookmarkEnd w:id="186"/>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187" w:name="_Toc232329331"/>
      <w:bookmarkStart w:id="188" w:name="_Toc232395164"/>
      <w:bookmarkStart w:id="189" w:name="_Toc232396149"/>
      <w:bookmarkStart w:id="190" w:name="_Toc307322621"/>
      <w:r>
        <w:rPr>
          <w:rStyle w:val="CharDivNo"/>
        </w:rPr>
        <w:t>Division 4</w:t>
      </w:r>
      <w:r>
        <w:t> — </w:t>
      </w:r>
      <w:r>
        <w:rPr>
          <w:rStyle w:val="CharDivText"/>
        </w:rPr>
        <w:t>Procedure and appeals</w:t>
      </w:r>
      <w:bookmarkEnd w:id="187"/>
      <w:bookmarkEnd w:id="188"/>
      <w:bookmarkEnd w:id="189"/>
      <w:bookmarkEnd w:id="190"/>
    </w:p>
    <w:p>
      <w:pPr>
        <w:pStyle w:val="Heading5"/>
      </w:pPr>
      <w:bookmarkStart w:id="191" w:name="_Toc232329332"/>
      <w:bookmarkStart w:id="192" w:name="_Toc307322622"/>
      <w:r>
        <w:rPr>
          <w:rStyle w:val="CharSectno"/>
        </w:rPr>
        <w:t>53</w:t>
      </w:r>
      <w:r>
        <w:t>.</w:t>
      </w:r>
      <w:r>
        <w:tab/>
        <w:t>Procedure on applications</w:t>
      </w:r>
      <w:bookmarkEnd w:id="191"/>
      <w:bookmarkEnd w:id="192"/>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193" w:name="_Toc232329333"/>
      <w:bookmarkStart w:id="194" w:name="_Toc307322623"/>
      <w:r>
        <w:rPr>
          <w:rStyle w:val="CharSectno"/>
        </w:rPr>
        <w:t>54</w:t>
      </w:r>
      <w:r>
        <w:t>.</w:t>
      </w:r>
      <w:r>
        <w:tab/>
        <w:t>Appeals</w:t>
      </w:r>
      <w:bookmarkEnd w:id="193"/>
      <w:bookmarkEnd w:id="194"/>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195" w:name="_Toc232329334"/>
      <w:bookmarkStart w:id="196" w:name="_Toc232395167"/>
      <w:bookmarkStart w:id="197" w:name="_Toc232396152"/>
      <w:bookmarkStart w:id="198" w:name="_Toc307322624"/>
      <w:r>
        <w:rPr>
          <w:rStyle w:val="CharPartNo"/>
        </w:rPr>
        <w:t>Part 5</w:t>
      </w:r>
      <w:r>
        <w:rPr>
          <w:rStyle w:val="CharDivNo"/>
        </w:rPr>
        <w:t> </w:t>
      </w:r>
      <w:r>
        <w:t>—</w:t>
      </w:r>
      <w:r>
        <w:rPr>
          <w:rStyle w:val="CharDivText"/>
        </w:rPr>
        <w:t> </w:t>
      </w:r>
      <w:r>
        <w:rPr>
          <w:rStyle w:val="CharPartText"/>
        </w:rPr>
        <w:t>Repeals and transitional matters</w:t>
      </w:r>
      <w:bookmarkEnd w:id="195"/>
      <w:bookmarkEnd w:id="196"/>
      <w:bookmarkEnd w:id="197"/>
      <w:bookmarkEnd w:id="198"/>
    </w:p>
    <w:p>
      <w:pPr>
        <w:pStyle w:val="Heading5"/>
      </w:pPr>
      <w:bookmarkStart w:id="199" w:name="_Toc232329335"/>
      <w:bookmarkStart w:id="200" w:name="_Toc307322625"/>
      <w:r>
        <w:rPr>
          <w:rStyle w:val="CharSectno"/>
        </w:rPr>
        <w:t>55</w:t>
      </w:r>
      <w:r>
        <w:t>.</w:t>
      </w:r>
      <w:r>
        <w:tab/>
        <w:t>Term used: commencement</w:t>
      </w:r>
      <w:bookmarkEnd w:id="199"/>
      <w:bookmarkEnd w:id="200"/>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201" w:name="_Toc232329336"/>
      <w:bookmarkStart w:id="202" w:name="_Toc307322626"/>
      <w:r>
        <w:rPr>
          <w:rStyle w:val="CharSectno"/>
        </w:rPr>
        <w:t>56</w:t>
      </w:r>
      <w:r>
        <w:t>.</w:t>
      </w:r>
      <w:r>
        <w:tab/>
        <w:t>Repeals</w:t>
      </w:r>
      <w:bookmarkEnd w:id="201"/>
      <w:bookmarkEnd w:id="202"/>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203" w:name="_Toc232329337"/>
      <w:bookmarkStart w:id="204" w:name="_Toc307322627"/>
      <w:r>
        <w:rPr>
          <w:rStyle w:val="CharSectno"/>
        </w:rPr>
        <w:t>57</w:t>
      </w:r>
      <w:r>
        <w:t>.</w:t>
      </w:r>
      <w:r>
        <w:tab/>
        <w:t>Registered training providers</w:t>
      </w:r>
      <w:bookmarkEnd w:id="203"/>
      <w:bookmarkEnd w:id="204"/>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205" w:name="_Toc232329338"/>
      <w:bookmarkStart w:id="206" w:name="_Toc307322628"/>
      <w:r>
        <w:rPr>
          <w:rStyle w:val="CharSectno"/>
        </w:rPr>
        <w:t>58</w:t>
      </w:r>
      <w:r>
        <w:t>.</w:t>
      </w:r>
      <w:r>
        <w:tab/>
        <w:t>Accredited courses</w:t>
      </w:r>
      <w:bookmarkEnd w:id="205"/>
      <w:bookmarkEnd w:id="206"/>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07" w:name="_Toc232329339"/>
      <w:bookmarkStart w:id="208" w:name="_Toc307322629"/>
      <w:r>
        <w:rPr>
          <w:rStyle w:val="CharSectno"/>
        </w:rPr>
        <w:t>59</w:t>
      </w:r>
      <w:r>
        <w:t>.</w:t>
      </w:r>
      <w:r>
        <w:tab/>
        <w:t>Traineeship contracts</w:t>
      </w:r>
      <w:bookmarkEnd w:id="207"/>
      <w:bookmarkEnd w:id="208"/>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09" w:name="_Toc232329340"/>
      <w:bookmarkStart w:id="210" w:name="_Toc307322630"/>
      <w:r>
        <w:rPr>
          <w:rStyle w:val="CharSectno"/>
        </w:rPr>
        <w:t>60</w:t>
      </w:r>
      <w:r>
        <w:t>.</w:t>
      </w:r>
      <w:r>
        <w:tab/>
        <w:t>Apprentices learning trades, transitional provisions for</w:t>
      </w:r>
      <w:bookmarkEnd w:id="209"/>
      <w:bookmarkEnd w:id="210"/>
    </w:p>
    <w:p>
      <w:pPr>
        <w:pStyle w:val="Subsection"/>
      </w:pPr>
      <w:r>
        <w:tab/>
      </w:r>
      <w:r>
        <w:tab/>
        <w:t>Schedule 1 sets out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1" w:name="_Toc232329341"/>
      <w:bookmarkStart w:id="212" w:name="_Toc232395174"/>
      <w:bookmarkStart w:id="213" w:name="_Toc232396159"/>
      <w:bookmarkStart w:id="214" w:name="_Toc307322631"/>
      <w:bookmarkStart w:id="215" w:name="_Toc70311421"/>
      <w:bookmarkStart w:id="216" w:name="_Toc113695913"/>
      <w:bookmarkStart w:id="217" w:name="_Toc231178932"/>
      <w:r>
        <w:rPr>
          <w:rStyle w:val="CharSchNo"/>
        </w:rPr>
        <w:t>Schedule 1</w:t>
      </w:r>
      <w:r>
        <w:rPr>
          <w:rStyle w:val="CharSDivNo"/>
        </w:rPr>
        <w:t> </w:t>
      </w:r>
      <w:r>
        <w:t>—</w:t>
      </w:r>
      <w:r>
        <w:rPr>
          <w:rStyle w:val="CharSDivText"/>
        </w:rPr>
        <w:t> </w:t>
      </w:r>
      <w:r>
        <w:rPr>
          <w:rStyle w:val="CharSchText"/>
        </w:rPr>
        <w:t>Training contract</w:t>
      </w:r>
      <w:bookmarkEnd w:id="211"/>
      <w:bookmarkEnd w:id="212"/>
      <w:bookmarkEnd w:id="213"/>
      <w:bookmarkEnd w:id="214"/>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State">
        <w:smartTag w:uri="urn:schemas-microsoft-com:office:smarttags" w:element="plac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State">
        <w:smartTag w:uri="urn:schemas-microsoft-com:office:smarttags" w:element="place">
          <w:r>
            <w:rPr>
              <w:rFonts w:ascii="Arial" w:hAnsi="Arial" w:cs="Arial"/>
              <w:b/>
              <w:bCs/>
              <w:sz w:val="18"/>
            </w:rPr>
            <w:t>Western Australia</w:t>
          </w:r>
        </w:smartTag>
      </w:smartTag>
      <w:r>
        <w:rPr>
          <w:rFonts w:ascii="Arial" w:hAnsi="Arial" w:cs="Arial"/>
          <w:b/>
          <w:bCs/>
          <w:sz w:val="18"/>
        </w:rPr>
        <w:t xml:space="preserve"> Government</w:t>
      </w:r>
    </w:p>
    <w:p>
      <w:pPr>
        <w:pStyle w:val="yMiscellaneousBody"/>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City">
              <w:smartTag w:uri="urn:schemas-microsoft-com:office:smarttags" w:element="place">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City">
              <w:smartTag w:uri="urn:schemas-microsoft-com:office:smarttags" w:element="place">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Training Information Service website (www.ntis.gov.au).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country-region">
        <w:smartTag w:uri="urn:schemas-microsoft-com:office:smarttags" w:element="place">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country-region">
        <w:smartTag w:uri="urn:schemas-microsoft-com:office:smarttags" w:element="place">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country-region">
        <w:smartTag w:uri="urn:schemas-microsoft-com:office:smarttags" w:element="place">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18" w:name="_Toc232329342"/>
    </w:p>
    <w:p>
      <w:pPr>
        <w:pStyle w:val="yScheduleHeading"/>
        <w:pageBreakBefore w:val="0"/>
      </w:pPr>
      <w:bookmarkStart w:id="219" w:name="_Toc232395175"/>
      <w:bookmarkStart w:id="220" w:name="_Toc232396160"/>
      <w:bookmarkStart w:id="221" w:name="_Toc307322632"/>
      <w:r>
        <w:rPr>
          <w:rStyle w:val="CharSchNo"/>
        </w:rPr>
        <w:t>Schedule 2</w:t>
      </w:r>
      <w:r>
        <w:rPr>
          <w:rStyle w:val="CharSDivNo"/>
        </w:rPr>
        <w:t> </w:t>
      </w:r>
      <w:r>
        <w:t>—</w:t>
      </w:r>
      <w:r>
        <w:rPr>
          <w:rStyle w:val="CharSDivText"/>
        </w:rPr>
        <w:t> </w:t>
      </w:r>
      <w:r>
        <w:rPr>
          <w:rStyle w:val="CharSchText"/>
        </w:rPr>
        <w:t>Provisions about old agreements and old training contracts</w:t>
      </w:r>
      <w:bookmarkEnd w:id="218"/>
      <w:bookmarkEnd w:id="219"/>
      <w:bookmarkEnd w:id="220"/>
      <w:bookmarkEnd w:id="221"/>
    </w:p>
    <w:p>
      <w:pPr>
        <w:pStyle w:val="yShoulderClause"/>
      </w:pPr>
      <w:r>
        <w:t>[r. 60]</w:t>
      </w:r>
    </w:p>
    <w:p>
      <w:pPr>
        <w:pStyle w:val="yHeading5"/>
      </w:pPr>
      <w:bookmarkStart w:id="222" w:name="_Toc232329343"/>
      <w:bookmarkStart w:id="223" w:name="_Toc307322633"/>
      <w:r>
        <w:rPr>
          <w:rStyle w:val="CharSClsNo"/>
        </w:rPr>
        <w:t>1</w:t>
      </w:r>
      <w:r>
        <w:t>.</w:t>
      </w:r>
      <w:r>
        <w:tab/>
        <w:t>Terms used</w:t>
      </w:r>
      <w:bookmarkEnd w:id="222"/>
      <w:bookmarkEnd w:id="223"/>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224" w:name="_Toc232329344"/>
      <w:bookmarkStart w:id="225" w:name="_Toc307322634"/>
      <w:r>
        <w:rPr>
          <w:rStyle w:val="CharSClsNo"/>
        </w:rPr>
        <w:t>2</w:t>
      </w:r>
      <w:r>
        <w:t>.</w:t>
      </w:r>
      <w:r>
        <w:tab/>
        <w:t>Old agreements to be read with modifications</w:t>
      </w:r>
      <w:bookmarkEnd w:id="224"/>
      <w:bookmarkEnd w:id="225"/>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226" w:name="_Toc232329345"/>
      <w:bookmarkStart w:id="227" w:name="_Toc307322635"/>
      <w:r>
        <w:rPr>
          <w:rStyle w:val="CharSClsNo"/>
        </w:rPr>
        <w:t>3</w:t>
      </w:r>
      <w:r>
        <w:t>.</w:t>
      </w:r>
      <w:r>
        <w:tab/>
        <w:t>Old agreements and contracts not terminated by sale of business</w:t>
      </w:r>
      <w:bookmarkEnd w:id="226"/>
      <w:bookmarkEnd w:id="227"/>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228" w:name="_Toc232329346"/>
      <w:bookmarkStart w:id="229" w:name="_Toc307322636"/>
      <w:r>
        <w:rPr>
          <w:rStyle w:val="CharSClsNo"/>
        </w:rPr>
        <w:t>4</w:t>
      </w:r>
      <w:r>
        <w:t>.</w:t>
      </w:r>
      <w:r>
        <w:tab/>
        <w:t>Technical instruction requirements for trade apprentices</w:t>
      </w:r>
      <w:bookmarkEnd w:id="228"/>
      <w:bookmarkEnd w:id="229"/>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230" w:name="_Toc232329347"/>
      <w:bookmarkStart w:id="231" w:name="_Toc307322637"/>
      <w:r>
        <w:rPr>
          <w:rStyle w:val="CharSClsNo"/>
        </w:rPr>
        <w:t>5</w:t>
      </w:r>
      <w:r>
        <w:t>.</w:t>
      </w:r>
      <w:r>
        <w:tab/>
        <w:t>Final certificates for trade apprentices</w:t>
      </w:r>
      <w:bookmarkEnd w:id="230"/>
      <w:bookmarkEnd w:id="231"/>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bookmarkEnd w:id="215"/>
    <w:bookmarkEnd w:id="216"/>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232" w:name="_Toc232395181"/>
      <w:bookmarkStart w:id="233" w:name="_Toc232396166"/>
      <w:bookmarkStart w:id="234" w:name="_Toc307322638"/>
      <w:r>
        <w:t>Notes</w:t>
      </w:r>
      <w:bookmarkEnd w:id="40"/>
      <w:bookmarkEnd w:id="41"/>
      <w:bookmarkEnd w:id="42"/>
      <w:bookmarkEnd w:id="217"/>
      <w:bookmarkEnd w:id="232"/>
      <w:bookmarkEnd w:id="233"/>
      <w:bookmarkEnd w:id="234"/>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The following table contains information about those regulations</w:t>
      </w:r>
      <w:r>
        <w:rPr>
          <w:snapToGrid w:val="0"/>
          <w:vertAlign w:val="superscript"/>
        </w:rPr>
        <w:t> 1a</w:t>
      </w:r>
      <w:r>
        <w:rPr>
          <w:snapToGrid w:val="0"/>
        </w:rPr>
        <w:t xml:space="preserve">. </w:t>
      </w:r>
    </w:p>
    <w:p>
      <w:pPr>
        <w:pStyle w:val="nHeading3"/>
      </w:pPr>
      <w:bookmarkStart w:id="235" w:name="_Toc70311430"/>
      <w:bookmarkStart w:id="236" w:name="_Toc307322639"/>
      <w:r>
        <w:t>Compilation table</w:t>
      </w:r>
      <w:bookmarkEnd w:id="235"/>
      <w:bookmarkEnd w:id="2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noProof/>
                <w:snapToGrid w:val="0"/>
                <w:sz w:val="19"/>
              </w:rPr>
              <w:t>Vocational Education and Training (General) Regulations 2009</w:t>
            </w:r>
          </w:p>
        </w:tc>
        <w:tc>
          <w:tcPr>
            <w:tcW w:w="1276" w:type="dxa"/>
            <w:tcBorders>
              <w:bottom w:val="nil"/>
            </w:tcBorders>
          </w:tcPr>
          <w:p>
            <w:pPr>
              <w:pStyle w:val="nTable"/>
              <w:spacing w:after="40"/>
              <w:rPr>
                <w:sz w:val="19"/>
              </w:rPr>
            </w:pPr>
            <w:r>
              <w:rPr>
                <w:sz w:val="19"/>
              </w:rPr>
              <w:t>22 May 2009 p. 1731</w:t>
            </w:r>
            <w:r>
              <w:rPr>
                <w:sz w:val="19"/>
              </w:rPr>
              <w:noBreakHyphen/>
              <w:t>97</w:t>
            </w:r>
          </w:p>
        </w:tc>
        <w:tc>
          <w:tcPr>
            <w:tcW w:w="2693" w:type="dxa"/>
            <w:tcBorders>
              <w:bottom w:val="nil"/>
            </w:tcBorders>
          </w:tcPr>
          <w:p>
            <w:pPr>
              <w:pStyle w:val="nTable"/>
              <w:spacing w:after="40"/>
              <w:rPr>
                <w:sz w:val="19"/>
              </w:rPr>
            </w:pPr>
            <w:r>
              <w:rPr>
                <w:sz w:val="19"/>
              </w:rPr>
              <w:t>r. 1 and 2: 22 May 2009 (see r. 2(a));</w:t>
            </w:r>
            <w:r>
              <w:rPr>
                <w:sz w:val="19"/>
              </w:rPr>
              <w:br/>
              <w:t>Regulations other than r. 1 and 2: 10 Jun 2009 (see r. 2(b) and No. 44 of 2008 s. 2(2))</w:t>
            </w:r>
          </w:p>
        </w:tc>
      </w:tr>
      <w:tr>
        <w:tc>
          <w:tcPr>
            <w:tcW w:w="3118" w:type="dxa"/>
            <w:tcBorders>
              <w:top w:val="nil"/>
              <w:bottom w:val="single" w:sz="4" w:space="0" w:color="auto"/>
            </w:tcBorders>
          </w:tcPr>
          <w:p>
            <w:pPr>
              <w:pStyle w:val="nTable"/>
              <w:spacing w:after="40"/>
              <w:rPr>
                <w:i/>
                <w:noProof/>
                <w:snapToGrid w:val="0"/>
                <w:sz w:val="19"/>
              </w:rPr>
            </w:pPr>
            <w:r>
              <w:rPr>
                <w:i/>
                <w:noProof/>
                <w:snapToGrid w:val="0"/>
                <w:sz w:val="19"/>
              </w:rPr>
              <w:t>Vocational Education and Training (General) Amendment Regulations 2011</w:t>
            </w:r>
          </w:p>
        </w:tc>
        <w:tc>
          <w:tcPr>
            <w:tcW w:w="1276" w:type="dxa"/>
            <w:tcBorders>
              <w:top w:val="nil"/>
              <w:bottom w:val="single" w:sz="4" w:space="0" w:color="auto"/>
            </w:tcBorders>
          </w:tcPr>
          <w:p>
            <w:pPr>
              <w:pStyle w:val="nTable"/>
              <w:spacing w:after="40"/>
              <w:rPr>
                <w:sz w:val="19"/>
              </w:rPr>
            </w:pPr>
            <w:r>
              <w:rPr>
                <w:sz w:val="19"/>
              </w:rPr>
              <w:t>25 Oct 2011 p. 4508-11</w:t>
            </w:r>
          </w:p>
        </w:tc>
        <w:tc>
          <w:tcPr>
            <w:tcW w:w="2693" w:type="dxa"/>
            <w:tcBorders>
              <w:top w:val="nil"/>
              <w:bottom w:val="single" w:sz="4" w:space="0" w:color="auto"/>
            </w:tcBorders>
          </w:tcPr>
          <w:p>
            <w:pPr>
              <w:pStyle w:val="nTable"/>
              <w:spacing w:after="40"/>
              <w:rPr>
                <w:sz w:val="19"/>
              </w:rPr>
            </w:pPr>
            <w:r>
              <w:rPr>
                <w:sz w:val="19"/>
              </w:rPr>
              <w:t>r. 1 and 2: 25 Oct 2011 (see r. 2(a));</w:t>
            </w:r>
            <w:r>
              <w:rPr>
                <w:sz w:val="19"/>
              </w:rPr>
              <w:br/>
              <w:t>Regulations other than r. 1 and 2: 26 Oct 2011 (see r. 2(b))</w:t>
            </w:r>
          </w:p>
        </w:tc>
      </w:tr>
    </w:tbl>
    <w:p>
      <w:pPr>
        <w:pStyle w:val="nSubsection"/>
        <w:tabs>
          <w:tab w:val="clear" w:pos="454"/>
          <w:tab w:val="left" w:pos="567"/>
        </w:tabs>
        <w:spacing w:before="120"/>
        <w:ind w:left="567" w:hanging="567"/>
        <w:rPr>
          <w:snapToGrid w:val="0"/>
        </w:rPr>
      </w:pPr>
      <w:bookmarkStart w:id="237" w:name="AutoSch"/>
      <w:bookmarkEnd w:id="43"/>
      <w:bookmarkEnd w:id="44"/>
      <w:bookmarkEnd w:id="237"/>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8" w:name="_Toc7405065"/>
      <w:bookmarkStart w:id="239" w:name="_Toc307322640"/>
      <w:r>
        <w:t>Provisions that have not come into operation</w:t>
      </w:r>
      <w:bookmarkEnd w:id="238"/>
      <w:bookmarkEnd w:id="2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top w:val="nil"/>
              <w:bottom w:val="single" w:sz="4" w:space="0" w:color="auto"/>
            </w:tcBorders>
          </w:tcPr>
          <w:p>
            <w:pPr>
              <w:pStyle w:val="nTable"/>
              <w:spacing w:after="40"/>
              <w:rPr>
                <w:noProof/>
                <w:snapToGrid w:val="0"/>
                <w:sz w:val="19"/>
              </w:rPr>
            </w:pPr>
            <w:r>
              <w:rPr>
                <w:i/>
                <w:noProof/>
                <w:snapToGrid w:val="0"/>
                <w:sz w:val="19"/>
              </w:rPr>
              <w:t>Vocational Education and Training (General) Amendment Regulations (No. 2) 2011</w:t>
            </w:r>
            <w:r>
              <w:rPr>
                <w:noProof/>
                <w:snapToGrid w:val="0"/>
                <w:sz w:val="19"/>
              </w:rPr>
              <w:t xml:space="preserve"> r. 3 and 4</w:t>
            </w:r>
            <w:r>
              <w:rPr>
                <w:noProof/>
                <w:snapToGrid w:val="0"/>
                <w:sz w:val="19"/>
                <w:vertAlign w:val="superscript"/>
              </w:rPr>
              <w:t> 2</w:t>
            </w:r>
          </w:p>
        </w:tc>
        <w:tc>
          <w:tcPr>
            <w:tcW w:w="1276" w:type="dxa"/>
            <w:tcBorders>
              <w:top w:val="nil"/>
              <w:bottom w:val="single" w:sz="4" w:space="0" w:color="auto"/>
            </w:tcBorders>
          </w:tcPr>
          <w:p>
            <w:pPr>
              <w:pStyle w:val="nTable"/>
              <w:spacing w:after="40"/>
              <w:rPr>
                <w:sz w:val="19"/>
              </w:rPr>
            </w:pPr>
            <w:r>
              <w:rPr>
                <w:sz w:val="19"/>
              </w:rPr>
              <w:t>25 Oct 2011 p. 4511-12</w:t>
            </w:r>
          </w:p>
        </w:tc>
        <w:tc>
          <w:tcPr>
            <w:tcW w:w="2693" w:type="dxa"/>
            <w:tcBorders>
              <w:top w:val="nil"/>
              <w:bottom w:val="single" w:sz="4" w:space="0" w:color="auto"/>
            </w:tcBorders>
          </w:tcPr>
          <w:p>
            <w:pPr>
              <w:pStyle w:val="nTable"/>
              <w:spacing w:after="40"/>
              <w:rPr>
                <w:sz w:val="19"/>
              </w:rPr>
            </w:pPr>
            <w:r>
              <w:rPr>
                <w:sz w:val="19"/>
              </w:rPr>
              <w:t>1 Jan 2012 (see r.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Vocational Education and Training (General) Amendment Regulations (No. 2) 2011</w:t>
      </w:r>
      <w:r>
        <w:rPr>
          <w:snapToGrid w:val="0"/>
        </w:rPr>
        <w:t xml:space="preserve"> r. 3 and 4 had not come into operation.  They read as follows:</w:t>
      </w:r>
    </w:p>
    <w:p>
      <w:pPr>
        <w:pStyle w:val="BlankOpen"/>
      </w:pPr>
    </w:p>
    <w:p>
      <w:pPr>
        <w:pStyle w:val="nzHeading5"/>
        <w:rPr>
          <w:snapToGrid w:val="0"/>
        </w:rPr>
      </w:pPr>
      <w:bookmarkStart w:id="240" w:name="_Toc423332724"/>
      <w:bookmarkStart w:id="241" w:name="_Toc425219443"/>
      <w:bookmarkStart w:id="242" w:name="_Toc426249310"/>
      <w:bookmarkStart w:id="243" w:name="_Toc449924706"/>
      <w:bookmarkStart w:id="244" w:name="_Toc449947724"/>
      <w:bookmarkStart w:id="245" w:name="_Toc454185715"/>
      <w:bookmarkStart w:id="246" w:name="_Toc515958688"/>
      <w:r>
        <w:rPr>
          <w:rStyle w:val="CharSectno"/>
        </w:rPr>
        <w:t>3</w:t>
      </w:r>
      <w:r>
        <w:rPr>
          <w:snapToGrid w:val="0"/>
        </w:rPr>
        <w:t>.</w:t>
      </w:r>
      <w:r>
        <w:rPr>
          <w:snapToGrid w:val="0"/>
        </w:rPr>
        <w:tab/>
        <w:t>Regulations amended</w:t>
      </w:r>
      <w:bookmarkEnd w:id="240"/>
      <w:bookmarkEnd w:id="241"/>
      <w:bookmarkEnd w:id="242"/>
      <w:bookmarkEnd w:id="243"/>
      <w:bookmarkEnd w:id="244"/>
      <w:bookmarkEnd w:id="245"/>
      <w:bookmarkEnd w:id="246"/>
    </w:p>
    <w:p>
      <w:pPr>
        <w:pStyle w:val="nzSubsection"/>
      </w:pPr>
      <w:r>
        <w:tab/>
      </w:r>
      <w:r>
        <w:tab/>
      </w:r>
      <w:r>
        <w:rPr>
          <w:spacing w:val="-2"/>
        </w:rPr>
        <w:t>These</w:t>
      </w:r>
      <w:r>
        <w:t xml:space="preserve"> regulations amend the </w:t>
      </w:r>
      <w:r>
        <w:rPr>
          <w:i/>
        </w:rPr>
        <w:t>Vocational Education and Training (General) Regulations 2009</w:t>
      </w:r>
      <w:r>
        <w:t>.</w:t>
      </w:r>
    </w:p>
    <w:p>
      <w:pPr>
        <w:pStyle w:val="nzHeading5"/>
      </w:pPr>
      <w:r>
        <w:rPr>
          <w:rStyle w:val="CharSectno"/>
        </w:rPr>
        <w:t>4</w:t>
      </w:r>
      <w:r>
        <w:t>.</w:t>
      </w:r>
      <w:r>
        <w:tab/>
        <w:t>Regulation 28 amended</w:t>
      </w:r>
    </w:p>
    <w:p>
      <w:pPr>
        <w:pStyle w:val="nzSubsection"/>
      </w:pPr>
      <w:r>
        <w:tab/>
      </w:r>
      <w:r>
        <w:tab/>
        <w:t>In regulation 28(2):</w:t>
      </w:r>
    </w:p>
    <w:p>
      <w:pPr>
        <w:pStyle w:val="nzIndenta"/>
      </w:pPr>
      <w:r>
        <w:tab/>
        <w:t>(a)</w:t>
      </w:r>
      <w:r>
        <w:tab/>
        <w:t>in paragraph (b)(i) delete “$1 080;” and insert:</w:t>
      </w:r>
    </w:p>
    <w:p>
      <w:pPr>
        <w:pStyle w:val="BlankOpen"/>
      </w:pPr>
    </w:p>
    <w:p>
      <w:pPr>
        <w:pStyle w:val="nzIndenta"/>
      </w:pPr>
      <w:r>
        <w:tab/>
      </w:r>
      <w:r>
        <w:tab/>
        <w:t>$1 240;</w:t>
      </w:r>
    </w:p>
    <w:p>
      <w:pPr>
        <w:pStyle w:val="BlankClose"/>
      </w:pPr>
    </w:p>
    <w:p>
      <w:pPr>
        <w:pStyle w:val="nzIndenta"/>
      </w:pPr>
      <w:r>
        <w:tab/>
        <w:t>(b)</w:t>
      </w:r>
      <w:r>
        <w:tab/>
        <w:t>in paragraph (b)(ii) delete “$540.” and insert:</w:t>
      </w:r>
    </w:p>
    <w:p>
      <w:pPr>
        <w:pStyle w:val="BlankOpen"/>
      </w:pPr>
    </w:p>
    <w:p>
      <w:pPr>
        <w:pStyle w:val="nzIndenta"/>
      </w:pPr>
      <w:r>
        <w:tab/>
      </w:r>
      <w:r>
        <w:tab/>
        <w:t>$620.</w:t>
      </w:r>
    </w:p>
    <w:p>
      <w:pPr>
        <w:pStyle w:val="BlankClose"/>
      </w:pPr>
    </w:p>
    <w:p>
      <w:pPr>
        <w:pStyle w:val="BlankClose"/>
      </w:pPr>
    </w:p>
    <w:p/>
    <w:p>
      <w:pPr>
        <w:pStyle w:val="DefinedTerms"/>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pPr>
        <w:pStyle w:val="DefinedTerms"/>
      </w:pPr>
    </w:p>
    <w:p>
      <w:pPr>
        <w:pStyle w:val="nHeading2"/>
        <w:rPr>
          <w:sz w:val="28"/>
        </w:rPr>
      </w:pPr>
      <w:bookmarkStart w:id="247" w:name="_Toc307322641"/>
      <w:r>
        <w:rPr>
          <w:sz w:val="28"/>
        </w:rPr>
        <w:t>Defined Terms</w:t>
      </w:r>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8" w:name="DefinedTerms"/>
      <w:bookmarkEnd w:id="248"/>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AQF Implementation handbook</w:t>
      </w:r>
      <w:r>
        <w:tab/>
        <w:t>3</w:t>
      </w:r>
    </w:p>
    <w:p>
      <w:pPr>
        <w:pStyle w:val="DefinedTerms"/>
      </w:pPr>
      <w:r>
        <w:t>AQTF</w:t>
      </w:r>
      <w:r>
        <w:tab/>
        <w:t>3</w:t>
      </w:r>
    </w:p>
    <w:p>
      <w:pPr>
        <w:pStyle w:val="DefinedTerms"/>
      </w:pPr>
      <w:r>
        <w:t>associate</w:t>
      </w:r>
      <w:r>
        <w:tab/>
        <w:t>12(1)</w:t>
      </w:r>
    </w:p>
    <w:p>
      <w:pPr>
        <w:pStyle w:val="DefinedTerms"/>
      </w:pPr>
      <w:r>
        <w:t>child</w:t>
      </w:r>
      <w:r>
        <w:tab/>
        <w:t>40(1)</w:t>
      </w:r>
    </w:p>
    <w:p>
      <w:pPr>
        <w:pStyle w:val="DefinedTerms"/>
      </w:pPr>
      <w:r>
        <w:t>commencement</w:t>
      </w:r>
      <w:r>
        <w:tab/>
        <w:t>55, Sch. 2, cl. 1</w:t>
      </w:r>
    </w:p>
    <w:p>
      <w:pPr>
        <w:pStyle w:val="DefinedTerms"/>
      </w:pPr>
      <w:r>
        <w:t>compliance audit</w:t>
      </w:r>
      <w:r>
        <w:tab/>
        <w:t>7(1), 24</w:t>
      </w:r>
    </w:p>
    <w:p>
      <w:pPr>
        <w:pStyle w:val="DefinedTerms"/>
      </w:pPr>
      <w:r>
        <w:t>complying training plan</w:t>
      </w:r>
      <w:r>
        <w:tab/>
        <w:t>43(1)</w:t>
      </w:r>
    </w:p>
    <w:p>
      <w:pPr>
        <w:pStyle w:val="DefinedTerms"/>
      </w:pPr>
      <w:r>
        <w:t>compulsory education period</w:t>
      </w:r>
      <w:r>
        <w:tab/>
        <w:t>40(1)</w:t>
      </w:r>
    </w:p>
    <w:p>
      <w:pPr>
        <w:pStyle w:val="DefinedTerms"/>
      </w:pPr>
      <w:r>
        <w:t>continuing registration requirements</w:t>
      </w:r>
      <w:r>
        <w:tab/>
        <w:t>7(1)</w:t>
      </w:r>
    </w:p>
    <w:p>
      <w:pPr>
        <w:pStyle w:val="DefinedTerms"/>
      </w:pPr>
      <w:r>
        <w:t>initial registration requirements</w:t>
      </w:r>
      <w:r>
        <w:tab/>
        <w:t>7(1)</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nominated training provider</w:t>
      </w:r>
      <w:r>
        <w:tab/>
        <w:t>34</w:t>
      </w:r>
    </w:p>
    <w:p>
      <w:pPr>
        <w:pStyle w:val="DefinedTerms"/>
      </w:pPr>
      <w:r>
        <w:t>NTIS</w:t>
      </w:r>
      <w:r>
        <w:tab/>
        <w:t>3</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prescribed registration document</w:t>
      </w:r>
      <w:r>
        <w:tab/>
        <w:t>7(1)</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requirements</w:t>
      </w:r>
      <w:r>
        <w:tab/>
        <w:t>7(1)</w:t>
      </w:r>
    </w:p>
    <w:p>
      <w:pPr>
        <w:pStyle w:val="DefinedTerms"/>
      </w:pPr>
      <w:r>
        <w:t>scope of registration</w:t>
      </w:r>
      <w:r>
        <w:tab/>
        <w:t>7(1)</w:t>
      </w:r>
    </w:p>
    <w:p>
      <w:pPr>
        <w:pStyle w:val="DefinedTerms"/>
      </w:pPr>
      <w:r>
        <w:t>suspension notice</w:t>
      </w:r>
      <w:r>
        <w:tab/>
        <w:t>49(4)</w:t>
      </w:r>
    </w:p>
    <w:p>
      <w:pPr>
        <w:pStyle w:val="DefinedTerms"/>
      </w:pPr>
      <w:r>
        <w:t>trade apprentice</w:t>
      </w:r>
      <w:r>
        <w:tab/>
        <w:t>Sch. 2, cl. 1</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Pr>
        <w:pStyle w:val="DefinedTerms"/>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451"/>
    <w:docVar w:name="WAFER_20151209165451" w:val="RemoveTrackChanges"/>
    <w:docVar w:name="WAFER_20151209165451_GUID" w:val="c54a7af6-c4bf-4e91-b7fa-377904b21b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15470</Words>
  <Characters>82151</Characters>
  <Application>Microsoft Office Word</Application>
  <DocSecurity>0</DocSecurity>
  <Lines>2281</Lines>
  <Paragraphs>1435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General matters</vt:lpstr>
      <vt:lpstr>    Part 3 — Regulations for Part 7A of the Act</vt:lpstr>
      <vt:lpstr>        Division 1 — General matters</vt:lpstr>
      <vt:lpstr>        Division 2 — Registration of training providers</vt:lpstr>
      <vt:lpstr>        Division 3 — Audits of training providers</vt:lpstr>
      <vt:lpstr>        Division 4 — Obligations of registered training providers</vt:lpstr>
      <vt:lpstr>        Division 5 — Accreditation of VET courses</vt:lpstr>
      <vt:lpstr>    Part 4 — Regulations for Part 7 of the Act</vt:lpstr>
      <vt:lpstr>        Division 1 — General matters</vt:lpstr>
      <vt:lpstr>        Division 2 — Classifying prescribed VET qualifications</vt:lpstr>
      <vt:lpstr>        Division 3 — Training contracts</vt:lpstr>
      <vt:lpstr>        Division 4 — Procedure and appeals</vt:lpstr>
      <vt:lpstr>    Part 5 — Repeals and transitional matters</vt:lpstr>
      <vt:lpstr>    Schedule 1 — Training contract</vt:lpstr>
      <vt:lpstr>    Schedule 2 — Provisions about old agreements and old training contracts</vt:lpstr>
      <vt:lpstr>    Notes</vt:lpstr>
      <vt:lpstr>    Defined Terms</vt:lpstr>
    </vt:vector>
  </TitlesOfParts>
  <Manager/>
  <Company/>
  <LinksUpToDate>false</LinksUpToDate>
  <CharactersWithSpaces>96186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2009 - 00-c0-02</dc:title>
  <dc:subject/>
  <dc:creator/>
  <cp:keywords/>
  <dc:description/>
  <cp:lastModifiedBy>svcMRProcess</cp:lastModifiedBy>
  <cp:revision>4</cp:revision>
  <cp:lastPrinted>2009-06-10T03:07:00Z</cp:lastPrinted>
  <dcterms:created xsi:type="dcterms:W3CDTF">2018-09-18T04:11:00Z</dcterms:created>
  <dcterms:modified xsi:type="dcterms:W3CDTF">2018-09-18T04:11:00Z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20111026</vt:lpwstr>
  </property>
  <property fmtid="{D5CDD505-2E9C-101B-9397-08002B2CF9AE}" pid="4" name="AsAtDate">
    <vt:lpwstr>26 Oct 2011</vt:lpwstr>
  </property>
  <property fmtid="{D5CDD505-2E9C-101B-9397-08002B2CF9AE}" pid="5" name="Suffix">
    <vt:lpwstr>00-c0-02</vt:lpwstr>
  </property>
  <property fmtid="{D5CDD505-2E9C-101B-9397-08002B2CF9AE}" pid="6" name="OwlsUID">
    <vt:i4>41125</vt:i4>
  </property>
  <property fmtid="{D5CDD505-2E9C-101B-9397-08002B2CF9AE}" pid="7" name="DocumentType">
    <vt:lpwstr>Reg</vt:lpwstr>
  </property>
</Properties>
</file>