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Wills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spacing w:after="72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_Toc307394301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_Toc307394302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_Toc307394303 \h </w:instrText>
      </w:r>
      <w:r>
        <w:fldChar w:fldCharType="separate"/>
      </w:r>
      <w:r>
        <w:t>2</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_Toc307394304 \h </w:instrText>
      </w:r>
      <w:r>
        <w:fldChar w:fldCharType="separate"/>
      </w:r>
      <w:r>
        <w:t>3</w:t>
      </w:r>
      <w:r>
        <w:fldChar w:fldCharType="end"/>
      </w:r>
    </w:p>
    <w:p>
      <w:pPr>
        <w:pStyle w:val="TOC2"/>
        <w:tabs>
          <w:tab w:val="right" w:leader="dot" w:pos="7086"/>
        </w:tabs>
        <w:rPr>
          <w:b w:val="0"/>
          <w:sz w:val="24"/>
          <w:szCs w:val="24"/>
          <w:lang w:val="en-US"/>
        </w:rPr>
      </w:pPr>
      <w:r>
        <w:t>Part II — Dispositions and appointments by will</w:t>
      </w:r>
    </w:p>
    <w:p>
      <w:pPr>
        <w:pStyle w:val="TOC8"/>
        <w:rPr>
          <w:sz w:val="24"/>
          <w:szCs w:val="24"/>
          <w:lang w:val="en-US"/>
        </w:rPr>
      </w:pPr>
      <w:r>
        <w:t>6.</w:t>
      </w:r>
      <w:r>
        <w:tab/>
        <w:t>Provision that may be made by will</w:t>
      </w:r>
      <w:r>
        <w:tab/>
      </w:r>
      <w:r>
        <w:fldChar w:fldCharType="begin"/>
      </w:r>
      <w:r>
        <w:instrText xml:space="preserve"> PAGEREF _Toc307394306 \h </w:instrText>
      </w:r>
      <w:r>
        <w:fldChar w:fldCharType="separate"/>
      </w:r>
      <w:r>
        <w:t>4</w:t>
      </w:r>
      <w:r>
        <w:fldChar w:fldCharType="end"/>
      </w:r>
    </w:p>
    <w:p>
      <w:pPr>
        <w:pStyle w:val="TOC8"/>
        <w:rPr>
          <w:sz w:val="24"/>
          <w:szCs w:val="24"/>
          <w:lang w:val="en-US"/>
        </w:rPr>
      </w:pPr>
      <w:r>
        <w:t>7</w:t>
      </w:r>
      <w:r>
        <w:rPr>
          <w:snapToGrid w:val="0"/>
        </w:rPr>
        <w:t>.</w:t>
      </w:r>
      <w:r>
        <w:rPr>
          <w:snapToGrid w:val="0"/>
        </w:rPr>
        <w:tab/>
        <w:t>Age of capacity to make will</w:t>
      </w:r>
      <w:r>
        <w:tab/>
      </w:r>
      <w:r>
        <w:fldChar w:fldCharType="begin"/>
      </w:r>
      <w:r>
        <w:instrText xml:space="preserve"> PAGEREF _Toc307394307 \h </w:instrText>
      </w:r>
      <w:r>
        <w:fldChar w:fldCharType="separate"/>
      </w:r>
      <w:r>
        <w:t>4</w:t>
      </w:r>
      <w:r>
        <w:fldChar w:fldCharType="end"/>
      </w:r>
    </w:p>
    <w:p>
      <w:pPr>
        <w:pStyle w:val="TOC2"/>
        <w:tabs>
          <w:tab w:val="right" w:leader="dot" w:pos="7086"/>
        </w:tabs>
        <w:rPr>
          <w:b w:val="0"/>
          <w:sz w:val="24"/>
          <w:szCs w:val="24"/>
          <w:lang w:val="en-US"/>
        </w:rPr>
      </w:pPr>
      <w:r>
        <w:t>Part III — Execution of wills</w:t>
      </w:r>
    </w:p>
    <w:p>
      <w:pPr>
        <w:pStyle w:val="TOC8"/>
        <w:rPr>
          <w:sz w:val="24"/>
          <w:szCs w:val="24"/>
          <w:lang w:val="en-US"/>
        </w:rPr>
      </w:pPr>
      <w:r>
        <w:t>8</w:t>
      </w:r>
      <w:r>
        <w:rPr>
          <w:snapToGrid w:val="0"/>
        </w:rPr>
        <w:t>.</w:t>
      </w:r>
      <w:r>
        <w:rPr>
          <w:snapToGrid w:val="0"/>
        </w:rPr>
        <w:tab/>
        <w:t>Execution generally</w:t>
      </w:r>
      <w:r>
        <w:tab/>
      </w:r>
      <w:r>
        <w:fldChar w:fldCharType="begin"/>
      </w:r>
      <w:r>
        <w:instrText xml:space="preserve"> PAGEREF _Toc307394309 \h </w:instrText>
      </w:r>
      <w:r>
        <w:fldChar w:fldCharType="separate"/>
      </w:r>
      <w:r>
        <w:t>5</w:t>
      </w:r>
      <w:r>
        <w:fldChar w:fldCharType="end"/>
      </w:r>
    </w:p>
    <w:p>
      <w:pPr>
        <w:pStyle w:val="TOC8"/>
        <w:rPr>
          <w:sz w:val="24"/>
          <w:szCs w:val="24"/>
          <w:lang w:val="en-US"/>
        </w:rPr>
      </w:pPr>
      <w:r>
        <w:t>9</w:t>
      </w:r>
      <w:r>
        <w:rPr>
          <w:snapToGrid w:val="0"/>
        </w:rPr>
        <w:t>.</w:t>
      </w:r>
      <w:r>
        <w:rPr>
          <w:snapToGrid w:val="0"/>
        </w:rPr>
        <w:tab/>
        <w:t>Execution of will exercising a power of appointment</w:t>
      </w:r>
      <w:r>
        <w:tab/>
      </w:r>
      <w:r>
        <w:fldChar w:fldCharType="begin"/>
      </w:r>
      <w:r>
        <w:instrText xml:space="preserve"> PAGEREF _Toc307394310 \h </w:instrText>
      </w:r>
      <w:r>
        <w:fldChar w:fldCharType="separate"/>
      </w:r>
      <w:r>
        <w:t>5</w:t>
      </w:r>
      <w:r>
        <w:fldChar w:fldCharType="end"/>
      </w:r>
    </w:p>
    <w:p>
      <w:pPr>
        <w:pStyle w:val="TOC8"/>
        <w:rPr>
          <w:sz w:val="24"/>
          <w:szCs w:val="24"/>
          <w:lang w:val="en-US"/>
        </w:rPr>
      </w:pPr>
      <w:r>
        <w:t>10.</w:t>
      </w:r>
      <w:r>
        <w:tab/>
        <w:t>Alterations after execution</w:t>
      </w:r>
      <w:r>
        <w:tab/>
      </w:r>
      <w:r>
        <w:fldChar w:fldCharType="begin"/>
      </w:r>
      <w:r>
        <w:instrText xml:space="preserve"> PAGEREF _Toc307394311 \h </w:instrText>
      </w:r>
      <w:r>
        <w:fldChar w:fldCharType="separate"/>
      </w:r>
      <w:r>
        <w:t>6</w:t>
      </w:r>
      <w:r>
        <w:fldChar w:fldCharType="end"/>
      </w:r>
    </w:p>
    <w:p>
      <w:pPr>
        <w:pStyle w:val="TOC8"/>
        <w:rPr>
          <w:sz w:val="24"/>
          <w:szCs w:val="24"/>
          <w:lang w:val="en-US"/>
        </w:rPr>
      </w:pPr>
      <w:r>
        <w:t>11.</w:t>
      </w:r>
      <w:r>
        <w:tab/>
        <w:t>Situation in which a person cannot be a witness</w:t>
      </w:r>
      <w:r>
        <w:tab/>
      </w:r>
      <w:r>
        <w:fldChar w:fldCharType="begin"/>
      </w:r>
      <w:r>
        <w:instrText xml:space="preserve"> PAGEREF _Toc307394312 \h </w:instrText>
      </w:r>
      <w:r>
        <w:fldChar w:fldCharType="separate"/>
      </w:r>
      <w:r>
        <w:t>6</w:t>
      </w:r>
      <w:r>
        <w:fldChar w:fldCharType="end"/>
      </w:r>
    </w:p>
    <w:p>
      <w:pPr>
        <w:pStyle w:val="TOC2"/>
        <w:tabs>
          <w:tab w:val="right" w:leader="dot" w:pos="7086"/>
        </w:tabs>
        <w:rPr>
          <w:b w:val="0"/>
          <w:sz w:val="24"/>
          <w:szCs w:val="24"/>
          <w:lang w:val="en-US"/>
        </w:rPr>
      </w:pPr>
      <w:r>
        <w:t>Part V — Revocation of wills</w:t>
      </w:r>
    </w:p>
    <w:p>
      <w:pPr>
        <w:pStyle w:val="TOC8"/>
        <w:rPr>
          <w:sz w:val="24"/>
          <w:szCs w:val="24"/>
          <w:lang w:val="en-US"/>
        </w:rPr>
      </w:pPr>
      <w:r>
        <w:t>14</w:t>
      </w:r>
      <w:r>
        <w:rPr>
          <w:snapToGrid w:val="0"/>
        </w:rPr>
        <w:t>.</w:t>
      </w:r>
      <w:r>
        <w:rPr>
          <w:snapToGrid w:val="0"/>
        </w:rPr>
        <w:tab/>
        <w:t>Subsequent marriage</w:t>
      </w:r>
      <w:r>
        <w:tab/>
      </w:r>
      <w:r>
        <w:fldChar w:fldCharType="begin"/>
      </w:r>
      <w:r>
        <w:instrText xml:space="preserve"> PAGEREF _Toc307394314 \h </w:instrText>
      </w:r>
      <w:r>
        <w:fldChar w:fldCharType="separate"/>
      </w:r>
      <w:r>
        <w:t>7</w:t>
      </w:r>
      <w:r>
        <w:fldChar w:fldCharType="end"/>
      </w:r>
    </w:p>
    <w:p>
      <w:pPr>
        <w:pStyle w:val="TOC8"/>
        <w:rPr>
          <w:sz w:val="24"/>
          <w:szCs w:val="24"/>
          <w:lang w:val="en-US"/>
        </w:rPr>
      </w:pPr>
      <w:r>
        <w:t>14A.</w:t>
      </w:r>
      <w:r>
        <w:tab/>
        <w:t>Ending of marriage</w:t>
      </w:r>
      <w:r>
        <w:tab/>
      </w:r>
      <w:r>
        <w:fldChar w:fldCharType="begin"/>
      </w:r>
      <w:r>
        <w:instrText xml:space="preserve"> PAGEREF _Toc307394315 \h </w:instrText>
      </w:r>
      <w:r>
        <w:fldChar w:fldCharType="separate"/>
      </w:r>
      <w:r>
        <w:t>7</w:t>
      </w:r>
      <w:r>
        <w:fldChar w:fldCharType="end"/>
      </w:r>
    </w:p>
    <w:p>
      <w:pPr>
        <w:pStyle w:val="TOC8"/>
        <w:rPr>
          <w:sz w:val="24"/>
          <w:szCs w:val="24"/>
          <w:lang w:val="en-US"/>
        </w:rPr>
      </w:pPr>
      <w:r>
        <w:t>15.</w:t>
      </w:r>
      <w:r>
        <w:tab/>
        <w:t>When will revoked</w:t>
      </w:r>
      <w:r>
        <w:tab/>
      </w:r>
      <w:r>
        <w:fldChar w:fldCharType="begin"/>
      </w:r>
      <w:r>
        <w:instrText xml:space="preserve"> PAGEREF _Toc307394316 \h </w:instrText>
      </w:r>
      <w:r>
        <w:fldChar w:fldCharType="separate"/>
      </w:r>
      <w:r>
        <w:t>8</w:t>
      </w:r>
      <w:r>
        <w:fldChar w:fldCharType="end"/>
      </w:r>
    </w:p>
    <w:p>
      <w:pPr>
        <w:pStyle w:val="TOC8"/>
        <w:rPr>
          <w:sz w:val="24"/>
          <w:szCs w:val="24"/>
          <w:lang w:val="en-US"/>
        </w:rPr>
      </w:pPr>
      <w:r>
        <w:t>16</w:t>
      </w:r>
      <w:r>
        <w:rPr>
          <w:snapToGrid w:val="0"/>
        </w:rPr>
        <w:t>.</w:t>
      </w:r>
      <w:r>
        <w:rPr>
          <w:snapToGrid w:val="0"/>
        </w:rPr>
        <w:tab/>
        <w:t>How revoked will revived</w:t>
      </w:r>
      <w:r>
        <w:tab/>
      </w:r>
      <w:r>
        <w:fldChar w:fldCharType="begin"/>
      </w:r>
      <w:r>
        <w:instrText xml:space="preserve"> PAGEREF _Toc307394317 \h </w:instrText>
      </w:r>
      <w:r>
        <w:fldChar w:fldCharType="separate"/>
      </w:r>
      <w:r>
        <w:t>9</w:t>
      </w:r>
      <w:r>
        <w:fldChar w:fldCharType="end"/>
      </w:r>
    </w:p>
    <w:p>
      <w:pPr>
        <w:pStyle w:val="TOC2"/>
        <w:tabs>
          <w:tab w:val="right" w:leader="dot" w:pos="7086"/>
        </w:tabs>
        <w:rPr>
          <w:b w:val="0"/>
          <w:sz w:val="24"/>
          <w:szCs w:val="24"/>
          <w:lang w:val="en-US"/>
        </w:rPr>
      </w:pPr>
      <w:r>
        <w:t>Part VI — Privileged wills</w:t>
      </w:r>
    </w:p>
    <w:p>
      <w:pPr>
        <w:pStyle w:val="TOC8"/>
        <w:rPr>
          <w:sz w:val="24"/>
          <w:szCs w:val="24"/>
          <w:lang w:val="en-US"/>
        </w:rPr>
      </w:pPr>
      <w:r>
        <w:t>17.</w:t>
      </w:r>
      <w:r>
        <w:tab/>
        <w:t>Saving for wills and revocations made under former provisions</w:t>
      </w:r>
      <w:r>
        <w:tab/>
      </w:r>
      <w:r>
        <w:fldChar w:fldCharType="begin"/>
      </w:r>
      <w:r>
        <w:instrText xml:space="preserve"> PAGEREF _Toc307394319 \h </w:instrText>
      </w:r>
      <w:r>
        <w:fldChar w:fldCharType="separate"/>
      </w:r>
      <w:r>
        <w:t>10</w:t>
      </w:r>
      <w:r>
        <w:fldChar w:fldCharType="end"/>
      </w:r>
    </w:p>
    <w:p>
      <w:pPr>
        <w:pStyle w:val="TOC2"/>
        <w:tabs>
          <w:tab w:val="right" w:leader="dot" w:pos="7086"/>
        </w:tabs>
        <w:rPr>
          <w:b w:val="0"/>
          <w:sz w:val="24"/>
          <w:szCs w:val="24"/>
          <w:lang w:val="en-US"/>
        </w:rPr>
      </w:pPr>
      <w:r>
        <w:t>Part VII — Rules as to formal validity of wills</w:t>
      </w:r>
    </w:p>
    <w:p>
      <w:pPr>
        <w:pStyle w:val="TOC8"/>
        <w:rPr>
          <w:sz w:val="24"/>
          <w:szCs w:val="24"/>
          <w:lang w:val="en-US"/>
        </w:rPr>
      </w:pPr>
      <w:r>
        <w:t>20.</w:t>
      </w:r>
      <w:r>
        <w:tab/>
        <w:t>General rules as to formal validity</w:t>
      </w:r>
      <w:r>
        <w:tab/>
      </w:r>
      <w:r>
        <w:fldChar w:fldCharType="begin"/>
      </w:r>
      <w:r>
        <w:instrText xml:space="preserve"> PAGEREF _Toc307394321 \h </w:instrText>
      </w:r>
      <w:r>
        <w:fldChar w:fldCharType="separate"/>
      </w:r>
      <w:r>
        <w:t>11</w:t>
      </w:r>
      <w:r>
        <w:fldChar w:fldCharType="end"/>
      </w:r>
    </w:p>
    <w:p>
      <w:pPr>
        <w:pStyle w:val="TOC8"/>
        <w:rPr>
          <w:sz w:val="24"/>
          <w:szCs w:val="24"/>
          <w:lang w:val="en-US"/>
        </w:rPr>
      </w:pPr>
      <w:r>
        <w:t>21.</w:t>
      </w:r>
      <w:r>
        <w:tab/>
        <w:t>Ascertainment of system of internal law</w:t>
      </w:r>
      <w:r>
        <w:tab/>
      </w:r>
      <w:r>
        <w:fldChar w:fldCharType="begin"/>
      </w:r>
      <w:r>
        <w:instrText xml:space="preserve"> PAGEREF _Toc307394322 \h </w:instrText>
      </w:r>
      <w:r>
        <w:fldChar w:fldCharType="separate"/>
      </w:r>
      <w:r>
        <w:t>12</w:t>
      </w:r>
      <w:r>
        <w:fldChar w:fldCharType="end"/>
      </w:r>
    </w:p>
    <w:p>
      <w:pPr>
        <w:pStyle w:val="TOC2"/>
        <w:tabs>
          <w:tab w:val="right" w:leader="dot" w:pos="7086"/>
        </w:tabs>
        <w:rPr>
          <w:b w:val="0"/>
          <w:sz w:val="24"/>
          <w:szCs w:val="24"/>
          <w:lang w:val="en-US"/>
        </w:rPr>
      </w:pPr>
      <w:r>
        <w:t>Part VIII — The construction of wills</w:t>
      </w:r>
    </w:p>
    <w:p>
      <w:pPr>
        <w:pStyle w:val="TOC8"/>
        <w:rPr>
          <w:sz w:val="24"/>
          <w:szCs w:val="24"/>
          <w:lang w:val="en-US"/>
        </w:rPr>
      </w:pPr>
      <w:r>
        <w:t>24</w:t>
      </w:r>
      <w:r>
        <w:rPr>
          <w:snapToGrid w:val="0"/>
        </w:rPr>
        <w:t>.</w:t>
      </w:r>
      <w:r>
        <w:rPr>
          <w:snapToGrid w:val="0"/>
        </w:rPr>
        <w:tab/>
        <w:t>Change of domicile</w:t>
      </w:r>
      <w:r>
        <w:tab/>
      </w:r>
      <w:r>
        <w:fldChar w:fldCharType="begin"/>
      </w:r>
      <w:r>
        <w:instrText xml:space="preserve"> PAGEREF _Toc307394324 \h </w:instrText>
      </w:r>
      <w:r>
        <w:fldChar w:fldCharType="separate"/>
      </w:r>
      <w:r>
        <w:t>13</w:t>
      </w:r>
      <w:r>
        <w:fldChar w:fldCharType="end"/>
      </w:r>
    </w:p>
    <w:p>
      <w:pPr>
        <w:pStyle w:val="TOC8"/>
        <w:rPr>
          <w:sz w:val="24"/>
          <w:szCs w:val="24"/>
          <w:lang w:val="en-US"/>
        </w:rPr>
      </w:pPr>
      <w:r>
        <w:t>25.</w:t>
      </w:r>
      <w:r>
        <w:tab/>
        <w:t>Disposition of interest in property after making of will</w:t>
      </w:r>
      <w:r>
        <w:tab/>
      </w:r>
      <w:r>
        <w:fldChar w:fldCharType="begin"/>
      </w:r>
      <w:r>
        <w:instrText xml:space="preserve"> PAGEREF _Toc307394325 \h </w:instrText>
      </w:r>
      <w:r>
        <w:fldChar w:fldCharType="separate"/>
      </w:r>
      <w:r>
        <w:t>13</w:t>
      </w:r>
      <w:r>
        <w:fldChar w:fldCharType="end"/>
      </w:r>
    </w:p>
    <w:p>
      <w:pPr>
        <w:pStyle w:val="TOC8"/>
        <w:rPr>
          <w:sz w:val="24"/>
          <w:szCs w:val="24"/>
          <w:lang w:val="en-US"/>
        </w:rPr>
      </w:pPr>
      <w:r>
        <w:t>26</w:t>
      </w:r>
      <w:r>
        <w:rPr>
          <w:snapToGrid w:val="0"/>
        </w:rPr>
        <w:t>.</w:t>
      </w:r>
      <w:r>
        <w:rPr>
          <w:snapToGrid w:val="0"/>
        </w:rPr>
        <w:tab/>
        <w:t>General rules of construction</w:t>
      </w:r>
      <w:r>
        <w:tab/>
      </w:r>
      <w:r>
        <w:fldChar w:fldCharType="begin"/>
      </w:r>
      <w:r>
        <w:instrText xml:space="preserve"> PAGEREF _Toc307394326 \h </w:instrText>
      </w:r>
      <w:r>
        <w:fldChar w:fldCharType="separate"/>
      </w:r>
      <w:r>
        <w:t>13</w:t>
      </w:r>
      <w:r>
        <w:fldChar w:fldCharType="end"/>
      </w:r>
    </w:p>
    <w:p>
      <w:pPr>
        <w:pStyle w:val="TOC8"/>
        <w:rPr>
          <w:sz w:val="24"/>
          <w:szCs w:val="24"/>
          <w:lang w:val="en-US"/>
        </w:rPr>
      </w:pPr>
      <w:r>
        <w:t>27</w:t>
      </w:r>
      <w:r>
        <w:rPr>
          <w:snapToGrid w:val="0"/>
        </w:rPr>
        <w:t>.</w:t>
      </w:r>
      <w:r>
        <w:rPr>
          <w:snapToGrid w:val="0"/>
        </w:rPr>
        <w:tab/>
        <w:t>Statutory substitutional gift</w:t>
      </w:r>
      <w:r>
        <w:tab/>
      </w:r>
      <w:r>
        <w:fldChar w:fldCharType="begin"/>
      </w:r>
      <w:r>
        <w:instrText xml:space="preserve"> PAGEREF _Toc307394327 \h </w:instrText>
      </w:r>
      <w:r>
        <w:fldChar w:fldCharType="separate"/>
      </w:r>
      <w:r>
        <w:t>14</w:t>
      </w:r>
      <w:r>
        <w:fldChar w:fldCharType="end"/>
      </w:r>
    </w:p>
    <w:p>
      <w:pPr>
        <w:pStyle w:val="TOC8"/>
        <w:rPr>
          <w:sz w:val="24"/>
          <w:szCs w:val="24"/>
          <w:lang w:val="en-US"/>
        </w:rPr>
      </w:pPr>
      <w:r>
        <w:t>28</w:t>
      </w:r>
      <w:r>
        <w:rPr>
          <w:snapToGrid w:val="0"/>
        </w:rPr>
        <w:t>.</w:t>
      </w:r>
      <w:r>
        <w:rPr>
          <w:snapToGrid w:val="0"/>
        </w:rPr>
        <w:tab/>
        <w:t>Charges on property to be paid primarily out of property charged</w:t>
      </w:r>
      <w:r>
        <w:tab/>
      </w:r>
      <w:r>
        <w:fldChar w:fldCharType="begin"/>
      </w:r>
      <w:r>
        <w:instrText xml:space="preserve"> PAGEREF _Toc307394328 \h </w:instrText>
      </w:r>
      <w:r>
        <w:fldChar w:fldCharType="separate"/>
      </w:r>
      <w:r>
        <w:t>15</w:t>
      </w:r>
      <w:r>
        <w:fldChar w:fldCharType="end"/>
      </w:r>
    </w:p>
    <w:p>
      <w:pPr>
        <w:pStyle w:val="TOC8"/>
        <w:rPr>
          <w:sz w:val="24"/>
          <w:szCs w:val="24"/>
          <w:lang w:val="en-US"/>
        </w:rPr>
      </w:pPr>
      <w:r>
        <w:t>28A.</w:t>
      </w:r>
      <w:r>
        <w:tab/>
        <w:t>Use of extrinsic evidence to clarify a will</w:t>
      </w:r>
      <w:r>
        <w:tab/>
      </w:r>
      <w:r>
        <w:fldChar w:fldCharType="begin"/>
      </w:r>
      <w:r>
        <w:instrText xml:space="preserve"> PAGEREF _Toc307394329 \h </w:instrText>
      </w:r>
      <w:r>
        <w:fldChar w:fldCharType="separate"/>
      </w:r>
      <w:r>
        <w:t>16</w:t>
      </w:r>
      <w:r>
        <w:fldChar w:fldCharType="end"/>
      </w:r>
    </w:p>
    <w:p>
      <w:pPr>
        <w:pStyle w:val="TOC2"/>
        <w:tabs>
          <w:tab w:val="right" w:leader="dot" w:pos="7086"/>
        </w:tabs>
        <w:rPr>
          <w:b w:val="0"/>
          <w:sz w:val="24"/>
          <w:szCs w:val="24"/>
          <w:lang w:val="en-US"/>
        </w:rPr>
      </w:pPr>
      <w:r>
        <w:t>Part IX — Illegitimacy</w:t>
      </w:r>
      <w:r>
        <w:rPr>
          <w:b w:val="0"/>
          <w:bCs/>
        </w:rPr>
        <w:t> </w:t>
      </w:r>
    </w:p>
    <w:p>
      <w:pPr>
        <w:pStyle w:val="TOC8"/>
        <w:rPr>
          <w:sz w:val="24"/>
          <w:szCs w:val="24"/>
          <w:lang w:val="en-US"/>
        </w:rPr>
      </w:pPr>
      <w:r>
        <w:t>29</w:t>
      </w:r>
      <w:r>
        <w:rPr>
          <w:snapToGrid w:val="0"/>
        </w:rPr>
        <w:t>.</w:t>
      </w:r>
      <w:r>
        <w:rPr>
          <w:snapToGrid w:val="0"/>
        </w:rPr>
        <w:tab/>
        <w:t>Application of Part IX</w:t>
      </w:r>
      <w:r>
        <w:tab/>
      </w:r>
      <w:r>
        <w:fldChar w:fldCharType="begin"/>
      </w:r>
      <w:r>
        <w:instrText xml:space="preserve"> PAGEREF _Toc307394331 \h </w:instrText>
      </w:r>
      <w:r>
        <w:fldChar w:fldCharType="separate"/>
      </w:r>
      <w:r>
        <w:t>17</w:t>
      </w:r>
      <w:r>
        <w:fldChar w:fldCharType="end"/>
      </w:r>
    </w:p>
    <w:p>
      <w:pPr>
        <w:pStyle w:val="TOC8"/>
        <w:rPr>
          <w:sz w:val="24"/>
          <w:szCs w:val="24"/>
          <w:lang w:val="en-US"/>
        </w:rPr>
      </w:pPr>
      <w:r>
        <w:t>30</w:t>
      </w:r>
      <w:r>
        <w:rPr>
          <w:snapToGrid w:val="0"/>
        </w:rPr>
        <w:t>.</w:t>
      </w:r>
      <w:r>
        <w:rPr>
          <w:snapToGrid w:val="0"/>
        </w:rPr>
        <w:tab/>
        <w:t>Abolition of rule regarding illegitimates not in being</w:t>
      </w:r>
      <w:r>
        <w:tab/>
      </w:r>
      <w:r>
        <w:fldChar w:fldCharType="begin"/>
      </w:r>
      <w:r>
        <w:instrText xml:space="preserve"> PAGEREF _Toc307394332 \h </w:instrText>
      </w:r>
      <w:r>
        <w:fldChar w:fldCharType="separate"/>
      </w:r>
      <w:r>
        <w:t>17</w:t>
      </w:r>
      <w:r>
        <w:fldChar w:fldCharType="end"/>
      </w:r>
    </w:p>
    <w:p>
      <w:pPr>
        <w:pStyle w:val="TOC8"/>
        <w:rPr>
          <w:sz w:val="24"/>
          <w:szCs w:val="24"/>
          <w:lang w:val="en-US"/>
        </w:rPr>
      </w:pPr>
      <w:r>
        <w:t>31</w:t>
      </w:r>
      <w:r>
        <w:rPr>
          <w:snapToGrid w:val="0"/>
        </w:rPr>
        <w:t>.</w:t>
      </w:r>
      <w:r>
        <w:rPr>
          <w:snapToGrid w:val="0"/>
        </w:rPr>
        <w:tab/>
        <w:t>Determination of relationships</w:t>
      </w:r>
      <w:r>
        <w:tab/>
      </w:r>
      <w:r>
        <w:fldChar w:fldCharType="begin"/>
      </w:r>
      <w:r>
        <w:instrText xml:space="preserve"> PAGEREF _Toc307394333 \h </w:instrText>
      </w:r>
      <w:r>
        <w:fldChar w:fldCharType="separate"/>
      </w:r>
      <w:r>
        <w:t>17</w:t>
      </w:r>
      <w:r>
        <w:fldChar w:fldCharType="end"/>
      </w:r>
    </w:p>
    <w:p>
      <w:pPr>
        <w:pStyle w:val="TOC2"/>
        <w:tabs>
          <w:tab w:val="right" w:leader="dot" w:pos="7086"/>
        </w:tabs>
        <w:rPr>
          <w:b w:val="0"/>
          <w:sz w:val="24"/>
          <w:szCs w:val="24"/>
          <w:lang w:val="en-US"/>
        </w:rPr>
      </w:pPr>
      <w:r>
        <w:t>Part X — Informal wills</w:t>
      </w:r>
    </w:p>
    <w:p>
      <w:pPr>
        <w:pStyle w:val="TOC8"/>
        <w:rPr>
          <w:sz w:val="24"/>
          <w:szCs w:val="24"/>
          <w:lang w:val="en-US"/>
        </w:rPr>
      </w:pPr>
      <w:r>
        <w:t>32.</w:t>
      </w:r>
      <w:r>
        <w:tab/>
        <w:t>Court may dispense with formal requirements</w:t>
      </w:r>
      <w:r>
        <w:tab/>
      </w:r>
      <w:r>
        <w:fldChar w:fldCharType="begin"/>
      </w:r>
      <w:r>
        <w:instrText xml:space="preserve"> PAGEREF _Toc307394335 \h </w:instrText>
      </w:r>
      <w:r>
        <w:fldChar w:fldCharType="separate"/>
      </w:r>
      <w:r>
        <w:t>19</w:t>
      </w:r>
      <w:r>
        <w:fldChar w:fldCharType="end"/>
      </w:r>
    </w:p>
    <w:p>
      <w:pPr>
        <w:pStyle w:val="TOC8"/>
        <w:rPr>
          <w:sz w:val="24"/>
          <w:szCs w:val="24"/>
          <w:lang w:val="en-US"/>
        </w:rPr>
      </w:pPr>
      <w:r>
        <w:t>33.</w:t>
      </w:r>
      <w:r>
        <w:tab/>
        <w:t>Application of section 32</w:t>
      </w:r>
      <w:r>
        <w:tab/>
      </w:r>
      <w:r>
        <w:fldChar w:fldCharType="begin"/>
      </w:r>
      <w:r>
        <w:instrText xml:space="preserve"> PAGEREF _Toc307394336 \h </w:instrText>
      </w:r>
      <w:r>
        <w:fldChar w:fldCharType="separate"/>
      </w:r>
      <w:r>
        <w:t>20</w:t>
      </w:r>
      <w:r>
        <w:fldChar w:fldCharType="end"/>
      </w:r>
    </w:p>
    <w:p>
      <w:pPr>
        <w:pStyle w:val="TOC8"/>
        <w:rPr>
          <w:sz w:val="24"/>
          <w:szCs w:val="24"/>
          <w:lang w:val="en-US"/>
        </w:rPr>
      </w:pPr>
      <w:r>
        <w:t>38</w:t>
      </w:r>
      <w:r>
        <w:rPr>
          <w:snapToGrid w:val="0"/>
        </w:rPr>
        <w:t>.</w:t>
      </w:r>
      <w:r>
        <w:rPr>
          <w:snapToGrid w:val="0"/>
        </w:rPr>
        <w:tab/>
        <w:t>Modification of certain references to execution of will</w:t>
      </w:r>
      <w:r>
        <w:tab/>
      </w:r>
      <w:r>
        <w:fldChar w:fldCharType="begin"/>
      </w:r>
      <w:r>
        <w:instrText xml:space="preserve"> PAGEREF _Toc307394337 \h </w:instrText>
      </w:r>
      <w:r>
        <w:fldChar w:fldCharType="separate"/>
      </w:r>
      <w:r>
        <w:t>20</w:t>
      </w:r>
      <w:r>
        <w:fldChar w:fldCharType="end"/>
      </w:r>
    </w:p>
    <w:p>
      <w:pPr>
        <w:pStyle w:val="TOC2"/>
        <w:tabs>
          <w:tab w:val="right" w:leader="dot" w:pos="7086"/>
        </w:tabs>
        <w:rPr>
          <w:b w:val="0"/>
          <w:sz w:val="24"/>
          <w:szCs w:val="24"/>
          <w:lang w:val="en-US"/>
        </w:rPr>
      </w:pPr>
      <w:r>
        <w:t>Part XI</w:t>
      </w:r>
      <w:r>
        <w:rPr>
          <w:b w:val="0"/>
        </w:rPr>
        <w:t> </w:t>
      </w:r>
      <w:r>
        <w:t>—</w:t>
      </w:r>
      <w:r>
        <w:rPr>
          <w:b w:val="0"/>
        </w:rPr>
        <w:t> </w:t>
      </w:r>
      <w:r>
        <w:t>Wills of persons who lack testamentary capacity</w:t>
      </w:r>
    </w:p>
    <w:p>
      <w:pPr>
        <w:pStyle w:val="TOC4"/>
        <w:tabs>
          <w:tab w:val="right" w:leader="dot" w:pos="7086"/>
        </w:tabs>
        <w:rPr>
          <w:b w:val="0"/>
          <w:sz w:val="24"/>
          <w:szCs w:val="24"/>
          <w:lang w:val="en-US"/>
        </w:rPr>
      </w:pPr>
      <w:r>
        <w:t>Division 1 — Jurisdiction of Supreme Court to authorise the making, alteration and revocation of wills</w:t>
      </w:r>
    </w:p>
    <w:p>
      <w:pPr>
        <w:pStyle w:val="TOC8"/>
        <w:rPr>
          <w:sz w:val="24"/>
          <w:szCs w:val="24"/>
          <w:lang w:val="en-US"/>
        </w:rPr>
      </w:pPr>
      <w:r>
        <w:t>39.</w:t>
      </w:r>
      <w:r>
        <w:tab/>
        <w:t>Terms used</w:t>
      </w:r>
      <w:r>
        <w:tab/>
      </w:r>
      <w:r>
        <w:fldChar w:fldCharType="begin"/>
      </w:r>
      <w:r>
        <w:instrText xml:space="preserve"> PAGEREF _Toc307394340 \h </w:instrText>
      </w:r>
      <w:r>
        <w:fldChar w:fldCharType="separate"/>
      </w:r>
      <w:r>
        <w:t>21</w:t>
      </w:r>
      <w:r>
        <w:fldChar w:fldCharType="end"/>
      </w:r>
    </w:p>
    <w:p>
      <w:pPr>
        <w:pStyle w:val="TOC8"/>
        <w:rPr>
          <w:sz w:val="24"/>
          <w:szCs w:val="24"/>
          <w:lang w:val="en-US"/>
        </w:rPr>
      </w:pPr>
      <w:r>
        <w:t>40.</w:t>
      </w:r>
      <w:r>
        <w:tab/>
        <w:t>Jurisdiction of Court to make, alter or revoke will</w:t>
      </w:r>
      <w:r>
        <w:tab/>
      </w:r>
      <w:r>
        <w:fldChar w:fldCharType="begin"/>
      </w:r>
      <w:r>
        <w:instrText xml:space="preserve"> PAGEREF _Toc307394341 \h </w:instrText>
      </w:r>
      <w:r>
        <w:fldChar w:fldCharType="separate"/>
      </w:r>
      <w:r>
        <w:t>21</w:t>
      </w:r>
      <w:r>
        <w:fldChar w:fldCharType="end"/>
      </w:r>
    </w:p>
    <w:p>
      <w:pPr>
        <w:pStyle w:val="TOC8"/>
        <w:rPr>
          <w:sz w:val="24"/>
          <w:szCs w:val="24"/>
          <w:lang w:val="en-US"/>
        </w:rPr>
      </w:pPr>
      <w:r>
        <w:t>41.</w:t>
      </w:r>
      <w:r>
        <w:tab/>
        <w:t>Content of application under section 40</w:t>
      </w:r>
      <w:r>
        <w:tab/>
      </w:r>
      <w:r>
        <w:fldChar w:fldCharType="begin"/>
      </w:r>
      <w:r>
        <w:instrText xml:space="preserve"> PAGEREF _Toc307394342 \h </w:instrText>
      </w:r>
      <w:r>
        <w:fldChar w:fldCharType="separate"/>
      </w:r>
      <w:r>
        <w:t>22</w:t>
      </w:r>
      <w:r>
        <w:fldChar w:fldCharType="end"/>
      </w:r>
    </w:p>
    <w:p>
      <w:pPr>
        <w:pStyle w:val="TOC8"/>
        <w:rPr>
          <w:sz w:val="24"/>
          <w:szCs w:val="24"/>
          <w:lang w:val="en-US"/>
        </w:rPr>
      </w:pPr>
      <w:r>
        <w:t>42.</w:t>
      </w:r>
      <w:r>
        <w:tab/>
        <w:t>Certain criteria to be applied by Court</w:t>
      </w:r>
      <w:r>
        <w:tab/>
      </w:r>
      <w:r>
        <w:fldChar w:fldCharType="begin"/>
      </w:r>
      <w:r>
        <w:instrText xml:space="preserve"> PAGEREF _Toc307394343 \h </w:instrText>
      </w:r>
      <w:r>
        <w:fldChar w:fldCharType="separate"/>
      </w:r>
      <w:r>
        <w:t>24</w:t>
      </w:r>
      <w:r>
        <w:fldChar w:fldCharType="end"/>
      </w:r>
    </w:p>
    <w:p>
      <w:pPr>
        <w:pStyle w:val="TOC8"/>
        <w:rPr>
          <w:sz w:val="24"/>
          <w:szCs w:val="24"/>
          <w:lang w:val="en-US"/>
        </w:rPr>
      </w:pPr>
      <w:r>
        <w:t>43.</w:t>
      </w:r>
      <w:r>
        <w:tab/>
        <w:t>Further powers of Court</w:t>
      </w:r>
      <w:r>
        <w:tab/>
      </w:r>
      <w:r>
        <w:fldChar w:fldCharType="begin"/>
      </w:r>
      <w:r>
        <w:instrText xml:space="preserve"> PAGEREF _Toc307394344 \h </w:instrText>
      </w:r>
      <w:r>
        <w:fldChar w:fldCharType="separate"/>
      </w:r>
      <w:r>
        <w:t>24</w:t>
      </w:r>
      <w:r>
        <w:fldChar w:fldCharType="end"/>
      </w:r>
    </w:p>
    <w:p>
      <w:pPr>
        <w:pStyle w:val="TOC8"/>
        <w:rPr>
          <w:sz w:val="24"/>
          <w:szCs w:val="24"/>
          <w:lang w:val="en-US"/>
        </w:rPr>
      </w:pPr>
      <w:r>
        <w:t>44.</w:t>
      </w:r>
      <w:r>
        <w:tab/>
        <w:t>Deposit of wills made under this Part with Principal Registrar</w:t>
      </w:r>
      <w:r>
        <w:tab/>
      </w:r>
      <w:r>
        <w:fldChar w:fldCharType="begin"/>
      </w:r>
      <w:r>
        <w:instrText xml:space="preserve"> PAGEREF _Toc307394345 \h </w:instrText>
      </w:r>
      <w:r>
        <w:fldChar w:fldCharType="separate"/>
      </w:r>
      <w:r>
        <w:t>25</w:t>
      </w:r>
      <w:r>
        <w:fldChar w:fldCharType="end"/>
      </w:r>
    </w:p>
    <w:p>
      <w:pPr>
        <w:pStyle w:val="TOC8"/>
        <w:rPr>
          <w:sz w:val="24"/>
          <w:szCs w:val="24"/>
          <w:lang w:val="en-US"/>
        </w:rPr>
      </w:pPr>
      <w:r>
        <w:t>45.</w:t>
      </w:r>
      <w:r>
        <w:tab/>
        <w:t>Court may allow access to will</w:t>
      </w:r>
      <w:r>
        <w:tab/>
      </w:r>
      <w:r>
        <w:fldChar w:fldCharType="begin"/>
      </w:r>
      <w:r>
        <w:instrText xml:space="preserve"> PAGEREF _Toc307394346 \h </w:instrText>
      </w:r>
      <w:r>
        <w:fldChar w:fldCharType="separate"/>
      </w:r>
      <w:r>
        <w:t>26</w:t>
      </w:r>
      <w:r>
        <w:fldChar w:fldCharType="end"/>
      </w:r>
    </w:p>
    <w:p>
      <w:pPr>
        <w:pStyle w:val="TOC8"/>
        <w:rPr>
          <w:sz w:val="24"/>
          <w:szCs w:val="24"/>
          <w:lang w:val="en-US"/>
        </w:rPr>
      </w:pPr>
      <w:r>
        <w:t>46.</w:t>
      </w:r>
      <w:r>
        <w:tab/>
        <w:t>Alteration or revocation of will authorised under this Part</w:t>
      </w:r>
      <w:r>
        <w:tab/>
      </w:r>
      <w:r>
        <w:fldChar w:fldCharType="begin"/>
      </w:r>
      <w:r>
        <w:instrText xml:space="preserve"> PAGEREF _Toc307394347 \h </w:instrText>
      </w:r>
      <w:r>
        <w:fldChar w:fldCharType="separate"/>
      </w:r>
      <w:r>
        <w:t>26</w:t>
      </w:r>
      <w:r>
        <w:fldChar w:fldCharType="end"/>
      </w:r>
    </w:p>
    <w:p>
      <w:pPr>
        <w:pStyle w:val="TOC8"/>
        <w:rPr>
          <w:sz w:val="24"/>
          <w:szCs w:val="24"/>
          <w:lang w:val="en-US"/>
        </w:rPr>
      </w:pPr>
      <w:r>
        <w:t>47.</w:t>
      </w:r>
      <w:r>
        <w:tab/>
        <w:t>Protection of privacy of persons to whom applications relate</w:t>
      </w:r>
      <w:r>
        <w:tab/>
      </w:r>
      <w:r>
        <w:fldChar w:fldCharType="begin"/>
      </w:r>
      <w:r>
        <w:instrText xml:space="preserve"> PAGEREF _Toc307394348 \h </w:instrText>
      </w:r>
      <w:r>
        <w:fldChar w:fldCharType="separate"/>
      </w:r>
      <w:r>
        <w:t>27</w:t>
      </w:r>
      <w:r>
        <w:fldChar w:fldCharType="end"/>
      </w:r>
    </w:p>
    <w:p>
      <w:pPr>
        <w:pStyle w:val="TOC4"/>
        <w:tabs>
          <w:tab w:val="right" w:leader="dot" w:pos="7086"/>
        </w:tabs>
        <w:rPr>
          <w:b w:val="0"/>
          <w:sz w:val="24"/>
          <w:szCs w:val="24"/>
          <w:lang w:val="en-US"/>
        </w:rPr>
      </w:pPr>
      <w:r>
        <w:t>Division 2 — Wills of persons who lack testamentary capacity made under the law of another place</w:t>
      </w:r>
    </w:p>
    <w:p>
      <w:pPr>
        <w:pStyle w:val="TOC8"/>
        <w:rPr>
          <w:sz w:val="24"/>
          <w:szCs w:val="24"/>
          <w:lang w:val="en-US"/>
        </w:rPr>
      </w:pPr>
      <w:r>
        <w:t>48.</w:t>
      </w:r>
      <w:r>
        <w:tab/>
        <w:t>Recognition of wills</w:t>
      </w:r>
      <w:r>
        <w:tab/>
      </w:r>
      <w:r>
        <w:fldChar w:fldCharType="begin"/>
      </w:r>
      <w:r>
        <w:instrText xml:space="preserve"> PAGEREF _Toc307394350 \h </w:instrText>
      </w:r>
      <w:r>
        <w:fldChar w:fldCharType="separate"/>
      </w:r>
      <w:r>
        <w:t>27</w:t>
      </w:r>
      <w:r>
        <w:fldChar w:fldCharType="end"/>
      </w:r>
    </w:p>
    <w:p>
      <w:pPr>
        <w:pStyle w:val="TOC2"/>
        <w:tabs>
          <w:tab w:val="right" w:leader="dot" w:pos="7086"/>
        </w:tabs>
        <w:rPr>
          <w:b w:val="0"/>
          <w:sz w:val="24"/>
          <w:szCs w:val="24"/>
          <w:lang w:val="en-US"/>
        </w:rPr>
      </w:pPr>
      <w:r>
        <w:t>Part XII — Rectification of wills by Supreme Court</w:t>
      </w:r>
    </w:p>
    <w:p>
      <w:pPr>
        <w:pStyle w:val="TOC8"/>
        <w:rPr>
          <w:sz w:val="24"/>
          <w:szCs w:val="24"/>
          <w:lang w:val="en-US"/>
        </w:rPr>
      </w:pPr>
      <w:r>
        <w:t>49</w:t>
      </w:r>
      <w:r>
        <w:rPr>
          <w:rFonts w:eastAsia="Arial Unicode MS"/>
        </w:rPr>
        <w:t>.</w:t>
      </w:r>
      <w:r>
        <w:rPr>
          <w:rFonts w:eastAsia="Arial Unicode MS"/>
        </w:rPr>
        <w:tab/>
        <w:t>Term used: Court</w:t>
      </w:r>
      <w:r>
        <w:tab/>
      </w:r>
      <w:r>
        <w:fldChar w:fldCharType="begin"/>
      </w:r>
      <w:r>
        <w:instrText xml:space="preserve"> PAGEREF _Toc307394352 \h </w:instrText>
      </w:r>
      <w:r>
        <w:fldChar w:fldCharType="separate"/>
      </w:r>
      <w:r>
        <w:t>29</w:t>
      </w:r>
      <w:r>
        <w:fldChar w:fldCharType="end"/>
      </w:r>
    </w:p>
    <w:p>
      <w:pPr>
        <w:pStyle w:val="TOC8"/>
        <w:rPr>
          <w:sz w:val="24"/>
          <w:szCs w:val="24"/>
          <w:lang w:val="en-US"/>
        </w:rPr>
      </w:pPr>
      <w:r>
        <w:t>50</w:t>
      </w:r>
      <w:r>
        <w:rPr>
          <w:rFonts w:eastAsia="Arial Unicode MS"/>
        </w:rPr>
        <w:t>.</w:t>
      </w:r>
      <w:r>
        <w:rPr>
          <w:rFonts w:eastAsia="Arial Unicode MS"/>
        </w:rPr>
        <w:tab/>
      </w:r>
      <w:r>
        <w:rPr>
          <w:lang w:val="en-US"/>
        </w:rPr>
        <w:t>Court may rectify a will</w:t>
      </w:r>
      <w:r>
        <w:tab/>
      </w:r>
      <w:r>
        <w:fldChar w:fldCharType="begin"/>
      </w:r>
      <w:r>
        <w:instrText xml:space="preserve"> PAGEREF _Toc307394353 \h </w:instrText>
      </w:r>
      <w:r>
        <w:fldChar w:fldCharType="separate"/>
      </w:r>
      <w:r>
        <w:t>29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_Toc307394355 \h </w:instrText>
      </w:r>
      <w:r>
        <w:fldChar w:fldCharType="separate"/>
      </w:r>
      <w:r>
        <w:t>30</w:t>
      </w:r>
      <w:r>
        <w:fldChar w:fldCharType="end"/>
      </w:r>
    </w:p>
    <w:p>
      <w:pPr>
        <w:pStyle w:val="TOC8"/>
        <w:rPr>
          <w:sz w:val="24"/>
          <w:szCs w:val="24"/>
          <w:lang w:val="en-US"/>
        </w:rPr>
      </w:pPr>
      <w:r>
        <w:tab/>
        <w:t>Provisions that have not come into operation</w:t>
      </w:r>
      <w:r>
        <w:tab/>
      </w:r>
      <w:r>
        <w:fldChar w:fldCharType="begin"/>
      </w:r>
      <w:r>
        <w:instrText xml:space="preserve"> PAGEREF _Toc307394356 \h </w:instrText>
      </w:r>
      <w:r>
        <w:fldChar w:fldCharType="separate"/>
      </w:r>
      <w:r>
        <w:t>31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1" w:name="_Toc190224338"/>
      <w:bookmarkStart w:id="2" w:name="_Toc229899606"/>
      <w:bookmarkStart w:id="3" w:name="_Toc229899726"/>
      <w:bookmarkStart w:id="4" w:name="_Toc233433091"/>
      <w:bookmarkStart w:id="5" w:name="_Toc233596991"/>
      <w:bookmarkStart w:id="6" w:name="_Toc234129392"/>
      <w:bookmarkStart w:id="7" w:name="_Toc234129559"/>
      <w:bookmarkStart w:id="8" w:name="_Toc307394231"/>
      <w:bookmarkStart w:id="9" w:name="_Toc3073943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07394301"/>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1" w:name="_Toc307394302"/>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2" w:name="_Toc307394303"/>
      <w:r>
        <w:rPr>
          <w:rStyle w:val="CharSectno"/>
        </w:rPr>
        <w:t>4</w:t>
      </w:r>
      <w:r>
        <w:rPr>
          <w:snapToGrid w:val="0"/>
        </w:rPr>
        <w:t>.</w:t>
      </w:r>
      <w:r>
        <w:rPr>
          <w:snapToGrid w:val="0"/>
        </w:rPr>
        <w:tab/>
        <w:t>Terms used</w:t>
      </w:r>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13" w:name="_Toc307394304"/>
      <w:r>
        <w:rPr>
          <w:rStyle w:val="CharSectno"/>
        </w:rPr>
        <w:t>5</w:t>
      </w:r>
      <w:r>
        <w:rPr>
          <w:snapToGrid w:val="0"/>
        </w:rPr>
        <w:t>.</w:t>
      </w:r>
      <w:r>
        <w:rPr>
          <w:snapToGrid w:val="0"/>
        </w:rPr>
        <w:tab/>
        <w:t>Application of Act</w:t>
      </w:r>
      <w:bookmarkEnd w:id="13"/>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4" w:name="_Toc190224343"/>
      <w:bookmarkStart w:id="15" w:name="_Toc229899611"/>
      <w:bookmarkStart w:id="16" w:name="_Toc229899731"/>
      <w:bookmarkStart w:id="17" w:name="_Toc233433096"/>
      <w:bookmarkStart w:id="18" w:name="_Toc233596996"/>
      <w:bookmarkStart w:id="19" w:name="_Toc234129397"/>
      <w:bookmarkStart w:id="20" w:name="_Toc234129564"/>
      <w:bookmarkStart w:id="21" w:name="_Toc307394236"/>
      <w:bookmarkStart w:id="22" w:name="_Toc307394305"/>
      <w:r>
        <w:rPr>
          <w:rStyle w:val="CharPartNo"/>
        </w:rPr>
        <w:t>Part II</w:t>
      </w:r>
      <w:r>
        <w:rPr>
          <w:rStyle w:val="CharDivNo"/>
        </w:rPr>
        <w:t> </w:t>
      </w:r>
      <w:r>
        <w:t>—</w:t>
      </w:r>
      <w:r>
        <w:rPr>
          <w:rStyle w:val="CharDivText"/>
        </w:rPr>
        <w:t> </w:t>
      </w:r>
      <w:r>
        <w:rPr>
          <w:rStyle w:val="CharPartText"/>
        </w:rPr>
        <w:t>Dispositions and appointments by will</w:t>
      </w:r>
      <w:bookmarkEnd w:id="14"/>
      <w:bookmarkEnd w:id="15"/>
      <w:bookmarkEnd w:id="16"/>
      <w:bookmarkEnd w:id="17"/>
      <w:bookmarkEnd w:id="18"/>
      <w:bookmarkEnd w:id="19"/>
      <w:bookmarkEnd w:id="20"/>
      <w:bookmarkEnd w:id="21"/>
      <w:bookmarkEnd w:id="22"/>
      <w:r>
        <w:rPr>
          <w:rStyle w:val="CharPartText"/>
        </w:rPr>
        <w:t xml:space="preserve"> </w:t>
      </w:r>
    </w:p>
    <w:p>
      <w:pPr>
        <w:pStyle w:val="Heading5"/>
      </w:pPr>
      <w:bookmarkStart w:id="23" w:name="_Toc307394306"/>
      <w:r>
        <w:rPr>
          <w:rStyle w:val="CharSectno"/>
        </w:rPr>
        <w:t>6</w:t>
      </w:r>
      <w:r>
        <w:t>.</w:t>
      </w:r>
      <w:r>
        <w:tab/>
        <w:t>Provision that may be made by will</w:t>
      </w:r>
      <w:bookmarkEnd w:id="23"/>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24" w:name="_Toc307394307"/>
      <w:r>
        <w:rPr>
          <w:rStyle w:val="CharSectno"/>
        </w:rPr>
        <w:t>7</w:t>
      </w:r>
      <w:r>
        <w:rPr>
          <w:snapToGrid w:val="0"/>
        </w:rPr>
        <w:t>.</w:t>
      </w:r>
      <w:r>
        <w:rPr>
          <w:snapToGrid w:val="0"/>
        </w:rPr>
        <w:tab/>
        <w:t>Age of capacity to make will</w:t>
      </w:r>
      <w:bookmarkEnd w:id="24"/>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25" w:name="_Toc190224346"/>
      <w:bookmarkStart w:id="26" w:name="_Toc229899614"/>
      <w:bookmarkStart w:id="27" w:name="_Toc229899734"/>
      <w:bookmarkStart w:id="28" w:name="_Toc233433099"/>
      <w:bookmarkStart w:id="29" w:name="_Toc233596999"/>
      <w:bookmarkStart w:id="30" w:name="_Toc234129400"/>
      <w:bookmarkStart w:id="31" w:name="_Toc234129567"/>
      <w:bookmarkStart w:id="32" w:name="_Toc307394239"/>
      <w:bookmarkStart w:id="33" w:name="_Toc307394308"/>
      <w:r>
        <w:rPr>
          <w:rStyle w:val="CharPartNo"/>
        </w:rPr>
        <w:t>Part III</w:t>
      </w:r>
      <w:r>
        <w:rPr>
          <w:rStyle w:val="CharDivNo"/>
        </w:rPr>
        <w:t> </w:t>
      </w:r>
      <w:r>
        <w:t>—</w:t>
      </w:r>
      <w:r>
        <w:rPr>
          <w:rStyle w:val="CharDivText"/>
        </w:rPr>
        <w:t> </w:t>
      </w:r>
      <w:r>
        <w:rPr>
          <w:rStyle w:val="CharPartText"/>
        </w:rPr>
        <w:t>Execution of wills</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07394309"/>
      <w:r>
        <w:rPr>
          <w:rStyle w:val="CharSectno"/>
        </w:rPr>
        <w:t>8</w:t>
      </w:r>
      <w:r>
        <w:rPr>
          <w:snapToGrid w:val="0"/>
        </w:rPr>
        <w:t>.</w:t>
      </w:r>
      <w:r>
        <w:rPr>
          <w:snapToGrid w:val="0"/>
        </w:rPr>
        <w:tab/>
        <w:t>Execution generally</w:t>
      </w:r>
      <w:bookmarkEnd w:id="34"/>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35" w:name="_Toc307394310"/>
      <w:r>
        <w:rPr>
          <w:rStyle w:val="CharSectno"/>
        </w:rPr>
        <w:t>9</w:t>
      </w:r>
      <w:r>
        <w:rPr>
          <w:snapToGrid w:val="0"/>
        </w:rPr>
        <w:t>.</w:t>
      </w:r>
      <w:r>
        <w:rPr>
          <w:snapToGrid w:val="0"/>
        </w:rPr>
        <w:tab/>
        <w:t>Execution of will exercising a power of appointment</w:t>
      </w:r>
      <w:bookmarkEnd w:id="35"/>
      <w:r>
        <w:rPr>
          <w:snapToGrid w:val="0"/>
        </w:rPr>
        <w:t xml:space="preserve"> </w:t>
      </w:r>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36" w:name="_Toc307394311"/>
      <w:r>
        <w:rPr>
          <w:rStyle w:val="CharSectno"/>
        </w:rPr>
        <w:t>10</w:t>
      </w:r>
      <w:r>
        <w:t>.</w:t>
      </w:r>
      <w:r>
        <w:tab/>
        <w:t>Alterations after execution</w:t>
      </w:r>
      <w:bookmarkEnd w:id="36"/>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Footnotesection"/>
      </w:pPr>
      <w:r>
        <w:tab/>
        <w:t>[Section 10 inserted by No. 27 of 2007 s. 9.]</w:t>
      </w:r>
    </w:p>
    <w:p>
      <w:pPr>
        <w:pStyle w:val="Heading5"/>
      </w:pPr>
      <w:bookmarkStart w:id="37" w:name="_Toc307394312"/>
      <w:r>
        <w:rPr>
          <w:rStyle w:val="CharSectno"/>
        </w:rPr>
        <w:t>11</w:t>
      </w:r>
      <w:r>
        <w:t>.</w:t>
      </w:r>
      <w:r>
        <w:tab/>
        <w:t>Situation in which a person cannot be a witness</w:t>
      </w:r>
      <w:bookmarkEnd w:id="37"/>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38" w:name="_Toc190224351"/>
      <w:bookmarkStart w:id="39" w:name="_Toc229899619"/>
      <w:bookmarkStart w:id="40" w:name="_Toc229899739"/>
      <w:bookmarkStart w:id="41" w:name="_Toc233433104"/>
      <w:bookmarkStart w:id="42" w:name="_Toc233597004"/>
      <w:bookmarkStart w:id="43" w:name="_Toc234129405"/>
      <w:bookmarkStart w:id="44" w:name="_Toc234129572"/>
      <w:bookmarkStart w:id="45" w:name="_Toc307394244"/>
      <w:bookmarkStart w:id="46" w:name="_Toc307394313"/>
      <w:r>
        <w:rPr>
          <w:rStyle w:val="CharPartNo"/>
        </w:rPr>
        <w:t>Part V</w:t>
      </w:r>
      <w:r>
        <w:rPr>
          <w:rStyle w:val="CharDivNo"/>
        </w:rPr>
        <w:t> </w:t>
      </w:r>
      <w:r>
        <w:t>—</w:t>
      </w:r>
      <w:r>
        <w:rPr>
          <w:rStyle w:val="CharDivText"/>
        </w:rPr>
        <w:t> </w:t>
      </w:r>
      <w:r>
        <w:rPr>
          <w:rStyle w:val="CharPartText"/>
        </w:rPr>
        <w:t>Revocation of wills</w:t>
      </w:r>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07394314"/>
      <w:r>
        <w:rPr>
          <w:rStyle w:val="CharSectno"/>
        </w:rPr>
        <w:t>14</w:t>
      </w:r>
      <w:r>
        <w:rPr>
          <w:snapToGrid w:val="0"/>
        </w:rPr>
        <w:t>.</w:t>
      </w:r>
      <w:r>
        <w:rPr>
          <w:snapToGrid w:val="0"/>
        </w:rPr>
        <w:tab/>
        <w:t>Subsequent marriage</w:t>
      </w:r>
      <w:bookmarkEnd w:id="47"/>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48" w:name="_Toc307394315"/>
      <w:r>
        <w:rPr>
          <w:rStyle w:val="CharSectno"/>
        </w:rPr>
        <w:t>14A</w:t>
      </w:r>
      <w:r>
        <w:t>.</w:t>
      </w:r>
      <w:r>
        <w:tab/>
        <w:t>Ending of marriage</w:t>
      </w:r>
      <w:bookmarkEnd w:id="48"/>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49" w:name="_Toc307394316"/>
      <w:r>
        <w:rPr>
          <w:rStyle w:val="CharSectno"/>
        </w:rPr>
        <w:t>15</w:t>
      </w:r>
      <w:r>
        <w:t>.</w:t>
      </w:r>
      <w:r>
        <w:tab/>
        <w:t>When will revoked</w:t>
      </w:r>
      <w:bookmarkEnd w:id="49"/>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Footnotesection"/>
        <w:rPr>
          <w:lang w:val="en-US"/>
        </w:rPr>
      </w:pPr>
      <w:r>
        <w:tab/>
        <w:t>[Section 15 inserted by No. 27 of 2007 s. 14.]</w:t>
      </w:r>
    </w:p>
    <w:p>
      <w:pPr>
        <w:pStyle w:val="Heading5"/>
        <w:rPr>
          <w:snapToGrid w:val="0"/>
        </w:rPr>
      </w:pPr>
      <w:bookmarkStart w:id="50" w:name="_Toc307394317"/>
      <w:r>
        <w:rPr>
          <w:rStyle w:val="CharSectno"/>
        </w:rPr>
        <w:t>16</w:t>
      </w:r>
      <w:r>
        <w:rPr>
          <w:snapToGrid w:val="0"/>
        </w:rPr>
        <w:t>.</w:t>
      </w:r>
      <w:r>
        <w:rPr>
          <w:snapToGrid w:val="0"/>
        </w:rPr>
        <w:tab/>
        <w:t>How revoked will revived</w:t>
      </w:r>
      <w:bookmarkEnd w:id="50"/>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r>
      <w:r>
        <w:rPr>
          <w:lang w:val="en-US"/>
        </w:rPr>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51" w:name="_Toc190224356"/>
      <w:bookmarkStart w:id="52" w:name="_Toc229899624"/>
      <w:bookmarkStart w:id="53" w:name="_Toc229899744"/>
      <w:bookmarkStart w:id="54" w:name="_Toc233433109"/>
      <w:bookmarkStart w:id="55" w:name="_Toc233597009"/>
      <w:bookmarkStart w:id="56" w:name="_Toc234129410"/>
      <w:bookmarkStart w:id="57" w:name="_Toc234129577"/>
      <w:bookmarkStart w:id="58" w:name="_Toc307394249"/>
      <w:bookmarkStart w:id="59" w:name="_Toc307394318"/>
      <w:r>
        <w:rPr>
          <w:rStyle w:val="CharPartNo"/>
        </w:rPr>
        <w:t>Part VI</w:t>
      </w:r>
      <w:r>
        <w:rPr>
          <w:rStyle w:val="CharDivNo"/>
        </w:rPr>
        <w:t> </w:t>
      </w:r>
      <w:r>
        <w:t>—</w:t>
      </w:r>
      <w:r>
        <w:rPr>
          <w:rStyle w:val="CharDivText"/>
        </w:rPr>
        <w:t> </w:t>
      </w:r>
      <w:r>
        <w:rPr>
          <w:rStyle w:val="CharPartText"/>
        </w:rPr>
        <w:t>Privileged wills</w:t>
      </w:r>
      <w:bookmarkEnd w:id="51"/>
      <w:bookmarkEnd w:id="52"/>
      <w:bookmarkEnd w:id="53"/>
      <w:bookmarkEnd w:id="54"/>
      <w:bookmarkEnd w:id="55"/>
      <w:bookmarkEnd w:id="56"/>
      <w:bookmarkEnd w:id="57"/>
      <w:bookmarkEnd w:id="58"/>
      <w:bookmarkEnd w:id="59"/>
      <w:r>
        <w:rPr>
          <w:rStyle w:val="CharPartText"/>
        </w:rPr>
        <w:t xml:space="preserve"> </w:t>
      </w:r>
    </w:p>
    <w:p>
      <w:pPr>
        <w:pStyle w:val="Heading5"/>
      </w:pPr>
      <w:bookmarkStart w:id="60" w:name="_Toc307394319"/>
      <w:r>
        <w:rPr>
          <w:rStyle w:val="CharSectno"/>
        </w:rPr>
        <w:t>17</w:t>
      </w:r>
      <w:r>
        <w:t>.</w:t>
      </w:r>
      <w:r>
        <w:tab/>
        <w:t>Saving for wills and revocations made under former provisions</w:t>
      </w:r>
      <w:bookmarkEnd w:id="60"/>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61" w:name="_Toc190224358"/>
      <w:bookmarkStart w:id="62" w:name="_Toc229899626"/>
      <w:bookmarkStart w:id="63" w:name="_Toc229899746"/>
      <w:bookmarkStart w:id="64" w:name="_Toc233433111"/>
      <w:bookmarkStart w:id="65" w:name="_Toc233597011"/>
      <w:bookmarkStart w:id="66" w:name="_Toc234129412"/>
      <w:bookmarkStart w:id="67" w:name="_Toc234129579"/>
      <w:bookmarkStart w:id="68" w:name="_Toc307394251"/>
      <w:bookmarkStart w:id="69" w:name="_Toc307394320"/>
      <w:r>
        <w:rPr>
          <w:rStyle w:val="CharPartNo"/>
        </w:rPr>
        <w:t>Part VII</w:t>
      </w:r>
      <w:r>
        <w:rPr>
          <w:rStyle w:val="CharDivNo"/>
        </w:rPr>
        <w:t> </w:t>
      </w:r>
      <w:r>
        <w:t>—</w:t>
      </w:r>
      <w:r>
        <w:rPr>
          <w:rStyle w:val="CharDivText"/>
        </w:rPr>
        <w:t> </w:t>
      </w:r>
      <w:r>
        <w:rPr>
          <w:rStyle w:val="CharPartText"/>
        </w:rPr>
        <w:t>Rules as to formal validity of wills</w:t>
      </w:r>
      <w:bookmarkEnd w:id="61"/>
      <w:bookmarkEnd w:id="62"/>
      <w:bookmarkEnd w:id="63"/>
      <w:bookmarkEnd w:id="64"/>
      <w:bookmarkEnd w:id="65"/>
      <w:bookmarkEnd w:id="66"/>
      <w:bookmarkEnd w:id="67"/>
      <w:bookmarkEnd w:id="68"/>
      <w:bookmarkEnd w:id="69"/>
      <w:r>
        <w:rPr>
          <w:rStyle w:val="CharPartText"/>
        </w:rPr>
        <w:t xml:space="preserve"> </w:t>
      </w:r>
    </w:p>
    <w:p>
      <w:pPr>
        <w:pStyle w:val="Heading5"/>
      </w:pPr>
      <w:bookmarkStart w:id="70" w:name="_Toc307394321"/>
      <w:r>
        <w:rPr>
          <w:rStyle w:val="CharSectno"/>
        </w:rPr>
        <w:t>20</w:t>
      </w:r>
      <w:r>
        <w:t>.</w:t>
      </w:r>
      <w:r>
        <w:tab/>
        <w:t>General rules as to formal validity</w:t>
      </w:r>
      <w:bookmarkEnd w:id="70"/>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71" w:name="_Toc307394322"/>
      <w:r>
        <w:rPr>
          <w:rStyle w:val="CharSectno"/>
        </w:rPr>
        <w:t>21</w:t>
      </w:r>
      <w:r>
        <w:t>.</w:t>
      </w:r>
      <w:r>
        <w:tab/>
        <w:t>Ascertainment of system of internal law</w:t>
      </w:r>
      <w:bookmarkEnd w:id="71"/>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72" w:name="_Toc190224361"/>
      <w:bookmarkStart w:id="73" w:name="_Toc229899629"/>
      <w:bookmarkStart w:id="74" w:name="_Toc229899749"/>
      <w:bookmarkStart w:id="75" w:name="_Toc233433114"/>
      <w:bookmarkStart w:id="76" w:name="_Toc233597014"/>
      <w:bookmarkStart w:id="77" w:name="_Toc234129415"/>
      <w:bookmarkStart w:id="78" w:name="_Toc234129582"/>
      <w:bookmarkStart w:id="79" w:name="_Toc307394254"/>
      <w:bookmarkStart w:id="80" w:name="_Toc307394323"/>
      <w:r>
        <w:rPr>
          <w:rStyle w:val="CharPartNo"/>
        </w:rPr>
        <w:t>Part VIII</w:t>
      </w:r>
      <w:r>
        <w:rPr>
          <w:rStyle w:val="CharDivNo"/>
        </w:rPr>
        <w:t> </w:t>
      </w:r>
      <w:r>
        <w:t>—</w:t>
      </w:r>
      <w:r>
        <w:rPr>
          <w:rStyle w:val="CharDivText"/>
        </w:rPr>
        <w:t> </w:t>
      </w:r>
      <w:r>
        <w:rPr>
          <w:rStyle w:val="CharPartText"/>
        </w:rPr>
        <w:t>The construction of wills</w:t>
      </w:r>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307394324"/>
      <w:r>
        <w:rPr>
          <w:rStyle w:val="CharSectno"/>
        </w:rPr>
        <w:t>24</w:t>
      </w:r>
      <w:r>
        <w:rPr>
          <w:snapToGrid w:val="0"/>
        </w:rPr>
        <w:t>.</w:t>
      </w:r>
      <w:r>
        <w:rPr>
          <w:snapToGrid w:val="0"/>
        </w:rPr>
        <w:tab/>
        <w:t>Change of domicile</w:t>
      </w:r>
      <w:bookmarkEnd w:id="81"/>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82" w:name="_Toc307394325"/>
      <w:r>
        <w:rPr>
          <w:rStyle w:val="CharSectno"/>
        </w:rPr>
        <w:t>25</w:t>
      </w:r>
      <w:r>
        <w:t>.</w:t>
      </w:r>
      <w:r>
        <w:tab/>
        <w:t>Disposition of interest in property after making of will</w:t>
      </w:r>
      <w:bookmarkEnd w:id="82"/>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Footnotesection"/>
      </w:pPr>
      <w:r>
        <w:tab/>
        <w:t>[Section 25 inserted by No. 27 of 2007 s. 18.]</w:t>
      </w:r>
    </w:p>
    <w:p>
      <w:pPr>
        <w:pStyle w:val="Heading5"/>
        <w:rPr>
          <w:snapToGrid w:val="0"/>
        </w:rPr>
      </w:pPr>
      <w:bookmarkStart w:id="83" w:name="_Toc307394326"/>
      <w:r>
        <w:rPr>
          <w:rStyle w:val="CharSectno"/>
        </w:rPr>
        <w:t>26</w:t>
      </w:r>
      <w:r>
        <w:rPr>
          <w:snapToGrid w:val="0"/>
        </w:rPr>
        <w:t>.</w:t>
      </w:r>
      <w:r>
        <w:rPr>
          <w:snapToGrid w:val="0"/>
        </w:rPr>
        <w:tab/>
        <w:t>General rules of construction</w:t>
      </w:r>
      <w:bookmarkEnd w:id="83"/>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84" w:name="_Toc307394327"/>
      <w:r>
        <w:rPr>
          <w:rStyle w:val="CharSectno"/>
        </w:rPr>
        <w:t>27</w:t>
      </w:r>
      <w:r>
        <w:rPr>
          <w:snapToGrid w:val="0"/>
        </w:rPr>
        <w:t>.</w:t>
      </w:r>
      <w:r>
        <w:rPr>
          <w:snapToGrid w:val="0"/>
        </w:rPr>
        <w:tab/>
        <w:t>Statutory substitutional gift</w:t>
      </w:r>
      <w:bookmarkEnd w:id="84"/>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85" w:name="_Toc307394328"/>
      <w:r>
        <w:rPr>
          <w:rStyle w:val="CharSectno"/>
        </w:rPr>
        <w:t>28</w:t>
      </w:r>
      <w:r>
        <w:rPr>
          <w:snapToGrid w:val="0"/>
        </w:rPr>
        <w:t>.</w:t>
      </w:r>
      <w:r>
        <w:rPr>
          <w:snapToGrid w:val="0"/>
        </w:rPr>
        <w:tab/>
        <w:t>Charges on property to be paid primarily out of property charged</w:t>
      </w:r>
      <w:bookmarkEnd w:id="85"/>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86" w:name="_Toc307394329"/>
      <w:r>
        <w:rPr>
          <w:rStyle w:val="CharSectno"/>
        </w:rPr>
        <w:t>28A</w:t>
      </w:r>
      <w:r>
        <w:t>.</w:t>
      </w:r>
      <w:r>
        <w:tab/>
        <w:t>Use of extrinsic evidence to clarify a will</w:t>
      </w:r>
      <w:bookmarkEnd w:id="86"/>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87" w:name="_Toc190224368"/>
      <w:bookmarkStart w:id="88" w:name="_Toc229899636"/>
      <w:bookmarkStart w:id="89" w:name="_Toc229899756"/>
      <w:bookmarkStart w:id="90" w:name="_Toc233433121"/>
      <w:bookmarkStart w:id="91" w:name="_Toc233597021"/>
      <w:bookmarkStart w:id="92" w:name="_Toc234129422"/>
      <w:bookmarkStart w:id="93" w:name="_Toc234129589"/>
      <w:bookmarkStart w:id="94" w:name="_Toc307394261"/>
      <w:bookmarkStart w:id="95" w:name="_Toc307394330"/>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87"/>
      <w:bookmarkEnd w:id="88"/>
      <w:bookmarkEnd w:id="89"/>
      <w:bookmarkEnd w:id="90"/>
      <w:bookmarkEnd w:id="91"/>
      <w:bookmarkEnd w:id="92"/>
      <w:bookmarkEnd w:id="93"/>
      <w:bookmarkEnd w:id="94"/>
      <w:bookmarkEnd w:id="95"/>
    </w:p>
    <w:p>
      <w:pPr>
        <w:pStyle w:val="Footnoteheading"/>
        <w:ind w:left="890"/>
        <w:rPr>
          <w:snapToGrid w:val="0"/>
        </w:rPr>
      </w:pPr>
      <w:r>
        <w:rPr>
          <w:snapToGrid w:val="0"/>
        </w:rPr>
        <w:tab/>
        <w:t xml:space="preserve">[Heading inserted by No. 20 of 1971 s. 3.] </w:t>
      </w:r>
    </w:p>
    <w:p>
      <w:pPr>
        <w:pStyle w:val="Heading5"/>
        <w:rPr>
          <w:snapToGrid w:val="0"/>
        </w:rPr>
      </w:pPr>
      <w:bookmarkStart w:id="96" w:name="_Toc307394331"/>
      <w:r>
        <w:rPr>
          <w:rStyle w:val="CharSectno"/>
        </w:rPr>
        <w:t>29</w:t>
      </w:r>
      <w:r>
        <w:rPr>
          <w:snapToGrid w:val="0"/>
        </w:rPr>
        <w:t>.</w:t>
      </w:r>
      <w:r>
        <w:rPr>
          <w:snapToGrid w:val="0"/>
        </w:rPr>
        <w:tab/>
        <w:t>Application of Part IX</w:t>
      </w:r>
      <w:bookmarkEnd w:id="96"/>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97" w:name="_Toc307394332"/>
      <w:r>
        <w:rPr>
          <w:rStyle w:val="CharSectno"/>
        </w:rPr>
        <w:t>30</w:t>
      </w:r>
      <w:r>
        <w:rPr>
          <w:snapToGrid w:val="0"/>
        </w:rPr>
        <w:t>.</w:t>
      </w:r>
      <w:r>
        <w:rPr>
          <w:snapToGrid w:val="0"/>
        </w:rPr>
        <w:tab/>
        <w:t>Abolition of rule regarding illegitimates not in being</w:t>
      </w:r>
      <w:bookmarkEnd w:id="97"/>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98" w:name="_Toc307394333"/>
      <w:r>
        <w:rPr>
          <w:rStyle w:val="CharSectno"/>
        </w:rPr>
        <w:t>31</w:t>
      </w:r>
      <w:r>
        <w:rPr>
          <w:snapToGrid w:val="0"/>
        </w:rPr>
        <w:t>.</w:t>
      </w:r>
      <w:r>
        <w:rPr>
          <w:snapToGrid w:val="0"/>
        </w:rPr>
        <w:tab/>
        <w:t>Determination of relationships</w:t>
      </w:r>
      <w:bookmarkEnd w:id="98"/>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99" w:name="_Toc190224372"/>
      <w:bookmarkStart w:id="100" w:name="_Toc229899640"/>
      <w:bookmarkStart w:id="101" w:name="_Toc229899760"/>
      <w:bookmarkStart w:id="102" w:name="_Toc233433125"/>
      <w:bookmarkStart w:id="103" w:name="_Toc233597025"/>
      <w:bookmarkStart w:id="104" w:name="_Toc234129426"/>
      <w:bookmarkStart w:id="105" w:name="_Toc234129593"/>
      <w:bookmarkStart w:id="106" w:name="_Toc307394265"/>
      <w:bookmarkStart w:id="107" w:name="_Toc307394334"/>
      <w:r>
        <w:rPr>
          <w:rStyle w:val="CharPartNo"/>
        </w:rPr>
        <w:t>Part X</w:t>
      </w:r>
      <w:r>
        <w:rPr>
          <w:rStyle w:val="CharDivNo"/>
        </w:rPr>
        <w:t> </w:t>
      </w:r>
      <w:r>
        <w:t>—</w:t>
      </w:r>
      <w:r>
        <w:rPr>
          <w:rStyle w:val="CharDivText"/>
        </w:rPr>
        <w:t> </w:t>
      </w:r>
      <w:r>
        <w:rPr>
          <w:rStyle w:val="CharPartText"/>
        </w:rPr>
        <w:t>Informal wills</w:t>
      </w:r>
      <w:bookmarkEnd w:id="99"/>
      <w:bookmarkEnd w:id="100"/>
      <w:bookmarkEnd w:id="101"/>
      <w:bookmarkEnd w:id="102"/>
      <w:bookmarkEnd w:id="103"/>
      <w:bookmarkEnd w:id="104"/>
      <w:bookmarkEnd w:id="105"/>
      <w:bookmarkEnd w:id="106"/>
      <w:bookmarkEnd w:id="107"/>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08" w:name="_Toc307394335"/>
      <w:r>
        <w:rPr>
          <w:rStyle w:val="CharSectno"/>
        </w:rPr>
        <w:t>32</w:t>
      </w:r>
      <w:r>
        <w:t>.</w:t>
      </w:r>
      <w:r>
        <w:tab/>
        <w:t>Court may dispense with formal requirements</w:t>
      </w:r>
      <w:bookmarkEnd w:id="108"/>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109" w:name="_Toc307394336"/>
      <w:r>
        <w:rPr>
          <w:rStyle w:val="CharSectno"/>
        </w:rPr>
        <w:t>33</w:t>
      </w:r>
      <w:r>
        <w:t>.</w:t>
      </w:r>
      <w:r>
        <w:tab/>
        <w:t>Application of section 32</w:t>
      </w:r>
      <w:bookmarkEnd w:id="109"/>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110" w:name="_Toc307394337"/>
      <w:r>
        <w:rPr>
          <w:rStyle w:val="CharSectno"/>
        </w:rPr>
        <w:t>38</w:t>
      </w:r>
      <w:r>
        <w:rPr>
          <w:snapToGrid w:val="0"/>
        </w:rPr>
        <w:t>.</w:t>
      </w:r>
      <w:r>
        <w:rPr>
          <w:snapToGrid w:val="0"/>
        </w:rPr>
        <w:tab/>
        <w:t>Modification of certain references to execution of will</w:t>
      </w:r>
      <w:bookmarkEnd w:id="110"/>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111" w:name="_Toc190224376"/>
      <w:bookmarkStart w:id="112" w:name="_Toc229899644"/>
      <w:bookmarkStart w:id="113" w:name="_Toc229899764"/>
      <w:bookmarkStart w:id="114" w:name="_Toc233433129"/>
      <w:bookmarkStart w:id="115" w:name="_Toc233597029"/>
      <w:bookmarkStart w:id="116" w:name="_Toc234129430"/>
      <w:bookmarkStart w:id="117" w:name="_Toc234129597"/>
      <w:bookmarkStart w:id="118" w:name="_Toc307394269"/>
      <w:bookmarkStart w:id="119" w:name="_Toc307394338"/>
      <w:r>
        <w:rPr>
          <w:rStyle w:val="CharPartNo"/>
        </w:rPr>
        <w:t>Part XI</w:t>
      </w:r>
      <w:r>
        <w:rPr>
          <w:b w:val="0"/>
        </w:rPr>
        <w:t> </w:t>
      </w:r>
      <w:r>
        <w:t>—</w:t>
      </w:r>
      <w:r>
        <w:rPr>
          <w:b w:val="0"/>
        </w:rPr>
        <w:t> </w:t>
      </w:r>
      <w:r>
        <w:rPr>
          <w:rStyle w:val="CharPartText"/>
        </w:rPr>
        <w:t>Wills of persons who lack testamentary capacity</w:t>
      </w:r>
      <w:bookmarkEnd w:id="111"/>
      <w:bookmarkEnd w:id="112"/>
      <w:bookmarkEnd w:id="113"/>
      <w:bookmarkEnd w:id="114"/>
      <w:bookmarkEnd w:id="115"/>
      <w:bookmarkEnd w:id="116"/>
      <w:bookmarkEnd w:id="117"/>
      <w:bookmarkEnd w:id="118"/>
      <w:bookmarkEnd w:id="119"/>
    </w:p>
    <w:p>
      <w:pPr>
        <w:pStyle w:val="Footnoteheading"/>
      </w:pPr>
      <w:r>
        <w:tab/>
        <w:t>[Heading inserted by No. 27 of 2007 s. 24.]</w:t>
      </w:r>
    </w:p>
    <w:p>
      <w:pPr>
        <w:pStyle w:val="Heading3"/>
      </w:pPr>
      <w:bookmarkStart w:id="120" w:name="_Toc190224377"/>
      <w:bookmarkStart w:id="121" w:name="_Toc229899645"/>
      <w:bookmarkStart w:id="122" w:name="_Toc229899765"/>
      <w:bookmarkStart w:id="123" w:name="_Toc233433130"/>
      <w:bookmarkStart w:id="124" w:name="_Toc233597030"/>
      <w:bookmarkStart w:id="125" w:name="_Toc234129431"/>
      <w:bookmarkStart w:id="126" w:name="_Toc234129598"/>
      <w:bookmarkStart w:id="127" w:name="_Toc307394270"/>
      <w:bookmarkStart w:id="128" w:name="_Toc307394339"/>
      <w:r>
        <w:rPr>
          <w:rStyle w:val="CharDivNo"/>
        </w:rPr>
        <w:t>Division 1</w:t>
      </w:r>
      <w:r>
        <w:t> — </w:t>
      </w:r>
      <w:r>
        <w:rPr>
          <w:rStyle w:val="CharDivText"/>
        </w:rPr>
        <w:t>Jurisdiction of Supreme Court to authorise the making, alteration and revocation of wills</w:t>
      </w:r>
      <w:bookmarkEnd w:id="120"/>
      <w:bookmarkEnd w:id="121"/>
      <w:bookmarkEnd w:id="122"/>
      <w:bookmarkEnd w:id="123"/>
      <w:bookmarkEnd w:id="124"/>
      <w:bookmarkEnd w:id="125"/>
      <w:bookmarkEnd w:id="126"/>
      <w:bookmarkEnd w:id="127"/>
      <w:bookmarkEnd w:id="128"/>
    </w:p>
    <w:p>
      <w:pPr>
        <w:pStyle w:val="Footnoteheading"/>
      </w:pPr>
      <w:r>
        <w:tab/>
        <w:t>[Heading inserted by No. 27 of 2007 s. 24.]</w:t>
      </w:r>
    </w:p>
    <w:p>
      <w:pPr>
        <w:pStyle w:val="Heading5"/>
      </w:pPr>
      <w:bookmarkStart w:id="129" w:name="_Toc307394340"/>
      <w:r>
        <w:rPr>
          <w:rStyle w:val="CharSectno"/>
        </w:rPr>
        <w:t>39</w:t>
      </w:r>
      <w:r>
        <w:t>.</w:t>
      </w:r>
      <w:r>
        <w:tab/>
        <w:t>Terms used</w:t>
      </w:r>
      <w:bookmarkEnd w:id="129"/>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130" w:name="_Toc307394341"/>
      <w:r>
        <w:rPr>
          <w:rStyle w:val="CharSectno"/>
        </w:rPr>
        <w:t>40</w:t>
      </w:r>
      <w:r>
        <w:t>.</w:t>
      </w:r>
      <w:r>
        <w:tab/>
        <w:t>Jurisdiction of Court to make, alter or revoke will</w:t>
      </w:r>
      <w:bookmarkEnd w:id="130"/>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r>
        <w:rPr>
          <w:rStyle w:val="CharDefText"/>
        </w:rPr>
        <w:t>person concerned</w:t>
      </w:r>
      <w:r>
        <w:rPr>
          <w:lang w:val="en-US"/>
        </w:rPr>
        <w:t>).</w:t>
      </w:r>
    </w:p>
    <w:p>
      <w:pPr>
        <w:pStyle w:val="Subsection"/>
        <w:keepNext/>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131" w:name="_Toc307394342"/>
      <w:r>
        <w:rPr>
          <w:rStyle w:val="CharSectno"/>
        </w:rPr>
        <w:t>41</w:t>
      </w:r>
      <w:r>
        <w:t>.</w:t>
      </w:r>
      <w:r>
        <w:tab/>
        <w:t>Content of application under section 40</w:t>
      </w:r>
      <w:bookmarkEnd w:id="131"/>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w:t>
      </w:r>
      <w:r>
        <w:rPr>
          <w:lang w:val="en-US"/>
        </w:rPr>
        <w:t>a document that is a will by operation of Part X</w:t>
      </w:r>
      <w:r>
        <w:t>.</w:t>
      </w:r>
    </w:p>
    <w:p>
      <w:pPr>
        <w:pStyle w:val="Footnotesection"/>
      </w:pPr>
      <w:r>
        <w:tab/>
        <w:t>[Section 41 inserted by No. 27 of 2007 s. 24.]</w:t>
      </w:r>
    </w:p>
    <w:p>
      <w:pPr>
        <w:pStyle w:val="Heading5"/>
      </w:pPr>
      <w:bookmarkStart w:id="132" w:name="_Toc307394343"/>
      <w:r>
        <w:rPr>
          <w:rStyle w:val="CharSectno"/>
        </w:rPr>
        <w:t>42</w:t>
      </w:r>
      <w:r>
        <w:t>.</w:t>
      </w:r>
      <w:r>
        <w:tab/>
        <w:t>Certain criteria to be applied by Court</w:t>
      </w:r>
      <w:bookmarkEnd w:id="132"/>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133" w:name="_Toc307394344"/>
      <w:r>
        <w:rPr>
          <w:rStyle w:val="CharSectno"/>
        </w:rPr>
        <w:t>43</w:t>
      </w:r>
      <w:r>
        <w:t>.</w:t>
      </w:r>
      <w:r>
        <w:tab/>
        <w:t>Further powers of Court</w:t>
      </w:r>
      <w:bookmarkEnd w:id="133"/>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p>
    <w:p>
      <w:pPr>
        <w:pStyle w:val="Footnotesection"/>
      </w:pPr>
      <w:r>
        <w:tab/>
        <w:t>[Section 43 inserted by No. 27 of 2007 s. 24.]</w:t>
      </w:r>
    </w:p>
    <w:p>
      <w:pPr>
        <w:pStyle w:val="Heading5"/>
      </w:pPr>
      <w:bookmarkStart w:id="134" w:name="_Toc307394345"/>
      <w:r>
        <w:rPr>
          <w:rStyle w:val="CharSectno"/>
        </w:rPr>
        <w:t>44</w:t>
      </w:r>
      <w:r>
        <w:t>.</w:t>
      </w:r>
      <w:r>
        <w:tab/>
        <w:t>Deposit of wills made under this Part with Principal Registrar</w:t>
      </w:r>
      <w:bookmarkEnd w:id="134"/>
    </w:p>
    <w:p>
      <w:pPr>
        <w:pStyle w:val="Subsection"/>
      </w:pPr>
      <w:r>
        <w:tab/>
        <w:t>(1)</w:t>
      </w:r>
      <w:r>
        <w:tab/>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pPr>
      <w:r>
        <w:tab/>
        <w:t>[Section 44 inserted by No. 27 of 2007 s. 24.]</w:t>
      </w:r>
    </w:p>
    <w:p>
      <w:pPr>
        <w:pStyle w:val="Heading5"/>
      </w:pPr>
      <w:bookmarkStart w:id="135" w:name="_Toc307394346"/>
      <w:r>
        <w:rPr>
          <w:rStyle w:val="CharSectno"/>
        </w:rPr>
        <w:t>45</w:t>
      </w:r>
      <w:r>
        <w:t>.</w:t>
      </w:r>
      <w:r>
        <w:tab/>
        <w:t>Court may allow access to will</w:t>
      </w:r>
      <w:bookmarkEnd w:id="135"/>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136" w:name="_Toc307394347"/>
      <w:r>
        <w:rPr>
          <w:rStyle w:val="CharSectno"/>
        </w:rPr>
        <w:t>46</w:t>
      </w:r>
      <w:r>
        <w:t>.</w:t>
      </w:r>
      <w:r>
        <w:tab/>
        <w:t>Alteration or revocation of will authorised under this Part</w:t>
      </w:r>
      <w:bookmarkEnd w:id="136"/>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137" w:name="_Toc307394348"/>
      <w:r>
        <w:rPr>
          <w:rStyle w:val="CharSectno"/>
        </w:rPr>
        <w:t>47</w:t>
      </w:r>
      <w:r>
        <w:t>.</w:t>
      </w:r>
      <w:r>
        <w:tab/>
        <w:t>Protection of privacy of persons to whom applications relate</w:t>
      </w:r>
      <w:bookmarkEnd w:id="137"/>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38" w:name="_Toc190224387"/>
      <w:bookmarkStart w:id="139" w:name="_Toc229899655"/>
      <w:bookmarkStart w:id="140" w:name="_Toc229899775"/>
      <w:bookmarkStart w:id="141" w:name="_Toc233433140"/>
      <w:bookmarkStart w:id="142" w:name="_Toc233597040"/>
      <w:bookmarkStart w:id="143" w:name="_Toc234129441"/>
      <w:bookmarkStart w:id="144" w:name="_Toc234129608"/>
      <w:bookmarkStart w:id="145" w:name="_Toc307394280"/>
      <w:bookmarkStart w:id="146" w:name="_Toc307394349"/>
      <w:r>
        <w:rPr>
          <w:rStyle w:val="CharDivNo"/>
        </w:rPr>
        <w:t>Division 2</w:t>
      </w:r>
      <w:r>
        <w:t> — </w:t>
      </w:r>
      <w:r>
        <w:rPr>
          <w:rStyle w:val="CharDivText"/>
        </w:rPr>
        <w:t>Wills of persons who lack testamentary capacity made under the law of another place</w:t>
      </w:r>
      <w:bookmarkEnd w:id="138"/>
      <w:bookmarkEnd w:id="139"/>
      <w:bookmarkEnd w:id="140"/>
      <w:bookmarkEnd w:id="141"/>
      <w:bookmarkEnd w:id="142"/>
      <w:bookmarkEnd w:id="143"/>
      <w:bookmarkEnd w:id="144"/>
      <w:bookmarkEnd w:id="145"/>
      <w:bookmarkEnd w:id="146"/>
    </w:p>
    <w:p>
      <w:pPr>
        <w:pStyle w:val="Footnoteheading"/>
      </w:pPr>
      <w:r>
        <w:tab/>
        <w:t>[Heading inserted by No. 27 of 2007 s. 24.]</w:t>
      </w:r>
    </w:p>
    <w:p>
      <w:pPr>
        <w:pStyle w:val="Heading5"/>
      </w:pPr>
      <w:bookmarkStart w:id="147" w:name="_Toc307394350"/>
      <w:r>
        <w:rPr>
          <w:rStyle w:val="CharSectno"/>
        </w:rPr>
        <w:t>48</w:t>
      </w:r>
      <w:r>
        <w:t>.</w:t>
      </w:r>
      <w:r>
        <w:tab/>
        <w:t>Recognition of wills</w:t>
      </w:r>
      <w:bookmarkEnd w:id="147"/>
    </w:p>
    <w:p>
      <w:pPr>
        <w:pStyle w:val="Subsection"/>
        <w:rPr>
          <w:lang w:val="en-US"/>
        </w:rPr>
      </w:pPr>
      <w:r>
        <w:tab/>
        <w:t>(1)</w:t>
      </w:r>
      <w:r>
        <w:tab/>
      </w:r>
      <w:r>
        <w:rPr>
          <w:lang w:val="en-US"/>
        </w:rPr>
        <w:t xml:space="preserve">In this section — </w:t>
      </w:r>
    </w:p>
    <w:p>
      <w:pPr>
        <w:pStyle w:val="Defstart"/>
        <w:rPr>
          <w:lang w:val="en-US"/>
        </w:rPr>
      </w:pPr>
      <w:r>
        <w:rPr>
          <w:b/>
        </w:rPr>
        <w:tab/>
      </w:r>
      <w:r>
        <w:rPr>
          <w:rStyle w:val="CharDefText"/>
        </w:rPr>
        <w:t>statutory will</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148" w:name="_Toc190224389"/>
      <w:bookmarkStart w:id="149" w:name="_Toc229899657"/>
      <w:bookmarkStart w:id="150" w:name="_Toc229899777"/>
      <w:bookmarkStart w:id="151" w:name="_Toc233433142"/>
      <w:bookmarkStart w:id="152" w:name="_Toc233597042"/>
      <w:bookmarkStart w:id="153" w:name="_Toc234129443"/>
      <w:bookmarkStart w:id="154" w:name="_Toc234129610"/>
      <w:bookmarkStart w:id="155" w:name="_Toc307394282"/>
      <w:bookmarkStart w:id="156" w:name="_Toc307394351"/>
      <w:r>
        <w:rPr>
          <w:rStyle w:val="CharPartNo"/>
        </w:rPr>
        <w:t>Part XII</w:t>
      </w:r>
      <w:r>
        <w:rPr>
          <w:rStyle w:val="CharDivNo"/>
        </w:rPr>
        <w:t> </w:t>
      </w:r>
      <w:r>
        <w:t>—</w:t>
      </w:r>
      <w:r>
        <w:rPr>
          <w:rStyle w:val="CharDivText"/>
        </w:rPr>
        <w:t> </w:t>
      </w:r>
      <w:r>
        <w:rPr>
          <w:rStyle w:val="CharPartText"/>
        </w:rPr>
        <w:t>Rectification of wills by Supreme Court</w:t>
      </w:r>
      <w:bookmarkEnd w:id="148"/>
      <w:bookmarkEnd w:id="149"/>
      <w:bookmarkEnd w:id="150"/>
      <w:bookmarkEnd w:id="151"/>
      <w:bookmarkEnd w:id="152"/>
      <w:bookmarkEnd w:id="153"/>
      <w:bookmarkEnd w:id="154"/>
      <w:bookmarkEnd w:id="155"/>
      <w:bookmarkEnd w:id="156"/>
    </w:p>
    <w:p>
      <w:pPr>
        <w:pStyle w:val="Footnoteheading"/>
      </w:pPr>
      <w:r>
        <w:tab/>
        <w:t>[Heading inserted by No. 27 of 2007 s. 24.]</w:t>
      </w:r>
    </w:p>
    <w:p>
      <w:pPr>
        <w:pStyle w:val="Heading5"/>
        <w:rPr>
          <w:rFonts w:eastAsia="Arial Unicode MS"/>
        </w:rPr>
      </w:pPr>
      <w:bookmarkStart w:id="157" w:name="_Toc307394352"/>
      <w:r>
        <w:rPr>
          <w:rStyle w:val="CharSectno"/>
        </w:rPr>
        <w:t>49</w:t>
      </w:r>
      <w:r>
        <w:rPr>
          <w:rFonts w:eastAsia="Arial Unicode MS"/>
        </w:rPr>
        <w:t>.</w:t>
      </w:r>
      <w:r>
        <w:rPr>
          <w:rFonts w:eastAsia="Arial Unicode MS"/>
        </w:rPr>
        <w:tab/>
        <w:t>Term used: Court</w:t>
      </w:r>
      <w:bookmarkEnd w:id="157"/>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rPr>
          <w:lang w:val="en-US"/>
        </w:rPr>
      </w:pPr>
      <w:bookmarkStart w:id="158" w:name="_Toc307394353"/>
      <w:r>
        <w:rPr>
          <w:rStyle w:val="CharSectno"/>
        </w:rPr>
        <w:t>50</w:t>
      </w:r>
      <w:r>
        <w:rPr>
          <w:rFonts w:eastAsia="Arial Unicode MS"/>
        </w:rPr>
        <w:t>.</w:t>
      </w:r>
      <w:r>
        <w:rPr>
          <w:rFonts w:eastAsia="Arial Unicode MS"/>
        </w:rPr>
        <w:tab/>
      </w:r>
      <w:r>
        <w:rPr>
          <w:lang w:val="en-US"/>
        </w:rPr>
        <w:t>Court may rectify a will</w:t>
      </w:r>
      <w:bookmarkEnd w:id="158"/>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9" w:name="_Toc190224392"/>
      <w:bookmarkStart w:id="160" w:name="_Toc229899660"/>
      <w:bookmarkStart w:id="161" w:name="_Toc229899780"/>
      <w:bookmarkStart w:id="162" w:name="_Toc233433145"/>
      <w:bookmarkStart w:id="163" w:name="_Toc233597045"/>
      <w:bookmarkStart w:id="164" w:name="_Toc234129446"/>
      <w:bookmarkStart w:id="165" w:name="_Toc234129613"/>
      <w:bookmarkStart w:id="166" w:name="_Toc307394285"/>
      <w:bookmarkStart w:id="167" w:name="_Toc307394354"/>
      <w:r>
        <w:t>Notes</w:t>
      </w:r>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spacing w:before="140"/>
      </w:pPr>
      <w:bookmarkStart w:id="168" w:name="_Toc307394355"/>
      <w:r>
        <w:t>Compilation table</w:t>
      </w:r>
      <w:bookmarkEnd w:id="1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color w:val="000000"/>
                <w:sz w:val="19"/>
              </w:rPr>
              <w:t>s. 1 and 2: 1 Dec 1989;</w:t>
            </w:r>
            <w:r>
              <w:rPr>
                <w:color w:val="000000"/>
                <w:sz w:val="19"/>
              </w:rPr>
              <w:br/>
              <w:t xml:space="preserve">Act other than s. 1 and 2: </w:t>
            </w: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Pr>
          <w:p>
            <w:pPr>
              <w:pStyle w:val="nTable"/>
              <w:spacing w:after="40"/>
              <w:rPr>
                <w:sz w:val="19"/>
              </w:rPr>
            </w:pPr>
            <w:r>
              <w:rPr>
                <w:i/>
                <w:sz w:val="19"/>
              </w:rPr>
              <w:t>Wills Amendment Act 2007</w:t>
            </w:r>
            <w:r>
              <w:rPr>
                <w:iCs/>
                <w:sz w:val="19"/>
              </w:rPr>
              <w:t xml:space="preserve"> s. 3</w:t>
            </w:r>
            <w:r>
              <w:rPr>
                <w:iCs/>
                <w:sz w:val="19"/>
              </w:rPr>
              <w:noBreakHyphen/>
              <w:t>24</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z w:val="19"/>
              </w:rPr>
              <w:t xml:space="preserve">9 Feb 2008 (see s. 2 and </w:t>
            </w:r>
            <w:r>
              <w:rPr>
                <w:i/>
                <w:iCs/>
                <w:sz w:val="19"/>
              </w:rPr>
              <w:t>Gazette</w:t>
            </w:r>
            <w:r>
              <w:rPr>
                <w:sz w:val="19"/>
              </w:rPr>
              <w:t xml:space="preserve"> 8 Feb 2008 p. 313)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4: The </w:t>
            </w:r>
            <w:r>
              <w:rPr>
                <w:b/>
                <w:i/>
                <w:sz w:val="19"/>
              </w:rPr>
              <w:t>Wills Act 1970</w:t>
            </w:r>
            <w:r>
              <w:rPr>
                <w:b/>
                <w:sz w:val="19"/>
              </w:rPr>
              <w:t xml:space="preserve"> as at 3 Jul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 w:name="_Toc7405065"/>
      <w:bookmarkStart w:id="170" w:name="_Toc307394356"/>
      <w:r>
        <w:t>Provisions that have not come into operation</w:t>
      </w:r>
      <w:bookmarkEnd w:id="169"/>
      <w:bookmarkEnd w:id="1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118"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c>
          <w:tcPr>
            <w:tcW w:w="2268" w:type="dxa"/>
          </w:tcPr>
          <w:p>
            <w:pPr>
              <w:pStyle w:val="nTable"/>
              <w:keepNext/>
              <w:spacing w:after="40"/>
              <w:rPr>
                <w:i/>
                <w:snapToGrid w:val="0"/>
                <w:sz w:val="19"/>
                <w:vertAlign w:val="superscript"/>
                <w:lang w:val="en-US"/>
              </w:rPr>
            </w:pPr>
            <w:r>
              <w:rPr>
                <w:i/>
                <w:snapToGrid w:val="0"/>
                <w:sz w:val="19"/>
                <w:lang w:val="en-US"/>
              </w:rPr>
              <w:t>Inheritance (Family and Dependants Provision) Amendment Act 2011</w:t>
            </w:r>
            <w:r>
              <w:rPr>
                <w:snapToGrid w:val="0"/>
                <w:sz w:val="19"/>
                <w:lang w:val="en-US"/>
              </w:rPr>
              <w:t xml:space="preserve"> s. 17 </w:t>
            </w:r>
            <w:r>
              <w:rPr>
                <w:snapToGrid w:val="0"/>
                <w:sz w:val="19"/>
                <w:vertAlign w:val="superscript"/>
                <w:lang w:val="en-US"/>
              </w:rPr>
              <w:t>5</w:t>
            </w:r>
          </w:p>
        </w:tc>
        <w:tc>
          <w:tcPr>
            <w:tcW w:w="1118" w:type="dxa"/>
          </w:tcPr>
          <w:p>
            <w:pPr>
              <w:pStyle w:val="nTable"/>
              <w:keepNext/>
              <w:spacing w:after="40"/>
              <w:rPr>
                <w:snapToGrid w:val="0"/>
                <w:sz w:val="19"/>
                <w:lang w:val="en-US"/>
              </w:rPr>
            </w:pPr>
            <w:r>
              <w:rPr>
                <w:snapToGrid w:val="0"/>
                <w:sz w:val="19"/>
                <w:lang w:val="en-US"/>
              </w:rPr>
              <w:t>48 of 2011</w:t>
            </w:r>
          </w:p>
        </w:tc>
        <w:tc>
          <w:tcPr>
            <w:tcW w:w="1134" w:type="dxa"/>
          </w:tcPr>
          <w:p>
            <w:pPr>
              <w:pStyle w:val="nTable"/>
              <w:keepNext/>
              <w:spacing w:after="40"/>
              <w:rPr>
                <w:snapToGrid w:val="0"/>
                <w:sz w:val="19"/>
                <w:lang w:val="en-US"/>
              </w:rPr>
            </w:pPr>
            <w:r>
              <w:rPr>
                <w:snapToGrid w:val="0"/>
                <w:sz w:val="19"/>
                <w:lang w:val="en-US"/>
              </w:rPr>
              <w:t>25 Oct 2011</w:t>
            </w:r>
          </w:p>
        </w:tc>
        <w:tc>
          <w:tcPr>
            <w:tcW w:w="2552" w:type="dxa"/>
          </w:tcPr>
          <w:p>
            <w:pPr>
              <w:pStyle w:val="nTable"/>
              <w:keepNext/>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rPr>
          <w:snapToGrid w:val="0"/>
          <w:sz w:val="10"/>
        </w:rPr>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rPr>
          <w:sz w:val="10"/>
        </w:rPr>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Inheritance (Family and Dependants Provision) Amendment Act 2011</w:t>
      </w:r>
      <w:r>
        <w:rPr>
          <w:snapToGrid w:val="0"/>
        </w:rPr>
        <w:t> s. 17 had not come into operation.  It reads as follows:</w:t>
      </w:r>
    </w:p>
    <w:p>
      <w:pPr>
        <w:pStyle w:val="BlankOpen"/>
        <w:rPr>
          <w:vertAlign w:val="superscript"/>
        </w:rPr>
      </w:pPr>
    </w:p>
    <w:p>
      <w:pPr>
        <w:pStyle w:val="nzHeading5"/>
      </w:pPr>
      <w:bookmarkStart w:id="171" w:name="_Toc307303754"/>
      <w:r>
        <w:rPr>
          <w:rStyle w:val="CharSectno"/>
        </w:rPr>
        <w:t>17</w:t>
      </w:r>
      <w:r>
        <w:t>.</w:t>
      </w:r>
      <w:r>
        <w:tab/>
      </w:r>
      <w:r>
        <w:rPr>
          <w:i/>
        </w:rPr>
        <w:t>Wills Act 1970</w:t>
      </w:r>
      <w:r>
        <w:t xml:space="preserve"> amended</w:t>
      </w:r>
      <w:bookmarkEnd w:id="171"/>
    </w:p>
    <w:p>
      <w:pPr>
        <w:pStyle w:val="nzSubsection"/>
      </w:pPr>
      <w:r>
        <w:tab/>
        <w:t>(1)</w:t>
      </w:r>
      <w:r>
        <w:tab/>
        <w:t xml:space="preserve">This section amends the </w:t>
      </w:r>
      <w:r>
        <w:rPr>
          <w:i/>
        </w:rPr>
        <w:t>Wills Act 1970</w:t>
      </w:r>
      <w:r>
        <w:t>.</w:t>
      </w:r>
    </w:p>
    <w:p>
      <w:pPr>
        <w:pStyle w:val="nzSubsection"/>
      </w:pPr>
      <w:r>
        <w:tab/>
        <w:t>(2)</w:t>
      </w:r>
      <w:r>
        <w:tab/>
        <w:t>In section 41(1)(h)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BlankClose"/>
      </w:pP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172" w:name="_Toc229899782"/>
      <w:bookmarkStart w:id="173" w:name="_Toc233433147"/>
      <w:bookmarkStart w:id="174" w:name="_Toc233597047"/>
      <w:bookmarkStart w:id="175" w:name="_Toc234129448"/>
      <w:bookmarkStart w:id="176" w:name="_Toc234129615"/>
      <w:bookmarkStart w:id="177" w:name="_Toc307394288"/>
      <w:bookmarkStart w:id="178" w:name="_Toc307394357"/>
      <w:r>
        <w:rPr>
          <w:sz w:val="28"/>
        </w:rPr>
        <w:t>Defined Terms</w:t>
      </w:r>
      <w:bookmarkEnd w:id="172"/>
      <w:bookmarkEnd w:id="173"/>
      <w:bookmarkEnd w:id="174"/>
      <w:bookmarkEnd w:id="175"/>
      <w:bookmarkEnd w:id="176"/>
      <w:bookmarkEnd w:id="177"/>
      <w:bookmarkEnd w:id="17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9" w:name="DefinedTerms"/>
      <w:bookmarkEnd w:id="179"/>
      <w:r>
        <w:rPr>
          <w:snapToGrid w:val="0"/>
        </w:rPr>
        <w:t>apparent</w:t>
      </w:r>
      <w:r>
        <w:rPr>
          <w:snapToGrid w:val="0"/>
        </w:rPr>
        <w:tab/>
        <w:t>10(1)</w:t>
      </w:r>
    </w:p>
    <w:p>
      <w:pPr>
        <w:pStyle w:val="DefinedTerms"/>
        <w:rPr>
          <w:snapToGrid w:val="0"/>
        </w:rPr>
      </w:pPr>
      <w:r>
        <w:rPr>
          <w:snapToGrid w:val="0"/>
        </w:rPr>
        <w:t>country</w:t>
      </w:r>
      <w:r>
        <w:rPr>
          <w:snapToGrid w:val="0"/>
        </w:rPr>
        <w:tab/>
        <w:t>4</w:t>
      </w:r>
    </w:p>
    <w:p>
      <w:pPr>
        <w:pStyle w:val="DefinedTerms"/>
        <w:rPr>
          <w:snapToGrid w:val="0"/>
        </w:rPr>
      </w:pPr>
      <w:r>
        <w:rPr>
          <w:snapToGrid w:val="0"/>
        </w:rPr>
        <w:t>Court</w:t>
      </w:r>
      <w:r>
        <w:rPr>
          <w:snapToGrid w:val="0"/>
        </w:rPr>
        <w:tab/>
        <w:t>39(1), 49</w:t>
      </w:r>
    </w:p>
    <w:p>
      <w:pPr>
        <w:pStyle w:val="DefinedTerms"/>
        <w:rPr>
          <w:snapToGrid w:val="0"/>
        </w:rPr>
      </w:pPr>
      <w:r>
        <w:rPr>
          <w:snapToGrid w:val="0"/>
        </w:rPr>
        <w:t>dispose of</w:t>
      </w:r>
      <w:r>
        <w:rPr>
          <w:snapToGrid w:val="0"/>
        </w:rPr>
        <w:tab/>
        <w:t>4</w:t>
      </w:r>
    </w:p>
    <w:p>
      <w:pPr>
        <w:pStyle w:val="DefinedTerms"/>
        <w:rPr>
          <w:snapToGrid w:val="0"/>
        </w:rPr>
      </w:pPr>
      <w:r>
        <w:rPr>
          <w:snapToGrid w:val="0"/>
        </w:rPr>
        <w:t>disposition</w:t>
      </w:r>
      <w:r>
        <w:rPr>
          <w:snapToGrid w:val="0"/>
        </w:rPr>
        <w:tab/>
        <w:t>4</w:t>
      </w:r>
    </w:p>
    <w:p>
      <w:pPr>
        <w:pStyle w:val="DefinedTerms"/>
        <w:rPr>
          <w:snapToGrid w:val="0"/>
        </w:rPr>
      </w:pPr>
      <w:r>
        <w:rPr>
          <w:snapToGrid w:val="0"/>
        </w:rPr>
        <w:t>document</w:t>
      </w:r>
      <w:r>
        <w:rPr>
          <w:snapToGrid w:val="0"/>
        </w:rPr>
        <w:tab/>
        <w:t>32(1)</w:t>
      </w:r>
    </w:p>
    <w:p>
      <w:pPr>
        <w:pStyle w:val="DefinedTerms"/>
        <w:rPr>
          <w:snapToGrid w:val="0"/>
        </w:rPr>
      </w:pPr>
      <w:r>
        <w:rPr>
          <w:snapToGrid w:val="0"/>
        </w:rPr>
        <w:t xml:space="preserve">Family Court of </w:t>
      </w:r>
      <w:smartTag w:uri="urn:schemas-microsoft-com:office:smarttags" w:element="place">
        <w:smartTag w:uri="urn:schemas-microsoft-com:office:smarttags" w:element="country-region">
          <w:r>
            <w:rPr>
              <w:snapToGrid w:val="0"/>
            </w:rPr>
            <w:t>Australia</w:t>
          </w:r>
        </w:smartTag>
      </w:smartTag>
      <w:r>
        <w:rPr>
          <w:snapToGrid w:val="0"/>
        </w:rPr>
        <w:tab/>
        <w:t>14A(1)</w:t>
      </w:r>
    </w:p>
    <w:p>
      <w:pPr>
        <w:pStyle w:val="DefinedTerms"/>
        <w:rPr>
          <w:snapToGrid w:val="0"/>
        </w:rPr>
      </w:pPr>
      <w:r>
        <w:rPr>
          <w:snapToGrid w:val="0"/>
        </w:rPr>
        <w:t>Family Law Act</w:t>
      </w:r>
      <w:r>
        <w:rPr>
          <w:snapToGrid w:val="0"/>
        </w:rPr>
        <w:tab/>
        <w:t>14A(1)</w:t>
      </w:r>
    </w:p>
    <w:p>
      <w:pPr>
        <w:pStyle w:val="DefinedTerms"/>
        <w:rPr>
          <w:snapToGrid w:val="0"/>
        </w:rPr>
      </w:pPr>
      <w:r>
        <w:rPr>
          <w:snapToGrid w:val="0"/>
        </w:rPr>
        <w:t>internal law</w:t>
      </w:r>
      <w:r>
        <w:rPr>
          <w:snapToGrid w:val="0"/>
        </w:rPr>
        <w:tab/>
        <w:t>4</w:t>
      </w:r>
    </w:p>
    <w:p>
      <w:pPr>
        <w:pStyle w:val="DefinedTerms"/>
        <w:rPr>
          <w:snapToGrid w:val="0"/>
        </w:rPr>
      </w:pPr>
      <w:r>
        <w:rPr>
          <w:snapToGrid w:val="0"/>
        </w:rPr>
        <w:t>marriage</w:t>
      </w:r>
      <w:r>
        <w:rPr>
          <w:snapToGrid w:val="0"/>
        </w:rPr>
        <w:tab/>
        <w:t>4</w:t>
      </w:r>
    </w:p>
    <w:p>
      <w:pPr>
        <w:pStyle w:val="DefinedTerms"/>
        <w:rPr>
          <w:snapToGrid w:val="0"/>
        </w:rPr>
      </w:pPr>
      <w:r>
        <w:rPr>
          <w:snapToGrid w:val="0"/>
        </w:rPr>
        <w:t>person concerned</w:t>
      </w:r>
      <w:r>
        <w:rPr>
          <w:snapToGrid w:val="0"/>
        </w:rPr>
        <w:tab/>
        <w:t>39(1), 40(1)</w:t>
      </w:r>
    </w:p>
    <w:p>
      <w:pPr>
        <w:pStyle w:val="DefinedTerms"/>
        <w:rPr>
          <w:snapToGrid w:val="0"/>
        </w:rPr>
      </w:pPr>
      <w:r>
        <w:rPr>
          <w:snapToGrid w:val="0"/>
        </w:rPr>
        <w:t>place</w:t>
      </w:r>
      <w:r>
        <w:rPr>
          <w:snapToGrid w:val="0"/>
        </w:rPr>
        <w:tab/>
        <w:t>4</w:t>
      </w:r>
    </w:p>
    <w:p>
      <w:pPr>
        <w:pStyle w:val="DefinedTerms"/>
        <w:rPr>
          <w:snapToGrid w:val="0"/>
        </w:rPr>
      </w:pPr>
      <w:r>
        <w:rPr>
          <w:snapToGrid w:val="0"/>
        </w:rPr>
        <w:t>previous will</w:t>
      </w:r>
      <w:r>
        <w:rPr>
          <w:snapToGrid w:val="0"/>
        </w:rPr>
        <w:tab/>
        <w:t>41(2)</w:t>
      </w:r>
    </w:p>
    <w:p>
      <w:pPr>
        <w:pStyle w:val="DefinedTerms"/>
        <w:rPr>
          <w:snapToGrid w:val="0"/>
        </w:rPr>
      </w:pPr>
      <w:r>
        <w:rPr>
          <w:snapToGrid w:val="0"/>
        </w:rPr>
        <w:t>Principal Registrar</w:t>
      </w:r>
      <w:r>
        <w:rPr>
          <w:snapToGrid w:val="0"/>
        </w:rPr>
        <w:tab/>
        <w:t>39(1)</w:t>
      </w:r>
    </w:p>
    <w:p>
      <w:pPr>
        <w:pStyle w:val="DefinedTerms"/>
        <w:rPr>
          <w:snapToGrid w:val="0"/>
        </w:rPr>
      </w:pPr>
      <w:r>
        <w:rPr>
          <w:snapToGrid w:val="0"/>
        </w:rPr>
        <w:t>property</w:t>
      </w:r>
      <w:r>
        <w:rPr>
          <w:snapToGrid w:val="0"/>
        </w:rPr>
        <w:tab/>
        <w:t>4</w:t>
      </w:r>
    </w:p>
    <w:p>
      <w:pPr>
        <w:pStyle w:val="DefinedTerms"/>
        <w:rPr>
          <w:snapToGrid w:val="0"/>
        </w:rPr>
      </w:pPr>
      <w:r>
        <w:rPr>
          <w:snapToGrid w:val="0"/>
        </w:rPr>
        <w:t>statutory will</w:t>
      </w:r>
      <w:r>
        <w:rPr>
          <w:snapToGrid w:val="0"/>
        </w:rPr>
        <w:tab/>
        <w:t>48(1)</w:t>
      </w:r>
    </w:p>
    <w:p>
      <w:pPr>
        <w:pStyle w:val="DefinedTerms"/>
        <w:rPr>
          <w:snapToGrid w:val="0"/>
        </w:rPr>
      </w:pPr>
      <w:r>
        <w:rPr>
          <w:snapToGrid w:val="0"/>
        </w:rPr>
        <w:t>the repeal</w:t>
      </w:r>
      <w:r>
        <w:rPr>
          <w:snapToGrid w:val="0"/>
        </w:rPr>
        <w:tab/>
        <w:t>17(1)</w:t>
      </w:r>
    </w:p>
    <w:p>
      <w:pPr>
        <w:pStyle w:val="DefinedTerms"/>
        <w:rPr>
          <w:snapToGrid w:val="0"/>
        </w:rPr>
      </w:pPr>
      <w:r>
        <w:rPr>
          <w:snapToGrid w:val="0"/>
        </w:rPr>
        <w:t>will</w:t>
      </w:r>
      <w:r>
        <w:rPr>
          <w:snapToGrid w:val="0"/>
        </w:rPr>
        <w:tab/>
        <w:t>4, 41(2)</w:t>
      </w:r>
    </w:p>
    <w:p>
      <w:pPr>
        <w:pStyle w:val="DefinedTerms"/>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7877</Words>
  <Characters>35294</Characters>
  <Application>Microsoft Office Word</Application>
  <DocSecurity>0</DocSecurity>
  <Lines>980</Lines>
  <Paragraphs>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1970 - 04-b0-01</dc:title>
  <dc:subject/>
  <dc:creator/>
  <cp:keywords/>
  <dc:description/>
  <cp:lastModifiedBy>svcMRProcess</cp:lastModifiedBy>
  <cp:revision>4</cp:revision>
  <cp:lastPrinted>2009-07-14T03:02:00Z</cp:lastPrinted>
  <dcterms:created xsi:type="dcterms:W3CDTF">2018-09-09T15:22:00Z</dcterms:created>
  <dcterms:modified xsi:type="dcterms:W3CDTF">2018-09-09T15:22:00Z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20111025</vt:lpwstr>
  </property>
  <property fmtid="{D5CDD505-2E9C-101B-9397-08002B2CF9AE}" pid="4" name="DocumentType">
    <vt:lpwstr>Act</vt:lpwstr>
  </property>
  <property fmtid="{D5CDD505-2E9C-101B-9397-08002B2CF9AE}" pid="5" name="OwlsUID">
    <vt:i4>909</vt:i4>
  </property>
  <property fmtid="{D5CDD505-2E9C-101B-9397-08002B2CF9AE}" pid="6" name="AsAtDate">
    <vt:lpwstr>25 Oct 2011</vt:lpwstr>
  </property>
  <property fmtid="{D5CDD505-2E9C-101B-9397-08002B2CF9AE}" pid="7" name="Suffix">
    <vt:lpwstr>04-b0-01</vt:lpwstr>
  </property>
  <property fmtid="{D5CDD505-2E9C-101B-9397-08002B2CF9AE}" pid="8" name="ReprintNo">
    <vt:lpwstr>4</vt:lpwstr>
  </property>
</Properties>
</file>