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Gas Corporation (Business Disposal)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_Toc378257093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_Toc378257094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_Toc378257095 \h </w:instrText>
      </w:r>
      <w:r>
        <w:fldChar w:fldCharType="separate"/>
      </w:r>
      <w:r>
        <w:t>3</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_Toc378257096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The disposal</w:t>
      </w:r>
    </w:p>
    <w:p>
      <w:pPr>
        <w:pStyle w:val="TOC8"/>
        <w:rPr>
          <w:rFonts w:asciiTheme="minorHAnsi" w:eastAsiaTheme="minorEastAsia" w:hAnsiTheme="minorHAnsi" w:cstheme="minorBidi"/>
          <w:szCs w:val="22"/>
        </w:rPr>
      </w:pPr>
      <w:r>
        <w:t>5.</w:t>
      </w:r>
      <w:r>
        <w:tab/>
        <w:t>Disposal of business and property authorised</w:t>
      </w:r>
      <w:r>
        <w:tab/>
      </w:r>
      <w:r>
        <w:fldChar w:fldCharType="begin"/>
      </w:r>
      <w:r>
        <w:instrText xml:space="preserve"> PAGEREF _Toc378257098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may order disposal</w:t>
      </w:r>
      <w:r>
        <w:tab/>
      </w:r>
      <w:r>
        <w:fldChar w:fldCharType="begin"/>
      </w:r>
      <w:r>
        <w:instrText xml:space="preserve"> PAGEREF _Toc378257099 \h </w:instrText>
      </w:r>
      <w:r>
        <w:fldChar w:fldCharType="separate"/>
      </w:r>
      <w:r>
        <w:t>5</w:t>
      </w:r>
      <w:r>
        <w:fldChar w:fldCharType="end"/>
      </w:r>
    </w:p>
    <w:p>
      <w:pPr>
        <w:pStyle w:val="TOC8"/>
        <w:rPr>
          <w:rFonts w:asciiTheme="minorHAnsi" w:eastAsiaTheme="minorEastAsia" w:hAnsiTheme="minorHAnsi" w:cstheme="minorBidi"/>
          <w:szCs w:val="22"/>
        </w:rPr>
      </w:pPr>
      <w:r>
        <w:t>7.</w:t>
      </w:r>
      <w:r>
        <w:tab/>
        <w:t>Minister may give directions to corporation</w:t>
      </w:r>
      <w:r>
        <w:tab/>
      </w:r>
      <w:r>
        <w:fldChar w:fldCharType="begin"/>
      </w:r>
      <w:r>
        <w:instrText xml:space="preserve"> PAGEREF _Toc378257100 \h </w:instrText>
      </w:r>
      <w:r>
        <w:fldChar w:fldCharType="separate"/>
      </w:r>
      <w:r>
        <w:t>5</w:t>
      </w:r>
      <w:r>
        <w:fldChar w:fldCharType="end"/>
      </w:r>
    </w:p>
    <w:p>
      <w:pPr>
        <w:pStyle w:val="TOC8"/>
        <w:rPr>
          <w:rFonts w:asciiTheme="minorHAnsi" w:eastAsiaTheme="minorEastAsia" w:hAnsiTheme="minorHAnsi" w:cstheme="minorBidi"/>
          <w:szCs w:val="22"/>
        </w:rPr>
      </w:pPr>
      <w:r>
        <w:t>8.</w:t>
      </w:r>
      <w:r>
        <w:tab/>
        <w:t>Corporation to comply with directions</w:t>
      </w:r>
      <w:r>
        <w:tab/>
      </w:r>
      <w:r>
        <w:fldChar w:fldCharType="begin"/>
      </w:r>
      <w:r>
        <w:instrText xml:space="preserve"> PAGEREF _Toc378257101 \h </w:instrText>
      </w:r>
      <w:r>
        <w:fldChar w:fldCharType="separate"/>
      </w:r>
      <w:r>
        <w:t>6</w:t>
      </w:r>
      <w:r>
        <w:fldChar w:fldCharType="end"/>
      </w:r>
    </w:p>
    <w:p>
      <w:pPr>
        <w:pStyle w:val="TOC8"/>
        <w:rPr>
          <w:rFonts w:asciiTheme="minorHAnsi" w:eastAsiaTheme="minorEastAsia" w:hAnsiTheme="minorHAnsi" w:cstheme="minorBidi"/>
          <w:szCs w:val="22"/>
        </w:rPr>
      </w:pPr>
      <w:r>
        <w:t>9.</w:t>
      </w:r>
      <w:r>
        <w:tab/>
        <w:t>General powers</w:t>
      </w:r>
      <w:r>
        <w:tab/>
      </w:r>
      <w:r>
        <w:fldChar w:fldCharType="begin"/>
      </w:r>
      <w:r>
        <w:instrText xml:space="preserve"> PAGEREF _Toc378257102 \h </w:instrText>
      </w:r>
      <w:r>
        <w:fldChar w:fldCharType="separate"/>
      </w:r>
      <w:r>
        <w:t>7</w:t>
      </w:r>
      <w:r>
        <w:fldChar w:fldCharType="end"/>
      </w:r>
    </w:p>
    <w:p>
      <w:pPr>
        <w:pStyle w:val="TOC8"/>
        <w:rPr>
          <w:rFonts w:asciiTheme="minorHAnsi" w:eastAsiaTheme="minorEastAsia" w:hAnsiTheme="minorHAnsi" w:cstheme="minorBidi"/>
          <w:szCs w:val="22"/>
        </w:rPr>
      </w:pPr>
      <w:r>
        <w:t>10.</w:t>
      </w:r>
      <w:r>
        <w:tab/>
        <w:t>Corporate vehicle’s constitution to contain certain provisions</w:t>
      </w:r>
      <w:r>
        <w:tab/>
      </w:r>
      <w:r>
        <w:fldChar w:fldCharType="begin"/>
      </w:r>
      <w:r>
        <w:instrText xml:space="preserve"> PAGEREF _Toc378257103 \h </w:instrText>
      </w:r>
      <w:r>
        <w:fldChar w:fldCharType="separate"/>
      </w:r>
      <w:r>
        <w:t>7</w:t>
      </w:r>
      <w:r>
        <w:fldChar w:fldCharType="end"/>
      </w:r>
    </w:p>
    <w:p>
      <w:pPr>
        <w:pStyle w:val="TOC8"/>
        <w:rPr>
          <w:rFonts w:asciiTheme="minorHAnsi" w:eastAsiaTheme="minorEastAsia" w:hAnsiTheme="minorHAnsi" w:cstheme="minorBidi"/>
          <w:szCs w:val="22"/>
        </w:rPr>
      </w:pPr>
      <w:r>
        <w:t>11.</w:t>
      </w:r>
      <w:r>
        <w:tab/>
        <w:t>Cornerstone investor’s share entitlement to be frozen for 2 years</w:t>
      </w:r>
      <w:r>
        <w:tab/>
      </w:r>
      <w:r>
        <w:fldChar w:fldCharType="begin"/>
      </w:r>
      <w:r>
        <w:instrText xml:space="preserve"> PAGEREF _Toc378257104 \h </w:instrText>
      </w:r>
      <w:r>
        <w:fldChar w:fldCharType="separate"/>
      </w:r>
      <w:r>
        <w:t>8</w:t>
      </w:r>
      <w:r>
        <w:fldChar w:fldCharType="end"/>
      </w:r>
    </w:p>
    <w:p>
      <w:pPr>
        <w:pStyle w:val="TOC8"/>
        <w:rPr>
          <w:rFonts w:asciiTheme="minorHAnsi" w:eastAsiaTheme="minorEastAsia" w:hAnsiTheme="minorHAnsi" w:cstheme="minorBidi"/>
          <w:szCs w:val="22"/>
        </w:rPr>
      </w:pPr>
      <w:r>
        <w:t>12.</w:t>
      </w:r>
      <w:r>
        <w:tab/>
        <w:t>Restrictions on share dealings</w:t>
      </w:r>
      <w:r>
        <w:tab/>
      </w:r>
      <w:r>
        <w:fldChar w:fldCharType="begin"/>
      </w:r>
      <w:r>
        <w:instrText xml:space="preserve"> PAGEREF _Toc378257105 \h </w:instrText>
      </w:r>
      <w:r>
        <w:fldChar w:fldCharType="separate"/>
      </w:r>
      <w:r>
        <w:t>9</w:t>
      </w:r>
      <w:r>
        <w:fldChar w:fldCharType="end"/>
      </w:r>
    </w:p>
    <w:p>
      <w:pPr>
        <w:pStyle w:val="TOC8"/>
        <w:rPr>
          <w:rFonts w:asciiTheme="minorHAnsi" w:eastAsiaTheme="minorEastAsia" w:hAnsiTheme="minorHAnsi" w:cstheme="minorBidi"/>
          <w:szCs w:val="22"/>
        </w:rPr>
      </w:pPr>
      <w:r>
        <w:t>12A.</w:t>
      </w:r>
      <w:r>
        <w:tab/>
        <w:t>Exclusion of Corporations legislation</w:t>
      </w:r>
      <w:r>
        <w:tab/>
      </w:r>
      <w:r>
        <w:fldChar w:fldCharType="begin"/>
      </w:r>
      <w:r>
        <w:instrText xml:space="preserve"> PAGEREF _Toc378257106 \h </w:instrText>
      </w:r>
      <w:r>
        <w:fldChar w:fldCharType="separate"/>
      </w:r>
      <w:r>
        <w:t>10</w:t>
      </w:r>
      <w:r>
        <w:fldChar w:fldCharType="end"/>
      </w:r>
    </w:p>
    <w:p>
      <w:pPr>
        <w:pStyle w:val="TOC8"/>
        <w:rPr>
          <w:rFonts w:asciiTheme="minorHAnsi" w:eastAsiaTheme="minorEastAsia" w:hAnsiTheme="minorHAnsi" w:cstheme="minorBidi"/>
          <w:szCs w:val="22"/>
        </w:rPr>
      </w:pPr>
      <w:r>
        <w:t>13.</w:t>
      </w:r>
      <w:r>
        <w:tab/>
        <w:t>Liability of management for offence by body corporate</w:t>
      </w:r>
      <w:r>
        <w:tab/>
      </w:r>
      <w:r>
        <w:fldChar w:fldCharType="begin"/>
      </w:r>
      <w:r>
        <w:instrText xml:space="preserve"> PAGEREF _Toc378257107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Implementing disposal and ancillary matters</w:t>
      </w:r>
    </w:p>
    <w:p>
      <w:pPr>
        <w:pStyle w:val="TOC4"/>
        <w:tabs>
          <w:tab w:val="right" w:leader="dot" w:pos="7086"/>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14.</w:t>
      </w:r>
      <w:r>
        <w:tab/>
        <w:t>Definitions</w:t>
      </w:r>
      <w:r>
        <w:tab/>
      </w:r>
      <w:r>
        <w:fldChar w:fldCharType="begin"/>
      </w:r>
      <w:r>
        <w:instrText xml:space="preserve"> PAGEREF _Toc378257110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make transfer orders</w:t>
      </w:r>
      <w:r>
        <w:tab/>
      </w:r>
      <w:r>
        <w:fldChar w:fldCharType="begin"/>
      </w:r>
      <w:r>
        <w:instrText xml:space="preserve"> PAGEREF _Toc378257111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Consequences of transfer order</w:t>
      </w:r>
      <w:r>
        <w:tab/>
      </w:r>
      <w:r>
        <w:fldChar w:fldCharType="begin"/>
      </w:r>
      <w:r>
        <w:instrText xml:space="preserve"> PAGEREF _Toc378257112 \h </w:instrText>
      </w:r>
      <w:r>
        <w:fldChar w:fldCharType="separate"/>
      </w:r>
      <w:r>
        <w:t>14</w:t>
      </w:r>
      <w:r>
        <w:fldChar w:fldCharType="end"/>
      </w:r>
    </w:p>
    <w:p>
      <w:pPr>
        <w:pStyle w:val="TOC8"/>
        <w:rPr>
          <w:rFonts w:asciiTheme="minorHAnsi" w:eastAsiaTheme="minorEastAsia" w:hAnsiTheme="minorHAnsi" w:cstheme="minorBidi"/>
          <w:szCs w:val="22"/>
        </w:rPr>
      </w:pPr>
      <w:r>
        <w:t>17.</w:t>
      </w:r>
      <w:r>
        <w:tab/>
        <w:t>Completion of necessary transactions</w:t>
      </w:r>
      <w:r>
        <w:tab/>
      </w:r>
      <w:r>
        <w:fldChar w:fldCharType="begin"/>
      </w:r>
      <w:r>
        <w:instrText xml:space="preserve"> PAGEREF _Toc378257113 \h </w:instrText>
      </w:r>
      <w:r>
        <w:fldChar w:fldCharType="separate"/>
      </w:r>
      <w:r>
        <w:t>15</w:t>
      </w:r>
      <w:r>
        <w:fldChar w:fldCharType="end"/>
      </w:r>
    </w:p>
    <w:p>
      <w:pPr>
        <w:pStyle w:val="TOC8"/>
        <w:rPr>
          <w:rFonts w:asciiTheme="minorHAnsi" w:eastAsiaTheme="minorEastAsia" w:hAnsiTheme="minorHAnsi" w:cstheme="minorBidi"/>
          <w:szCs w:val="22"/>
        </w:rPr>
      </w:pPr>
      <w:r>
        <w:t>18.</w:t>
      </w:r>
      <w:r>
        <w:tab/>
        <w:t>Contracts arising from certain internal arrangements of corporation</w:t>
      </w:r>
      <w:r>
        <w:tab/>
      </w:r>
      <w:r>
        <w:fldChar w:fldCharType="begin"/>
      </w:r>
      <w:r>
        <w:instrText xml:space="preserve"> PAGEREF _Toc378257114 \h </w:instrText>
      </w:r>
      <w:r>
        <w:fldChar w:fldCharType="separate"/>
      </w:r>
      <w:r>
        <w:t>15</w:t>
      </w:r>
      <w:r>
        <w:fldChar w:fldCharType="end"/>
      </w:r>
    </w:p>
    <w:p>
      <w:pPr>
        <w:pStyle w:val="TOC8"/>
        <w:rPr>
          <w:rFonts w:asciiTheme="minorHAnsi" w:eastAsiaTheme="minorEastAsia" w:hAnsiTheme="minorHAnsi" w:cstheme="minorBidi"/>
          <w:szCs w:val="22"/>
        </w:rPr>
      </w:pPr>
      <w:r>
        <w:t>19.</w:t>
      </w:r>
      <w:r>
        <w:tab/>
        <w:t>Arrangements for custody and use of records</w:t>
      </w:r>
      <w:r>
        <w:tab/>
      </w:r>
      <w:r>
        <w:fldChar w:fldCharType="begin"/>
      </w:r>
      <w:r>
        <w:instrText xml:space="preserve"> PAGEREF _Toc378257115 \h </w:instrText>
      </w:r>
      <w:r>
        <w:fldChar w:fldCharType="separate"/>
      </w:r>
      <w:r>
        <w:t>15</w:t>
      </w:r>
      <w:r>
        <w:fldChar w:fldCharType="end"/>
      </w:r>
    </w:p>
    <w:p>
      <w:pPr>
        <w:pStyle w:val="TOC8"/>
        <w:rPr>
          <w:rFonts w:asciiTheme="minorHAnsi" w:eastAsiaTheme="minorEastAsia" w:hAnsiTheme="minorHAnsi" w:cstheme="minorBidi"/>
          <w:szCs w:val="22"/>
        </w:rPr>
      </w:pPr>
      <w:r>
        <w:t>20.</w:t>
      </w:r>
      <w:r>
        <w:tab/>
        <w:t>Registration of documents</w:t>
      </w:r>
      <w:r>
        <w:tab/>
      </w:r>
      <w:r>
        <w:fldChar w:fldCharType="begin"/>
      </w:r>
      <w:r>
        <w:instrText xml:space="preserve"> PAGEREF _Toc378257116 \h </w:instrText>
      </w:r>
      <w:r>
        <w:fldChar w:fldCharType="separate"/>
      </w:r>
      <w:r>
        <w:t>16</w:t>
      </w:r>
      <w:r>
        <w:fldChar w:fldCharType="end"/>
      </w:r>
    </w:p>
    <w:p>
      <w:pPr>
        <w:pStyle w:val="TOC8"/>
        <w:rPr>
          <w:rFonts w:asciiTheme="minorHAnsi" w:eastAsiaTheme="minorEastAsia" w:hAnsiTheme="minorHAnsi" w:cstheme="minorBidi"/>
          <w:szCs w:val="22"/>
        </w:rPr>
      </w:pPr>
      <w:r>
        <w:t>21.</w:t>
      </w:r>
      <w:r>
        <w:tab/>
        <w:t>Rectifying error in transfer order</w:t>
      </w:r>
      <w:r>
        <w:tab/>
      </w:r>
      <w:r>
        <w:fldChar w:fldCharType="begin"/>
      </w:r>
      <w:r>
        <w:instrText xml:space="preserve"> PAGEREF _Toc378257117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22.</w:t>
      </w:r>
      <w:r>
        <w:tab/>
        <w:t>Assignable nature of the assets</w:t>
      </w:r>
      <w:r>
        <w:tab/>
      </w:r>
      <w:r>
        <w:fldChar w:fldCharType="begin"/>
      </w:r>
      <w:r>
        <w:instrText xml:space="preserve"> PAGEREF _Toc378257119 \h </w:instrText>
      </w:r>
      <w:r>
        <w:fldChar w:fldCharType="separate"/>
      </w:r>
      <w:r>
        <w:t>17</w:t>
      </w:r>
      <w:r>
        <w:fldChar w:fldCharType="end"/>
      </w:r>
    </w:p>
    <w:p>
      <w:pPr>
        <w:pStyle w:val="TOC8"/>
        <w:rPr>
          <w:rFonts w:asciiTheme="minorHAnsi" w:eastAsiaTheme="minorEastAsia" w:hAnsiTheme="minorHAnsi" w:cstheme="minorBidi"/>
          <w:szCs w:val="22"/>
        </w:rPr>
      </w:pPr>
      <w:r>
        <w:t>23.</w:t>
      </w:r>
      <w:r>
        <w:tab/>
        <w:t>Benefits of easements assignable</w:t>
      </w:r>
      <w:r>
        <w:tab/>
      </w:r>
      <w:r>
        <w:fldChar w:fldCharType="begin"/>
      </w:r>
      <w:r>
        <w:instrText xml:space="preserve"> PAGEREF _Toc378257120 \h </w:instrText>
      </w:r>
      <w:r>
        <w:fldChar w:fldCharType="separate"/>
      </w:r>
      <w:r>
        <w:t>17</w:t>
      </w:r>
      <w:r>
        <w:fldChar w:fldCharType="end"/>
      </w:r>
    </w:p>
    <w:p>
      <w:pPr>
        <w:pStyle w:val="TOC8"/>
        <w:rPr>
          <w:rFonts w:asciiTheme="minorHAnsi" w:eastAsiaTheme="minorEastAsia" w:hAnsiTheme="minorHAnsi" w:cstheme="minorBidi"/>
          <w:szCs w:val="22"/>
        </w:rPr>
      </w:pPr>
      <w:r>
        <w:t>24.</w:t>
      </w:r>
      <w:r>
        <w:tab/>
        <w:t>Use of corporation’s staff and facilities</w:t>
      </w:r>
      <w:r>
        <w:tab/>
      </w:r>
      <w:r>
        <w:fldChar w:fldCharType="begin"/>
      </w:r>
      <w:r>
        <w:instrText xml:space="preserve"> PAGEREF _Toc378257121 \h </w:instrText>
      </w:r>
      <w:r>
        <w:fldChar w:fldCharType="separate"/>
      </w:r>
      <w:r>
        <w:t>18</w:t>
      </w:r>
      <w:r>
        <w:fldChar w:fldCharType="end"/>
      </w:r>
    </w:p>
    <w:p>
      <w:pPr>
        <w:pStyle w:val="TOC8"/>
        <w:rPr>
          <w:rFonts w:asciiTheme="minorHAnsi" w:eastAsiaTheme="minorEastAsia" w:hAnsiTheme="minorHAnsi" w:cstheme="minorBidi"/>
          <w:szCs w:val="22"/>
        </w:rPr>
      </w:pPr>
      <w:r>
        <w:t>25.</w:t>
      </w:r>
      <w:r>
        <w:tab/>
        <w:t>Consumer contracts</w:t>
      </w:r>
      <w:r>
        <w:tab/>
      </w:r>
      <w:r>
        <w:fldChar w:fldCharType="begin"/>
      </w:r>
      <w:r>
        <w:instrText xml:space="preserve"> PAGEREF _Toc378257122 \h </w:instrText>
      </w:r>
      <w:r>
        <w:fldChar w:fldCharType="separate"/>
      </w:r>
      <w:r>
        <w:t>18</w:t>
      </w:r>
      <w:r>
        <w:fldChar w:fldCharType="end"/>
      </w:r>
    </w:p>
    <w:p>
      <w:pPr>
        <w:pStyle w:val="TOC8"/>
        <w:rPr>
          <w:rFonts w:asciiTheme="minorHAnsi" w:eastAsiaTheme="minorEastAsia" w:hAnsiTheme="minorHAnsi" w:cstheme="minorBidi"/>
          <w:szCs w:val="22"/>
        </w:rPr>
      </w:pPr>
      <w:r>
        <w:t>26.</w:t>
      </w:r>
      <w:r>
        <w:tab/>
        <w:t>Proceeds of disposal</w:t>
      </w:r>
      <w:r>
        <w:tab/>
      </w:r>
      <w:r>
        <w:fldChar w:fldCharType="begin"/>
      </w:r>
      <w:r>
        <w:instrText xml:space="preserve"> PAGEREF _Toc378257123 \h </w:instrText>
      </w:r>
      <w:r>
        <w:fldChar w:fldCharType="separate"/>
      </w:r>
      <w:r>
        <w:t>19</w:t>
      </w:r>
      <w:r>
        <w:fldChar w:fldCharType="end"/>
      </w:r>
    </w:p>
    <w:p>
      <w:pPr>
        <w:pStyle w:val="TOC8"/>
        <w:rPr>
          <w:rFonts w:asciiTheme="minorHAnsi" w:eastAsiaTheme="minorEastAsia" w:hAnsiTheme="minorHAnsi" w:cstheme="minorBidi"/>
          <w:szCs w:val="22"/>
        </w:rPr>
      </w:pPr>
      <w:r>
        <w:t>27.</w:t>
      </w:r>
      <w:r>
        <w:tab/>
        <w:t>Disclosure of information</w:t>
      </w:r>
      <w:r>
        <w:tab/>
      </w:r>
      <w:r>
        <w:fldChar w:fldCharType="begin"/>
      </w:r>
      <w:r>
        <w:instrText xml:space="preserve"> PAGEREF _Toc378257124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_Toc378257125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_Toc378257126 \h </w:instrText>
      </w:r>
      <w:r>
        <w:fldChar w:fldCharType="separate"/>
      </w:r>
      <w:r>
        <w:t>21</w:t>
      </w:r>
      <w:r>
        <w:fldChar w:fldCharType="end"/>
      </w:r>
    </w:p>
    <w:p>
      <w:pPr>
        <w:pStyle w:val="TOC8"/>
        <w:rPr>
          <w:rFonts w:asciiTheme="minorHAnsi" w:eastAsiaTheme="minorEastAsia" w:hAnsiTheme="minorHAnsi" w:cstheme="minorBidi"/>
          <w:szCs w:val="22"/>
        </w:rPr>
      </w:pPr>
      <w:r>
        <w:t>30.</w:t>
      </w:r>
      <w:r>
        <w:tab/>
        <w:t>Saving</w:t>
      </w:r>
      <w:r>
        <w:tab/>
      </w:r>
      <w:r>
        <w:fldChar w:fldCharType="begin"/>
      </w:r>
      <w:r>
        <w:instrText xml:space="preserve"> PAGEREF _Toc378257127 \h </w:instrText>
      </w:r>
      <w:r>
        <w:fldChar w:fldCharType="separate"/>
      </w:r>
      <w:r>
        <w:t>21</w:t>
      </w:r>
      <w:r>
        <w:fldChar w:fldCharType="end"/>
      </w:r>
    </w:p>
    <w:p>
      <w:pPr>
        <w:pStyle w:val="TOC8"/>
        <w:rPr>
          <w:rFonts w:asciiTheme="minorHAnsi" w:eastAsiaTheme="minorEastAsia" w:hAnsiTheme="minorHAnsi" w:cstheme="minorBidi"/>
          <w:szCs w:val="22"/>
        </w:rPr>
      </w:pPr>
      <w:r>
        <w:t>31.</w:t>
      </w:r>
      <w:r>
        <w:tab/>
        <w:t>State indemnities and guarantees</w:t>
      </w:r>
      <w:r>
        <w:tab/>
      </w:r>
      <w:r>
        <w:fldChar w:fldCharType="begin"/>
      </w:r>
      <w:r>
        <w:instrText xml:space="preserve"> PAGEREF _Toc378257128 \h </w:instrText>
      </w:r>
      <w:r>
        <w:fldChar w:fldCharType="separate"/>
      </w:r>
      <w:r>
        <w:t>22</w:t>
      </w:r>
      <w:r>
        <w:fldChar w:fldCharType="end"/>
      </w:r>
    </w:p>
    <w:p>
      <w:pPr>
        <w:pStyle w:val="TOC8"/>
        <w:rPr>
          <w:rFonts w:asciiTheme="minorHAnsi" w:eastAsiaTheme="minorEastAsia" w:hAnsiTheme="minorHAnsi" w:cstheme="minorBidi"/>
          <w:szCs w:val="22"/>
        </w:rPr>
      </w:pPr>
      <w:r>
        <w:t>32.</w:t>
      </w:r>
      <w:r>
        <w:tab/>
        <w:t>State takeover of certain obligations</w:t>
      </w:r>
      <w:r>
        <w:tab/>
      </w:r>
      <w:r>
        <w:fldChar w:fldCharType="begin"/>
      </w:r>
      <w:r>
        <w:instrText xml:space="preserve"> PAGEREF _Toc378257129 \h </w:instrText>
      </w:r>
      <w:r>
        <w:fldChar w:fldCharType="separate"/>
      </w:r>
      <w:r>
        <w:t>22</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_Toc378257130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34.</w:t>
      </w:r>
      <w:r>
        <w:tab/>
        <w:t>Purpose of this Part</w:t>
      </w:r>
      <w:r>
        <w:tab/>
      </w:r>
      <w:r>
        <w:fldChar w:fldCharType="begin"/>
      </w:r>
      <w:r>
        <w:instrText xml:space="preserve"> PAGEREF _Toc378257132 \h </w:instrText>
      </w:r>
      <w:r>
        <w:fldChar w:fldCharType="separate"/>
      </w:r>
      <w:r>
        <w:t>24</w:t>
      </w:r>
      <w:r>
        <w:fldChar w:fldCharType="end"/>
      </w:r>
    </w:p>
    <w:p>
      <w:pPr>
        <w:pStyle w:val="TOC8"/>
        <w:rPr>
          <w:rFonts w:asciiTheme="minorHAnsi" w:eastAsiaTheme="minorEastAsia" w:hAnsiTheme="minorHAnsi" w:cstheme="minorBidi"/>
          <w:szCs w:val="22"/>
        </w:rPr>
      </w:pPr>
      <w:r>
        <w:t>35.</w:t>
      </w:r>
      <w:r>
        <w:tab/>
        <w:t>Subsidiary to have corporation’s powers and duties</w:t>
      </w:r>
      <w:r>
        <w:tab/>
      </w:r>
      <w:r>
        <w:fldChar w:fldCharType="begin"/>
      </w:r>
      <w:r>
        <w:instrText xml:space="preserve"> PAGEREF _Toc378257133 \h </w:instrText>
      </w:r>
      <w:r>
        <w:fldChar w:fldCharType="separate"/>
      </w:r>
      <w:r>
        <w:t>24</w:t>
      </w:r>
      <w:r>
        <w:fldChar w:fldCharType="end"/>
      </w:r>
    </w:p>
    <w:p>
      <w:pPr>
        <w:pStyle w:val="TOC8"/>
        <w:rPr>
          <w:rFonts w:asciiTheme="minorHAnsi" w:eastAsiaTheme="minorEastAsia" w:hAnsiTheme="minorHAnsi" w:cstheme="minorBidi"/>
          <w:szCs w:val="22"/>
        </w:rPr>
      </w:pPr>
      <w:r>
        <w:t>36.</w:t>
      </w:r>
      <w:r>
        <w:tab/>
        <w:t>Modification of other written laws</w:t>
      </w:r>
      <w:r>
        <w:tab/>
      </w:r>
      <w:r>
        <w:fldChar w:fldCharType="begin"/>
      </w:r>
      <w:r>
        <w:instrText xml:space="preserve"> PAGEREF _Toc378257134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Auditor General to report on certain matters</w:t>
      </w:r>
      <w:r>
        <w:tab/>
      </w:r>
      <w:r>
        <w:fldChar w:fldCharType="begin"/>
      </w:r>
      <w:r>
        <w:instrText xml:space="preserve"> PAGEREF _Toc378257136 \h </w:instrText>
      </w:r>
      <w:r>
        <w:fldChar w:fldCharType="separate"/>
      </w:r>
      <w:r>
        <w:t>25</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_Toc378257137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Effect on other Acts</w:t>
      </w:r>
    </w:p>
    <w:p>
      <w:pPr>
        <w:pStyle w:val="TOC4"/>
        <w:tabs>
          <w:tab w:val="right" w:leader="dot" w:pos="7086"/>
        </w:tabs>
        <w:rPr>
          <w:rFonts w:asciiTheme="minorHAnsi" w:eastAsiaTheme="minorEastAsia" w:hAnsiTheme="minorHAnsi" w:cstheme="minorBidi"/>
          <w:b w:val="0"/>
          <w:szCs w:val="22"/>
        </w:rPr>
      </w:pPr>
      <w:r>
        <w:t>Division 1 — Provisions commencing on Royal Assent</w:t>
      </w:r>
    </w:p>
    <w:p>
      <w:pPr>
        <w:pStyle w:val="TOC6"/>
        <w:tabs>
          <w:tab w:val="right" w:leader="dot" w:pos="7086"/>
        </w:tabs>
        <w:rPr>
          <w:rFonts w:asciiTheme="minorHAnsi" w:eastAsiaTheme="minorEastAsia" w:hAnsiTheme="minorHAnsi" w:cstheme="minorBidi"/>
          <w:b w:val="0"/>
          <w:sz w:val="22"/>
          <w:szCs w:val="22"/>
        </w:rPr>
      </w:pPr>
      <w:r>
        <w:t xml:space="preserve">Subdivision 9 — </w:t>
      </w:r>
      <w:r>
        <w:rPr>
          <w:i/>
        </w:rPr>
        <w:t>Local Government Act 1995</w:t>
      </w:r>
    </w:p>
    <w:p>
      <w:pPr>
        <w:pStyle w:val="TOC8"/>
        <w:rPr>
          <w:rFonts w:asciiTheme="minorHAnsi" w:eastAsiaTheme="minorEastAsia" w:hAnsiTheme="minorHAnsi" w:cstheme="minorBidi"/>
          <w:szCs w:val="22"/>
        </w:rPr>
      </w:pPr>
      <w:r>
        <w:t>67.</w:t>
      </w:r>
      <w:r>
        <w:tab/>
        <w:t>Presence of pipeline does not constitute occupation of land</w:t>
      </w:r>
      <w:r>
        <w:tab/>
      </w:r>
      <w:r>
        <w:fldChar w:fldCharType="begin"/>
      </w:r>
      <w:r>
        <w:instrText xml:space="preserve"> PAGEREF _Toc378257141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_Toc378257143 \h </w:instrText>
      </w:r>
      <w:r>
        <w:fldChar w:fldCharType="separate"/>
      </w:r>
      <w:r>
        <w:t>28</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ind w:right="8"/>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1" w:name="_Toc37825709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7825709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3" w:name="_Toc378257094"/>
      <w:r>
        <w:rPr>
          <w:rStyle w:val="CharSectno"/>
        </w:rPr>
        <w:t>2</w:t>
      </w:r>
      <w:r>
        <w:rPr>
          <w:snapToGrid w:val="0"/>
        </w:rPr>
        <w:t>.</w:t>
      </w:r>
      <w:r>
        <w:rPr>
          <w:snapToGrid w:val="0"/>
        </w:rPr>
        <w:tab/>
        <w:t>Commencement</w:t>
      </w:r>
      <w:bookmarkEnd w:id="3"/>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r>
        <w:tab/>
        <w:t>[Section 2 amended by No. 74 of 2003 s. 58(2).]</w:t>
      </w:r>
    </w:p>
    <w:p>
      <w:pPr>
        <w:pStyle w:val="Heading5"/>
      </w:pPr>
      <w:bookmarkStart w:id="4" w:name="_Toc378257095"/>
      <w:r>
        <w:rPr>
          <w:rStyle w:val="CharSectno"/>
        </w:rPr>
        <w:t>3</w:t>
      </w:r>
      <w:r>
        <w:t>.</w:t>
      </w:r>
      <w:r>
        <w:tab/>
        <w:t>Definitions</w:t>
      </w:r>
      <w:bookmarkEnd w:id="4"/>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2</w:t>
      </w:r>
      <w:r>
        <w:t>;</w:t>
      </w:r>
    </w:p>
    <w:p>
      <w:pPr>
        <w:pStyle w:val="Defstart"/>
      </w:pPr>
      <w:r>
        <w:tab/>
      </w:r>
      <w:r>
        <w:rPr>
          <w:rStyle w:val="CharDefText"/>
        </w:rPr>
        <w:t>section 6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5" w:name="_Toc378257096"/>
      <w:r>
        <w:rPr>
          <w:rStyle w:val="CharSectno"/>
        </w:rPr>
        <w:t>4</w:t>
      </w:r>
      <w:r>
        <w:t>.</w:t>
      </w:r>
      <w:r>
        <w:tab/>
        <w:t>Crown bound</w:t>
      </w:r>
      <w:bookmarkEnd w:id="5"/>
    </w:p>
    <w:p>
      <w:pPr>
        <w:pStyle w:val="Subsection"/>
      </w:pPr>
      <w:r>
        <w:tab/>
      </w:r>
      <w:r>
        <w:tab/>
        <w:t>This Act binds the Crown.</w:t>
      </w:r>
    </w:p>
    <w:p>
      <w:pPr>
        <w:pStyle w:val="Heading2"/>
      </w:pPr>
      <w:bookmarkStart w:id="6" w:name="_Toc378257097"/>
      <w:r>
        <w:rPr>
          <w:rStyle w:val="CharPartNo"/>
        </w:rPr>
        <w:t>Part 2</w:t>
      </w:r>
      <w:r>
        <w:rPr>
          <w:rStyle w:val="CharDivNo"/>
        </w:rPr>
        <w:t xml:space="preserve"> </w:t>
      </w:r>
      <w:r>
        <w:t>—</w:t>
      </w:r>
      <w:r>
        <w:rPr>
          <w:rStyle w:val="CharDivText"/>
        </w:rPr>
        <w:t xml:space="preserve"> </w:t>
      </w:r>
      <w:r>
        <w:rPr>
          <w:rStyle w:val="CharPartText"/>
        </w:rPr>
        <w:t>The disposal</w:t>
      </w:r>
      <w:bookmarkEnd w:id="6"/>
    </w:p>
    <w:p>
      <w:pPr>
        <w:pStyle w:val="Heading5"/>
      </w:pPr>
      <w:bookmarkStart w:id="7" w:name="_Toc378257098"/>
      <w:r>
        <w:rPr>
          <w:rStyle w:val="CharSectno"/>
        </w:rPr>
        <w:t>5</w:t>
      </w:r>
      <w:r>
        <w:t>.</w:t>
      </w:r>
      <w:r>
        <w:tab/>
        <w:t>Disposal of business and property authorised</w:t>
      </w:r>
      <w:bookmarkEnd w:id="7"/>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8" w:name="_Toc378257099"/>
      <w:r>
        <w:rPr>
          <w:rStyle w:val="CharSectno"/>
        </w:rPr>
        <w:t>6</w:t>
      </w:r>
      <w:r>
        <w:t>.</w:t>
      </w:r>
      <w:r>
        <w:tab/>
        <w:t>Minister may order disposal</w:t>
      </w:r>
      <w:bookmarkEnd w:id="8"/>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9" w:name="_Toc378257100"/>
      <w:r>
        <w:rPr>
          <w:rStyle w:val="CharSectno"/>
        </w:rPr>
        <w:t>7</w:t>
      </w:r>
      <w:r>
        <w:t>.</w:t>
      </w:r>
      <w:r>
        <w:tab/>
        <w:t>Minister may give directions to corporation</w:t>
      </w:r>
      <w:bookmarkEnd w:id="9"/>
    </w:p>
    <w:p>
      <w:pPr>
        <w:pStyle w:val="Subsection"/>
      </w:pPr>
      <w:r>
        <w:tab/>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10" w:name="_Toc378257101"/>
      <w:r>
        <w:rPr>
          <w:rStyle w:val="CharSectno"/>
        </w:rPr>
        <w:t>8</w:t>
      </w:r>
      <w:r>
        <w:t>.</w:t>
      </w:r>
      <w:r>
        <w:tab/>
        <w:t>Corporation to comply with directions</w:t>
      </w:r>
      <w:bookmarkEnd w:id="10"/>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11" w:name="_Toc378257102"/>
      <w:r>
        <w:rPr>
          <w:rStyle w:val="CharSectno"/>
        </w:rPr>
        <w:t>9</w:t>
      </w:r>
      <w:r>
        <w:t>.</w:t>
      </w:r>
      <w:r>
        <w:tab/>
        <w:t>General powers</w:t>
      </w:r>
      <w:bookmarkEnd w:id="11"/>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12" w:name="_Toc378257103"/>
      <w:r>
        <w:rPr>
          <w:rStyle w:val="CharSectno"/>
        </w:rPr>
        <w:t>10</w:t>
      </w:r>
      <w:r>
        <w:t>.</w:t>
      </w:r>
      <w:r>
        <w:tab/>
        <w:t>Corporate vehicle’s constitution to contain certain provisions</w:t>
      </w:r>
      <w:bookmarkEnd w:id="12"/>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13" w:name="_Toc378257104"/>
      <w:r>
        <w:rPr>
          <w:rStyle w:val="CharSectno"/>
        </w:rPr>
        <w:t>11</w:t>
      </w:r>
      <w:r>
        <w:t>.</w:t>
      </w:r>
      <w:r>
        <w:tab/>
        <w:t>Cornerstone investor’s share entitlement to be frozen for 2 years</w:t>
      </w:r>
      <w:bookmarkEnd w:id="13"/>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14" w:name="_Toc378257105"/>
      <w:r>
        <w:rPr>
          <w:rStyle w:val="CharSectno"/>
        </w:rPr>
        <w:t>12</w:t>
      </w:r>
      <w:r>
        <w:t>.</w:t>
      </w:r>
      <w:r>
        <w:tab/>
        <w:t>Restrictions on share dealings</w:t>
      </w:r>
      <w:bookmarkEnd w:id="14"/>
    </w:p>
    <w:p>
      <w:pPr>
        <w:pStyle w:val="Subsection"/>
      </w:pPr>
      <w:r>
        <w:tab/>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t>(2)</w:t>
      </w:r>
      <w:r>
        <w:tab/>
        <w:t>Subsection (1) does not apply to the issue or purchase of shares under an underwriting agreement entered into to facilitate the sale of shares in the corporate vehicle by a public float.</w:t>
      </w:r>
    </w:p>
    <w:p>
      <w:pPr>
        <w:pStyle w:val="Subsection"/>
      </w:pPr>
      <w:r>
        <w:tab/>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15" w:name="_Toc378257106"/>
      <w:r>
        <w:rPr>
          <w:rStyle w:val="CharSectno"/>
        </w:rPr>
        <w:t>12A</w:t>
      </w:r>
      <w:r>
        <w:t>.</w:t>
      </w:r>
      <w:r>
        <w:tab/>
        <w:t>Exclusion of Corporations legislation</w:t>
      </w:r>
      <w:bookmarkEnd w:id="15"/>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16" w:name="_Toc378257107"/>
      <w:r>
        <w:rPr>
          <w:rStyle w:val="CharSectno"/>
        </w:rPr>
        <w:t>13</w:t>
      </w:r>
      <w:r>
        <w:t>.</w:t>
      </w:r>
      <w:r>
        <w:tab/>
        <w:t>Liability of management for offence by body corporate</w:t>
      </w:r>
      <w:bookmarkEnd w:id="16"/>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7" w:name="_Toc378257108"/>
      <w:r>
        <w:rPr>
          <w:rStyle w:val="CharPartNo"/>
        </w:rPr>
        <w:t>Part 3</w:t>
      </w:r>
      <w:r>
        <w:t xml:space="preserve"> — </w:t>
      </w:r>
      <w:r>
        <w:rPr>
          <w:rStyle w:val="CharPartText"/>
        </w:rPr>
        <w:t>Implementing disposal and ancillary matters</w:t>
      </w:r>
      <w:bookmarkEnd w:id="17"/>
    </w:p>
    <w:p>
      <w:pPr>
        <w:pStyle w:val="Heading3"/>
      </w:pPr>
      <w:bookmarkStart w:id="18" w:name="_Toc378257109"/>
      <w:r>
        <w:rPr>
          <w:rStyle w:val="CharDivNo"/>
        </w:rPr>
        <w:t>Division 1</w:t>
      </w:r>
      <w:r>
        <w:t xml:space="preserve"> — </w:t>
      </w:r>
      <w:r>
        <w:rPr>
          <w:rStyle w:val="CharDivText"/>
        </w:rPr>
        <w:t>Transfer orders</w:t>
      </w:r>
      <w:bookmarkEnd w:id="18"/>
    </w:p>
    <w:p>
      <w:pPr>
        <w:pStyle w:val="Heading5"/>
      </w:pPr>
      <w:bookmarkStart w:id="19" w:name="_Toc378257110"/>
      <w:r>
        <w:rPr>
          <w:rStyle w:val="CharSectno"/>
        </w:rPr>
        <w:t>14</w:t>
      </w:r>
      <w:r>
        <w:t>.</w:t>
      </w:r>
      <w:r>
        <w:tab/>
        <w:t>Definitions</w:t>
      </w:r>
      <w:bookmarkEnd w:id="19"/>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20" w:name="_Toc378257111"/>
      <w:r>
        <w:rPr>
          <w:rStyle w:val="CharSectno"/>
        </w:rPr>
        <w:t>15</w:t>
      </w:r>
      <w:r>
        <w:rPr>
          <w:snapToGrid w:val="0"/>
        </w:rPr>
        <w:t>.</w:t>
      </w:r>
      <w:r>
        <w:rPr>
          <w:snapToGrid w:val="0"/>
        </w:rPr>
        <w:tab/>
        <w:t>Minister may make transfer orders</w:t>
      </w:r>
      <w:bookmarkEnd w:id="20"/>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21" w:name="_Toc378257112"/>
      <w:r>
        <w:rPr>
          <w:rStyle w:val="CharSectno"/>
        </w:rPr>
        <w:t>16</w:t>
      </w:r>
      <w:r>
        <w:rPr>
          <w:snapToGrid w:val="0"/>
        </w:rPr>
        <w:t>.</w:t>
      </w:r>
      <w:r>
        <w:rPr>
          <w:snapToGrid w:val="0"/>
        </w:rPr>
        <w:tab/>
        <w:t>Consequences of transfer order</w:t>
      </w:r>
      <w:bookmarkEnd w:id="21"/>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r>
        <w:rPr>
          <w:rStyle w:val="CharDefText"/>
        </w:rPr>
        <w:t>Electricity Corporation</w:t>
      </w:r>
      <w:r>
        <w:t xml:space="preserve"> means the Electricity Corporation established by the </w:t>
      </w:r>
      <w:r>
        <w:rPr>
          <w:i/>
        </w:rPr>
        <w:t>Electricity Corporation Act 1994</w:t>
      </w:r>
      <w:r>
        <w:t>;</w:t>
      </w:r>
    </w:p>
    <w:p>
      <w:pPr>
        <w:pStyle w:val="Defstart"/>
      </w:pPr>
      <w:r>
        <w:tab/>
      </w:r>
      <w:r>
        <w:rPr>
          <w:rStyle w:val="CharDefText"/>
        </w:rPr>
        <w:t>specified</w:t>
      </w:r>
      <w:r>
        <w:t xml:space="preserve"> means specified in the transfer order.</w:t>
      </w:r>
    </w:p>
    <w:p>
      <w:pPr>
        <w:pStyle w:val="Heading5"/>
      </w:pPr>
      <w:bookmarkStart w:id="22" w:name="_Toc378257113"/>
      <w:r>
        <w:rPr>
          <w:rStyle w:val="CharSectno"/>
        </w:rPr>
        <w:t>17</w:t>
      </w:r>
      <w:r>
        <w:t>.</w:t>
      </w:r>
      <w:r>
        <w:tab/>
        <w:t>Completion of necessary transactions</w:t>
      </w:r>
      <w:bookmarkEnd w:id="22"/>
    </w:p>
    <w:p>
      <w:pPr>
        <w:pStyle w:val="Subsection"/>
      </w:pPr>
      <w:r>
        <w:tab/>
      </w:r>
      <w:r>
        <w:tab/>
        <w:t>If section 16 cannot, to any extent, have effect as described in this Division (whether because a matter is governed 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23" w:name="_Toc378257114"/>
      <w:r>
        <w:rPr>
          <w:rStyle w:val="CharSectno"/>
        </w:rPr>
        <w:t>18</w:t>
      </w:r>
      <w:r>
        <w:t>.</w:t>
      </w:r>
      <w:r>
        <w:tab/>
        <w:t>Contracts arising from certain internal arrangements of corporation</w:t>
      </w:r>
      <w:bookmarkEnd w:id="23"/>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24" w:name="_Toc378257115"/>
      <w:r>
        <w:rPr>
          <w:rStyle w:val="CharSectno"/>
        </w:rPr>
        <w:t>19</w:t>
      </w:r>
      <w:r>
        <w:t>.</w:t>
      </w:r>
      <w:r>
        <w:tab/>
        <w:t>Arrangements for custody and use of records</w:t>
      </w:r>
      <w:bookmarkEnd w:id="24"/>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15(1) </w:t>
      </w:r>
      <w:r>
        <w:t>in a transfer order.</w:t>
      </w:r>
    </w:p>
    <w:p>
      <w:pPr>
        <w:pStyle w:val="Heading5"/>
      </w:pPr>
      <w:bookmarkStart w:id="25" w:name="_Toc378257116"/>
      <w:r>
        <w:rPr>
          <w:rStyle w:val="CharSectno"/>
        </w:rPr>
        <w:t>20</w:t>
      </w:r>
      <w:r>
        <w:t>.</w:t>
      </w:r>
      <w:r>
        <w:tab/>
        <w:t>Registration of documents</w:t>
      </w:r>
      <w:bookmarkEnd w:id="25"/>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rPr>
          <w:b/>
        </w:rPr>
      </w:pPr>
      <w:r>
        <w:tab/>
        <w:t xml:space="preserve">[Section 20 amended by </w:t>
      </w:r>
      <w:r>
        <w:rPr>
          <w:spacing w:val="-4"/>
        </w:rPr>
        <w:t>No. 47 of 2011 s.</w:t>
      </w:r>
      <w:r>
        <w:t> 16.]</w:t>
      </w:r>
    </w:p>
    <w:p>
      <w:pPr>
        <w:pStyle w:val="Heading5"/>
        <w:keepNext w:val="0"/>
      </w:pPr>
      <w:bookmarkStart w:id="26" w:name="_Toc378257117"/>
      <w:r>
        <w:rPr>
          <w:rStyle w:val="CharSectno"/>
        </w:rPr>
        <w:t>21</w:t>
      </w:r>
      <w:r>
        <w:t>.</w:t>
      </w:r>
      <w:r>
        <w:tab/>
        <w:t>Rectifying error in transfer order</w:t>
      </w:r>
      <w:bookmarkEnd w:id="26"/>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27" w:name="_Toc378257118"/>
      <w:r>
        <w:rPr>
          <w:rStyle w:val="CharDivNo"/>
        </w:rPr>
        <w:t>Division 2</w:t>
      </w:r>
      <w:r>
        <w:t xml:space="preserve"> — </w:t>
      </w:r>
      <w:r>
        <w:rPr>
          <w:rStyle w:val="CharDivText"/>
        </w:rPr>
        <w:t>Other matters</w:t>
      </w:r>
      <w:bookmarkEnd w:id="27"/>
    </w:p>
    <w:p>
      <w:pPr>
        <w:pStyle w:val="Heading5"/>
      </w:pPr>
      <w:bookmarkStart w:id="28" w:name="_Toc378257119"/>
      <w:r>
        <w:rPr>
          <w:rStyle w:val="CharSectno"/>
        </w:rPr>
        <w:t>22</w:t>
      </w:r>
      <w:r>
        <w:t>.</w:t>
      </w:r>
      <w:r>
        <w:tab/>
        <w:t>Assignable nature of the assets</w:t>
      </w:r>
      <w:bookmarkEnd w:id="28"/>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29" w:name="_Toc378257120"/>
      <w:r>
        <w:rPr>
          <w:rStyle w:val="CharSectno"/>
        </w:rPr>
        <w:t>23</w:t>
      </w:r>
      <w:r>
        <w:t>.</w:t>
      </w:r>
      <w:r>
        <w:tab/>
        <w:t>Benefits of easements assignable</w:t>
      </w:r>
      <w:bookmarkEnd w:id="29"/>
    </w:p>
    <w:p>
      <w:pPr>
        <w:pStyle w:val="Subsection"/>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pPr>
      <w:r>
        <w:tab/>
        <w:t>(2)</w:t>
      </w:r>
      <w:r>
        <w:tab/>
        <w:t>Upon being satisfied that an easement has been assigned in accordance with subsection (1), the Registrar of Titles or Registrar of Deeds and Transfers 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rPr>
          <w:b/>
        </w:rPr>
      </w:pPr>
      <w:r>
        <w:tab/>
        <w:t>[Section 23 amended by No. 38 of 2005 s. 15</w:t>
      </w:r>
      <w:r>
        <w:rPr>
          <w:spacing w:val="-4"/>
        </w:rPr>
        <w:t>; No. 47 of 2011 s.</w:t>
      </w:r>
      <w:r>
        <w:t> 16.]</w:t>
      </w:r>
    </w:p>
    <w:p>
      <w:pPr>
        <w:pStyle w:val="Heading5"/>
      </w:pPr>
      <w:bookmarkStart w:id="30" w:name="_Toc378257121"/>
      <w:r>
        <w:rPr>
          <w:rStyle w:val="CharSectno"/>
        </w:rPr>
        <w:t>24</w:t>
      </w:r>
      <w:r>
        <w:t>.</w:t>
      </w:r>
      <w:r>
        <w:tab/>
        <w:t>Use of corporation’s staff and facilities</w:t>
      </w:r>
      <w:bookmarkEnd w:id="30"/>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31" w:name="_Toc378257122"/>
      <w:r>
        <w:rPr>
          <w:rStyle w:val="CharSectno"/>
        </w:rPr>
        <w:t>25</w:t>
      </w:r>
      <w:r>
        <w:t>.</w:t>
      </w:r>
      <w:r>
        <w:tab/>
        <w:t>Consumer contracts</w:t>
      </w:r>
      <w:bookmarkEnd w:id="31"/>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32" w:name="_Toc378257123"/>
      <w:r>
        <w:rPr>
          <w:rStyle w:val="CharSectno"/>
        </w:rPr>
        <w:t>26</w:t>
      </w:r>
      <w:r>
        <w:t>.</w:t>
      </w:r>
      <w:r>
        <w:tab/>
        <w:t>Proceeds of disposal</w:t>
      </w:r>
      <w:bookmarkEnd w:id="32"/>
    </w:p>
    <w:p>
      <w:pPr>
        <w:pStyle w:val="Subsection"/>
      </w:pPr>
      <w:r>
        <w:tab/>
        <w:t>(1)</w:t>
      </w:r>
      <w:r>
        <w:tab/>
        <w:t>A direction under section 7(1)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by No. 77 of 2006 s. 4.]</w:t>
      </w:r>
    </w:p>
    <w:p>
      <w:pPr>
        <w:pStyle w:val="Heading5"/>
        <w:keepNext w:val="0"/>
      </w:pPr>
      <w:bookmarkStart w:id="33" w:name="_Toc378257124"/>
      <w:r>
        <w:rPr>
          <w:rStyle w:val="CharSectno"/>
        </w:rPr>
        <w:t>27</w:t>
      </w:r>
      <w:r>
        <w:t>.</w:t>
      </w:r>
      <w:r>
        <w:tab/>
        <w:t>Disclosure of information</w:t>
      </w:r>
      <w:bookmarkEnd w:id="33"/>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34" w:name="_Toc378257125"/>
      <w:r>
        <w:rPr>
          <w:rStyle w:val="CharSectno"/>
        </w:rPr>
        <w:t>28</w:t>
      </w:r>
      <w:r>
        <w:t>.</w:t>
      </w:r>
      <w:r>
        <w:tab/>
        <w:t>Auditor General may disclose information</w:t>
      </w:r>
      <w:bookmarkEnd w:id="34"/>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 by No. 77 of 2006 s. 17.]</w:t>
      </w:r>
    </w:p>
    <w:p>
      <w:pPr>
        <w:pStyle w:val="Heading5"/>
      </w:pPr>
      <w:bookmarkStart w:id="35" w:name="_Toc378257126"/>
      <w:r>
        <w:rPr>
          <w:rStyle w:val="CharSectno"/>
        </w:rPr>
        <w:t>29</w:t>
      </w:r>
      <w:r>
        <w:t>.</w:t>
      </w:r>
      <w:r>
        <w:tab/>
        <w:t>Offence of disclosing information</w:t>
      </w:r>
      <w:bookmarkEnd w:id="35"/>
    </w:p>
    <w:p>
      <w:pPr>
        <w:pStyle w:val="Subsection"/>
      </w:pPr>
      <w:r>
        <w:tab/>
        <w:t>(1)</w:t>
      </w:r>
      <w:r>
        <w:tab/>
        <w:t>A person who —</w:t>
      </w:r>
    </w:p>
    <w:p>
      <w:pPr>
        <w:pStyle w:val="Indenta"/>
      </w:pPr>
      <w:r>
        <w:tab/>
        <w:t>(a)</w:t>
      </w:r>
      <w:r>
        <w:tab/>
        <w:t>under section 28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r>
        <w:rPr>
          <w:rStyle w:val="CharDefText"/>
        </w:rPr>
        <w:t>the bound recipient</w:t>
      </w:r>
      <w:r>
        <w:t>)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36" w:name="_Toc378257127"/>
      <w:r>
        <w:rPr>
          <w:rStyle w:val="CharSectno"/>
        </w:rPr>
        <w:t>30</w:t>
      </w:r>
      <w:r>
        <w:t>.</w:t>
      </w:r>
      <w:r>
        <w:tab/>
        <w:t>Saving</w:t>
      </w:r>
      <w:bookmarkEnd w:id="36"/>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7" w:name="_Toc378257128"/>
      <w:r>
        <w:rPr>
          <w:rStyle w:val="CharSectno"/>
        </w:rPr>
        <w:t>31</w:t>
      </w:r>
      <w:r>
        <w:t>.</w:t>
      </w:r>
      <w:r>
        <w:tab/>
        <w:t>State indemnities and guarantees</w:t>
      </w:r>
      <w:bookmarkEnd w:id="37"/>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pPr>
      <w:r>
        <w:tab/>
        <w:t>[Section 31 amended by No. 77 of 2006 s. 4.]</w:t>
      </w:r>
    </w:p>
    <w:p>
      <w:pPr>
        <w:pStyle w:val="Heading5"/>
      </w:pPr>
      <w:bookmarkStart w:id="38" w:name="_Toc378257129"/>
      <w:r>
        <w:rPr>
          <w:rStyle w:val="CharSectno"/>
        </w:rPr>
        <w:t>32</w:t>
      </w:r>
      <w:r>
        <w:t>.</w:t>
      </w:r>
      <w:r>
        <w:tab/>
        <w:t>State takeover of certain obligations</w:t>
      </w:r>
      <w:bookmarkEnd w:id="38"/>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by No. 77 of 2006 s. 4.]</w:t>
      </w:r>
    </w:p>
    <w:p>
      <w:pPr>
        <w:pStyle w:val="Heading5"/>
      </w:pPr>
      <w:bookmarkStart w:id="39" w:name="_Toc378257130"/>
      <w:r>
        <w:rPr>
          <w:rStyle w:val="CharSectno"/>
        </w:rPr>
        <w:t>33</w:t>
      </w:r>
      <w:r>
        <w:t>.</w:t>
      </w:r>
      <w:r>
        <w:tab/>
        <w:t>Regulations</w:t>
      </w:r>
      <w:bookmarkEnd w:id="39"/>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40" w:name="_Toc378257131"/>
      <w:r>
        <w:rPr>
          <w:rStyle w:val="CharPartNo"/>
        </w:rPr>
        <w:t>Part 4</w:t>
      </w:r>
      <w:r>
        <w:rPr>
          <w:rStyle w:val="CharDivNo"/>
        </w:rPr>
        <w:t xml:space="preserve"> </w:t>
      </w:r>
      <w:r>
        <w:t>—</w:t>
      </w:r>
      <w:r>
        <w:rPr>
          <w:rStyle w:val="CharDivText"/>
        </w:rPr>
        <w:t xml:space="preserve"> </w:t>
      </w:r>
      <w:r>
        <w:rPr>
          <w:rStyle w:val="CharPartText"/>
        </w:rPr>
        <w:t>Transitional provisions</w:t>
      </w:r>
      <w:bookmarkEnd w:id="40"/>
    </w:p>
    <w:p>
      <w:pPr>
        <w:pStyle w:val="Heading5"/>
      </w:pPr>
      <w:bookmarkStart w:id="41" w:name="_Toc378257132"/>
      <w:r>
        <w:rPr>
          <w:rStyle w:val="CharSectno"/>
        </w:rPr>
        <w:t>34</w:t>
      </w:r>
      <w:r>
        <w:t>.</w:t>
      </w:r>
      <w:r>
        <w:tab/>
        <w:t>Purpose of this Part</w:t>
      </w:r>
      <w:bookmarkEnd w:id="41"/>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42" w:name="_Toc378257133"/>
      <w:r>
        <w:rPr>
          <w:rStyle w:val="CharSectno"/>
        </w:rPr>
        <w:t>35</w:t>
      </w:r>
      <w:r>
        <w:t>.</w:t>
      </w:r>
      <w:r>
        <w:tab/>
        <w:t>Subsidiary to have corporation’s powers and duties</w:t>
      </w:r>
      <w:bookmarkEnd w:id="42"/>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43" w:name="_Toc378257134"/>
      <w:r>
        <w:rPr>
          <w:rStyle w:val="CharSectno"/>
        </w:rPr>
        <w:t>36</w:t>
      </w:r>
      <w:r>
        <w:t>.</w:t>
      </w:r>
      <w:r>
        <w:tab/>
        <w:t>Modification of other written laws</w:t>
      </w:r>
      <w:bookmarkEnd w:id="43"/>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44" w:name="_Toc378257135"/>
      <w:r>
        <w:rPr>
          <w:rStyle w:val="CharPartNo"/>
        </w:rPr>
        <w:t>Part 5</w:t>
      </w:r>
      <w:r>
        <w:rPr>
          <w:rStyle w:val="CharDivNo"/>
        </w:rPr>
        <w:t xml:space="preserve"> </w:t>
      </w:r>
      <w:r>
        <w:t>—</w:t>
      </w:r>
      <w:r>
        <w:rPr>
          <w:rStyle w:val="CharDivText"/>
        </w:rPr>
        <w:t xml:space="preserve"> </w:t>
      </w:r>
      <w:r>
        <w:rPr>
          <w:rStyle w:val="CharPartText"/>
        </w:rPr>
        <w:t>Miscellaneous</w:t>
      </w:r>
      <w:bookmarkEnd w:id="44"/>
    </w:p>
    <w:p>
      <w:pPr>
        <w:pStyle w:val="Heading5"/>
        <w:spacing w:before="120"/>
      </w:pPr>
      <w:bookmarkStart w:id="45" w:name="_Toc378257136"/>
      <w:r>
        <w:rPr>
          <w:rStyle w:val="CharSectno"/>
        </w:rPr>
        <w:t>37</w:t>
      </w:r>
      <w:r>
        <w:t>.</w:t>
      </w:r>
      <w:r>
        <w:tab/>
        <w:t>Auditor General to report on certain matters</w:t>
      </w:r>
      <w:bookmarkEnd w:id="45"/>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by No. 77 of 2006 s. 17.]</w:t>
      </w:r>
    </w:p>
    <w:p>
      <w:pPr>
        <w:pStyle w:val="Heading5"/>
      </w:pPr>
      <w:bookmarkStart w:id="46" w:name="_Toc378257137"/>
      <w:r>
        <w:rPr>
          <w:rStyle w:val="CharSectno"/>
        </w:rPr>
        <w:t>38</w:t>
      </w:r>
      <w:r>
        <w:t>.</w:t>
      </w:r>
      <w:r>
        <w:tab/>
        <w:t>Regulations</w:t>
      </w:r>
      <w:bookmarkEnd w:id="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47" w:name="_Toc378257138"/>
      <w:r>
        <w:rPr>
          <w:rStyle w:val="CharPartNo"/>
        </w:rPr>
        <w:t>Part 6</w:t>
      </w:r>
      <w:r>
        <w:t xml:space="preserve"> — </w:t>
      </w:r>
      <w:r>
        <w:rPr>
          <w:rStyle w:val="CharPartText"/>
        </w:rPr>
        <w:t>Effect on other Acts</w:t>
      </w:r>
      <w:bookmarkEnd w:id="47"/>
    </w:p>
    <w:p>
      <w:pPr>
        <w:pStyle w:val="Heading3"/>
      </w:pPr>
      <w:bookmarkStart w:id="48" w:name="_Toc378257139"/>
      <w:r>
        <w:rPr>
          <w:rStyle w:val="CharDivNo"/>
        </w:rPr>
        <w:t>Division 1</w:t>
      </w:r>
      <w:r>
        <w:t xml:space="preserve"> — </w:t>
      </w:r>
      <w:r>
        <w:rPr>
          <w:rStyle w:val="CharDivText"/>
        </w:rPr>
        <w:t>Provisions commencing on Royal Assent</w:t>
      </w:r>
      <w:bookmarkEnd w:id="48"/>
    </w:p>
    <w:p>
      <w:pPr>
        <w:pStyle w:val="Ednotesubdivision"/>
      </w:pPr>
      <w:r>
        <w:t>[Subdivisions 1-8 omitted under the Reprints Act 1984 s. 7(4)(e).]</w:t>
      </w:r>
    </w:p>
    <w:p>
      <w:pPr>
        <w:pStyle w:val="Heading4"/>
      </w:pPr>
      <w:bookmarkStart w:id="49" w:name="_Toc378257140"/>
      <w:r>
        <w:t xml:space="preserve">Subdivision 9 — </w:t>
      </w:r>
      <w:r>
        <w:rPr>
          <w:i/>
        </w:rPr>
        <w:t>Local Government Act 1995</w:t>
      </w:r>
      <w:bookmarkEnd w:id="49"/>
    </w:p>
    <w:p>
      <w:pPr>
        <w:pStyle w:val="Heading5"/>
      </w:pPr>
      <w:bookmarkStart w:id="50" w:name="_Toc378257141"/>
      <w:r>
        <w:rPr>
          <w:rStyle w:val="CharSectno"/>
        </w:rPr>
        <w:t>67</w:t>
      </w:r>
      <w:r>
        <w:t>.</w:t>
      </w:r>
      <w:r>
        <w:tab/>
        <w:t>Presence of pipeline does not constitute occupation of land</w:t>
      </w:r>
      <w:bookmarkEnd w:id="50"/>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1" w:name="_Toc378257142"/>
      <w:r>
        <w:t>Notes</w:t>
      </w:r>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378257143"/>
      <w:r>
        <w:rPr>
          <w:snapToGrid w:val="0"/>
        </w:rPr>
        <w:t>Compilation table</w:t>
      </w:r>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nil"/>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napToGrid w:val="0"/>
                <w:sz w:val="19"/>
              </w:rPr>
              <w:t>Planning and Development (Consequential and Transitional Provisions) Act 2005</w:t>
            </w:r>
            <w:r>
              <w:rPr>
                <w:iCs/>
                <w:sz w:val="19"/>
              </w:rPr>
              <w:t xml:space="preserve"> s. 15</w:t>
            </w:r>
          </w:p>
        </w:tc>
        <w:tc>
          <w:tcPr>
            <w:tcW w:w="1134" w:type="dxa"/>
            <w:tcBorders>
              <w:top w:val="nil"/>
              <w:bottom w:val="nil"/>
            </w:tcBorders>
          </w:tcPr>
          <w:p>
            <w:pPr>
              <w:pStyle w:val="nTable"/>
              <w:spacing w:after="40"/>
              <w:rPr>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z w:val="19"/>
              </w:rPr>
            </w:pPr>
            <w:r>
              <w:rPr>
                <w:spacing w:val="-2"/>
                <w:sz w:val="19"/>
              </w:rPr>
              <w:t xml:space="preserve">9 Apr 2006 (see s. 2 and </w:t>
            </w:r>
            <w:r>
              <w:rPr>
                <w:i/>
                <w:iCs/>
                <w:spacing w:val="-2"/>
                <w:sz w:val="19"/>
              </w:rPr>
              <w:t>Gazette</w:t>
            </w:r>
            <w:r>
              <w:rPr>
                <w:spacing w:val="-2"/>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17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2" w:type="dxa"/>
            <w:tcBorders>
              <w:top w:val="nil"/>
              <w:bottom w:val="nil"/>
            </w:tcBorders>
          </w:tcPr>
          <w:p>
            <w:pPr>
              <w:pStyle w:val="nTable"/>
              <w:spacing w:after="40"/>
              <w:rPr>
                <w:spacing w:val="-2"/>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4" w:type="dxa"/>
            <w:tcBorders>
              <w:top w:val="nil"/>
              <w:bottom w:val="single" w:sz="4" w:space="0" w:color="auto"/>
            </w:tcBorders>
          </w:tcPr>
          <w:p>
            <w:pPr>
              <w:pStyle w:val="nTable"/>
              <w:spacing w:after="40"/>
              <w:rPr>
                <w:snapToGrid w:val="0"/>
                <w:sz w:val="19"/>
              </w:rPr>
            </w:pPr>
            <w:r>
              <w:rPr>
                <w:snapToGrid w:val="0"/>
                <w:sz w:val="19"/>
              </w:rPr>
              <w:t>47 of 2011</w:t>
            </w:r>
          </w:p>
        </w:tc>
        <w:tc>
          <w:tcPr>
            <w:tcW w:w="1134" w:type="dxa"/>
            <w:tcBorders>
              <w:top w:val="nil"/>
              <w:bottom w:val="single" w:sz="4" w:space="0" w:color="auto"/>
            </w:tcBorders>
          </w:tcPr>
          <w:p>
            <w:pPr>
              <w:pStyle w:val="nTable"/>
              <w:spacing w:after="40"/>
              <w:rPr>
                <w:snapToGrid w:val="0"/>
                <w:sz w:val="19"/>
              </w:rPr>
            </w:pPr>
            <w:r>
              <w:rPr>
                <w:snapToGrid w:val="0"/>
                <w:sz w:val="19"/>
              </w:rPr>
              <w:t>25 Oct 2011</w:t>
            </w:r>
          </w:p>
        </w:tc>
        <w:tc>
          <w:tcPr>
            <w:tcW w:w="2552" w:type="dxa"/>
            <w:tcBorders>
              <w:top w:val="nil"/>
              <w:bottom w:val="single" w:sz="4" w:space="0" w:color="auto"/>
            </w:tcBorders>
          </w:tcPr>
          <w:p>
            <w:pPr>
              <w:pStyle w:val="nTable"/>
              <w:spacing w:after="40"/>
              <w:rPr>
                <w:snapToGrid w:val="0"/>
                <w:sz w:val="19"/>
              </w:rPr>
            </w:pPr>
            <w:r>
              <w:rPr>
                <w:snapToGrid w:val="0"/>
                <w:sz w:val="19"/>
              </w:rPr>
              <w:t>26 Oct 2011 (see s. 2(b))</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 xml:space="preserve">Pt. 6 Div. 5 did not come into operation and was repealed </w:t>
      </w:r>
      <w:r>
        <w:t xml:space="preserve">by the </w:t>
      </w:r>
      <w:r>
        <w:rPr>
          <w:i/>
        </w:rPr>
        <w:t>Statutes (Repeals and Minor Amendments) Act 2003</w:t>
      </w:r>
      <w:r>
        <w:t xml:space="preserve"> s. 58(3).</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56"/>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51211141956" w:val="RemoveTrackChanges"/>
    <w:docVar w:name="WAFER_20151211141956_GUID" w:val="05382edd-a965-41a4-b2c4-fedb51ac1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7315</Words>
  <Characters>35334</Characters>
  <Application>Microsoft Office Word</Application>
  <DocSecurity>0</DocSecurity>
  <Lines>929</Lines>
  <Paragraphs>533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1999 - 01-e0-03</dc:title>
  <dc:subject/>
  <dc:creator/>
  <cp:keywords/>
  <dc:description/>
  <cp:lastModifiedBy>svcMRProcess</cp:lastModifiedBy>
  <cp:revision>4</cp:revision>
  <cp:lastPrinted>2005-12-07T00:31:00Z</cp:lastPrinted>
  <dcterms:created xsi:type="dcterms:W3CDTF">2018-08-29T09:26:00Z</dcterms:created>
  <dcterms:modified xsi:type="dcterms:W3CDTF">2018-08-29T09:26:00Z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1982</vt:i4>
  </property>
  <property fmtid="{D5CDD505-2E9C-101B-9397-08002B2CF9AE}" pid="6" name="AsAtDate">
    <vt:lpwstr>26 Oct 2011</vt:lpwstr>
  </property>
  <property fmtid="{D5CDD505-2E9C-101B-9397-08002B2CF9AE}" pid="7" name="Suffix">
    <vt:lpwstr>01-e0-03</vt:lpwstr>
  </property>
</Properties>
</file>