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Geraldton Sailors and Soldiers’ Memorial Institute Act 1929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Geraldton Sailors and Soldiers’ Memorial Institute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_Toc378258736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_Toc378258737 \h </w:instrText>
      </w:r>
      <w:r>
        <w:fldChar w:fldCharType="separate"/>
      </w:r>
      <w:r>
        <w:t>2</w:t>
      </w:r>
      <w:r>
        <w:fldChar w:fldCharType="end"/>
      </w:r>
    </w:p>
    <w:p>
      <w:pPr>
        <w:pStyle w:val="TOC8"/>
        <w:rPr>
          <w:rFonts w:asciiTheme="minorHAnsi" w:eastAsiaTheme="minorEastAsia" w:hAnsiTheme="minorHAnsi" w:cstheme="minorBidi"/>
          <w:szCs w:val="22"/>
        </w:rPr>
      </w:pPr>
      <w:r>
        <w:t>3.</w:t>
      </w:r>
      <w:r>
        <w:tab/>
        <w:t>Incorporation dissolved</w:t>
      </w:r>
      <w:r>
        <w:tab/>
      </w:r>
      <w:r>
        <w:fldChar w:fldCharType="begin"/>
      </w:r>
      <w:r>
        <w:instrText xml:space="preserve"> PAGEREF _Toc378258738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Trustees to be a corporate body</w:t>
      </w:r>
      <w:r>
        <w:tab/>
      </w:r>
      <w:r>
        <w:fldChar w:fldCharType="begin"/>
      </w:r>
      <w:r>
        <w:instrText xml:space="preserve"> PAGEREF _Toc378258739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Land, chattels and money vested in trustees</w:t>
      </w:r>
      <w:r>
        <w:tab/>
      </w:r>
      <w:r>
        <w:fldChar w:fldCharType="begin"/>
      </w:r>
      <w:r>
        <w:instrText xml:space="preserve"> PAGEREF _Toc378258740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Trustees’ powers</w:t>
      </w:r>
      <w:r>
        <w:tab/>
      </w:r>
      <w:r>
        <w:fldChar w:fldCharType="begin"/>
      </w:r>
      <w:r>
        <w:instrText xml:space="preserve"> PAGEREF _Toc378258741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Common seal, affixing of</w:t>
      </w:r>
      <w:r>
        <w:tab/>
      </w:r>
      <w:r>
        <w:fldChar w:fldCharType="begin"/>
      </w:r>
      <w:r>
        <w:instrText xml:space="preserve"> PAGEREF _Toc378258742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Registrar of Titles to register trustees as proprietors of land</w:t>
      </w:r>
      <w:r>
        <w:tab/>
      </w:r>
      <w:r>
        <w:fldChar w:fldCharType="begin"/>
      </w:r>
      <w:r>
        <w:instrText xml:space="preserve"> PAGEREF _Toc378258743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Trustees’ expenses to be reimbursed</w:t>
      </w:r>
      <w:r>
        <w:tab/>
      </w:r>
      <w:r>
        <w:fldChar w:fldCharType="begin"/>
      </w:r>
      <w:r>
        <w:instrText xml:space="preserve"> PAGEREF _Toc378258744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of trustees</w:t>
      </w:r>
      <w:r>
        <w:tab/>
      </w:r>
      <w:r>
        <w:fldChar w:fldCharType="begin"/>
      </w:r>
      <w:r>
        <w:instrText xml:space="preserve"> PAGEREF _Toc378258745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Accounts, annual report, and financial statement</w:t>
      </w:r>
      <w:r>
        <w:tab/>
      </w:r>
      <w:r>
        <w:fldChar w:fldCharType="begin"/>
      </w:r>
      <w:r>
        <w:instrText xml:space="preserve"> PAGEREF _Toc378258746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_Toc378258748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
      </w:pPr>
      <w:r>
        <w:t xml:space="preserve">Geraldton Sailors and Soldiers’ Memorial Institute Act 1929 </w:t>
      </w:r>
    </w:p>
    <w:p>
      <w:pPr>
        <w:pStyle w:val="LongTitle"/>
        <w:rPr>
          <w:snapToGrid w:val="0"/>
        </w:rPr>
      </w:pPr>
      <w:r>
        <w:rPr>
          <w:snapToGrid w:val="0"/>
        </w:rPr>
        <w:t xml:space="preserve">An Act to vest the Geraldton Sailors and Soldiers’ Memorial Institute in Trustees and for purposes incidental thereto. </w:t>
      </w:r>
    </w:p>
    <w:p>
      <w:pPr>
        <w:pStyle w:val="Preamble1"/>
      </w:pPr>
      <w:r>
        <w:t>Preamble</w:t>
      </w:r>
    </w:p>
    <w:p>
      <w:pPr>
        <w:pStyle w:val="Preamble2"/>
        <w:rPr>
          <w:snapToGrid w:val="0"/>
        </w:rPr>
      </w:pPr>
      <w:r>
        <w:rPr>
          <w:snapToGrid w:val="0"/>
        </w:rPr>
        <w:t>WHEREAS the Sailors and Soldiers’ Memorial Institute Incorporated is registered as the proprietor of all those pieces of land being: — </w:t>
      </w:r>
    </w:p>
    <w:p>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pPr>
        <w:pStyle w:val="Heading5"/>
        <w:rPr>
          <w:snapToGrid w:val="0"/>
        </w:rPr>
      </w:pPr>
      <w:bookmarkStart w:id="1" w:name="_Toc37825873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2" w:name="_Toc378258737"/>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said land</w:t>
      </w:r>
      <w:r>
        <w:t xml:space="preserve"> means the land hereinbefore referred to;</w:t>
      </w:r>
    </w:p>
    <w:p>
      <w:pPr>
        <w:pStyle w:val="Defstart"/>
      </w:pPr>
      <w:r>
        <w:rPr>
          <w:b/>
        </w:rPr>
        <w:tab/>
      </w:r>
      <w:r>
        <w:rPr>
          <w:rStyle w:val="CharDefText"/>
        </w:rPr>
        <w:t>The said moneys</w:t>
      </w:r>
      <w:r>
        <w:t xml:space="preserve"> means the sum of money hereinbefore referred to and all interest thereon;</w:t>
      </w:r>
    </w:p>
    <w:p>
      <w:pPr>
        <w:pStyle w:val="Defstart"/>
      </w:pPr>
      <w:r>
        <w:rPr>
          <w:b/>
        </w:rPr>
        <w:tab/>
      </w:r>
      <w:r>
        <w:rPr>
          <w:rStyle w:val="CharDefText"/>
        </w:rPr>
        <w:t>The trustees</w:t>
      </w:r>
      <w:r>
        <w:t xml:space="preserve"> means the trustees for the time being appointed under this Act;</w:t>
      </w:r>
    </w:p>
    <w:p>
      <w:pPr>
        <w:pStyle w:val="Defstart"/>
      </w:pPr>
      <w:r>
        <w:rPr>
          <w:b/>
        </w:rPr>
        <w:tab/>
      </w:r>
      <w:r>
        <w:rPr>
          <w:rStyle w:val="CharDefText"/>
        </w:rPr>
        <w:t>Returned soldier</w:t>
      </w:r>
      <w:r>
        <w:t xml:space="preserve"> means any person who is eligible for membership of The Returned and Services League of Australia WA Branch Incorporated.</w:t>
      </w:r>
    </w:p>
    <w:p>
      <w:pPr>
        <w:pStyle w:val="Footnotesection"/>
      </w:pPr>
      <w:r>
        <w:tab/>
        <w:t>[Section 2 amended by No. 18 of 1956 s. 2</w:t>
      </w:r>
      <w:r>
        <w:rPr>
          <w:spacing w:val="-4"/>
        </w:rPr>
        <w:t>; No. 47 of 2011 s.</w:t>
      </w:r>
      <w:r>
        <w:t xml:space="preserve"> 17.] </w:t>
      </w:r>
    </w:p>
    <w:p>
      <w:pPr>
        <w:pStyle w:val="Heading5"/>
      </w:pPr>
      <w:bookmarkStart w:id="3" w:name="_Toc378258738"/>
      <w:r>
        <w:rPr>
          <w:rStyle w:val="CharSectno"/>
        </w:rPr>
        <w:t>3</w:t>
      </w:r>
      <w:r>
        <w:t>.</w:t>
      </w:r>
      <w:r>
        <w:tab/>
        <w:t>Incorporation dissolved</w:t>
      </w:r>
      <w:bookmarkEnd w:id="3"/>
    </w:p>
    <w:p>
      <w:pPr>
        <w:pStyle w:val="Subsection"/>
      </w:pPr>
      <w:r>
        <w:tab/>
        <w:t>(1)</w:t>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w:t>
      </w:r>
    </w:p>
    <w:p>
      <w:pPr>
        <w:pStyle w:val="Subsection"/>
      </w:pPr>
      <w:r>
        <w:tab/>
        <w:t>(2)</w:t>
      </w:r>
      <w:r>
        <w:tab/>
        <w:t>Any and every deed, contract, agreement, act, matter, or thing heretofore executed or done by such association shall have and take effect as if such corporation had been regular and in accordance with the said Act.</w:t>
      </w:r>
    </w:p>
    <w:p>
      <w:pPr>
        <w:pStyle w:val="Footnotesection"/>
      </w:pPr>
      <w:r>
        <w:tab/>
        <w:t>[Section 3 amended by No. 19 of 2010 s. 51.]</w:t>
      </w:r>
    </w:p>
    <w:p>
      <w:pPr>
        <w:pStyle w:val="Heading5"/>
        <w:rPr>
          <w:snapToGrid w:val="0"/>
        </w:rPr>
      </w:pPr>
      <w:bookmarkStart w:id="4" w:name="_Toc378258739"/>
      <w:r>
        <w:rPr>
          <w:rStyle w:val="CharSectno"/>
        </w:rPr>
        <w:t>4</w:t>
      </w:r>
      <w:r>
        <w:rPr>
          <w:snapToGrid w:val="0"/>
        </w:rPr>
        <w:t>.</w:t>
      </w:r>
      <w:r>
        <w:rPr>
          <w:snapToGrid w:val="0"/>
        </w:rPr>
        <w:tab/>
        <w:t>Trustees to be a corporate body</w:t>
      </w:r>
      <w:bookmarkEnd w:id="4"/>
      <w:r>
        <w:rPr>
          <w:snapToGrid w:val="0"/>
        </w:rPr>
        <w:t xml:space="preserve"> </w:t>
      </w:r>
    </w:p>
    <w:p>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pPr>
        <w:pStyle w:val="Subsection"/>
        <w:rPr>
          <w:snapToGrid w:val="0"/>
        </w:rPr>
      </w:pPr>
      <w:r>
        <w:rPr>
          <w:snapToGrid w:val="0"/>
        </w:rPr>
        <w:tab/>
        <w:t>(2)</w:t>
      </w:r>
      <w:r>
        <w:rPr>
          <w:snapToGrid w:val="0"/>
        </w:rPr>
        <w:tab/>
        <w:t xml:space="preserve">The mayor for the time being of the City of </w:t>
      </w:r>
      <w:smartTag w:uri="urn:schemas-microsoft-com:office:smarttags" w:element="City">
        <w:smartTag w:uri="urn:schemas-microsoft-com:office:smarttags" w:element="place">
          <w:r>
            <w:rPr>
              <w:snapToGrid w:val="0"/>
            </w:rPr>
            <w:t>Geraldton</w:t>
          </w:r>
        </w:smartTag>
      </w:smartTag>
      <w:r>
        <w:rPr>
          <w:snapToGrid w:val="0"/>
        </w:rPr>
        <w:t xml:space="preserve"> shall </w:t>
      </w:r>
      <w:r>
        <w:rPr>
          <w:snapToGrid w:val="0"/>
        </w:rPr>
        <w:br/>
        <w:t>(</w:t>
      </w:r>
      <w:r>
        <w:rPr>
          <w:i/>
          <w:snapToGrid w:val="0"/>
        </w:rPr>
        <w:t>ex officio</w:t>
      </w:r>
      <w:r>
        <w:rPr>
          <w:snapToGrid w:val="0"/>
        </w:rPr>
        <w:t>) be one of the trustees and the chairman thereof.</w:t>
      </w:r>
    </w:p>
    <w:p>
      <w:pPr>
        <w:pStyle w:val="Subsection"/>
        <w:rPr>
          <w:snapToGrid w:val="0"/>
        </w:rPr>
      </w:pPr>
      <w:r>
        <w:rPr>
          <w:snapToGrid w:val="0"/>
        </w:rPr>
        <w:tab/>
        <w:t>(3)</w:t>
      </w:r>
      <w:r>
        <w:rPr>
          <w:snapToGrid w:val="0"/>
        </w:rPr>
        <w:tab/>
        <w:t xml:space="preserve">Two of the trustees shall be ratepayers from Geraldton elected by the City of </w:t>
      </w:r>
      <w:smartTag w:uri="urn:schemas-microsoft-com:office:smarttags" w:element="City">
        <w:smartTag w:uri="urn:schemas-microsoft-com:office:smarttags" w:element="place">
          <w:r>
            <w:rPr>
              <w:snapToGrid w:val="0"/>
            </w:rPr>
            <w:t>Geraldton</w:t>
          </w:r>
        </w:smartTag>
      </w:smartTag>
      <w:r>
        <w:rPr>
          <w:snapToGrid w:val="0"/>
        </w:rPr>
        <w:t xml:space="preserve"> which may at any time replace either or both of those trustees.</w:t>
      </w:r>
    </w:p>
    <w:p>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w:t>
      </w:r>
      <w:r>
        <w:t xml:space="preserve"> The Returned and Services League of Australia WA Branch Incorporated</w:t>
      </w:r>
      <w:r>
        <w:rPr>
          <w:snapToGrid w:val="0"/>
        </w:rPr>
        <w:t>, which on any vacancy, from any cause occurring in the trustees appointed by it shall, fill such vacancy by the appointment of another person or other persons.</w:t>
      </w:r>
    </w:p>
    <w:p>
      <w:pPr>
        <w:pStyle w:val="Subsection"/>
        <w:rPr>
          <w:snapToGrid w:val="0"/>
        </w:rPr>
      </w:pPr>
      <w:r>
        <w:rPr>
          <w:snapToGrid w:val="0"/>
        </w:rPr>
        <w:tab/>
        <w:t>(4A)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pPr>
        <w:pStyle w:val="Subsection"/>
        <w:rPr>
          <w:snapToGrid w:val="0"/>
        </w:rPr>
      </w:pPr>
      <w:r>
        <w:rPr>
          <w:snapToGrid w:val="0"/>
        </w:rPr>
        <w:tab/>
        <w:t>(4B)</w:t>
      </w:r>
      <w:r>
        <w:rPr>
          <w:snapToGrid w:val="0"/>
        </w:rPr>
        <w:tab/>
        <w:t>Subject to subsection (4A),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pPr>
        <w:pStyle w:val="Subsection"/>
        <w:rPr>
          <w:snapToGrid w:val="0"/>
        </w:rPr>
      </w:pPr>
      <w:r>
        <w:rPr>
          <w:snapToGrid w:val="0"/>
        </w:rPr>
        <w:tab/>
        <w:t>(4C)</w:t>
      </w:r>
      <w:r>
        <w:rPr>
          <w:snapToGrid w:val="0"/>
        </w:rPr>
        <w:tab/>
        <w:t>A former trustee shall be eligible for appointment.</w:t>
      </w:r>
    </w:p>
    <w:p>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pPr>
        <w:pStyle w:val="Footnotesection"/>
      </w:pPr>
      <w:r>
        <w:tab/>
        <w:t>[Section 4 amended by No. 18 of 1956 s. 3; No. 14 of 1996 s. 4; No. 19 of 2010 s. 51</w:t>
      </w:r>
      <w:r>
        <w:rPr>
          <w:spacing w:val="-4"/>
        </w:rPr>
        <w:t>; No. 47 of 2011 s.</w:t>
      </w:r>
      <w:r>
        <w:t xml:space="preserve"> 17.] </w:t>
      </w:r>
    </w:p>
    <w:p>
      <w:pPr>
        <w:pStyle w:val="Heading5"/>
        <w:rPr>
          <w:snapToGrid w:val="0"/>
        </w:rPr>
      </w:pPr>
      <w:bookmarkStart w:id="5" w:name="_Toc378258740"/>
      <w:r>
        <w:rPr>
          <w:rStyle w:val="CharSectno"/>
        </w:rPr>
        <w:t>5</w:t>
      </w:r>
      <w:r>
        <w:rPr>
          <w:snapToGrid w:val="0"/>
        </w:rPr>
        <w:t>.</w:t>
      </w:r>
      <w:r>
        <w:rPr>
          <w:snapToGrid w:val="0"/>
        </w:rPr>
        <w:tab/>
        <w:t>Land, chattels and money vested in trustees</w:t>
      </w:r>
      <w:bookmarkEnd w:id="5"/>
      <w:r>
        <w:rPr>
          <w:snapToGrid w:val="0"/>
        </w:rPr>
        <w:t xml:space="preserve"> </w:t>
      </w:r>
    </w:p>
    <w:p>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pPr>
        <w:pStyle w:val="Indenta"/>
        <w:rPr>
          <w:snapToGrid w:val="0"/>
        </w:rPr>
      </w:pPr>
      <w:r>
        <w:rPr>
          <w:snapToGrid w:val="0"/>
        </w:rPr>
        <w:tab/>
        <w:t>(a)</w:t>
      </w:r>
      <w:r>
        <w:rPr>
          <w:snapToGrid w:val="0"/>
        </w:rPr>
        <w:tab/>
        <w:t>as to the land and chattels in trust to be used as a club house for all returned soldiers;</w:t>
      </w:r>
    </w:p>
    <w:p>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pPr>
        <w:pStyle w:val="Footnotesection"/>
      </w:pPr>
      <w:r>
        <w:tab/>
        <w:t xml:space="preserve">[Section 5 amended by No. 1 of 1997 s. 18.] </w:t>
      </w:r>
    </w:p>
    <w:p>
      <w:pPr>
        <w:pStyle w:val="Heading5"/>
        <w:rPr>
          <w:snapToGrid w:val="0"/>
        </w:rPr>
      </w:pPr>
      <w:bookmarkStart w:id="6" w:name="_Toc378258741"/>
      <w:r>
        <w:rPr>
          <w:rStyle w:val="CharSectno"/>
        </w:rPr>
        <w:t>6</w:t>
      </w:r>
      <w:r>
        <w:rPr>
          <w:snapToGrid w:val="0"/>
        </w:rPr>
        <w:t>.</w:t>
      </w:r>
      <w:r>
        <w:rPr>
          <w:snapToGrid w:val="0"/>
        </w:rPr>
        <w:tab/>
        <w:t>Trustees’ powers</w:t>
      </w:r>
      <w:bookmarkEnd w:id="6"/>
      <w:r>
        <w:rPr>
          <w:snapToGrid w:val="0"/>
        </w:rPr>
        <w:t xml:space="preserve"> </w:t>
      </w:r>
    </w:p>
    <w:p>
      <w:pPr>
        <w:pStyle w:val="Subsection"/>
        <w:rPr>
          <w:snapToGrid w:val="0"/>
        </w:rPr>
      </w:pPr>
      <w:r>
        <w:rPr>
          <w:snapToGrid w:val="0"/>
        </w:rPr>
        <w:tab/>
        <w:t>(1)</w:t>
      </w:r>
      <w:r>
        <w:rPr>
          <w:snapToGrid w:val="0"/>
        </w:rPr>
        <w:tab/>
        <w:t>The trustees are hereby authorised and empowered, with the approval of the Governor, to exercise any of the following powers with relation to the said land: — </w:t>
      </w:r>
    </w:p>
    <w:p>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w:t>
      </w:r>
    </w:p>
    <w:p>
      <w:pPr>
        <w:pStyle w:val="Subsection"/>
        <w:rPr>
          <w:snapToGrid w:val="0"/>
        </w:rPr>
      </w:pPr>
      <w:r>
        <w:rPr>
          <w:snapToGrid w:val="0"/>
        </w:rPr>
        <w:tab/>
        <w:t>(2)</w:t>
      </w:r>
      <w:r>
        <w:rPr>
          <w:snapToGrid w:val="0"/>
        </w:rPr>
        <w:tab/>
        <w:t>The trustees may, without the approval of the Governor, lease for a term of not longer than 3 years the said land and buildings, and the said chattels to the said Geraldton sub</w:t>
      </w:r>
      <w:r>
        <w:rPr>
          <w:snapToGrid w:val="0"/>
        </w:rPr>
        <w:noBreakHyphen/>
        <w:t xml:space="preserve">branch of the Returned Sailors’ Soldiers’ and Airmen’s Imperial League of </w:t>
      </w:r>
      <w:r>
        <w:t>Australia and, if it does so, the</w:t>
      </w:r>
      <w:r>
        <w:rPr>
          <w:snapToGrid w:val="0"/>
        </w:rPr>
        <w:t xml:space="preserve"> sub</w:t>
      </w:r>
      <w:r>
        <w:rPr>
          <w:snapToGrid w:val="0"/>
        </w:rPr>
        <w:noBreakHyphen/>
        <w:t>branch shall use such land, buildings, and chattels as a club for returned soldiers.</w:t>
      </w:r>
    </w:p>
    <w:p>
      <w:pPr>
        <w:pStyle w:val="Footnotesection"/>
      </w:pPr>
      <w:r>
        <w:tab/>
        <w:t xml:space="preserve">[Section 6 amended by No. 18 of 1956 s. 4; No. 19 of 2010 s. 51.] </w:t>
      </w:r>
    </w:p>
    <w:p>
      <w:pPr>
        <w:pStyle w:val="Heading5"/>
        <w:rPr>
          <w:snapToGrid w:val="0"/>
        </w:rPr>
      </w:pPr>
      <w:bookmarkStart w:id="7" w:name="_Toc378258742"/>
      <w:r>
        <w:rPr>
          <w:rStyle w:val="CharSectno"/>
        </w:rPr>
        <w:t>7</w:t>
      </w:r>
      <w:r>
        <w:rPr>
          <w:snapToGrid w:val="0"/>
        </w:rPr>
        <w:t>.</w:t>
      </w:r>
      <w:r>
        <w:rPr>
          <w:snapToGrid w:val="0"/>
        </w:rPr>
        <w:tab/>
        <w:t>Common seal, affixing of</w:t>
      </w:r>
      <w:bookmarkEnd w:id="7"/>
      <w:r>
        <w:rPr>
          <w:snapToGrid w:val="0"/>
        </w:rPr>
        <w:t xml:space="preserve"> </w:t>
      </w:r>
    </w:p>
    <w:p>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pPr>
        <w:pStyle w:val="Heading5"/>
        <w:rPr>
          <w:snapToGrid w:val="0"/>
        </w:rPr>
      </w:pPr>
      <w:bookmarkStart w:id="8" w:name="_Toc378258743"/>
      <w:r>
        <w:rPr>
          <w:rStyle w:val="CharSectno"/>
        </w:rPr>
        <w:t>8</w:t>
      </w:r>
      <w:r>
        <w:rPr>
          <w:snapToGrid w:val="0"/>
        </w:rPr>
        <w:t>.</w:t>
      </w:r>
      <w:r>
        <w:rPr>
          <w:snapToGrid w:val="0"/>
        </w:rPr>
        <w:tab/>
        <w:t>Registrar of Titles to register trustees as proprietors of land</w:t>
      </w:r>
      <w:bookmarkEnd w:id="8"/>
      <w:r>
        <w:rPr>
          <w:snapToGrid w:val="0"/>
        </w:rPr>
        <w:t xml:space="preserve"> </w:t>
      </w:r>
    </w:p>
    <w:p>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pPr>
        <w:pStyle w:val="Heading5"/>
        <w:rPr>
          <w:snapToGrid w:val="0"/>
        </w:rPr>
      </w:pPr>
      <w:bookmarkStart w:id="9" w:name="_Toc378258744"/>
      <w:r>
        <w:rPr>
          <w:rStyle w:val="CharSectno"/>
        </w:rPr>
        <w:t>9</w:t>
      </w:r>
      <w:r>
        <w:rPr>
          <w:snapToGrid w:val="0"/>
        </w:rPr>
        <w:t>.</w:t>
      </w:r>
      <w:r>
        <w:rPr>
          <w:snapToGrid w:val="0"/>
        </w:rPr>
        <w:tab/>
        <w:t>Trustees’ expenses to be reimbursed</w:t>
      </w:r>
      <w:bookmarkEnd w:id="9"/>
      <w:r>
        <w:rPr>
          <w:snapToGrid w:val="0"/>
        </w:rPr>
        <w:t xml:space="preserve"> </w:t>
      </w:r>
    </w:p>
    <w:p>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pPr>
        <w:pStyle w:val="Heading5"/>
        <w:rPr>
          <w:snapToGrid w:val="0"/>
        </w:rPr>
      </w:pPr>
      <w:bookmarkStart w:id="10" w:name="_Toc378258745"/>
      <w:r>
        <w:rPr>
          <w:rStyle w:val="CharSectno"/>
        </w:rPr>
        <w:t>10</w:t>
      </w:r>
      <w:r>
        <w:rPr>
          <w:snapToGrid w:val="0"/>
        </w:rPr>
        <w:t>.</w:t>
      </w:r>
      <w:r>
        <w:rPr>
          <w:snapToGrid w:val="0"/>
        </w:rPr>
        <w:tab/>
        <w:t>Protection of trustees</w:t>
      </w:r>
      <w:bookmarkEnd w:id="10"/>
      <w:r>
        <w:rPr>
          <w:snapToGrid w:val="0"/>
        </w:rPr>
        <w:t xml:space="preserve"> </w:t>
      </w:r>
    </w:p>
    <w:p>
      <w:pPr>
        <w:pStyle w:val="Subsection"/>
        <w:rPr>
          <w:snapToGrid w:val="0"/>
        </w:rPr>
      </w:pPr>
      <w:r>
        <w:rPr>
          <w:snapToGrid w:val="0"/>
        </w:rPr>
        <w:tab/>
      </w:r>
      <w:r>
        <w:rPr>
          <w:snapToGrid w:val="0"/>
        </w:rPr>
        <w:tab/>
        <w:t>No trustee shall be liable as such to any creditor of the trustees beyond the property of the trustees in his hands.</w:t>
      </w:r>
    </w:p>
    <w:p>
      <w:pPr>
        <w:pStyle w:val="Heading5"/>
        <w:rPr>
          <w:snapToGrid w:val="0"/>
        </w:rPr>
      </w:pPr>
      <w:bookmarkStart w:id="11" w:name="_Toc378258746"/>
      <w:r>
        <w:rPr>
          <w:rStyle w:val="CharSectno"/>
        </w:rPr>
        <w:t>11</w:t>
      </w:r>
      <w:r>
        <w:rPr>
          <w:snapToGrid w:val="0"/>
        </w:rPr>
        <w:t>.</w:t>
      </w:r>
      <w:r>
        <w:rPr>
          <w:snapToGrid w:val="0"/>
        </w:rPr>
        <w:tab/>
        <w:t>Accounts, annual report, and financial statement</w:t>
      </w:r>
      <w:bookmarkEnd w:id="11"/>
      <w:r>
        <w:rPr>
          <w:snapToGrid w:val="0"/>
        </w:rPr>
        <w:t xml:space="preserve"> </w:t>
      </w:r>
    </w:p>
    <w:p>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pPr>
        <w:pStyle w:val="Footnotesection"/>
      </w:pPr>
      <w:r>
        <w:tab/>
        <w:t xml:space="preserve">[Section 11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 w:name="_Toc378258747"/>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13" w:name="_Toc378258748"/>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Geraldton Sailors and Soldiers’ Memorial Institute Act 1929</w:t>
            </w:r>
          </w:p>
        </w:tc>
        <w:tc>
          <w:tcPr>
            <w:tcW w:w="1134" w:type="dxa"/>
          </w:tcPr>
          <w:p>
            <w:pPr>
              <w:pStyle w:val="nTable"/>
              <w:rPr>
                <w:sz w:val="19"/>
              </w:rPr>
            </w:pPr>
            <w:r>
              <w:rPr>
                <w:sz w:val="19"/>
              </w:rPr>
              <w:t>38 of 1929</w:t>
            </w:r>
          </w:p>
        </w:tc>
        <w:tc>
          <w:tcPr>
            <w:tcW w:w="1134" w:type="dxa"/>
          </w:tcPr>
          <w:p>
            <w:pPr>
              <w:pStyle w:val="nTable"/>
              <w:rPr>
                <w:sz w:val="19"/>
              </w:rPr>
            </w:pPr>
            <w:r>
              <w:rPr>
                <w:sz w:val="19"/>
              </w:rPr>
              <w:t>31 Dec 1929</w:t>
            </w:r>
          </w:p>
        </w:tc>
        <w:tc>
          <w:tcPr>
            <w:tcW w:w="2551" w:type="dxa"/>
          </w:tcPr>
          <w:p>
            <w:pPr>
              <w:pStyle w:val="nTable"/>
              <w:rPr>
                <w:sz w:val="19"/>
              </w:rPr>
            </w:pPr>
            <w:r>
              <w:rPr>
                <w:sz w:val="19"/>
              </w:rPr>
              <w:t>31 Dec 1929</w:t>
            </w:r>
          </w:p>
        </w:tc>
      </w:tr>
      <w:tr>
        <w:tc>
          <w:tcPr>
            <w:tcW w:w="2268" w:type="dxa"/>
          </w:tcPr>
          <w:p>
            <w:pPr>
              <w:pStyle w:val="nTable"/>
              <w:rPr>
                <w:sz w:val="19"/>
              </w:rPr>
            </w:pPr>
            <w:r>
              <w:rPr>
                <w:i/>
                <w:sz w:val="19"/>
              </w:rPr>
              <w:t>Geraldton Sailors and Soldiers’ Memorial Institute Act Amendment Act 1956</w:t>
            </w:r>
          </w:p>
        </w:tc>
        <w:tc>
          <w:tcPr>
            <w:tcW w:w="1134" w:type="dxa"/>
          </w:tcPr>
          <w:p>
            <w:pPr>
              <w:pStyle w:val="nTable"/>
              <w:rPr>
                <w:sz w:val="19"/>
              </w:rPr>
            </w:pPr>
            <w:r>
              <w:rPr>
                <w:sz w:val="19"/>
              </w:rPr>
              <w:t>18 of 1956</w:t>
            </w:r>
          </w:p>
        </w:tc>
        <w:tc>
          <w:tcPr>
            <w:tcW w:w="1134" w:type="dxa"/>
          </w:tcPr>
          <w:p>
            <w:pPr>
              <w:pStyle w:val="nTable"/>
              <w:rPr>
                <w:sz w:val="19"/>
              </w:rPr>
            </w:pPr>
            <w:r>
              <w:rPr>
                <w:sz w:val="19"/>
              </w:rPr>
              <w:t>2 Nov 1956</w:t>
            </w:r>
          </w:p>
        </w:tc>
        <w:tc>
          <w:tcPr>
            <w:tcW w:w="2551" w:type="dxa"/>
          </w:tcPr>
          <w:p>
            <w:pPr>
              <w:pStyle w:val="nTable"/>
              <w:rPr>
                <w:sz w:val="19"/>
              </w:rPr>
            </w:pPr>
            <w:r>
              <w:rPr>
                <w:sz w:val="19"/>
              </w:rPr>
              <w:t>2 Nov 1956</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Trustees Amendment Act 1997 </w:t>
            </w:r>
            <w:r>
              <w:rPr>
                <w:sz w:val="19"/>
              </w:rPr>
              <w:t>s. 18</w:t>
            </w:r>
          </w:p>
        </w:tc>
        <w:tc>
          <w:tcPr>
            <w:tcW w:w="1134" w:type="dxa"/>
          </w:tcPr>
          <w:p>
            <w:pPr>
              <w:pStyle w:val="nTable"/>
              <w:rPr>
                <w:sz w:val="19"/>
              </w:rPr>
            </w:pPr>
            <w:r>
              <w:rPr>
                <w:sz w:val="19"/>
              </w:rPr>
              <w:t>1 of 1997</w:t>
            </w:r>
          </w:p>
        </w:tc>
        <w:tc>
          <w:tcPr>
            <w:tcW w:w="1134" w:type="dxa"/>
          </w:tcPr>
          <w:p>
            <w:pPr>
              <w:pStyle w:val="nTable"/>
              <w:rPr>
                <w:sz w:val="19"/>
              </w:rPr>
            </w:pPr>
            <w:r>
              <w:rPr>
                <w:sz w:val="19"/>
              </w:rPr>
              <w:t>6 May 1997</w:t>
            </w:r>
          </w:p>
        </w:tc>
        <w:tc>
          <w:tcPr>
            <w:tcW w:w="2551" w:type="dxa"/>
          </w:tcPr>
          <w:p>
            <w:pPr>
              <w:pStyle w:val="nTable"/>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4"/>
          </w:tcPr>
          <w:p>
            <w:pPr>
              <w:pStyle w:val="nTable"/>
              <w:spacing w:after="60"/>
              <w:rPr>
                <w:sz w:val="19"/>
              </w:rPr>
            </w:pPr>
            <w:r>
              <w:rPr>
                <w:b/>
                <w:sz w:val="19"/>
              </w:rPr>
              <w:t xml:space="preserve">Reprint 1: The </w:t>
            </w:r>
            <w:r>
              <w:rPr>
                <w:b/>
                <w:i/>
                <w:sz w:val="19"/>
              </w:rPr>
              <w:t xml:space="preserve">Geraldton Sailors and Soldiers’ Memorial Institute Act 1929 </w:t>
            </w:r>
            <w:r>
              <w:rPr>
                <w:b/>
                <w:sz w:val="19"/>
              </w:rPr>
              <w:t>as at 9 May  2003</w:t>
            </w:r>
            <w:r>
              <w:rPr>
                <w:sz w:val="19"/>
              </w:rPr>
              <w:t xml:space="preserve"> (includes amendments listed above)</w:t>
            </w:r>
          </w:p>
        </w:tc>
      </w:tr>
      <w:tr>
        <w:tc>
          <w:tcPr>
            <w:tcW w:w="2268" w:type="dxa"/>
          </w:tcPr>
          <w:p>
            <w:pPr>
              <w:pStyle w:val="nTable"/>
              <w:rPr>
                <w:sz w:val="19"/>
              </w:rPr>
            </w:pPr>
            <w:r>
              <w:rPr>
                <w:i/>
                <w:snapToGrid w:val="0"/>
                <w:sz w:val="19"/>
              </w:rPr>
              <w:t>Standardisation of Formatting Act 2010</w:t>
            </w:r>
            <w:r>
              <w:rPr>
                <w:iCs/>
                <w:snapToGrid w:val="0"/>
                <w:sz w:val="19"/>
              </w:rPr>
              <w:t xml:space="preserve"> s. 51</w:t>
            </w:r>
          </w:p>
        </w:tc>
        <w:tc>
          <w:tcPr>
            <w:tcW w:w="1134" w:type="dxa"/>
          </w:tcPr>
          <w:p>
            <w:pPr>
              <w:pStyle w:val="nTable"/>
              <w:rPr>
                <w:sz w:val="19"/>
              </w:rPr>
            </w:pPr>
            <w:r>
              <w:rPr>
                <w:snapToGrid w:val="0"/>
                <w:sz w:val="19"/>
              </w:rPr>
              <w:t>19 of 2010</w:t>
            </w:r>
          </w:p>
        </w:tc>
        <w:tc>
          <w:tcPr>
            <w:tcW w:w="1134" w:type="dxa"/>
          </w:tcPr>
          <w:p>
            <w:pPr>
              <w:pStyle w:val="nTable"/>
              <w:rPr>
                <w:sz w:val="19"/>
              </w:rPr>
            </w:pPr>
            <w:r>
              <w:rPr>
                <w:snapToGrid w:val="0"/>
                <w:sz w:val="19"/>
              </w:rPr>
              <w:t>28 Jun 2010</w:t>
            </w:r>
          </w:p>
        </w:tc>
        <w:tc>
          <w:tcPr>
            <w:tcW w:w="2551" w:type="dxa"/>
          </w:tcPr>
          <w:p>
            <w:pPr>
              <w:pStyle w:val="nTable"/>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8" w:type="dxa"/>
            <w:tcBorders>
              <w:bottom w:val="single" w:sz="4" w:space="0" w:color="auto"/>
            </w:tcBorders>
          </w:tcPr>
          <w:p>
            <w:pPr>
              <w:pStyle w:val="nTable"/>
            </w:pPr>
            <w:r>
              <w:rPr>
                <w:i/>
                <w:snapToGrid w:val="0"/>
                <w:sz w:val="19"/>
              </w:rPr>
              <w:t xml:space="preserve">Statutes (Repeals and Minor Amendments) Act 2011 </w:t>
            </w:r>
            <w:r>
              <w:t>s. 17</w:t>
            </w:r>
            <w:r>
              <w:rPr>
                <w:vertAlign w:val="superscript"/>
              </w:rPr>
              <w:t> 5</w:t>
            </w:r>
          </w:p>
        </w:tc>
        <w:tc>
          <w:tcPr>
            <w:tcW w:w="1134" w:type="dxa"/>
            <w:tcBorders>
              <w:bottom w:val="single" w:sz="4" w:space="0" w:color="auto"/>
            </w:tcBorders>
          </w:tcPr>
          <w:p>
            <w:pPr>
              <w:pStyle w:val="nTable"/>
              <w:rPr>
                <w:snapToGrid w:val="0"/>
                <w:sz w:val="19"/>
              </w:rPr>
            </w:pPr>
            <w:r>
              <w:rPr>
                <w:snapToGrid w:val="0"/>
                <w:sz w:val="19"/>
              </w:rPr>
              <w:t>47 of 2011</w:t>
            </w:r>
          </w:p>
        </w:tc>
        <w:tc>
          <w:tcPr>
            <w:tcW w:w="1134" w:type="dxa"/>
            <w:tcBorders>
              <w:bottom w:val="single" w:sz="4" w:space="0" w:color="auto"/>
            </w:tcBorders>
          </w:tcPr>
          <w:p>
            <w:pPr>
              <w:pStyle w:val="nTable"/>
              <w:rPr>
                <w:snapToGrid w:val="0"/>
                <w:sz w:val="19"/>
              </w:rPr>
            </w:pPr>
            <w:r>
              <w:rPr>
                <w:snapToGrid w:val="0"/>
                <w:sz w:val="19"/>
              </w:rPr>
              <w:t>25 Oct 2011</w:t>
            </w:r>
          </w:p>
        </w:tc>
        <w:tc>
          <w:tcPr>
            <w:tcW w:w="2551" w:type="dxa"/>
            <w:tcBorders>
              <w:bottom w:val="single" w:sz="4" w:space="0" w:color="auto"/>
            </w:tcBorders>
          </w:tcPr>
          <w:p>
            <w:pPr>
              <w:pStyle w:val="nTable"/>
              <w:rPr>
                <w:snapToGrid w:val="0"/>
                <w:sz w:val="19"/>
              </w:rPr>
            </w:pPr>
            <w:r>
              <w:rPr>
                <w:snapToGrid w:val="0"/>
                <w:sz w:val="19"/>
              </w:rPr>
              <w:t>26 Oct 2011 (see s. 2(b))</w:t>
            </w:r>
          </w:p>
        </w:tc>
      </w:tr>
    </w:tbl>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This Act shall be read with the following Acts:</w:t>
      </w:r>
    </w:p>
    <w:p>
      <w:pPr>
        <w:pStyle w:val="nSubsection"/>
      </w:pPr>
      <w:r>
        <w:rPr>
          <w:i/>
        </w:rPr>
        <w:tab/>
        <w:t>Geraldton Sailors and Soldiers’ Memorial Institute Enabling Act 1934</w:t>
      </w:r>
      <w:r>
        <w:t>.</w:t>
      </w:r>
    </w:p>
    <w:p>
      <w:pPr>
        <w:pStyle w:val="nSubsection"/>
      </w:pPr>
      <w:r>
        <w:rPr>
          <w:i/>
        </w:rPr>
        <w:tab/>
        <w:t>Geraldton Sailors and Soldiers’ Memorial Institute (Trust Property Disposition) Act 1938</w:t>
      </w:r>
      <w:r>
        <w:t>.</w:t>
      </w:r>
    </w:p>
    <w:p>
      <w:pPr>
        <w:pStyle w:val="nSubsection"/>
      </w:pPr>
      <w:r>
        <w:tab/>
        <w:t>Related Act:</w:t>
      </w:r>
    </w:p>
    <w:p>
      <w:pPr>
        <w:pStyle w:val="nSubsection"/>
      </w:pPr>
      <w:r>
        <w:rPr>
          <w:i/>
        </w:rPr>
        <w:tab/>
        <w:t xml:space="preserve">Geraldton Sailors and Soldiers’ </w:t>
      </w:r>
      <w:smartTag w:uri="urn:schemas-microsoft-com:office:smarttags" w:element="place">
        <w:smartTag w:uri="urn:schemas-microsoft-com:office:smarttags" w:element="PlaceName">
          <w:r>
            <w:rPr>
              <w:i/>
            </w:rPr>
            <w:t>Memorial</w:t>
          </w:r>
        </w:smartTag>
        <w:r>
          <w:rPr>
            <w:i/>
          </w:rPr>
          <w:t xml:space="preserve"> </w:t>
        </w:r>
        <w:smartTag w:uri="urn:schemas-microsoft-com:office:smarttags" w:element="PlaceType">
          <w:r>
            <w:rPr>
              <w:i/>
            </w:rPr>
            <w:t>Institute</w:t>
          </w:r>
        </w:smartTag>
        <w:r>
          <w:rPr>
            <w:i/>
          </w:rPr>
          <w:t xml:space="preserve"> </w:t>
        </w:r>
        <w:smartTag w:uri="urn:schemas-microsoft-com:office:smarttags" w:element="PlaceType">
          <w:r>
            <w:rPr>
              <w:i/>
            </w:rPr>
            <w:t>Lands</w:t>
          </w:r>
        </w:smartTag>
      </w:smartTag>
      <w:r>
        <w:rPr>
          <w:i/>
        </w:rPr>
        <w:t xml:space="preserve"> Vesting Act 1933</w:t>
      </w:r>
      <w:r>
        <w:t>.</w:t>
      </w:r>
    </w:p>
    <w:p>
      <w:pPr>
        <w:pStyle w:val="nSubsection"/>
      </w:pPr>
      <w:r>
        <w:rPr>
          <w:vertAlign w:val="superscript"/>
        </w:rPr>
        <w:t>5</w:t>
      </w:r>
      <w:r>
        <w:tab/>
        <w:t xml:space="preserve">The amendment in the </w:t>
      </w:r>
      <w:r>
        <w:rPr>
          <w:i/>
        </w:rPr>
        <w:t>Statutes (Repeals and Minor Amendments) Act 2011</w:t>
      </w:r>
      <w:r>
        <w:t xml:space="preserve"> s. 17 to s. 6(c) is not included because it was unclear where the amendment was intended to be made.</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Geraldton Sailors and Soldiers’ Memorial Institute Act 1929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Geraldton Sailors and Soldiers’ Memorial Institute Act 1929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Geraldton Sailors and Soldiers’ Memorial Institute Act 1929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Geraldton Sailors and Soldiers’ Memorial Institute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Sailors and Soldiers’ Memorial Institute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Sailors and Soldiers’ Memorial Institute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4C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02B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B86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C28F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A8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9A2C7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17"/>
    <w:docVar w:name="WAFER_20140123163736" w:val="RemoveTocBookmarks,RemoveUnusedBookmarks,RemoveLanguageTags,UsedStyles,ResetPageSize,UpdateArrangement"/>
    <w:docVar w:name="WAFER_20140123163736_GUID" w:val="b6e658e8-1051-40cc-a3b1-2241b0be04d1"/>
    <w:docVar w:name="WAFER_20140123163741" w:val="RemoveTocBookmarks,RunningHeaders"/>
    <w:docVar w:name="WAFER_20140123163741_GUID" w:val="bbb4d146-4904-4e19-a042-a8453e250ea6"/>
    <w:docVar w:name="WAFER_20151211133017" w:val="RemoveTrackChanges"/>
    <w:docVar w:name="WAFER_20151211133017_GUID" w:val="a10b2de1-8da5-4f09-9f95-7230253726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1938</Words>
  <Characters>9230</Characters>
  <Application>Microsoft Office Word</Application>
  <DocSecurity>0</DocSecurity>
  <Lines>263</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1929 - 01-d0-05</dc:title>
  <dc:subject/>
  <dc:creator/>
  <cp:keywords/>
  <dc:description/>
  <cp:lastModifiedBy>svcMRProcess</cp:lastModifiedBy>
  <cp:revision>4</cp:revision>
  <cp:lastPrinted>2011-10-26T03:09:00Z</cp:lastPrinted>
  <dcterms:created xsi:type="dcterms:W3CDTF">2015-12-13T07:09:00Z</dcterms:created>
  <dcterms:modified xsi:type="dcterms:W3CDTF">2015-12-13T07:09:00Z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20111026</vt:lpwstr>
  </property>
  <property fmtid="{D5CDD505-2E9C-101B-9397-08002B2CF9AE}" pid="4" name="AsAtDate">
    <vt:lpwstr>26 Oct 2011</vt:lpwstr>
  </property>
  <property fmtid="{D5CDD505-2E9C-101B-9397-08002B2CF9AE}" pid="5" name="Suffix">
    <vt:lpwstr>01-d0-05</vt:lpwstr>
  </property>
  <property fmtid="{D5CDD505-2E9C-101B-9397-08002B2CF9AE}" pid="6" name="OWLSUId">
    <vt:i4>943</vt:i4>
  </property>
  <property fmtid="{D5CDD505-2E9C-101B-9397-08002B2CF9AE}" pid="7" name="DocumentType">
    <vt:lpwstr>Act</vt:lpwstr>
  </property>
</Properties>
</file>