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Superannuation Act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spacing w:after="480"/>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_Toc308159839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_Toc308159840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_Toc308159841 \h </w:instrText>
      </w:r>
      <w:r>
        <w:fldChar w:fldCharType="separate"/>
      </w:r>
      <w:r>
        <w:t>2</w:t>
      </w:r>
      <w:r>
        <w:fldChar w:fldCharType="end"/>
      </w:r>
    </w:p>
    <w:p>
      <w:pPr>
        <w:pStyle w:val="TOC8"/>
        <w:rPr>
          <w:sz w:val="24"/>
          <w:szCs w:val="24"/>
          <w:lang w:val="en-US"/>
        </w:rPr>
      </w:pPr>
      <w:r>
        <w:t>5</w:t>
      </w:r>
      <w:r>
        <w:rPr>
          <w:snapToGrid w:val="0"/>
        </w:rPr>
        <w:t>.</w:t>
      </w:r>
      <w:r>
        <w:rPr>
          <w:snapToGrid w:val="0"/>
        </w:rPr>
        <w:tab/>
        <w:t>Terms used in this Act</w:t>
      </w:r>
      <w:r>
        <w:tab/>
      </w:r>
      <w:r>
        <w:fldChar w:fldCharType="begin"/>
      </w:r>
      <w:r>
        <w:instrText xml:space="preserve"> PAGEREF _Toc308159842 \h </w:instrText>
      </w:r>
      <w:r>
        <w:fldChar w:fldCharType="separate"/>
      </w:r>
      <w:r>
        <w:t>2</w:t>
      </w:r>
      <w:r>
        <w:fldChar w:fldCharType="end"/>
      </w:r>
    </w:p>
    <w:p>
      <w:pPr>
        <w:pStyle w:val="TOC2"/>
        <w:tabs>
          <w:tab w:val="right" w:leader="dot" w:pos="7086"/>
        </w:tabs>
        <w:rPr>
          <w:b w:val="0"/>
          <w:sz w:val="24"/>
          <w:szCs w:val="24"/>
          <w:lang w:val="en-US"/>
        </w:rPr>
      </w:pPr>
      <w:r>
        <w:t>Part II — The Parliamentary Superannuation Board</w:t>
      </w:r>
    </w:p>
    <w:p>
      <w:pPr>
        <w:pStyle w:val="TOC8"/>
        <w:rPr>
          <w:sz w:val="24"/>
          <w:szCs w:val="24"/>
          <w:lang w:val="en-US"/>
        </w:rPr>
      </w:pPr>
      <w:r>
        <w:t>6</w:t>
      </w:r>
      <w:r>
        <w:rPr>
          <w:snapToGrid w:val="0"/>
        </w:rPr>
        <w:t>.</w:t>
      </w:r>
      <w:r>
        <w:rPr>
          <w:snapToGrid w:val="0"/>
        </w:rPr>
        <w:tab/>
        <w:t>The Board</w:t>
      </w:r>
      <w:r>
        <w:tab/>
      </w:r>
      <w:r>
        <w:fldChar w:fldCharType="begin"/>
      </w:r>
      <w:r>
        <w:instrText xml:space="preserve"> PAGEREF _Toc308159844 \h </w:instrText>
      </w:r>
      <w:r>
        <w:fldChar w:fldCharType="separate"/>
      </w:r>
      <w:r>
        <w:t>6</w:t>
      </w:r>
      <w:r>
        <w:fldChar w:fldCharType="end"/>
      </w:r>
    </w:p>
    <w:p>
      <w:pPr>
        <w:pStyle w:val="TOC8"/>
        <w:rPr>
          <w:sz w:val="24"/>
          <w:szCs w:val="24"/>
          <w:lang w:val="en-US"/>
        </w:rPr>
      </w:pPr>
      <w:r>
        <w:t>7</w:t>
      </w:r>
      <w:r>
        <w:rPr>
          <w:snapToGrid w:val="0"/>
        </w:rPr>
        <w:t>.</w:t>
      </w:r>
      <w:r>
        <w:rPr>
          <w:snapToGrid w:val="0"/>
        </w:rPr>
        <w:tab/>
        <w:t>Proceedings</w:t>
      </w:r>
      <w:r>
        <w:tab/>
      </w:r>
      <w:r>
        <w:fldChar w:fldCharType="begin"/>
      </w:r>
      <w:r>
        <w:instrText xml:space="preserve"> PAGEREF _Toc308159845 \h </w:instrText>
      </w:r>
      <w:r>
        <w:fldChar w:fldCharType="separate"/>
      </w:r>
      <w:r>
        <w:t>7</w:t>
      </w:r>
      <w:r>
        <w:fldChar w:fldCharType="end"/>
      </w:r>
    </w:p>
    <w:p>
      <w:pPr>
        <w:pStyle w:val="TOC8"/>
        <w:rPr>
          <w:sz w:val="24"/>
          <w:szCs w:val="24"/>
          <w:lang w:val="en-US"/>
        </w:rPr>
      </w:pPr>
      <w:r>
        <w:t>8.</w:t>
      </w:r>
      <w:r>
        <w:tab/>
        <w:t>Administrative assistance for the Board</w:t>
      </w:r>
      <w:r>
        <w:tab/>
      </w:r>
      <w:r>
        <w:fldChar w:fldCharType="begin"/>
      </w:r>
      <w:r>
        <w:instrText xml:space="preserve"> PAGEREF _Toc308159846 \h </w:instrText>
      </w:r>
      <w:r>
        <w:fldChar w:fldCharType="separate"/>
      </w:r>
      <w:r>
        <w:t>7</w:t>
      </w:r>
      <w:r>
        <w:fldChar w:fldCharType="end"/>
      </w:r>
    </w:p>
    <w:p>
      <w:pPr>
        <w:pStyle w:val="TOC2"/>
        <w:tabs>
          <w:tab w:val="right" w:leader="dot" w:pos="7086"/>
        </w:tabs>
        <w:rPr>
          <w:b w:val="0"/>
          <w:sz w:val="24"/>
          <w:szCs w:val="24"/>
          <w:lang w:val="en-US"/>
        </w:rPr>
      </w:pPr>
      <w:r>
        <w:t>Part IIA — Scheme participants</w:t>
      </w:r>
    </w:p>
    <w:p>
      <w:pPr>
        <w:pStyle w:val="TOC8"/>
        <w:rPr>
          <w:sz w:val="24"/>
          <w:szCs w:val="24"/>
          <w:lang w:val="en-US"/>
        </w:rPr>
      </w:pPr>
      <w:r>
        <w:t>9.</w:t>
      </w:r>
      <w:r>
        <w:tab/>
        <w:t>Scheme closed to members elected after closing day</w:t>
      </w:r>
      <w:r>
        <w:tab/>
      </w:r>
      <w:r>
        <w:fldChar w:fldCharType="begin"/>
      </w:r>
      <w:r>
        <w:instrText xml:space="preserve"> PAGEREF _Toc308159848 \h </w:instrText>
      </w:r>
      <w:r>
        <w:fldChar w:fldCharType="separate"/>
      </w:r>
      <w:r>
        <w:t>9</w:t>
      </w:r>
      <w:r>
        <w:fldChar w:fldCharType="end"/>
      </w:r>
    </w:p>
    <w:p>
      <w:pPr>
        <w:pStyle w:val="TOC2"/>
        <w:tabs>
          <w:tab w:val="right" w:leader="dot" w:pos="7086"/>
        </w:tabs>
        <w:rPr>
          <w:b w:val="0"/>
          <w:sz w:val="24"/>
          <w:szCs w:val="24"/>
          <w:lang w:val="en-US"/>
        </w:rPr>
      </w:pPr>
      <w:r>
        <w:t>Part III — Contributions</w:t>
      </w:r>
    </w:p>
    <w:p>
      <w:pPr>
        <w:pStyle w:val="TOC8"/>
        <w:rPr>
          <w:sz w:val="24"/>
          <w:szCs w:val="24"/>
          <w:lang w:val="en-US"/>
        </w:rPr>
      </w:pPr>
      <w:r>
        <w:t>11.</w:t>
      </w:r>
      <w:r>
        <w:tab/>
        <w:t>Contributions in respect of members</w:t>
      </w:r>
      <w:r>
        <w:tab/>
      </w:r>
      <w:r>
        <w:fldChar w:fldCharType="begin"/>
      </w:r>
      <w:r>
        <w:instrText xml:space="preserve"> PAGEREF _Toc308159850 \h </w:instrText>
      </w:r>
      <w:r>
        <w:fldChar w:fldCharType="separate"/>
      </w:r>
      <w:r>
        <w:t>10</w:t>
      </w:r>
      <w:r>
        <w:fldChar w:fldCharType="end"/>
      </w:r>
    </w:p>
    <w:p>
      <w:pPr>
        <w:pStyle w:val="TOC2"/>
        <w:tabs>
          <w:tab w:val="right" w:leader="dot" w:pos="7086"/>
        </w:tabs>
        <w:rPr>
          <w:b w:val="0"/>
          <w:sz w:val="24"/>
          <w:szCs w:val="24"/>
          <w:lang w:val="en-US"/>
        </w:rPr>
      </w:pPr>
      <w:r>
        <w:t>Part IV — Pensions and other benefits</w:t>
      </w:r>
    </w:p>
    <w:p>
      <w:pPr>
        <w:pStyle w:val="TOC8"/>
        <w:rPr>
          <w:sz w:val="24"/>
          <w:szCs w:val="24"/>
          <w:lang w:val="en-US"/>
        </w:rPr>
      </w:pPr>
      <w:r>
        <w:t>13</w:t>
      </w:r>
      <w:r>
        <w:rPr>
          <w:snapToGrid w:val="0"/>
        </w:rPr>
        <w:t>.</w:t>
      </w:r>
      <w:r>
        <w:rPr>
          <w:snapToGrid w:val="0"/>
        </w:rPr>
        <w:tab/>
        <w:t>Terms used in this Part</w:t>
      </w:r>
      <w:r>
        <w:tab/>
      </w:r>
      <w:r>
        <w:fldChar w:fldCharType="begin"/>
      </w:r>
      <w:r>
        <w:instrText xml:space="preserve"> PAGEREF _Toc308159852 \h </w:instrText>
      </w:r>
      <w:r>
        <w:fldChar w:fldCharType="separate"/>
      </w:r>
      <w:r>
        <w:t>11</w:t>
      </w:r>
      <w:r>
        <w:fldChar w:fldCharType="end"/>
      </w:r>
    </w:p>
    <w:p>
      <w:pPr>
        <w:pStyle w:val="TOC8"/>
        <w:rPr>
          <w:sz w:val="24"/>
          <w:szCs w:val="24"/>
          <w:lang w:val="en-US"/>
        </w:rPr>
      </w:pPr>
      <w:r>
        <w:t>14</w:t>
      </w:r>
      <w:r>
        <w:rPr>
          <w:snapToGrid w:val="0"/>
        </w:rPr>
        <w:t>.</w:t>
      </w:r>
      <w:r>
        <w:rPr>
          <w:snapToGrid w:val="0"/>
        </w:rPr>
        <w:tab/>
        <w:t>Members’ superannuation benefits etc.</w:t>
      </w:r>
      <w:r>
        <w:tab/>
      </w:r>
      <w:r>
        <w:fldChar w:fldCharType="begin"/>
      </w:r>
      <w:r>
        <w:instrText xml:space="preserve"> PAGEREF _Toc308159853 \h </w:instrText>
      </w:r>
      <w:r>
        <w:fldChar w:fldCharType="separate"/>
      </w:r>
      <w:r>
        <w:t>12</w:t>
      </w:r>
      <w:r>
        <w:fldChar w:fldCharType="end"/>
      </w:r>
    </w:p>
    <w:p>
      <w:pPr>
        <w:pStyle w:val="TOC8"/>
        <w:rPr>
          <w:sz w:val="24"/>
          <w:szCs w:val="24"/>
          <w:lang w:val="en-US"/>
        </w:rPr>
      </w:pPr>
      <w:r>
        <w:t>15B</w:t>
      </w:r>
      <w:r>
        <w:rPr>
          <w:snapToGrid w:val="0"/>
        </w:rPr>
        <w:t>.</w:t>
      </w:r>
      <w:r>
        <w:rPr>
          <w:snapToGrid w:val="0"/>
        </w:rPr>
        <w:tab/>
        <w:t>Increases in pensions which first become payable after 1/1/1976</w:t>
      </w:r>
      <w:r>
        <w:tab/>
      </w:r>
      <w:r>
        <w:fldChar w:fldCharType="begin"/>
      </w:r>
      <w:r>
        <w:instrText xml:space="preserve"> PAGEREF _Toc308159854 \h </w:instrText>
      </w:r>
      <w:r>
        <w:fldChar w:fldCharType="separate"/>
      </w:r>
      <w:r>
        <w:t>17</w:t>
      </w:r>
      <w:r>
        <w:fldChar w:fldCharType="end"/>
      </w:r>
    </w:p>
    <w:p>
      <w:pPr>
        <w:pStyle w:val="TOC8"/>
        <w:rPr>
          <w:sz w:val="24"/>
          <w:szCs w:val="24"/>
          <w:lang w:val="en-US"/>
        </w:rPr>
      </w:pPr>
      <w:r>
        <w:t>16</w:t>
      </w:r>
      <w:r>
        <w:rPr>
          <w:snapToGrid w:val="0"/>
        </w:rPr>
        <w:t>.</w:t>
      </w:r>
      <w:r>
        <w:rPr>
          <w:snapToGrid w:val="0"/>
        </w:rPr>
        <w:tab/>
        <w:t>Commutation of certain pensions</w:t>
      </w:r>
      <w:r>
        <w:tab/>
      </w:r>
      <w:r>
        <w:fldChar w:fldCharType="begin"/>
      </w:r>
      <w:r>
        <w:instrText xml:space="preserve"> PAGEREF _Toc308159855 \h </w:instrText>
      </w:r>
      <w:r>
        <w:fldChar w:fldCharType="separate"/>
      </w:r>
      <w:r>
        <w:t>18</w:t>
      </w:r>
      <w:r>
        <w:fldChar w:fldCharType="end"/>
      </w:r>
    </w:p>
    <w:p>
      <w:pPr>
        <w:pStyle w:val="TOC8"/>
        <w:rPr>
          <w:sz w:val="24"/>
          <w:szCs w:val="24"/>
          <w:lang w:val="en-US"/>
        </w:rPr>
      </w:pPr>
      <w:r>
        <w:t>17</w:t>
      </w:r>
      <w:r>
        <w:rPr>
          <w:snapToGrid w:val="0"/>
        </w:rPr>
        <w:t>.</w:t>
      </w:r>
      <w:r>
        <w:rPr>
          <w:snapToGrid w:val="0"/>
        </w:rPr>
        <w:tab/>
        <w:t>Reduction of pension in certain cases</w:t>
      </w:r>
      <w:r>
        <w:tab/>
      </w:r>
      <w:r>
        <w:fldChar w:fldCharType="begin"/>
      </w:r>
      <w:r>
        <w:instrText xml:space="preserve"> PAGEREF _Toc308159856 \h </w:instrText>
      </w:r>
      <w:r>
        <w:fldChar w:fldCharType="separate"/>
      </w:r>
      <w:r>
        <w:t>20</w:t>
      </w:r>
      <w:r>
        <w:fldChar w:fldCharType="end"/>
      </w:r>
    </w:p>
    <w:p>
      <w:pPr>
        <w:pStyle w:val="TOC8"/>
        <w:rPr>
          <w:sz w:val="24"/>
          <w:szCs w:val="24"/>
          <w:lang w:val="en-US"/>
        </w:rPr>
      </w:pPr>
      <w:r>
        <w:lastRenderedPageBreak/>
        <w:t>18</w:t>
      </w:r>
      <w:r>
        <w:rPr>
          <w:snapToGrid w:val="0"/>
        </w:rPr>
        <w:t>.</w:t>
      </w:r>
      <w:r>
        <w:rPr>
          <w:snapToGrid w:val="0"/>
        </w:rPr>
        <w:tab/>
        <w:t xml:space="preserve">Pensions payable to certain </w:t>
      </w:r>
      <w:r>
        <w:t>spouses or de facto partners</w:t>
      </w:r>
      <w:r>
        <w:tab/>
      </w:r>
      <w:r>
        <w:fldChar w:fldCharType="begin"/>
      </w:r>
      <w:r>
        <w:instrText xml:space="preserve"> PAGEREF _Toc308159857 \h </w:instrText>
      </w:r>
      <w:r>
        <w:fldChar w:fldCharType="separate"/>
      </w:r>
      <w:r>
        <w:t>20</w:t>
      </w:r>
      <w:r>
        <w:fldChar w:fldCharType="end"/>
      </w:r>
    </w:p>
    <w:p>
      <w:pPr>
        <w:pStyle w:val="TOC8"/>
        <w:rPr>
          <w:sz w:val="24"/>
          <w:szCs w:val="24"/>
          <w:lang w:val="en-US"/>
        </w:rPr>
      </w:pPr>
      <w:r>
        <w:t>18A</w:t>
      </w:r>
      <w:r>
        <w:rPr>
          <w:snapToGrid w:val="0"/>
        </w:rPr>
        <w:t>.</w:t>
      </w:r>
      <w:r>
        <w:rPr>
          <w:snapToGrid w:val="0"/>
        </w:rPr>
        <w:tab/>
        <w:t xml:space="preserve">Special adjustment of certain </w:t>
      </w:r>
      <w:r>
        <w:t>spouses’ or de facto partners’</w:t>
      </w:r>
      <w:r>
        <w:rPr>
          <w:snapToGrid w:val="0"/>
        </w:rPr>
        <w:t xml:space="preserve"> pensions</w:t>
      </w:r>
      <w:r>
        <w:tab/>
      </w:r>
      <w:r>
        <w:fldChar w:fldCharType="begin"/>
      </w:r>
      <w:r>
        <w:instrText xml:space="preserve"> PAGEREF _Toc308159858 \h </w:instrText>
      </w:r>
      <w:r>
        <w:fldChar w:fldCharType="separate"/>
      </w:r>
      <w:r>
        <w:t>21</w:t>
      </w:r>
      <w:r>
        <w:fldChar w:fldCharType="end"/>
      </w:r>
    </w:p>
    <w:p>
      <w:pPr>
        <w:pStyle w:val="TOC8"/>
        <w:rPr>
          <w:sz w:val="24"/>
          <w:szCs w:val="24"/>
          <w:lang w:val="en-US"/>
        </w:rPr>
      </w:pPr>
      <w:r>
        <w:t>18B</w:t>
      </w:r>
      <w:r>
        <w:rPr>
          <w:snapToGrid w:val="0"/>
        </w:rPr>
        <w:t>.</w:t>
      </w:r>
      <w:r>
        <w:rPr>
          <w:snapToGrid w:val="0"/>
        </w:rPr>
        <w:tab/>
        <w:t>Adjustment of certain widows’ pensions</w:t>
      </w:r>
      <w:r>
        <w:tab/>
      </w:r>
      <w:r>
        <w:fldChar w:fldCharType="begin"/>
      </w:r>
      <w:r>
        <w:instrText xml:space="preserve"> PAGEREF _Toc308159859 \h </w:instrText>
      </w:r>
      <w:r>
        <w:fldChar w:fldCharType="separate"/>
      </w:r>
      <w:r>
        <w:t>21</w:t>
      </w:r>
      <w:r>
        <w:fldChar w:fldCharType="end"/>
      </w:r>
    </w:p>
    <w:p>
      <w:pPr>
        <w:pStyle w:val="TOC8"/>
        <w:rPr>
          <w:sz w:val="24"/>
          <w:szCs w:val="24"/>
          <w:lang w:val="en-US"/>
        </w:rPr>
      </w:pPr>
      <w:r>
        <w:t>19</w:t>
      </w:r>
      <w:r>
        <w:rPr>
          <w:snapToGrid w:val="0"/>
        </w:rPr>
        <w:t>.</w:t>
      </w:r>
      <w:r>
        <w:rPr>
          <w:snapToGrid w:val="0"/>
        </w:rPr>
        <w:tab/>
        <w:t>Payment of pensions to spouses or de facto partners generally</w:t>
      </w:r>
      <w:r>
        <w:tab/>
      </w:r>
      <w:r>
        <w:fldChar w:fldCharType="begin"/>
      </w:r>
      <w:r>
        <w:instrText xml:space="preserve"> PAGEREF _Toc308159860 \h </w:instrText>
      </w:r>
      <w:r>
        <w:fldChar w:fldCharType="separate"/>
      </w:r>
      <w:r>
        <w:t>22</w:t>
      </w:r>
      <w:r>
        <w:fldChar w:fldCharType="end"/>
      </w:r>
    </w:p>
    <w:p>
      <w:pPr>
        <w:pStyle w:val="TOC8"/>
        <w:rPr>
          <w:sz w:val="24"/>
          <w:szCs w:val="24"/>
          <w:lang w:val="en-US"/>
        </w:rPr>
      </w:pPr>
      <w:r>
        <w:t>19B</w:t>
      </w:r>
      <w:r>
        <w:rPr>
          <w:snapToGrid w:val="0"/>
        </w:rPr>
        <w:t>.</w:t>
      </w:r>
      <w:r>
        <w:rPr>
          <w:snapToGrid w:val="0"/>
        </w:rPr>
        <w:tab/>
        <w:t>Commutation of certain spouses’ or de facto partners’ pensions</w:t>
      </w:r>
      <w:r>
        <w:tab/>
      </w:r>
      <w:r>
        <w:fldChar w:fldCharType="begin"/>
      </w:r>
      <w:r>
        <w:instrText xml:space="preserve"> PAGEREF _Toc308159861 \h </w:instrText>
      </w:r>
      <w:r>
        <w:fldChar w:fldCharType="separate"/>
      </w:r>
      <w:r>
        <w:t>25</w:t>
      </w:r>
      <w:r>
        <w:fldChar w:fldCharType="end"/>
      </w:r>
    </w:p>
    <w:p>
      <w:pPr>
        <w:pStyle w:val="TOC8"/>
        <w:rPr>
          <w:sz w:val="24"/>
          <w:szCs w:val="24"/>
          <w:lang w:val="en-US"/>
        </w:rPr>
      </w:pPr>
      <w:r>
        <w:t>20</w:t>
      </w:r>
      <w:r>
        <w:rPr>
          <w:snapToGrid w:val="0"/>
        </w:rPr>
        <w:t>.</w:t>
      </w:r>
      <w:r>
        <w:rPr>
          <w:snapToGrid w:val="0"/>
        </w:rPr>
        <w:tab/>
        <w:t>Repayments to Fund of amounts previously paid to contributor</w:t>
      </w:r>
      <w:r>
        <w:tab/>
      </w:r>
      <w:r>
        <w:fldChar w:fldCharType="begin"/>
      </w:r>
      <w:r>
        <w:instrText xml:space="preserve"> PAGEREF _Toc308159862 \h </w:instrText>
      </w:r>
      <w:r>
        <w:fldChar w:fldCharType="separate"/>
      </w:r>
      <w:r>
        <w:t>27</w:t>
      </w:r>
      <w:r>
        <w:fldChar w:fldCharType="end"/>
      </w:r>
    </w:p>
    <w:p>
      <w:pPr>
        <w:pStyle w:val="TOC8"/>
        <w:rPr>
          <w:sz w:val="24"/>
          <w:szCs w:val="24"/>
          <w:lang w:val="en-US"/>
        </w:rPr>
      </w:pPr>
      <w:r>
        <w:t>21</w:t>
      </w:r>
      <w:r>
        <w:rPr>
          <w:snapToGrid w:val="0"/>
        </w:rPr>
        <w:t>.</w:t>
      </w:r>
      <w:r>
        <w:rPr>
          <w:snapToGrid w:val="0"/>
        </w:rPr>
        <w:tab/>
        <w:t>Termination of pension if recipient becomes member of Parliament</w:t>
      </w:r>
      <w:r>
        <w:tab/>
      </w:r>
      <w:r>
        <w:fldChar w:fldCharType="begin"/>
      </w:r>
      <w:r>
        <w:instrText xml:space="preserve"> PAGEREF _Toc308159863 \h </w:instrText>
      </w:r>
      <w:r>
        <w:fldChar w:fldCharType="separate"/>
      </w:r>
      <w:r>
        <w:t>28</w:t>
      </w:r>
      <w:r>
        <w:fldChar w:fldCharType="end"/>
      </w:r>
    </w:p>
    <w:p>
      <w:pPr>
        <w:pStyle w:val="TOC8"/>
        <w:rPr>
          <w:sz w:val="24"/>
          <w:szCs w:val="24"/>
          <w:lang w:val="en-US"/>
        </w:rPr>
      </w:pPr>
      <w:r>
        <w:t>22</w:t>
      </w:r>
      <w:r>
        <w:rPr>
          <w:snapToGrid w:val="0"/>
        </w:rPr>
        <w:t>.</w:t>
      </w:r>
      <w:r>
        <w:rPr>
          <w:snapToGrid w:val="0"/>
        </w:rPr>
        <w:tab/>
        <w:t>Reduction of pensions in certain cases</w:t>
      </w:r>
      <w:r>
        <w:tab/>
      </w:r>
      <w:r>
        <w:fldChar w:fldCharType="begin"/>
      </w:r>
      <w:r>
        <w:instrText xml:space="preserve"> PAGEREF _Toc308159864 \h </w:instrText>
      </w:r>
      <w:r>
        <w:fldChar w:fldCharType="separate"/>
      </w:r>
      <w:r>
        <w:t>28</w:t>
      </w:r>
      <w:r>
        <w:fldChar w:fldCharType="end"/>
      </w:r>
    </w:p>
    <w:p>
      <w:pPr>
        <w:pStyle w:val="TOC8"/>
        <w:rPr>
          <w:sz w:val="24"/>
          <w:szCs w:val="24"/>
          <w:lang w:val="en-US"/>
        </w:rPr>
      </w:pPr>
      <w:r>
        <w:t>23</w:t>
      </w:r>
      <w:r>
        <w:rPr>
          <w:snapToGrid w:val="0"/>
        </w:rPr>
        <w:t>.</w:t>
      </w:r>
      <w:r>
        <w:rPr>
          <w:snapToGrid w:val="0"/>
        </w:rPr>
        <w:tab/>
        <w:t>Childrens’ allowances</w:t>
      </w:r>
      <w:r>
        <w:tab/>
      </w:r>
      <w:r>
        <w:fldChar w:fldCharType="begin"/>
      </w:r>
      <w:r>
        <w:instrText xml:space="preserve"> PAGEREF _Toc308159865 \h </w:instrText>
      </w:r>
      <w:r>
        <w:fldChar w:fldCharType="separate"/>
      </w:r>
      <w:r>
        <w:t>28</w:t>
      </w:r>
      <w:r>
        <w:fldChar w:fldCharType="end"/>
      </w:r>
    </w:p>
    <w:p>
      <w:pPr>
        <w:pStyle w:val="TOC8"/>
        <w:rPr>
          <w:sz w:val="24"/>
          <w:szCs w:val="24"/>
          <w:lang w:val="en-US"/>
        </w:rPr>
      </w:pPr>
      <w:r>
        <w:t>23A</w:t>
      </w:r>
      <w:r>
        <w:rPr>
          <w:snapToGrid w:val="0"/>
        </w:rPr>
        <w:t>.</w:t>
      </w:r>
      <w:r>
        <w:rPr>
          <w:snapToGrid w:val="0"/>
        </w:rPr>
        <w:tab/>
        <w:t>Spouse or de facto partner and children not entitled to more than one pension</w:t>
      </w:r>
      <w:r>
        <w:tab/>
      </w:r>
      <w:r>
        <w:fldChar w:fldCharType="begin"/>
      </w:r>
      <w:r>
        <w:instrText xml:space="preserve"> PAGEREF _Toc308159866 \h </w:instrText>
      </w:r>
      <w:r>
        <w:fldChar w:fldCharType="separate"/>
      </w:r>
      <w:r>
        <w:t>29</w:t>
      </w:r>
      <w:r>
        <w:fldChar w:fldCharType="end"/>
      </w:r>
    </w:p>
    <w:p>
      <w:pPr>
        <w:pStyle w:val="TOC8"/>
        <w:rPr>
          <w:sz w:val="24"/>
          <w:szCs w:val="24"/>
          <w:lang w:val="en-US"/>
        </w:rPr>
      </w:pPr>
      <w:r>
        <w:t>24.</w:t>
      </w:r>
      <w:r>
        <w:tab/>
        <w:t>Minimum Benefits</w:t>
      </w:r>
      <w:r>
        <w:tab/>
      </w:r>
      <w:r>
        <w:fldChar w:fldCharType="begin"/>
      </w:r>
      <w:r>
        <w:instrText xml:space="preserve"> PAGEREF _Toc308159867 \h </w:instrText>
      </w:r>
      <w:r>
        <w:fldChar w:fldCharType="separate"/>
      </w:r>
      <w:r>
        <w:t>30</w:t>
      </w:r>
      <w:r>
        <w:fldChar w:fldCharType="end"/>
      </w:r>
    </w:p>
    <w:p>
      <w:pPr>
        <w:pStyle w:val="TOC2"/>
        <w:tabs>
          <w:tab w:val="right" w:leader="dot" w:pos="7086"/>
        </w:tabs>
        <w:rPr>
          <w:b w:val="0"/>
          <w:sz w:val="24"/>
          <w:szCs w:val="24"/>
          <w:lang w:val="en-US"/>
        </w:rPr>
      </w:pPr>
      <w:r>
        <w:t>Part V — Miscellaneous</w:t>
      </w:r>
    </w:p>
    <w:p>
      <w:pPr>
        <w:pStyle w:val="TOC8"/>
        <w:rPr>
          <w:sz w:val="24"/>
          <w:szCs w:val="24"/>
          <w:lang w:val="en-US"/>
        </w:rPr>
      </w:pPr>
      <w:r>
        <w:t>25</w:t>
      </w:r>
      <w:r>
        <w:rPr>
          <w:snapToGrid w:val="0"/>
        </w:rPr>
        <w:t>.</w:t>
      </w:r>
      <w:r>
        <w:rPr>
          <w:snapToGrid w:val="0"/>
        </w:rPr>
        <w:tab/>
        <w:t>Pensions payable fortnightly etc.</w:t>
      </w:r>
      <w:r>
        <w:tab/>
      </w:r>
      <w:r>
        <w:fldChar w:fldCharType="begin"/>
      </w:r>
      <w:r>
        <w:instrText xml:space="preserve"> PAGEREF _Toc308159869 \h </w:instrText>
      </w:r>
      <w:r>
        <w:fldChar w:fldCharType="separate"/>
      </w:r>
      <w:r>
        <w:t>31</w:t>
      </w:r>
      <w:r>
        <w:fldChar w:fldCharType="end"/>
      </w:r>
    </w:p>
    <w:p>
      <w:pPr>
        <w:pStyle w:val="TOC8"/>
        <w:rPr>
          <w:sz w:val="24"/>
          <w:szCs w:val="24"/>
          <w:lang w:val="en-US"/>
        </w:rPr>
      </w:pPr>
      <w:r>
        <w:t>26</w:t>
      </w:r>
      <w:r>
        <w:rPr>
          <w:snapToGrid w:val="0"/>
        </w:rPr>
        <w:t>.</w:t>
      </w:r>
      <w:r>
        <w:rPr>
          <w:snapToGrid w:val="0"/>
        </w:rPr>
        <w:tab/>
        <w:t>Payments to be made from Consolidated Account</w:t>
      </w:r>
      <w:r>
        <w:tab/>
      </w:r>
      <w:r>
        <w:fldChar w:fldCharType="begin"/>
      </w:r>
      <w:r>
        <w:instrText xml:space="preserve"> PAGEREF _Toc308159870 \h </w:instrText>
      </w:r>
      <w:r>
        <w:fldChar w:fldCharType="separate"/>
      </w:r>
      <w:r>
        <w:t>31</w:t>
      </w:r>
      <w:r>
        <w:fldChar w:fldCharType="end"/>
      </w:r>
    </w:p>
    <w:p>
      <w:pPr>
        <w:pStyle w:val="TOC8"/>
        <w:rPr>
          <w:sz w:val="24"/>
          <w:szCs w:val="24"/>
          <w:lang w:val="en-US"/>
        </w:rPr>
      </w:pPr>
      <w:r>
        <w:t>27</w:t>
      </w:r>
      <w:r>
        <w:rPr>
          <w:snapToGrid w:val="0"/>
        </w:rPr>
        <w:t>.</w:t>
      </w:r>
      <w:r>
        <w:rPr>
          <w:snapToGrid w:val="0"/>
        </w:rPr>
        <w:tab/>
        <w:t>Actuarial investigation</w:t>
      </w:r>
      <w:r>
        <w:tab/>
      </w:r>
      <w:r>
        <w:fldChar w:fldCharType="begin"/>
      </w:r>
      <w:r>
        <w:instrText xml:space="preserve"> PAGEREF _Toc308159871 \h </w:instrText>
      </w:r>
      <w:r>
        <w:fldChar w:fldCharType="separate"/>
      </w:r>
      <w:r>
        <w:t>31</w:t>
      </w:r>
      <w:r>
        <w:fldChar w:fldCharType="end"/>
      </w:r>
    </w:p>
    <w:p>
      <w:pPr>
        <w:pStyle w:val="TOC8"/>
        <w:rPr>
          <w:sz w:val="24"/>
          <w:szCs w:val="24"/>
          <w:lang w:val="en-US"/>
        </w:rPr>
      </w:pPr>
      <w:r>
        <w:t>28.</w:t>
      </w:r>
      <w:r>
        <w:tab/>
        <w:t>Tribunal may change the scheme</w:t>
      </w:r>
      <w:r>
        <w:tab/>
      </w:r>
      <w:r>
        <w:fldChar w:fldCharType="begin"/>
      </w:r>
      <w:r>
        <w:instrText xml:space="preserve"> PAGEREF _Toc308159872 \h </w:instrText>
      </w:r>
      <w:r>
        <w:fldChar w:fldCharType="separate"/>
      </w:r>
      <w:r>
        <w:t>32</w:t>
      </w:r>
      <w:r>
        <w:fldChar w:fldCharType="end"/>
      </w:r>
    </w:p>
    <w:p>
      <w:pPr>
        <w:pStyle w:val="TOC8"/>
        <w:rPr>
          <w:sz w:val="24"/>
          <w:szCs w:val="24"/>
          <w:lang w:val="en-US"/>
        </w:rPr>
      </w:pPr>
      <w:r>
        <w:t>29.</w:t>
      </w:r>
      <w:r>
        <w:tab/>
        <w:t>State contributions for MPs who are not participants in the scheme</w:t>
      </w:r>
      <w:r>
        <w:tab/>
      </w:r>
      <w:r>
        <w:fldChar w:fldCharType="begin"/>
      </w:r>
      <w:r>
        <w:instrText xml:space="preserve"> PAGEREF _Toc308159873 \h </w:instrText>
      </w:r>
      <w:r>
        <w:fldChar w:fldCharType="separate"/>
      </w:r>
      <w:r>
        <w:t>34</w:t>
      </w:r>
      <w:r>
        <w:fldChar w:fldCharType="end"/>
      </w:r>
    </w:p>
    <w:p>
      <w:pPr>
        <w:pStyle w:val="TOC8"/>
        <w:rPr>
          <w:sz w:val="24"/>
          <w:szCs w:val="24"/>
          <w:lang w:val="en-US"/>
        </w:rPr>
      </w:pPr>
      <w:r>
        <w:t>30</w:t>
      </w:r>
      <w:r>
        <w:rPr>
          <w:snapToGrid w:val="0"/>
        </w:rPr>
        <w:t>.</w:t>
      </w:r>
      <w:r>
        <w:rPr>
          <w:snapToGrid w:val="0"/>
        </w:rPr>
        <w:tab/>
        <w:t>Pensions etc. not assignable etc.</w:t>
      </w:r>
      <w:r>
        <w:tab/>
      </w:r>
      <w:r>
        <w:fldChar w:fldCharType="begin"/>
      </w:r>
      <w:r>
        <w:instrText xml:space="preserve"> PAGEREF _Toc308159874 \h </w:instrText>
      </w:r>
      <w:r>
        <w:fldChar w:fldCharType="separate"/>
      </w:r>
      <w:r>
        <w:t>35</w:t>
      </w:r>
      <w:r>
        <w:fldChar w:fldCharType="end"/>
      </w:r>
    </w:p>
    <w:p>
      <w:pPr>
        <w:pStyle w:val="TOC8"/>
        <w:rPr>
          <w:sz w:val="24"/>
          <w:szCs w:val="24"/>
          <w:lang w:val="en-US"/>
        </w:rPr>
      </w:pPr>
      <w:r>
        <w:t>31</w:t>
      </w:r>
      <w:r>
        <w:rPr>
          <w:snapToGrid w:val="0"/>
        </w:rPr>
        <w:t>.</w:t>
      </w:r>
      <w:r>
        <w:rPr>
          <w:snapToGrid w:val="0"/>
        </w:rPr>
        <w:tab/>
        <w:t>Regulations</w:t>
      </w:r>
      <w:r>
        <w:tab/>
      </w:r>
      <w:r>
        <w:fldChar w:fldCharType="begin"/>
      </w:r>
      <w:r>
        <w:instrText xml:space="preserve"> PAGEREF _Toc308159875 \h </w:instrText>
      </w:r>
      <w:r>
        <w:fldChar w:fldCharType="separate"/>
      </w:r>
      <w:r>
        <w:t>36</w:t>
      </w:r>
      <w:r>
        <w:fldChar w:fldCharType="end"/>
      </w:r>
    </w:p>
    <w:p>
      <w:pPr>
        <w:pStyle w:val="TOC2"/>
        <w:tabs>
          <w:tab w:val="right" w:leader="dot" w:pos="7086"/>
        </w:tabs>
        <w:rPr>
          <w:b w:val="0"/>
          <w:sz w:val="24"/>
          <w:szCs w:val="24"/>
          <w:lang w:val="en-US"/>
        </w:rPr>
      </w:pPr>
      <w:r>
        <w:t>Schedule — Title of Act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_Toc308159878 \h </w:instrText>
      </w:r>
      <w:r>
        <w:fldChar w:fldCharType="separate"/>
      </w:r>
      <w:r>
        <w:t>38</w:t>
      </w:r>
      <w:r>
        <w:fldChar w:fldCharType="end"/>
      </w:r>
    </w:p>
    <w:p>
      <w:pPr>
        <w:pStyle w:val="TOC2"/>
        <w:tabs>
          <w:tab w:val="right" w:leader="dot" w:pos="7086"/>
        </w:tabs>
        <w:rPr>
          <w:b w:val="0"/>
          <w:sz w:val="24"/>
          <w:szCs w:val="24"/>
          <w:lang w:val="en-US"/>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1" w:name="_Toc125257610"/>
      <w:bookmarkStart w:id="2" w:name="_Toc137009293"/>
      <w:bookmarkStart w:id="3" w:name="_Toc137021370"/>
      <w:bookmarkStart w:id="4" w:name="_Toc139707500"/>
      <w:bookmarkStart w:id="5" w:name="_Toc157928228"/>
      <w:bookmarkStart w:id="6" w:name="_Toc200335626"/>
      <w:bookmarkStart w:id="7" w:name="_Toc200335747"/>
      <w:bookmarkStart w:id="8" w:name="_Toc202167058"/>
      <w:bookmarkStart w:id="9" w:name="_Toc202167143"/>
      <w:bookmarkStart w:id="10" w:name="_Toc202167341"/>
      <w:bookmarkStart w:id="11" w:name="_Toc203368175"/>
      <w:bookmarkStart w:id="12" w:name="_Toc268184035"/>
      <w:bookmarkStart w:id="13" w:name="_Toc268680254"/>
      <w:bookmarkStart w:id="14" w:name="_Toc268680297"/>
      <w:bookmarkStart w:id="15" w:name="_Toc272241122"/>
      <w:bookmarkStart w:id="16" w:name="_Toc272241167"/>
      <w:bookmarkStart w:id="17" w:name="_Toc307897087"/>
      <w:bookmarkStart w:id="18" w:name="_Toc30815983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7237068"/>
      <w:bookmarkStart w:id="20" w:name="_Toc38858448"/>
      <w:bookmarkStart w:id="21" w:name="_Toc125257611"/>
      <w:bookmarkStart w:id="22" w:name="_Toc308159839"/>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23" w:name="_Toc7237069"/>
      <w:bookmarkStart w:id="24" w:name="_Toc38858449"/>
      <w:bookmarkStart w:id="25" w:name="_Toc125257612"/>
      <w:bookmarkStart w:id="26" w:name="_Toc308159840"/>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Deleted by No. 58 of 1986 s. 3.] </w:t>
      </w:r>
    </w:p>
    <w:p>
      <w:pPr>
        <w:pStyle w:val="Heading5"/>
        <w:rPr>
          <w:snapToGrid w:val="0"/>
        </w:rPr>
      </w:pPr>
      <w:bookmarkStart w:id="27" w:name="_Toc7237070"/>
      <w:bookmarkStart w:id="28" w:name="_Toc38858450"/>
      <w:bookmarkStart w:id="29" w:name="_Toc125257613"/>
      <w:bookmarkStart w:id="30" w:name="_Toc308159841"/>
      <w:r>
        <w:rPr>
          <w:rStyle w:val="CharSectno"/>
        </w:rPr>
        <w:t>4</w:t>
      </w:r>
      <w:r>
        <w:rPr>
          <w:snapToGrid w:val="0"/>
        </w:rPr>
        <w:t>.</w:t>
      </w:r>
      <w:r>
        <w:rPr>
          <w:snapToGrid w:val="0"/>
        </w:rPr>
        <w:tab/>
        <w:t>Repeal</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31" w:name="_Toc7237071"/>
      <w:bookmarkStart w:id="32" w:name="_Toc38858451"/>
      <w:bookmarkStart w:id="33" w:name="_Toc125257614"/>
      <w:bookmarkStart w:id="34" w:name="_Toc308159842"/>
      <w:r>
        <w:rPr>
          <w:rStyle w:val="CharSectno"/>
        </w:rPr>
        <w:t>5</w:t>
      </w:r>
      <w:r>
        <w:rPr>
          <w:snapToGrid w:val="0"/>
        </w:rPr>
        <w:t>.</w:t>
      </w:r>
      <w:r>
        <w:rPr>
          <w:snapToGrid w:val="0"/>
        </w:rPr>
        <w:tab/>
      </w:r>
      <w:bookmarkEnd w:id="31"/>
      <w:bookmarkEnd w:id="32"/>
      <w:bookmarkEnd w:id="33"/>
      <w:r>
        <w:rPr>
          <w:snapToGrid w:val="0"/>
        </w:rPr>
        <w:t>Terms used in this Act</w:t>
      </w:r>
      <w:bookmarkEnd w:id="34"/>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tab/>
      </w:r>
      <w:r>
        <w:rPr>
          <w:rStyle w:val="CharDefText"/>
        </w:rPr>
        <w:t>benefit certificate</w:t>
      </w:r>
      <w:r>
        <w:t xml:space="preserve"> has the meaning given in the SG(A) Act section 10;</w:t>
      </w:r>
    </w:p>
    <w:p>
      <w:pPr>
        <w:pStyle w:val="Defstart"/>
      </w:pPr>
      <w:r>
        <w:rPr>
          <w:b/>
        </w:rPr>
        <w:tab/>
      </w:r>
      <w:r>
        <w:rPr>
          <w:rStyle w:val="CharDefText"/>
        </w:rPr>
        <w:t>Board</w:t>
      </w:r>
      <w:r>
        <w:t xml:space="preserve"> means the Parliamentary Superannuation Board established by section 6(1);</w:t>
      </w:r>
    </w:p>
    <w:p>
      <w:pPr>
        <w:pStyle w:val="Defstart"/>
      </w:pPr>
      <w:r>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tab/>
      </w:r>
      <w:r>
        <w:rPr>
          <w:rStyle w:val="CharDefText"/>
        </w:rPr>
        <w:t>complying superannuation fund</w:t>
      </w:r>
      <w:r>
        <w:t xml:space="preserve"> has the meaning given in the SG(A) Act section 7;</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tab/>
      </w:r>
      <w:r>
        <w:rPr>
          <w:rStyle w:val="CharDefText"/>
        </w:rPr>
        <w:t>individual superannuation guarantee shortfall</w:t>
      </w:r>
      <w:r>
        <w:t xml:space="preserve"> has the meaning given in the SG(A) Act section 19;</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pPr>
      <w:r>
        <w:rPr>
          <w:b/>
        </w:rPr>
        <w:tab/>
      </w:r>
      <w:r>
        <w:rPr>
          <w:rStyle w:val="CharDefText"/>
        </w:rPr>
        <w:t>salary</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member’s basic salary together with any salary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member’s basic salary together with any additional remuneration paid pursuant to a determination made under that Act which is designated in the determination to be salary payable to the member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pPr>
      <w:r>
        <w:tab/>
      </w:r>
      <w:r>
        <w:rPr>
          <w:rStyle w:val="CharDefText"/>
        </w:rPr>
        <w:t>SG(A) Act</w:t>
      </w:r>
      <w:r>
        <w:t xml:space="preserve"> means the </w:t>
      </w:r>
      <w:r>
        <w:rPr>
          <w:i/>
          <w:iCs/>
        </w:rPr>
        <w:t>Superannuation Guarantee (Administration) Act 1992</w:t>
      </w:r>
      <w:r>
        <w:t xml:space="preserve"> (Commonwealth);</w:t>
      </w:r>
    </w:p>
    <w:p>
      <w:pPr>
        <w:pStyle w:val="Defstart"/>
        <w:keepNext/>
      </w:pPr>
      <w:r>
        <w:tab/>
      </w:r>
      <w:r>
        <w:rPr>
          <w:rStyle w:val="CharDefText"/>
        </w:rPr>
        <w:t>spouse or de facto partner</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r>
      <w:r>
        <w:rPr>
          <w:rStyle w:val="CharDefText"/>
        </w:rPr>
        <w:t>the repealed Act</w:t>
      </w:r>
      <w:r>
        <w:t xml:space="preserve"> means the </w:t>
      </w:r>
      <w:r>
        <w:rPr>
          <w:i/>
        </w:rPr>
        <w:t>Parliamentary Superannuation Act 1948</w:t>
      </w:r>
      <w:r>
        <w:rPr>
          <w:i/>
        </w:rPr>
        <w:softHyphen/>
      </w:r>
      <w:r>
        <w:t>;</w:t>
      </w:r>
    </w:p>
    <w:p>
      <w:pPr>
        <w:pStyle w:val="Defstart"/>
      </w:pPr>
      <w:r>
        <w:tab/>
      </w:r>
      <w:r>
        <w:rPr>
          <w:rStyle w:val="CharDefText"/>
        </w:rPr>
        <w:t>Tribunal</w:t>
      </w:r>
      <w:r>
        <w:t xml:space="preserve"> means the Salaries and Allowances Tribunal established by section 5 of the </w:t>
      </w:r>
      <w:r>
        <w:rPr>
          <w:i/>
        </w:rPr>
        <w:t>Salaries and Allowances Act 1975</w:t>
      </w:r>
      <w:r>
        <w:t xml:space="preserve">. </w:t>
      </w:r>
    </w:p>
    <w:p>
      <w:pPr>
        <w:pStyle w:val="Subsection"/>
        <w:rPr>
          <w:snapToGrid w:val="0"/>
        </w:rPr>
      </w:pPr>
      <w:r>
        <w:rPr>
          <w:snapToGrid w:val="0"/>
        </w:rPr>
        <w:tab/>
        <w:t>(2)</w:t>
      </w:r>
      <w:r>
        <w:rPr>
          <w:snapToGrid w:val="0"/>
        </w:rPr>
        <w:tab/>
        <w:t>For the purposes of this Act a member shall be deemed not to have ceased to be a member by reason only of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 xml:space="preserve">[Section 5 amended by No. 94 of 1975 s. 3; No. 54 of 1980 s. 3; No. 58 of 1986 s. 4; No. 31 of 1989 s. 4; No. 37 of 2000 s. 5; No. 3 of 2002 s. 90; No. 34 of 2011 s. 4 and 15.] </w:t>
      </w:r>
    </w:p>
    <w:p>
      <w:pPr>
        <w:pStyle w:val="Heading2"/>
      </w:pPr>
      <w:bookmarkStart w:id="35" w:name="_Toc125257615"/>
      <w:bookmarkStart w:id="36" w:name="_Toc137009298"/>
      <w:bookmarkStart w:id="37" w:name="_Toc137021375"/>
      <w:bookmarkStart w:id="38" w:name="_Toc139707505"/>
      <w:bookmarkStart w:id="39" w:name="_Toc157928233"/>
      <w:bookmarkStart w:id="40" w:name="_Toc200335631"/>
      <w:bookmarkStart w:id="41" w:name="_Toc200335752"/>
      <w:bookmarkStart w:id="42" w:name="_Toc202167063"/>
      <w:bookmarkStart w:id="43" w:name="_Toc202167148"/>
      <w:bookmarkStart w:id="44" w:name="_Toc202167346"/>
      <w:bookmarkStart w:id="45" w:name="_Toc203368180"/>
      <w:bookmarkStart w:id="46" w:name="_Toc268184040"/>
      <w:bookmarkStart w:id="47" w:name="_Toc268680259"/>
      <w:bookmarkStart w:id="48" w:name="_Toc268680302"/>
      <w:bookmarkStart w:id="49" w:name="_Toc272241127"/>
      <w:bookmarkStart w:id="50" w:name="_Toc272241172"/>
      <w:bookmarkStart w:id="51" w:name="_Toc307897092"/>
      <w:bookmarkStart w:id="52" w:name="_Toc308159843"/>
      <w:r>
        <w:rPr>
          <w:rStyle w:val="CharPartNo"/>
        </w:rPr>
        <w:t>Part II</w:t>
      </w:r>
      <w:r>
        <w:t xml:space="preserve"> — </w:t>
      </w:r>
      <w:r>
        <w:rPr>
          <w:rStyle w:val="CharPartText"/>
        </w:rPr>
        <w:t>The Parliamentary Superannuation Board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 xml:space="preserve"> </w:t>
      </w:r>
    </w:p>
    <w:p>
      <w:pPr>
        <w:pStyle w:val="Footnoteheading"/>
        <w:tabs>
          <w:tab w:val="left" w:pos="851"/>
        </w:tabs>
        <w:rPr>
          <w:snapToGrid w:val="0"/>
        </w:rPr>
      </w:pPr>
      <w:r>
        <w:rPr>
          <w:snapToGrid w:val="0"/>
        </w:rPr>
        <w:tab/>
        <w:t xml:space="preserve">[Heading inserted by No. 31 of 1989 s. 5.] </w:t>
      </w:r>
    </w:p>
    <w:p>
      <w:pPr>
        <w:pStyle w:val="Heading5"/>
        <w:spacing w:before="240"/>
        <w:rPr>
          <w:snapToGrid w:val="0"/>
        </w:rPr>
      </w:pPr>
      <w:bookmarkStart w:id="53" w:name="_Toc7237072"/>
      <w:bookmarkStart w:id="54" w:name="_Toc38858452"/>
      <w:bookmarkStart w:id="55" w:name="_Toc125257616"/>
      <w:bookmarkStart w:id="56" w:name="_Toc308159844"/>
      <w:r>
        <w:rPr>
          <w:rStyle w:val="CharSectno"/>
        </w:rPr>
        <w:t>6</w:t>
      </w:r>
      <w:r>
        <w:rPr>
          <w:snapToGrid w:val="0"/>
        </w:rPr>
        <w:t>.</w:t>
      </w:r>
      <w:r>
        <w:rPr>
          <w:snapToGrid w:val="0"/>
        </w:rPr>
        <w:tab/>
        <w:t>The Board</w:t>
      </w:r>
      <w:bookmarkEnd w:id="53"/>
      <w:bookmarkEnd w:id="54"/>
      <w:bookmarkEnd w:id="55"/>
      <w:bookmarkEnd w:id="56"/>
      <w:r>
        <w:rPr>
          <w:snapToGrid w:val="0"/>
        </w:rPr>
        <w:t xml:space="preserve"> </w:t>
      </w:r>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Minister, who is the chairperson;</w:t>
      </w:r>
    </w:p>
    <w:p>
      <w:pPr>
        <w:pStyle w:val="Indenta"/>
      </w:pPr>
      <w:r>
        <w:tab/>
        <w:t>(b)</w:t>
      </w:r>
      <w:r>
        <w:tab/>
        <w:t xml:space="preserve">5 other Board members, of whom — </w:t>
      </w:r>
    </w:p>
    <w:p>
      <w:pPr>
        <w:pStyle w:val="Indenti"/>
      </w:pPr>
      <w:r>
        <w:tab/>
        <w:t>(i)</w:t>
      </w:r>
      <w:r>
        <w:tab/>
        <w:t>2 are to be appointed by the Legislative Council from members of the Council; and</w:t>
      </w:r>
    </w:p>
    <w:p>
      <w:pPr>
        <w:pStyle w:val="Indenti"/>
      </w:pPr>
      <w:r>
        <w:tab/>
        <w:t>(ii)</w:t>
      </w:r>
      <w:r>
        <w:tab/>
        <w:t>2 are to be appointed by the Legislative Assembly from members of the Assembly; and</w:t>
      </w:r>
    </w:p>
    <w:p>
      <w:pPr>
        <w:pStyle w:val="Indenti"/>
      </w:pPr>
      <w:r>
        <w:tab/>
        <w:t>(iii)</w:t>
      </w:r>
      <w:r>
        <w:tab/>
        <w:t>one is to be appointed by the Minister from former members to whom the scheme applies.</w:t>
      </w:r>
    </w:p>
    <w:p>
      <w:pPr>
        <w:pStyle w:val="Subsection"/>
        <w:rPr>
          <w:snapToGrid w:val="0"/>
        </w:rPr>
      </w:pPr>
      <w:r>
        <w:rPr>
          <w:snapToGrid w:val="0"/>
        </w:rPr>
        <w:tab/>
        <w:t>(4)</w:t>
      </w:r>
      <w:r>
        <w:rPr>
          <w:snapToGrid w:val="0"/>
        </w:rPr>
        <w:tab/>
        <w:t xml:space="preserve">Appointments under </w:t>
      </w:r>
      <w:r>
        <w:t>subsection 3(b)(i) and (ii)</w:t>
      </w:r>
      <w:r>
        <w:rPr>
          <w:snapToGrid w:val="0"/>
        </w:rPr>
        <w:t xml:space="preserve">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pPr>
      <w:r>
        <w:tab/>
        <w:t>(5A)</w:t>
      </w:r>
      <w:r>
        <w:tab/>
        <w:t>The Minister is to make an appointment under subsection (3)(b)(iii) whenever required to fill a vacancy.</w:t>
      </w:r>
    </w:p>
    <w:p>
      <w:pPr>
        <w:pStyle w:val="Subsection"/>
        <w:rPr>
          <w:snapToGrid w:val="0"/>
        </w:rPr>
      </w:pPr>
      <w:r>
        <w:rPr>
          <w:snapToGrid w:val="0"/>
        </w:rPr>
        <w:tab/>
        <w:t>(5)</w:t>
      </w:r>
      <w:r>
        <w:rPr>
          <w:snapToGrid w:val="0"/>
        </w:rPr>
        <w:tab/>
        <w:t xml:space="preserve">The Minister may nominate a member of either House to act as chairperson </w:t>
      </w:r>
      <w:r>
        <w:t>on behalf of the Minister</w:t>
      </w:r>
      <w:r>
        <w:rPr>
          <w:snapToGrid w:val="0"/>
        </w:rPr>
        <w:t xml:space="preserve">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 xml:space="preserve">A Board </w:t>
      </w:r>
      <w:r>
        <w:t>member appointed under subsection (3)(b)(i) or (ii) —</w:t>
      </w:r>
      <w:r>
        <w:rPr>
          <w:snapToGrid w:val="0"/>
        </w:rPr>
        <w:t> </w:t>
      </w:r>
    </w:p>
    <w:p>
      <w:pPr>
        <w:pStyle w:val="Indenta"/>
        <w:rPr>
          <w:snapToGrid w:val="0"/>
        </w:rPr>
      </w:pPr>
      <w:r>
        <w:rPr>
          <w:snapToGrid w:val="0"/>
        </w:rPr>
        <w:tab/>
        <w:t>(a)</w:t>
      </w:r>
      <w:r>
        <w:rPr>
          <w:snapToGrid w:val="0"/>
        </w:rPr>
        <w:tab/>
        <w:t>may be removed by the House by which the member was appointed; and</w:t>
      </w:r>
    </w:p>
    <w:p>
      <w:pPr>
        <w:pStyle w:val="Indenta"/>
        <w:rPr>
          <w:snapToGrid w:val="0"/>
        </w:rPr>
      </w:pPr>
      <w:r>
        <w:rPr>
          <w:snapToGrid w:val="0"/>
        </w:rPr>
        <w:tab/>
        <w:t>(b)</w:t>
      </w:r>
      <w:r>
        <w:rPr>
          <w:snapToGrid w:val="0"/>
        </w:rPr>
        <w:tab/>
        <w:t>may resign by notice in writing to the presiding officer of that House; and</w:t>
      </w:r>
    </w:p>
    <w:p>
      <w:pPr>
        <w:pStyle w:val="Indenta"/>
        <w:rPr>
          <w:snapToGrid w:val="0"/>
        </w:rPr>
      </w:pPr>
      <w:r>
        <w:rPr>
          <w:snapToGrid w:val="0"/>
        </w:rPr>
        <w:tab/>
        <w:t>(c)</w:t>
      </w:r>
      <w:r>
        <w:rPr>
          <w:snapToGrid w:val="0"/>
        </w:rPr>
        <w:tab/>
        <w:t>ceases to hold office upon ceasing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Subsection"/>
      </w:pPr>
      <w:r>
        <w:tab/>
        <w:t>(7)</w:t>
      </w:r>
      <w:r>
        <w:tab/>
        <w:t xml:space="preserve">A Board member appointed under subsection (3)(b)(iii) — </w:t>
      </w:r>
    </w:p>
    <w:p>
      <w:pPr>
        <w:pStyle w:val="Indenta"/>
      </w:pPr>
      <w:r>
        <w:tab/>
        <w:t>(a)</w:t>
      </w:r>
      <w:r>
        <w:tab/>
        <w:t>may be removed by the Minister; and</w:t>
      </w:r>
    </w:p>
    <w:p>
      <w:pPr>
        <w:pStyle w:val="Indenta"/>
      </w:pPr>
      <w:r>
        <w:tab/>
        <w:t>(b)</w:t>
      </w:r>
      <w:r>
        <w:tab/>
        <w:t>may resign by notice in writing to the Minister; and</w:t>
      </w:r>
    </w:p>
    <w:p>
      <w:pPr>
        <w:pStyle w:val="Indenta"/>
      </w:pPr>
      <w:r>
        <w:tab/>
        <w:t>(c)</w:t>
      </w:r>
      <w:r>
        <w:tab/>
        <w:t>ceases to hold office on the day fixed for the taking of the poll next following a dissolution or expiry of the Legislative Assembly.</w:t>
      </w:r>
    </w:p>
    <w:p>
      <w:pPr>
        <w:pStyle w:val="Footnotesection"/>
      </w:pPr>
      <w:r>
        <w:tab/>
        <w:t xml:space="preserve">[Section 6 inserted by No. 31 of 1989 s. 5; amended by No. 28 of 2006 s. 430; No. 34 of 2011 s. 5 and 15.] </w:t>
      </w:r>
    </w:p>
    <w:p>
      <w:pPr>
        <w:pStyle w:val="Heading5"/>
        <w:rPr>
          <w:snapToGrid w:val="0"/>
        </w:rPr>
      </w:pPr>
      <w:bookmarkStart w:id="57" w:name="_Toc7237073"/>
      <w:bookmarkStart w:id="58" w:name="_Toc38858453"/>
      <w:bookmarkStart w:id="59" w:name="_Toc125257617"/>
      <w:bookmarkStart w:id="60" w:name="_Toc308159845"/>
      <w:r>
        <w:rPr>
          <w:rStyle w:val="CharSectno"/>
        </w:rPr>
        <w:t>7</w:t>
      </w:r>
      <w:r>
        <w:rPr>
          <w:snapToGrid w:val="0"/>
        </w:rPr>
        <w:t>.</w:t>
      </w:r>
      <w:r>
        <w:rPr>
          <w:snapToGrid w:val="0"/>
        </w:rPr>
        <w:tab/>
        <w:t>Proceedings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4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amended by No. 34 of 2011 s. 6.] </w:t>
      </w:r>
    </w:p>
    <w:p>
      <w:pPr>
        <w:pStyle w:val="Heading5"/>
      </w:pPr>
      <w:bookmarkStart w:id="61" w:name="_Toc7237074"/>
      <w:bookmarkStart w:id="62" w:name="_Toc38858454"/>
      <w:bookmarkStart w:id="63" w:name="_Toc125257618"/>
      <w:bookmarkStart w:id="64" w:name="_Toc308159846"/>
      <w:r>
        <w:rPr>
          <w:rStyle w:val="CharSectno"/>
        </w:rPr>
        <w:t>8</w:t>
      </w:r>
      <w:r>
        <w:t>.</w:t>
      </w:r>
      <w:r>
        <w:tab/>
        <w:t>Administrative assistance for the Board</w:t>
      </w:r>
      <w:bookmarkEnd w:id="61"/>
      <w:bookmarkEnd w:id="62"/>
      <w:bookmarkEnd w:id="63"/>
      <w:bookmarkEnd w:id="64"/>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65" w:name="_Toc125257619"/>
      <w:bookmarkStart w:id="66" w:name="_Toc137009302"/>
      <w:bookmarkStart w:id="67" w:name="_Toc137021379"/>
      <w:bookmarkStart w:id="68" w:name="_Toc139707509"/>
      <w:bookmarkStart w:id="69" w:name="_Toc157928237"/>
      <w:bookmarkStart w:id="70" w:name="_Toc200335635"/>
      <w:bookmarkStart w:id="71" w:name="_Toc200335756"/>
      <w:bookmarkStart w:id="72" w:name="_Toc202167067"/>
      <w:bookmarkStart w:id="73" w:name="_Toc202167152"/>
      <w:bookmarkStart w:id="74" w:name="_Toc202167350"/>
      <w:bookmarkStart w:id="75" w:name="_Toc203368184"/>
      <w:bookmarkStart w:id="76" w:name="_Toc268184044"/>
      <w:bookmarkStart w:id="77" w:name="_Toc268680263"/>
      <w:bookmarkStart w:id="78" w:name="_Toc268680306"/>
      <w:bookmarkStart w:id="79" w:name="_Toc272241131"/>
      <w:bookmarkStart w:id="80" w:name="_Toc272241176"/>
      <w:bookmarkStart w:id="81" w:name="_Toc307897096"/>
      <w:bookmarkStart w:id="82" w:name="_Toc308159847"/>
      <w:r>
        <w:rPr>
          <w:rStyle w:val="CharPartNo"/>
        </w:rPr>
        <w:t>Part IIA</w:t>
      </w:r>
      <w:r>
        <w:t> — </w:t>
      </w:r>
      <w:r>
        <w:rPr>
          <w:rStyle w:val="CharPartText"/>
        </w:rPr>
        <w:t>Scheme participants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Footnoteheading"/>
        <w:tabs>
          <w:tab w:val="left" w:pos="851"/>
        </w:tabs>
      </w:pPr>
      <w:r>
        <w:tab/>
        <w:t>[Heading inserted by No. 37 of 2000 s. 7.]</w:t>
      </w:r>
    </w:p>
    <w:p>
      <w:pPr>
        <w:pStyle w:val="Heading5"/>
      </w:pPr>
      <w:bookmarkStart w:id="83" w:name="_Toc7237075"/>
      <w:bookmarkStart w:id="84" w:name="_Toc38858455"/>
      <w:bookmarkStart w:id="85" w:name="_Toc125257620"/>
      <w:bookmarkStart w:id="86" w:name="_Toc308159848"/>
      <w:r>
        <w:rPr>
          <w:rStyle w:val="CharSectno"/>
        </w:rPr>
        <w:t>9</w:t>
      </w:r>
      <w:r>
        <w:t>.</w:t>
      </w:r>
      <w:r>
        <w:tab/>
        <w:t>Scheme closed to members elected after closing day</w:t>
      </w:r>
      <w:bookmarkEnd w:id="83"/>
      <w:bookmarkEnd w:id="84"/>
      <w:bookmarkEnd w:id="85"/>
      <w:bookmarkEnd w:id="86"/>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Ednotesection"/>
      </w:pPr>
      <w:r>
        <w:t>[</w:t>
      </w:r>
      <w:r>
        <w:rPr>
          <w:b/>
        </w:rPr>
        <w:t>10.</w:t>
      </w:r>
      <w:r>
        <w:tab/>
        <w:t>Deleted by No. 34 of 2011 s. 7]</w:t>
      </w:r>
    </w:p>
    <w:p>
      <w:pPr>
        <w:pStyle w:val="Heading2"/>
      </w:pPr>
      <w:bookmarkStart w:id="87" w:name="_Toc125257622"/>
      <w:bookmarkStart w:id="88" w:name="_Toc137009305"/>
      <w:bookmarkStart w:id="89" w:name="_Toc137021382"/>
      <w:bookmarkStart w:id="90" w:name="_Toc139707512"/>
      <w:bookmarkStart w:id="91" w:name="_Toc157928240"/>
      <w:bookmarkStart w:id="92" w:name="_Toc200335638"/>
      <w:bookmarkStart w:id="93" w:name="_Toc200335759"/>
      <w:bookmarkStart w:id="94" w:name="_Toc202167070"/>
      <w:bookmarkStart w:id="95" w:name="_Toc202167155"/>
      <w:bookmarkStart w:id="96" w:name="_Toc202167353"/>
      <w:bookmarkStart w:id="97" w:name="_Toc203368187"/>
      <w:bookmarkStart w:id="98" w:name="_Toc268184047"/>
      <w:bookmarkStart w:id="99" w:name="_Toc268680266"/>
      <w:bookmarkStart w:id="100" w:name="_Toc268680309"/>
      <w:bookmarkStart w:id="101" w:name="_Toc272241134"/>
      <w:bookmarkStart w:id="102" w:name="_Toc272241179"/>
      <w:bookmarkStart w:id="103" w:name="_Toc307897098"/>
      <w:bookmarkStart w:id="104" w:name="_Toc308159849"/>
      <w:r>
        <w:rPr>
          <w:rStyle w:val="CharPartNo"/>
        </w:rPr>
        <w:t>Part III</w:t>
      </w:r>
      <w:r>
        <w:t> — </w:t>
      </w:r>
      <w:r>
        <w:rPr>
          <w:rStyle w:val="CharPartText"/>
        </w:rPr>
        <w:t>Contributions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 </w:t>
      </w:r>
    </w:p>
    <w:p>
      <w:pPr>
        <w:pStyle w:val="Footnoteheading"/>
        <w:tabs>
          <w:tab w:val="left" w:pos="851"/>
        </w:tabs>
      </w:pPr>
      <w:r>
        <w:tab/>
        <w:t>[Heading inserted by No. 37 of 2000 s. 8(1).]</w:t>
      </w:r>
    </w:p>
    <w:p>
      <w:pPr>
        <w:pStyle w:val="Heading5"/>
      </w:pPr>
      <w:bookmarkStart w:id="105" w:name="_Toc7237077"/>
      <w:bookmarkStart w:id="106" w:name="_Toc38858457"/>
      <w:bookmarkStart w:id="107" w:name="_Toc125257623"/>
      <w:bookmarkStart w:id="108" w:name="_Toc308159850"/>
      <w:r>
        <w:rPr>
          <w:rStyle w:val="CharSectno"/>
        </w:rPr>
        <w:t>11</w:t>
      </w:r>
      <w:r>
        <w:t>.</w:t>
      </w:r>
      <w:r>
        <w:tab/>
        <w:t>Contributions in respect of members</w:t>
      </w:r>
      <w:bookmarkEnd w:id="105"/>
      <w:bookmarkEnd w:id="106"/>
      <w:bookmarkEnd w:id="107"/>
      <w:bookmarkEnd w:id="108"/>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 by No. 37 of 2000 s. 8(1) </w:t>
      </w:r>
      <w:r>
        <w:rPr>
          <w:vertAlign w:val="superscript"/>
        </w:rPr>
        <w:t>3</w:t>
      </w:r>
      <w:r>
        <w:t>; amended by No. 77 of 2006 s. 4.]</w:t>
      </w:r>
    </w:p>
    <w:p>
      <w:pPr>
        <w:pStyle w:val="Ednotesection"/>
      </w:pPr>
      <w:r>
        <w:t>[</w:t>
      </w:r>
      <w:r>
        <w:rPr>
          <w:b/>
        </w:rPr>
        <w:t>12.</w:t>
      </w:r>
      <w:r>
        <w:tab/>
        <w:t xml:space="preserve">Deleted by No. 31 of 1989 s. 8.] </w:t>
      </w:r>
    </w:p>
    <w:p>
      <w:pPr>
        <w:pStyle w:val="Heading2"/>
      </w:pPr>
      <w:bookmarkStart w:id="109" w:name="_Toc125257624"/>
      <w:bookmarkStart w:id="110" w:name="_Toc137009307"/>
      <w:bookmarkStart w:id="111" w:name="_Toc137021384"/>
      <w:bookmarkStart w:id="112" w:name="_Toc139707514"/>
      <w:bookmarkStart w:id="113" w:name="_Toc157928242"/>
      <w:bookmarkStart w:id="114" w:name="_Toc200335640"/>
      <w:bookmarkStart w:id="115" w:name="_Toc200335761"/>
      <w:bookmarkStart w:id="116" w:name="_Toc202167072"/>
      <w:bookmarkStart w:id="117" w:name="_Toc202167157"/>
      <w:bookmarkStart w:id="118" w:name="_Toc202167355"/>
      <w:bookmarkStart w:id="119" w:name="_Toc203368189"/>
      <w:bookmarkStart w:id="120" w:name="_Toc268184049"/>
      <w:bookmarkStart w:id="121" w:name="_Toc268680268"/>
      <w:bookmarkStart w:id="122" w:name="_Toc268680311"/>
      <w:bookmarkStart w:id="123" w:name="_Toc272241136"/>
      <w:bookmarkStart w:id="124" w:name="_Toc272241181"/>
      <w:bookmarkStart w:id="125" w:name="_Toc307897100"/>
      <w:bookmarkStart w:id="126" w:name="_Toc308159851"/>
      <w:r>
        <w:rPr>
          <w:rStyle w:val="CharPartNo"/>
        </w:rPr>
        <w:t>Part IV</w:t>
      </w:r>
      <w:r>
        <w:rPr>
          <w:rStyle w:val="CharDivNo"/>
        </w:rPr>
        <w:t> </w:t>
      </w:r>
      <w:r>
        <w:t>—</w:t>
      </w:r>
      <w:r>
        <w:rPr>
          <w:rStyle w:val="CharDivText"/>
        </w:rPr>
        <w:t> </w:t>
      </w:r>
      <w:r>
        <w:rPr>
          <w:rStyle w:val="CharPartText"/>
        </w:rPr>
        <w:t>Pensions and other benefits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spacing w:before="180"/>
        <w:rPr>
          <w:snapToGrid w:val="0"/>
        </w:rPr>
      </w:pPr>
      <w:bookmarkStart w:id="127" w:name="_Toc7237078"/>
      <w:bookmarkStart w:id="128" w:name="_Toc38858458"/>
      <w:bookmarkStart w:id="129" w:name="_Toc125257625"/>
      <w:bookmarkStart w:id="130" w:name="_Toc308159852"/>
      <w:r>
        <w:rPr>
          <w:rStyle w:val="CharSectno"/>
        </w:rPr>
        <w:t>13</w:t>
      </w:r>
      <w:r>
        <w:rPr>
          <w:snapToGrid w:val="0"/>
        </w:rPr>
        <w:t>.</w:t>
      </w:r>
      <w:r>
        <w:rPr>
          <w:snapToGrid w:val="0"/>
        </w:rPr>
        <w:tab/>
      </w:r>
      <w:bookmarkEnd w:id="127"/>
      <w:bookmarkEnd w:id="128"/>
      <w:bookmarkEnd w:id="129"/>
      <w:r>
        <w:rPr>
          <w:snapToGrid w:val="0"/>
        </w:rPr>
        <w:t>Terms used in this Part</w:t>
      </w:r>
      <w:bookmarkEnd w:id="130"/>
      <w:r>
        <w:rPr>
          <w:snapToGrid w:val="0"/>
        </w:rPr>
        <w:t xml:space="preserve"> </w:t>
      </w:r>
    </w:p>
    <w:p>
      <w:pPr>
        <w:pStyle w:val="Subsection"/>
        <w:keepNext/>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ceasing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 xml:space="preserve">and includes, where a person has made contributions in respect of 2 or more separated periods of service as a member, every period for which </w:t>
      </w:r>
      <w:r>
        <w:t>the person so contributed</w:t>
      </w:r>
      <w:r>
        <w:rPr>
          <w:snapToGrid w:val="0"/>
        </w:rPr>
        <w:t>, irrespective of any pension, refund of contributions with interest or other benefit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 xml:space="preserve">[Section 13 amended by No. 94 of 1975 s. 5; No. 54 of 1980 s. 5; No. 58 of 1986 s. 6; No. 31 of 1989 s. 9; No. 6 of 1993 s. 11; No. 77 of 2006 s. 4; No. 34 of 2011 s. 15.] </w:t>
      </w:r>
    </w:p>
    <w:p>
      <w:pPr>
        <w:pStyle w:val="Heading5"/>
        <w:rPr>
          <w:snapToGrid w:val="0"/>
        </w:rPr>
      </w:pPr>
      <w:bookmarkStart w:id="131" w:name="_Toc7237079"/>
      <w:bookmarkStart w:id="132" w:name="_Toc38858459"/>
      <w:bookmarkStart w:id="133" w:name="_Toc125257626"/>
      <w:bookmarkStart w:id="134" w:name="_Toc308159853"/>
      <w:r>
        <w:rPr>
          <w:rStyle w:val="CharSectno"/>
        </w:rPr>
        <w:t>14</w:t>
      </w:r>
      <w:r>
        <w:rPr>
          <w:snapToGrid w:val="0"/>
        </w:rPr>
        <w:t>.</w:t>
      </w:r>
      <w:r>
        <w:rPr>
          <w:snapToGrid w:val="0"/>
        </w:rPr>
        <w:tab/>
        <w:t>Members’ superannuation benefits etc</w:t>
      </w:r>
      <w:bookmarkEnd w:id="131"/>
      <w:r>
        <w:rPr>
          <w:snapToGrid w:val="0"/>
        </w:rPr>
        <w:t>.</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 xml:space="preserve">has attained the age of 55 years </w:t>
      </w:r>
      <w:r>
        <w:t>upon so ceasing</w:t>
      </w:r>
      <w:r>
        <w:rPr>
          <w:snapToGrid w:val="0"/>
        </w:rPr>
        <w:t xml:space="preserve"> to be a member; or</w:t>
      </w:r>
    </w:p>
    <w:p>
      <w:pPr>
        <w:pStyle w:val="Indenti"/>
        <w:rPr>
          <w:snapToGrid w:val="0"/>
        </w:rPr>
      </w:pPr>
      <w:r>
        <w:rPr>
          <w:snapToGrid w:val="0"/>
        </w:rPr>
        <w:tab/>
        <w:t>(ia)</w:t>
      </w:r>
      <w:r>
        <w:rPr>
          <w:snapToGrid w:val="0"/>
        </w:rPr>
        <w:tab/>
        <w:t>has so contributed for the duration of not less than 3 complete Parliaments; or</w:t>
      </w:r>
    </w:p>
    <w:p>
      <w:pPr>
        <w:pStyle w:val="Indenti"/>
        <w:rPr>
          <w:snapToGrid w:val="0"/>
        </w:rPr>
      </w:pPr>
      <w:r>
        <w:rPr>
          <w:snapToGrid w:val="0"/>
        </w:rPr>
        <w:tab/>
        <w:t>(ii)</w:t>
      </w:r>
      <w:r>
        <w:rPr>
          <w:snapToGrid w:val="0"/>
        </w:rPr>
        <w:tab/>
        <w:t>so ceases to be a member upon being defeated at an election; or</w:t>
      </w:r>
    </w:p>
    <w:p>
      <w:pPr>
        <w:pStyle w:val="Indenti"/>
        <w:rPr>
          <w:snapToGrid w:val="0"/>
        </w:rPr>
      </w:pPr>
      <w:r>
        <w:rPr>
          <w:snapToGrid w:val="0"/>
        </w:rPr>
        <w:tab/>
        <w:t>(iii)</w:t>
      </w:r>
      <w:r>
        <w:rPr>
          <w:snapToGrid w:val="0"/>
        </w:rPr>
        <w:tab/>
        <w:t>so ceases to be a member on the ground of ill health and satisfies the Board that ceasing to be a member on that ground is warranted; or</w:t>
      </w:r>
    </w:p>
    <w:p>
      <w:pPr>
        <w:pStyle w:val="Indenti"/>
        <w:rPr>
          <w:snapToGrid w:val="0"/>
        </w:rPr>
      </w:pPr>
      <w:r>
        <w:rPr>
          <w:snapToGrid w:val="0"/>
        </w:rPr>
        <w:tab/>
        <w:t>(iv)</w:t>
      </w:r>
      <w:r>
        <w:rPr>
          <w:snapToGrid w:val="0"/>
        </w:rPr>
        <w:tab/>
        <w:t>so ceases to be a member upon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the member satisfies the Board that — </w:t>
      </w:r>
    </w:p>
    <w:p>
      <w:pPr>
        <w:pStyle w:val="Indenta"/>
        <w:rPr>
          <w:snapToGrid w:val="0"/>
        </w:rPr>
      </w:pPr>
      <w:r>
        <w:rPr>
          <w:snapToGrid w:val="0"/>
        </w:rPr>
        <w:tab/>
        <w:t>(a)</w:t>
      </w:r>
      <w:r>
        <w:rPr>
          <w:snapToGrid w:val="0"/>
        </w:rPr>
        <w:tab/>
        <w:t>the member could be reasonably expected to so decline if unable to obtain the endorsement of a political party; and</w:t>
      </w:r>
    </w:p>
    <w:p>
      <w:pPr>
        <w:pStyle w:val="Indenta"/>
        <w:rPr>
          <w:snapToGrid w:val="0"/>
        </w:rPr>
      </w:pPr>
      <w:r>
        <w:rPr>
          <w:snapToGrid w:val="0"/>
        </w:rPr>
        <w:tab/>
        <w:t>(b)</w:t>
      </w:r>
      <w:r>
        <w:rPr>
          <w:snapToGrid w:val="0"/>
        </w:rPr>
        <w:tab/>
        <w:t>the member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the member’s inability to obtain such endorsement does not result from circumstances substantially within the member’s control.</w:t>
      </w:r>
    </w:p>
    <w:p>
      <w:pPr>
        <w:pStyle w:val="Subsection"/>
        <w:rPr>
          <w:snapToGrid w:val="0"/>
        </w:rPr>
      </w:pPr>
      <w:r>
        <w:rPr>
          <w:snapToGrid w:val="0"/>
        </w:rPr>
        <w:tab/>
        <w:t>(1a)</w:t>
      </w:r>
      <w:r>
        <w:rPr>
          <w:snapToGrid w:val="0"/>
        </w:rPr>
        <w:tab/>
        <w:t>For the purposes of this Act, where — </w:t>
      </w:r>
    </w:p>
    <w:p>
      <w:pPr>
        <w:pStyle w:val="Indenta"/>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r>
      <w:r>
        <w:t>the member shall, whether or not elected</w:t>
      </w:r>
      <w:r>
        <w:rPr>
          <w:snapToGrid w:val="0"/>
        </w:rPr>
        <w:t xml:space="preserve"> to the Legislative Assembly, be deemed to have continued to be a Member of the Legislative Council during the period between the day on which the resignation took effect and the day on which the election for the Legislative Assembly took place if, within 3 months of that lastmentioned day the member pays to the scheme a sum equal to the contributions which </w:t>
      </w:r>
      <w:r>
        <w:t>would have been required had the member continued</w:t>
      </w:r>
      <w:r>
        <w:rPr>
          <w:snapToGrid w:val="0"/>
        </w:rPr>
        <w:t xml:space="preserve"> to be a Member of the Legislative Council during that period, and </w:t>
      </w:r>
      <w:r>
        <w:t>the member, if defeated at the election for the Legislative Assembly, shall be entitled to the same pension, if any, to which the member would have been entitled on ceasing</w:t>
      </w:r>
      <w:r>
        <w:rPr>
          <w:snapToGrid w:val="0"/>
        </w:rPr>
        <w:t xml:space="preserve"> to be a Member of the Legislative Council on the day on which the election for the Legislative Assembly was conducted by reason of being defeated at an election conducted on that day; and</w:t>
      </w:r>
    </w:p>
    <w:p>
      <w:pPr>
        <w:pStyle w:val="Indenti"/>
        <w:rPr>
          <w:snapToGrid w:val="0"/>
        </w:rPr>
      </w:pPr>
      <w:r>
        <w:rPr>
          <w:snapToGrid w:val="0"/>
        </w:rPr>
        <w:tab/>
        <w:t>(ii)</w:t>
      </w:r>
      <w:r>
        <w:rPr>
          <w:snapToGrid w:val="0"/>
        </w:rPr>
        <w:tab/>
        <w:t xml:space="preserve">if the member dies prior to the day on which the election for the Legislative Assembly takes place, the member shall be deemed to have continued to be a Member of the Legislative Council until death, but for the purposes of calculating the rate at which pension, if any, is payable as from the date of death to </w:t>
      </w:r>
      <w:r>
        <w:t>the member’s spouse or de facto partner</w:t>
      </w:r>
      <w:r>
        <w:rPr>
          <w:snapToGrid w:val="0"/>
        </w:rPr>
        <w:t xml:space="preserve">, the member shall be deemed to have died on the day on which the resignation took effect;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r>
      <w:r>
        <w:t>the member shall, if elected</w:t>
      </w:r>
      <w:r>
        <w:rPr>
          <w:snapToGrid w:val="0"/>
        </w:rPr>
        <w:t xml:space="preserve"> to the Legislative Council, be deemed to have continued to be a Member of the Legislative Assembly during the period commencing on </w:t>
      </w:r>
      <w:r>
        <w:t>the day of ceasing</w:t>
      </w:r>
      <w:r>
        <w:rPr>
          <w:snapToGrid w:val="0"/>
        </w:rPr>
        <w:t xml:space="preserve"> to be a Member of the Legislative Assembly and ending on the day of the declaration of the poll on which, by reason of being so elected, the member becomes a Member of the Legislative Council if, within 3 months of that lastmentioned day, the member pays to the scheme a sum equal to the contributions which </w:t>
      </w:r>
      <w:r>
        <w:t>would have been required had the member continued</w:t>
      </w:r>
      <w:r>
        <w:rPr>
          <w:snapToGrid w:val="0"/>
        </w:rPr>
        <w:t xml:space="preserve"> to be a Member of the Legislative Assembly during that period; and</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member shall, if defeated</w:t>
      </w:r>
      <w:r>
        <w:rPr>
          <w:snapToGrid w:val="0"/>
        </w:rPr>
        <w:t xml:space="preserve"> at the election for the Legislative Council, be entitled to the same pension, if any, to which </w:t>
      </w:r>
      <w:r>
        <w:t>the member would have been entitled, if defeated</w:t>
      </w:r>
      <w:r>
        <w:rPr>
          <w:snapToGrid w:val="0"/>
        </w:rPr>
        <w:t xml:space="preserve"> at an election for the Legislative Assembly conducted on the same day as that on which the election for the Legislative Council took place, irrespective of whether such an election for the Legislative Assembly was actually conducted on that day; and</w:t>
      </w:r>
    </w:p>
    <w:p>
      <w:pPr>
        <w:pStyle w:val="Indenti"/>
        <w:rPr>
          <w:snapToGrid w:val="0"/>
        </w:rPr>
      </w:pPr>
      <w:r>
        <w:rPr>
          <w:snapToGrid w:val="0"/>
        </w:rPr>
        <w:tab/>
        <w:t>(iv)</w:t>
      </w:r>
      <w:r>
        <w:rPr>
          <w:snapToGrid w:val="0"/>
        </w:rPr>
        <w:tab/>
      </w:r>
      <w:r>
        <w:t>the member shall, in the event of dying</w:t>
      </w:r>
      <w:r>
        <w:rPr>
          <w:snapToGrid w:val="0"/>
        </w:rPr>
        <w:t xml:space="preserve"> before the election for the Legislative Council takes place, be deemed to have continued to be a Member of the Legislative Assembly until death, but for the purposes of calculating the rate at which pension, if any, is payable as from the date of death to </w:t>
      </w:r>
      <w:r>
        <w:t>the member’s spouse or de facto partner</w:t>
      </w:r>
      <w:r>
        <w:rPr>
          <w:snapToGrid w:val="0"/>
        </w:rPr>
        <w:t xml:space="preserve">, </w:t>
      </w:r>
      <w:r>
        <w:t>the member shall be deemed</w:t>
      </w:r>
      <w:r>
        <w:rPr>
          <w:snapToGrid w:val="0"/>
        </w:rPr>
        <w:t xml:space="preserve"> to have died on </w:t>
      </w:r>
      <w:r>
        <w:t>the day of ceasing</w:t>
      </w:r>
      <w:r>
        <w:rPr>
          <w:snapToGrid w:val="0"/>
        </w:rPr>
        <w:t xml:space="preserve">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 xml:space="preserve">Where a person who ceases to be a member is not, under the provisions of subsection (1), entitled to be paid a pension the person shall be paid an amount equal to twice the sum of the </w:t>
      </w:r>
      <w:r>
        <w:t>the person’s contributions</w:t>
      </w:r>
      <w:r>
        <w:rPr>
          <w:snapToGrid w:val="0"/>
        </w:rPr>
        <w:t xml:space="preserve"> to the scheme under this Act or the repealed Act together with interest thereon at the rate</w:t>
      </w:r>
      <w:r>
        <w:t xml:space="preserve"> of 10% per annum or at such other rate as may be</w:t>
      </w:r>
      <w:r>
        <w:rPr>
          <w:snapToGrid w:val="0"/>
        </w:rPr>
        <w:t xml:space="preserve"> determined by the Tribunal, less any amount previously refunded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that person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fillcolor="window">
            <v:imagedata r:id="rId21" o:title=""/>
          </v:shape>
          <o:OLEObject Type="Embed" ProgID="Equation.3" ShapeID="_x0000_i1025" DrawAspect="Content" ObjectID="_1643531510" r:id="rId22"/>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that person was making contributions to the scheme; and</w:t>
      </w:r>
    </w:p>
    <w:p>
      <w:pPr>
        <w:pStyle w:val="Indenta"/>
        <w:rPr>
          <w:snapToGrid w:val="0"/>
        </w:rPr>
      </w:pPr>
      <w:r>
        <w:rPr>
          <w:snapToGrid w:val="0"/>
        </w:rPr>
        <w:tab/>
        <w:t>C</w:t>
      </w:r>
      <w:r>
        <w:rPr>
          <w:snapToGrid w:val="0"/>
        </w:rPr>
        <w:tab/>
        <w:t>is the total basic salary paid to that person while that person was making contributions to the scheme.</w:t>
      </w:r>
      <w:r>
        <w:rPr>
          <w:noProof/>
        </w:rPr>
        <w:t xml:space="preserve"> </w:t>
      </w:r>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object w:dxaOrig="1960" w:dyaOrig="620">
          <v:shape id="_x0000_i1026" type="#_x0000_t75" style="width:98.25pt;height:30.75pt" o:ole="" fillcolor="window">
            <v:imagedata r:id="rId23" o:title=""/>
          </v:shape>
          <o:OLEObject Type="Embed" ProgID="Equation.3" ShapeID="_x0000_i1026" DrawAspect="Content" ObjectID="_1643531511" r:id="rId24"/>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that person was making contributions to the scheme;</w:t>
      </w:r>
    </w:p>
    <w:p>
      <w:pPr>
        <w:pStyle w:val="Indenta"/>
        <w:rPr>
          <w:snapToGrid w:val="0"/>
        </w:rPr>
      </w:pPr>
      <w:r>
        <w:rPr>
          <w:snapToGrid w:val="0"/>
        </w:rPr>
        <w:tab/>
        <w:t>C</w:t>
      </w:r>
      <w:r>
        <w:rPr>
          <w:snapToGrid w:val="0"/>
        </w:rPr>
        <w:tab/>
        <w:t>is the total basic salary paid to that person while that person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an annual pension entitlement which has been converted to a lump sum payment under section 16(2).</w:t>
      </w:r>
    </w:p>
    <w:p>
      <w:pPr>
        <w:pStyle w:val="Footnotesection"/>
        <w:ind w:left="890" w:hanging="890"/>
      </w:pPr>
      <w:r>
        <w:tab/>
        <w:t xml:space="preserve">[Section 14 amended by No. 94 of 1975 s. 6; No. 54 of 1980 s. 6; No. 58 of 1986 s. 7; No. 6 of 1988 s. 5; No. 31 of 1989 s. 10 and 15; No. 37 of 2000 s. 9; No. 3 of 2002 s. 91(1); No. 34 of 2011 s. 8 and 15.] </w:t>
      </w:r>
    </w:p>
    <w:p>
      <w:pPr>
        <w:pStyle w:val="Ednotesection"/>
      </w:pPr>
      <w:r>
        <w:t>[</w:t>
      </w:r>
      <w:r>
        <w:rPr>
          <w:b/>
        </w:rPr>
        <w:t xml:space="preserve">15, 15A. </w:t>
      </w:r>
      <w:r>
        <w:t>Deleted by No. 37 of 2000 s. 10.]</w:t>
      </w:r>
    </w:p>
    <w:p>
      <w:pPr>
        <w:pStyle w:val="Heading5"/>
        <w:rPr>
          <w:snapToGrid w:val="0"/>
        </w:rPr>
      </w:pPr>
      <w:bookmarkStart w:id="135" w:name="_Toc7237080"/>
      <w:bookmarkStart w:id="136" w:name="_Toc38858460"/>
      <w:bookmarkStart w:id="137" w:name="_Toc125257627"/>
      <w:bookmarkStart w:id="138" w:name="_Toc308159854"/>
      <w:r>
        <w:rPr>
          <w:rStyle w:val="CharSectno"/>
        </w:rPr>
        <w:t>15B</w:t>
      </w:r>
      <w:r>
        <w:rPr>
          <w:snapToGrid w:val="0"/>
        </w:rPr>
        <w:t>.</w:t>
      </w:r>
      <w:r>
        <w:rPr>
          <w:snapToGrid w:val="0"/>
        </w:rPr>
        <w:tab/>
        <w:t>Increases in pensions which first become payable after 1/1/1976</w:t>
      </w:r>
      <w:bookmarkEnd w:id="135"/>
      <w:bookmarkEnd w:id="136"/>
      <w:bookmarkEnd w:id="137"/>
      <w:bookmarkEnd w:id="138"/>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spacing w:before="120"/>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spacing w:before="120"/>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spacing w:before="120"/>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 xml:space="preserve">[Section 15B inserted by No. 94 of 1975 s. 9; amended by No. 58 of 1986 s. 8; No. 37 of 2000 s. 11; No. 3 of 2002 s. 91(2).] </w:t>
      </w:r>
    </w:p>
    <w:p>
      <w:pPr>
        <w:pStyle w:val="Heading5"/>
        <w:rPr>
          <w:snapToGrid w:val="0"/>
        </w:rPr>
      </w:pPr>
      <w:bookmarkStart w:id="139" w:name="_Toc7237081"/>
      <w:bookmarkStart w:id="140" w:name="_Toc38858461"/>
      <w:bookmarkStart w:id="141" w:name="_Toc125257628"/>
      <w:bookmarkStart w:id="142" w:name="_Toc308159855"/>
      <w:r>
        <w:rPr>
          <w:rStyle w:val="CharSectno"/>
        </w:rPr>
        <w:t>16</w:t>
      </w:r>
      <w:r>
        <w:rPr>
          <w:snapToGrid w:val="0"/>
        </w:rPr>
        <w:t>.</w:t>
      </w:r>
      <w:r>
        <w:rPr>
          <w:snapToGrid w:val="0"/>
        </w:rPr>
        <w:tab/>
        <w:t>Commutation of certain pensions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so ceasing to be a member</w:t>
      </w:r>
      <w:r>
        <w:t xml:space="preserve"> or such longer period as the Tribunal determines</w:t>
      </w:r>
      <w:r>
        <w:rPr>
          <w:snapToGrid w:val="0"/>
        </w:rPr>
        <w:t xml:space="preserve">, to convert to a lump sum payment, determined in accordance with subsection (2), </w:t>
      </w:r>
      <w:r>
        <w:t>the person’s annual</w:t>
      </w:r>
      <w:r>
        <w:rPr>
          <w:snapToGrid w:val="0"/>
        </w:rPr>
        <w:t xml:space="preserve">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t>
      </w:r>
      <w:r>
        <w:t>on ceasing</w:t>
      </w:r>
      <w:r>
        <w:rPr>
          <w:snapToGrid w:val="0"/>
        </w:rPr>
        <w:t xml:space="preserve"> to be a member or who attained the specified age less than a year </w:t>
      </w:r>
      <w:r>
        <w:t>before ceasing</w:t>
      </w:r>
      <w:r>
        <w:rPr>
          <w:snapToGrid w:val="0"/>
        </w:rPr>
        <w:t xml:space="preserve">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 and</w:t>
      </w:r>
    </w:p>
    <w:p>
      <w:pPr>
        <w:pStyle w:val="Indenta"/>
        <w:rPr>
          <w:snapToGrid w:val="0"/>
        </w:rPr>
      </w:pPr>
      <w:r>
        <w:rPr>
          <w:snapToGrid w:val="0"/>
        </w:rPr>
        <w:tab/>
        <w:t>(b)</w:t>
      </w:r>
      <w:r>
        <w:rPr>
          <w:snapToGrid w:val="0"/>
        </w:rPr>
        <w:tab/>
        <w:t xml:space="preserve">in the case of a person who attained the specified age at least a year </w:t>
      </w:r>
      <w:r>
        <w:t>before ceasing</w:t>
      </w:r>
      <w:r>
        <w:rPr>
          <w:snapToGrid w:val="0"/>
        </w:rPr>
        <w:t xml:space="preserve">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t>
      </w:r>
      <w:r>
        <w:t>on ceasing</w:t>
      </w:r>
      <w:r>
        <w:rPr>
          <w:snapToGrid w:val="0"/>
        </w:rPr>
        <w:t xml:space="preserve">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rStyle w:val="CharDefText"/>
        </w:rPr>
        <w:t>the specified age</w:t>
      </w:r>
      <w:r>
        <w:rPr>
          <w:snapToGrid w:val="0"/>
        </w:rPr>
        <w:t xml:space="preserve"> for the purposes of subsection (2) is 65 years.</w:t>
      </w:r>
    </w:p>
    <w:p>
      <w:pPr>
        <w:pStyle w:val="Subsection"/>
        <w:rPr>
          <w:snapToGrid w:val="0"/>
        </w:rPr>
      </w:pPr>
      <w:r>
        <w:rPr>
          <w:snapToGrid w:val="0"/>
        </w:rPr>
        <w:tab/>
        <w:t>(3)</w:t>
      </w:r>
      <w:r>
        <w:rPr>
          <w:snapToGrid w:val="0"/>
        </w:rPr>
        <w:tab/>
        <w:t xml:space="preserve">Where a former member ceased to be a member on the grounds of ill health and had contributed to the scheme for less than 12 years </w:t>
      </w:r>
      <w:r>
        <w:t>on so ceasing</w:t>
      </w:r>
      <w:r>
        <w:rPr>
          <w:snapToGrid w:val="0"/>
        </w:rPr>
        <w:t xml:space="preserve"> to be a member, </w:t>
      </w:r>
      <w:r>
        <w:t>the former member</w:t>
      </w:r>
      <w:r>
        <w:rPr>
          <w:snapToGrid w:val="0"/>
        </w:rPr>
        <w:t xml:space="preserve"> is not entitled to make an election under subsection (1) unless — </w:t>
      </w:r>
    </w:p>
    <w:p>
      <w:pPr>
        <w:pStyle w:val="Indenta"/>
        <w:rPr>
          <w:snapToGrid w:val="0"/>
        </w:rPr>
      </w:pPr>
      <w:r>
        <w:rPr>
          <w:snapToGrid w:val="0"/>
        </w:rPr>
        <w:tab/>
        <w:t>(a)</w:t>
      </w:r>
      <w:r>
        <w:rPr>
          <w:snapToGrid w:val="0"/>
        </w:rPr>
        <w:tab/>
      </w:r>
      <w:r>
        <w:t>the former member</w:t>
      </w:r>
      <w:r>
        <w:rPr>
          <w:snapToGrid w:val="0"/>
        </w:rPr>
        <w:t xml:space="preserve"> had attained the age of 55 years; or</w:t>
      </w:r>
    </w:p>
    <w:p>
      <w:pPr>
        <w:pStyle w:val="Indenta"/>
        <w:rPr>
          <w:snapToGrid w:val="0"/>
        </w:rPr>
      </w:pPr>
      <w:r>
        <w:rPr>
          <w:snapToGrid w:val="0"/>
        </w:rPr>
        <w:tab/>
        <w:t>(b)</w:t>
      </w:r>
      <w:r>
        <w:rPr>
          <w:snapToGrid w:val="0"/>
        </w:rPr>
        <w:tab/>
      </w:r>
      <w:r>
        <w:t>the former member</w:t>
      </w:r>
      <w:r>
        <w:rPr>
          <w:snapToGrid w:val="0"/>
        </w:rPr>
        <w:t xml:space="preserve"> had contributed to the scheme for the duration of not less than 3 complete Parliaments,</w:t>
      </w:r>
    </w:p>
    <w:p>
      <w:pPr>
        <w:pStyle w:val="Subsection"/>
        <w:rPr>
          <w:snapToGrid w:val="0"/>
        </w:rPr>
      </w:pPr>
      <w:r>
        <w:rPr>
          <w:snapToGrid w:val="0"/>
        </w:rPr>
        <w:tab/>
      </w:r>
      <w:r>
        <w:rPr>
          <w:snapToGrid w:val="0"/>
        </w:rPr>
        <w:tab/>
        <w:t>on so ceasing to be a member.</w:t>
      </w:r>
    </w:p>
    <w:p>
      <w:pPr>
        <w:pStyle w:val="Subsection"/>
        <w:rPr>
          <w:snapToGrid w:val="0"/>
        </w:rPr>
      </w:pPr>
      <w:r>
        <w:rPr>
          <w:snapToGrid w:val="0"/>
        </w:rPr>
        <w:tab/>
        <w:t>(4)</w:t>
      </w:r>
      <w:r>
        <w:rPr>
          <w:snapToGrid w:val="0"/>
        </w:rPr>
        <w:tab/>
        <w:t xml:space="preserve">Where section 17 applies to a former member, the whole or the appropriate portion, as the case may be, of </w:t>
      </w:r>
      <w:r>
        <w:t>the former member’s</w:t>
      </w:r>
      <w:r>
        <w:rPr>
          <w:snapToGrid w:val="0"/>
        </w:rPr>
        <w:t xml:space="preserve"> annual pension entitlement for the purposes of this section shall be reduced by the amount that the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No. 34 of 2011 s. 9 and 15.] </w:t>
      </w:r>
    </w:p>
    <w:p>
      <w:pPr>
        <w:pStyle w:val="Heading5"/>
        <w:rPr>
          <w:snapToGrid w:val="0"/>
        </w:rPr>
      </w:pPr>
      <w:bookmarkStart w:id="143" w:name="_Toc7237082"/>
      <w:bookmarkStart w:id="144" w:name="_Toc38858462"/>
      <w:bookmarkStart w:id="145" w:name="_Toc125257629"/>
      <w:bookmarkStart w:id="146" w:name="_Toc308159856"/>
      <w:r>
        <w:rPr>
          <w:rStyle w:val="CharSectno"/>
        </w:rPr>
        <w:t>17</w:t>
      </w:r>
      <w:r>
        <w:rPr>
          <w:snapToGrid w:val="0"/>
        </w:rPr>
        <w:t>.</w:t>
      </w:r>
      <w:r>
        <w:rPr>
          <w:snapToGrid w:val="0"/>
        </w:rPr>
        <w:tab/>
        <w:t>Reduction of pension in certain cases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Where a person who, on ceasing to be a member, converted all or portion of an annual pension entitlement to a lump sum payment under section 16, again becomes a member on a subsequent date, the amount, if any, by which the benefits received by that person under this Part before </w:t>
      </w:r>
      <w:r>
        <w:t>again becoming</w:t>
      </w:r>
      <w:r>
        <w:rPr>
          <w:snapToGrid w:val="0"/>
        </w:rPr>
        <w:t xml:space="preserve"> a member exceed the amount of the benefits that person would have received under this Part </w:t>
      </w:r>
      <w:r>
        <w:t>but for so converting</w:t>
      </w:r>
      <w:r>
        <w:rPr>
          <w:snapToGrid w:val="0"/>
        </w:rPr>
        <w:t xml:space="preserve"> all or portion of the pension entitlement shall be calculated.</w:t>
      </w:r>
    </w:p>
    <w:p>
      <w:pPr>
        <w:pStyle w:val="Subsection"/>
        <w:rPr>
          <w:snapToGrid w:val="0"/>
        </w:rPr>
      </w:pPr>
      <w:r>
        <w:rPr>
          <w:snapToGrid w:val="0"/>
        </w:rPr>
        <w:tab/>
        <w:t>(2)</w:t>
      </w:r>
      <w:r>
        <w:rPr>
          <w:snapToGrid w:val="0"/>
        </w:rPr>
        <w:tab/>
        <w:t xml:space="preserve">Notwithstanding anything in this Part, where a person to whom subsection (1) applies again becomes entitled to a pension under section 14, </w:t>
      </w:r>
      <w:r>
        <w:t xml:space="preserve">the annual amount of the pension </w:t>
      </w:r>
      <w:r>
        <w:rPr>
          <w:snapToGrid w:val="0"/>
        </w:rPr>
        <w:t>shall be reduced by 10% of the amount calculated under subsection (1).</w:t>
      </w:r>
    </w:p>
    <w:p>
      <w:pPr>
        <w:pStyle w:val="Footnotesection"/>
      </w:pPr>
      <w:r>
        <w:tab/>
        <w:t xml:space="preserve">[Section 17 inserted by No. 54 of 1980 s. 8; amended by No. 34 of 2011 s. 15.] </w:t>
      </w:r>
    </w:p>
    <w:p>
      <w:pPr>
        <w:pStyle w:val="Heading5"/>
        <w:rPr>
          <w:snapToGrid w:val="0"/>
        </w:rPr>
      </w:pPr>
      <w:bookmarkStart w:id="147" w:name="_Toc7237083"/>
      <w:bookmarkStart w:id="148" w:name="_Toc38858463"/>
      <w:bookmarkStart w:id="149" w:name="_Toc125257630"/>
      <w:bookmarkStart w:id="150" w:name="_Toc308159857"/>
      <w:r>
        <w:rPr>
          <w:rStyle w:val="CharSectno"/>
        </w:rPr>
        <w:t>18</w:t>
      </w:r>
      <w:r>
        <w:rPr>
          <w:snapToGrid w:val="0"/>
        </w:rPr>
        <w:t>.</w:t>
      </w:r>
      <w:r>
        <w:rPr>
          <w:snapToGrid w:val="0"/>
        </w:rPr>
        <w:tab/>
        <w:t xml:space="preserve">Pensions payable to certain </w:t>
      </w:r>
      <w:bookmarkEnd w:id="147"/>
      <w:r>
        <w:t>spouses or de facto partners</w:t>
      </w:r>
      <w:bookmarkEnd w:id="148"/>
      <w:bookmarkEnd w:id="149"/>
      <w:bookmarkEnd w:id="150"/>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w:t>
      </w:r>
      <w:r>
        <w:t>the spouse is entitled until death</w:t>
      </w:r>
      <w:r>
        <w:rPr>
          <w:snapToGrid w:val="0"/>
        </w:rPr>
        <w:t xml:space="preserve">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w:t>
      </w:r>
      <w:r>
        <w:t>the spouse or de facto partner</w:t>
      </w:r>
      <w:r>
        <w:rPr>
          <w:snapToGrid w:val="0"/>
        </w:rPr>
        <w:t xml:space="preserve"> would have been entitled under the repealed Act, </w:t>
      </w:r>
      <w:r>
        <w:t>the spouse or de facto partner</w:t>
      </w:r>
      <w:r>
        <w:rPr>
          <w:snapToGrid w:val="0"/>
        </w:rPr>
        <w:t xml:space="preserv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 xml:space="preserve">[Section 18 amended by No. 94 of 1975 s. 10; No. 3 of 2002 s. 91(1), (2) and 92; No. 34 of 2011 s. 15.] </w:t>
      </w:r>
    </w:p>
    <w:p>
      <w:pPr>
        <w:pStyle w:val="Heading5"/>
        <w:keepNext w:val="0"/>
        <w:keepLines w:val="0"/>
        <w:spacing w:before="260"/>
        <w:rPr>
          <w:snapToGrid w:val="0"/>
        </w:rPr>
      </w:pPr>
      <w:bookmarkStart w:id="151" w:name="_Toc7237084"/>
      <w:bookmarkStart w:id="152" w:name="_Toc38858464"/>
      <w:bookmarkStart w:id="153" w:name="_Toc125257631"/>
      <w:bookmarkStart w:id="154" w:name="_Toc308159858"/>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151"/>
      <w:bookmarkEnd w:id="152"/>
      <w:bookmarkEnd w:id="153"/>
      <w:bookmarkEnd w:id="154"/>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the pension shall, on and from that pension pay day, be increased to the secondmentioned rate.</w:t>
      </w:r>
    </w:p>
    <w:p>
      <w:pPr>
        <w:pStyle w:val="Footnotesection"/>
      </w:pPr>
      <w:r>
        <w:tab/>
        <w:t xml:space="preserve">[Section 18A inserted by No. 115 of 1976 s. 3; amended by No. 31 of 1989 s. 15; No. 3 of 2002 s. 91(1) and 93; No. 34 of 2011 s. 15.] </w:t>
      </w:r>
    </w:p>
    <w:p>
      <w:pPr>
        <w:pStyle w:val="Heading5"/>
        <w:spacing w:before="260"/>
        <w:rPr>
          <w:snapToGrid w:val="0"/>
        </w:rPr>
      </w:pPr>
      <w:bookmarkStart w:id="155" w:name="_Toc7237085"/>
      <w:bookmarkStart w:id="156" w:name="_Toc38858465"/>
      <w:bookmarkStart w:id="157" w:name="_Toc125257632"/>
      <w:bookmarkStart w:id="158" w:name="_Toc308159859"/>
      <w:r>
        <w:rPr>
          <w:rStyle w:val="CharSectno"/>
        </w:rPr>
        <w:t>18B</w:t>
      </w:r>
      <w:r>
        <w:rPr>
          <w:snapToGrid w:val="0"/>
        </w:rPr>
        <w:t>.</w:t>
      </w:r>
      <w:r>
        <w:rPr>
          <w:snapToGrid w:val="0"/>
        </w:rPr>
        <w:tab/>
        <w:t>Adjustment of certain widows’ pensions</w:t>
      </w:r>
      <w:bookmarkEnd w:id="155"/>
      <w:bookmarkEnd w:id="156"/>
      <w:bookmarkEnd w:id="157"/>
      <w:bookmarkEnd w:id="158"/>
      <w:r>
        <w:rPr>
          <w:snapToGrid w:val="0"/>
        </w:rPr>
        <w:t xml:space="preserve"> </w:t>
      </w:r>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the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the pension shall be increased accordingly.</w:t>
      </w:r>
    </w:p>
    <w:p>
      <w:pPr>
        <w:pStyle w:val="Footnotesection"/>
      </w:pPr>
      <w:r>
        <w:tab/>
        <w:t xml:space="preserve">[Section 18B inserted by No. 54 of 1980 s. 9; amended by No. 34 of 2011 s. 15.] </w:t>
      </w:r>
    </w:p>
    <w:p>
      <w:pPr>
        <w:pStyle w:val="Heading5"/>
        <w:spacing w:before="260"/>
        <w:rPr>
          <w:snapToGrid w:val="0"/>
        </w:rPr>
      </w:pPr>
      <w:bookmarkStart w:id="159" w:name="_Toc7237086"/>
      <w:bookmarkStart w:id="160" w:name="_Toc38858466"/>
      <w:bookmarkStart w:id="161" w:name="_Toc125257633"/>
      <w:bookmarkStart w:id="162" w:name="_Toc308159860"/>
      <w:r>
        <w:rPr>
          <w:rStyle w:val="CharSectno"/>
        </w:rPr>
        <w:t>19</w:t>
      </w:r>
      <w:r>
        <w:rPr>
          <w:snapToGrid w:val="0"/>
        </w:rPr>
        <w:t>.</w:t>
      </w:r>
      <w:r>
        <w:rPr>
          <w:snapToGrid w:val="0"/>
        </w:rPr>
        <w:tab/>
        <w:t>Payment of pensions to spouses or de facto partners generally</w:t>
      </w:r>
      <w:bookmarkEnd w:id="159"/>
      <w:bookmarkEnd w:id="160"/>
      <w:bookmarkEnd w:id="161"/>
      <w:bookmarkEnd w:id="162"/>
      <w:r>
        <w:rPr>
          <w:snapToGrid w:val="0"/>
        </w:rPr>
        <w:t xml:space="preserve"> </w:t>
      </w:r>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death an annual pension at the rate of — </w:t>
      </w:r>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the former member had not died and the former member’s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w:t>
      </w:r>
      <w:r>
        <w:t>the former member had not died but retired</w:t>
      </w:r>
      <w:r>
        <w:rPr>
          <w:snapToGrid w:val="0"/>
        </w:rPr>
        <w:t xml:space="preserve"> on the day of death after contributing to the scheme for a period of 16 years as an ordinary member and </w:t>
      </w:r>
      <w:r>
        <w:t>the former member’s pension</w:t>
      </w:r>
      <w:r>
        <w:rPr>
          <w:snapToGrid w:val="0"/>
        </w:rPr>
        <w:t xml:space="preserve">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an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an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the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death, an annual pension at the rate of two</w:t>
      </w:r>
      <w:r>
        <w:rPr>
          <w:snapToGrid w:val="0"/>
        </w:rPr>
        <w:noBreakHyphen/>
        <w:t>thirds of the pension that would from time to time be payable under this Act </w:t>
      </w:r>
      <w:r>
        <w:t>if the member</w:t>
      </w:r>
      <w:r>
        <w:rPr>
          <w:snapToGrid w:val="0"/>
        </w:rPr>
        <w:t xml:space="preserve"> had not died but had ceased to be member on the date of </w:t>
      </w:r>
      <w:r>
        <w:t>the member’s death</w:t>
      </w:r>
      <w:r>
        <w:rPr>
          <w:snapToGrid w:val="0"/>
        </w:rPr>
        <w:t xml:space="preserve">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w:t>
      </w:r>
      <w:r>
        <w:t>the member had</w:t>
      </w:r>
      <w:r>
        <w:rPr>
          <w:snapToGrid w:val="0"/>
        </w:rPr>
        <w:t xml:space="preserve"> not died but had retired on </w:t>
      </w:r>
      <w:r>
        <w:t>the date of death</w:t>
      </w:r>
      <w:r>
        <w:rPr>
          <w:snapToGrid w:val="0"/>
        </w:rPr>
        <w:t xml:space="preserve">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w:t>
      </w:r>
      <w:r>
        <w:t>the member had</w:t>
      </w:r>
      <w:r>
        <w:rPr>
          <w:snapToGrid w:val="0"/>
        </w:rPr>
        <w:t xml:space="preserve"> not died but had retired on </w:t>
      </w:r>
      <w:r>
        <w:t>the date of death</w:t>
      </w:r>
      <w:r>
        <w:rPr>
          <w:snapToGrid w:val="0"/>
        </w:rPr>
        <w:t xml:space="preserve">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pPr>
      <w:r>
        <w:tab/>
        <w:t>(4)</w:t>
      </w:r>
      <w:r>
        <w:tab/>
        <w:t xml:space="preserve">A pension is not payable under this section to a spouse or de facto partner referred to in subsection (1) or (1a) if the marriage to the former member took place after the former member finally ceased to be a member except in the following cases — </w:t>
      </w:r>
    </w:p>
    <w:p>
      <w:pPr>
        <w:pStyle w:val="Indenta"/>
      </w:pPr>
      <w:r>
        <w:tab/>
        <w:t>(a)</w:t>
      </w:r>
      <w:r>
        <w:tab/>
        <w:t xml:space="preserve">if the former member died before the coming into operation of the </w:t>
      </w:r>
      <w:r>
        <w:rPr>
          <w:i/>
          <w:snapToGrid w:val="0"/>
        </w:rPr>
        <w:t xml:space="preserve">Parliamentary Superannuation Amendment Act 2011 </w:t>
      </w:r>
      <w:r>
        <w:rPr>
          <w:iCs/>
          <w:snapToGrid w:val="0"/>
        </w:rPr>
        <w:t xml:space="preserve">section 10 </w:t>
      </w:r>
      <w:r>
        <w:t xml:space="preserve">a pension is payable — </w:t>
      </w:r>
    </w:p>
    <w:p>
      <w:pPr>
        <w:pStyle w:val="Indenti"/>
      </w:pPr>
      <w:r>
        <w:tab/>
        <w:t>(i)</w:t>
      </w:r>
      <w:r>
        <w:tab/>
        <w:t>if the spouse or de facto partner is aged 55 years or more at the date of the former member’s death, as from that date; or</w:t>
      </w:r>
    </w:p>
    <w:p>
      <w:pPr>
        <w:pStyle w:val="Indenti"/>
      </w:pPr>
      <w:r>
        <w:tab/>
        <w:t>(ii)</w:t>
      </w:r>
      <w:r>
        <w:tab/>
        <w:t>if the spouse or de facto partner is aged less than 55 years at the date of the former member’s death, as from the date of attaining that age;</w:t>
      </w:r>
    </w:p>
    <w:p>
      <w:pPr>
        <w:pStyle w:val="Indenta"/>
      </w:pPr>
      <w:r>
        <w:tab/>
        <w:t>(b)</w:t>
      </w:r>
      <w:r>
        <w:tab/>
        <w:t xml:space="preserve">if the former member dies on or after the coming into operation of the </w:t>
      </w:r>
      <w:r>
        <w:rPr>
          <w:i/>
          <w:snapToGrid w:val="0"/>
        </w:rPr>
        <w:t>Parliamentary Superannuation Amendment Act 2011</w:t>
      </w:r>
      <w:r>
        <w:t xml:space="preserve"> </w:t>
      </w:r>
      <w:r>
        <w:rPr>
          <w:iCs/>
          <w:snapToGrid w:val="0"/>
        </w:rPr>
        <w:t xml:space="preserve">section 10 </w:t>
      </w:r>
      <w:r>
        <w:t xml:space="preserve">a pension is payable if — </w:t>
      </w:r>
    </w:p>
    <w:p>
      <w:pPr>
        <w:pStyle w:val="Indenti"/>
      </w:pPr>
      <w:r>
        <w:tab/>
        <w:t>(i)</w:t>
      </w:r>
      <w:r>
        <w:tab/>
        <w:t>the marriage took place not less than 5 years before the date of the former member’s death; or</w:t>
      </w:r>
    </w:p>
    <w:p>
      <w:pPr>
        <w:pStyle w:val="Indenti"/>
      </w:pPr>
      <w:r>
        <w:tab/>
        <w:t>(ii)</w:t>
      </w:r>
      <w:r>
        <w:tab/>
        <w:t>at the date of the former member’s death there is at least one child of the former member and the spouse or de facto partner who is wholly or substantially dependent on them; or</w:t>
      </w:r>
    </w:p>
    <w:p>
      <w:pPr>
        <w:pStyle w:val="Indenti"/>
      </w:pPr>
      <w:r>
        <w:tab/>
        <w:t>(iii)</w:t>
      </w:r>
      <w:r>
        <w:tab/>
        <w:t xml:space="preserve">the Board is satisfied that — </w:t>
      </w:r>
    </w:p>
    <w:p>
      <w:pPr>
        <w:pStyle w:val="IndentI0"/>
      </w:pPr>
      <w:r>
        <w:tab/>
        <w:t>(I)</w:t>
      </w:r>
      <w:r>
        <w:tab/>
        <w:t>the marriage was of a bona fide nature; and</w:t>
      </w:r>
    </w:p>
    <w:p>
      <w:pPr>
        <w:pStyle w:val="IndentI0"/>
      </w:pPr>
      <w:r>
        <w:tab/>
        <w:t>(II)</w:t>
      </w:r>
      <w:r>
        <w:tab/>
        <w:t>the special circumstances of the case warrant the payment of a pension to the spouse or de facto partner;</w:t>
      </w:r>
    </w:p>
    <w:p>
      <w:pPr>
        <w:pStyle w:val="Indenta"/>
      </w:pPr>
      <w:r>
        <w:tab/>
        <w:t>(c)</w:t>
      </w:r>
      <w:r>
        <w:tab/>
        <w:t xml:space="preserve">if the former member dies on or after the coming into operation of the </w:t>
      </w:r>
      <w:r>
        <w:rPr>
          <w:i/>
          <w:snapToGrid w:val="0"/>
        </w:rPr>
        <w:t>Parliamentary Superannuation Amendment Act 2011</w:t>
      </w:r>
      <w:r>
        <w:t xml:space="preserve"> </w:t>
      </w:r>
      <w:r>
        <w:rPr>
          <w:iCs/>
          <w:snapToGrid w:val="0"/>
        </w:rPr>
        <w:t xml:space="preserve">section 10 </w:t>
      </w:r>
      <w:r>
        <w:t xml:space="preserve">and the marriage to the former member took place before the coming into operation of that Act and no pension is payable under paragraph (b) a pension is payable — </w:t>
      </w:r>
    </w:p>
    <w:p>
      <w:pPr>
        <w:pStyle w:val="Indenti"/>
      </w:pPr>
      <w:r>
        <w:tab/>
        <w:t>(i)</w:t>
      </w:r>
      <w:r>
        <w:tab/>
        <w:t>if the spouse or de facto partner is aged 55 years or more at the date of the former member’s death, as from that date; or</w:t>
      </w:r>
    </w:p>
    <w:p>
      <w:pPr>
        <w:pStyle w:val="Indenti"/>
      </w:pPr>
      <w:r>
        <w:tab/>
        <w:t>(ii)</w:t>
      </w:r>
      <w:r>
        <w:tab/>
        <w:t>if the spouse or de facto partner is aged less than 55 years at the date of the former member’s death, as from the date of attaining that age.</w:t>
      </w:r>
    </w:p>
    <w:p>
      <w:pPr>
        <w:pStyle w:val="Ednotesubsection"/>
      </w:pPr>
      <w:r>
        <w:tab/>
        <w:t>[(5)</w:t>
      </w:r>
      <w:r>
        <w:tab/>
        <w:t>deleted]</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No. 34 of 2011 s. 10 and 15.] </w:t>
      </w:r>
    </w:p>
    <w:p>
      <w:pPr>
        <w:pStyle w:val="Ednotesection"/>
      </w:pPr>
      <w:r>
        <w:t>[</w:t>
      </w:r>
      <w:r>
        <w:rPr>
          <w:b/>
        </w:rPr>
        <w:t>19A.</w:t>
      </w:r>
      <w:r>
        <w:tab/>
        <w:t>Deleted by No. 3 of 2002 s. 95.]</w:t>
      </w:r>
    </w:p>
    <w:p>
      <w:pPr>
        <w:pStyle w:val="Heading5"/>
        <w:rPr>
          <w:snapToGrid w:val="0"/>
        </w:rPr>
      </w:pPr>
      <w:bookmarkStart w:id="163" w:name="_Toc7237088"/>
      <w:bookmarkStart w:id="164" w:name="_Toc38858467"/>
      <w:bookmarkStart w:id="165" w:name="_Toc125257634"/>
      <w:bookmarkStart w:id="166" w:name="_Toc308159861"/>
      <w:r>
        <w:rPr>
          <w:rStyle w:val="CharSectno"/>
        </w:rPr>
        <w:t>19B</w:t>
      </w:r>
      <w:r>
        <w:rPr>
          <w:snapToGrid w:val="0"/>
        </w:rPr>
        <w:t>.</w:t>
      </w:r>
      <w:r>
        <w:rPr>
          <w:snapToGrid w:val="0"/>
        </w:rPr>
        <w:tab/>
        <w:t>Commutation of certain spouses’ or de facto partners’ pensions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r>
      <w:r>
        <w:t xml:space="preserve">Where a member dies before the coming into operation of the </w:t>
      </w:r>
      <w:r>
        <w:rPr>
          <w:i/>
          <w:snapToGrid w:val="0"/>
        </w:rPr>
        <w:t>Parliamentary Superannuation Amendment Act 2011</w:t>
      </w:r>
      <w:r>
        <w:rPr>
          <w:iCs/>
          <w:snapToGrid w:val="0"/>
        </w:rPr>
        <w:t xml:space="preserve"> section 11, a spouse or de facto partner of the member </w:t>
      </w:r>
      <w:r>
        <w:rPr>
          <w:snapToGrid w:val="0"/>
        </w:rPr>
        <w:t>who becomes entitled to be paid an annual pension pursuant to section 19(2) or (3), may elect, by notice in writing served on the Board within 6 months of so becoming entitled, to convert to a lump sum payment determined in accordance with subsection (2) not more than 50% of the annual pension entitlement.</w:t>
      </w:r>
    </w:p>
    <w:p>
      <w:pPr>
        <w:pStyle w:val="Subsection"/>
      </w:pPr>
      <w:r>
        <w:tab/>
        <w:t>(2A)</w:t>
      </w:r>
      <w:r>
        <w:tab/>
        <w:t xml:space="preserve">Where a member or former member dies on or after the coming into operation of the </w:t>
      </w:r>
      <w:r>
        <w:rPr>
          <w:i/>
          <w:snapToGrid w:val="0"/>
        </w:rPr>
        <w:t xml:space="preserve">Parliamentary Superannuation Amendment Act 2011 </w:t>
      </w:r>
      <w:r>
        <w:rPr>
          <w:iCs/>
          <w:snapToGrid w:val="0"/>
        </w:rPr>
        <w:t>section 11</w:t>
      </w:r>
      <w:r>
        <w:t>, a spouse or de facto partner of the member or former member who becomes entitled to be paid an annual pension pursuant to section 19 may elect, by notice in writing served on the Board within 6 months of so becoming entitled, to convert to a lump sum payment determined in accordance with subsection (2) all or part of the annual pension entitlement.</w:t>
      </w:r>
    </w:p>
    <w:p>
      <w:pPr>
        <w:pStyle w:val="Subsection"/>
        <w:rPr>
          <w:snapToGrid w:val="0"/>
        </w:rPr>
      </w:pPr>
      <w:r>
        <w:rPr>
          <w:snapToGrid w:val="0"/>
        </w:rPr>
        <w:tab/>
        <w:t>(2)</w:t>
      </w:r>
      <w:r>
        <w:rPr>
          <w:snapToGrid w:val="0"/>
        </w:rPr>
        <w:tab/>
        <w:t xml:space="preserve">A lump sum payment under subsection (1) </w:t>
      </w:r>
      <w:r>
        <w:t xml:space="preserve">or (2A) </w:t>
      </w:r>
      <w:r>
        <w:rPr>
          <w:snapToGrid w:val="0"/>
        </w:rPr>
        <w:t>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t>
      </w:r>
      <w:r>
        <w:t>on becoming</w:t>
      </w:r>
      <w:r>
        <w:rPr>
          <w:snapToGrid w:val="0"/>
        </w:rPr>
        <w:t xml:space="preserve"> entitled to be paid an annual pension or who attained the specified age less than a year </w:t>
      </w:r>
      <w:r>
        <w:t>before becoming</w:t>
      </w:r>
      <w:r>
        <w:rPr>
          <w:snapToGrid w:val="0"/>
        </w:rPr>
        <w:t xml:space="preserve"> so entitled — the amount of the annual pension entitlement of the </w:t>
      </w:r>
      <w:r>
        <w:t>spouse or de facto partner</w:t>
      </w:r>
      <w:r>
        <w:rPr>
          <w:snapToGrid w:val="0"/>
        </w:rPr>
        <w:t xml:space="preserve"> converted under subsection (1)</w:t>
      </w:r>
      <w:r>
        <w:t xml:space="preserve"> or (2A)</w:t>
      </w:r>
      <w:r>
        <w:rPr>
          <w:snapToGrid w:val="0"/>
        </w:rPr>
        <w:t xml:space="preserve">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w:t>
      </w:r>
      <w:r>
        <w:t>before becoming</w:t>
      </w:r>
      <w:r>
        <w:rPr>
          <w:snapToGrid w:val="0"/>
        </w:rPr>
        <w:t xml:space="preserve"> entitled to be paid an annual pension — the amount of the annual pension entitlement of the </w:t>
      </w:r>
      <w:r>
        <w:t>spouse or de facto partner</w:t>
      </w:r>
      <w:r>
        <w:rPr>
          <w:snapToGrid w:val="0"/>
        </w:rPr>
        <w:t xml:space="preserve"> converted under subsection (1)</w:t>
      </w:r>
      <w:r>
        <w:t xml:space="preserve"> or (2A)</w:t>
      </w:r>
      <w:r>
        <w:rPr>
          <w:snapToGrid w:val="0"/>
        </w:rPr>
        <w:t xml:space="preserve"> multiplied by a factor calculated by deducting from 10 half the number by which the age, in complete years, attained by the </w:t>
      </w:r>
      <w:r>
        <w:t>spouse or de facto partner</w:t>
      </w:r>
      <w:r>
        <w:rPr>
          <w:snapToGrid w:val="0"/>
        </w:rPr>
        <w:t xml:space="preserve"> </w:t>
      </w:r>
      <w:r>
        <w:t>on becoming</w:t>
      </w:r>
      <w:r>
        <w:rPr>
          <w:snapToGrid w:val="0"/>
        </w:rPr>
        <w:t xml:space="preserve"> entitled to be paid an annual pension exceeds the specified age.</w:t>
      </w:r>
    </w:p>
    <w:p>
      <w:pPr>
        <w:pStyle w:val="Subsection"/>
        <w:keepNext/>
        <w:rPr>
          <w:snapToGrid w:val="0"/>
        </w:rPr>
      </w:pPr>
      <w:r>
        <w:rPr>
          <w:snapToGrid w:val="0"/>
        </w:rPr>
        <w:tab/>
        <w:t>(3)</w:t>
      </w:r>
      <w:r>
        <w:rPr>
          <w:snapToGrid w:val="0"/>
        </w:rPr>
        <w:tab/>
        <w:t xml:space="preserve">In subsection (2), </w:t>
      </w:r>
      <w:r>
        <w:rPr>
          <w:rStyle w:val="CharDefText"/>
        </w:rPr>
        <w:t>the specified age</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No. 34 of 2011 s. 11 and 15.] </w:t>
      </w:r>
    </w:p>
    <w:p>
      <w:pPr>
        <w:pStyle w:val="Heading5"/>
        <w:spacing w:before="240"/>
        <w:rPr>
          <w:snapToGrid w:val="0"/>
        </w:rPr>
      </w:pPr>
      <w:bookmarkStart w:id="167" w:name="_Toc7237089"/>
      <w:bookmarkStart w:id="168" w:name="_Toc38858468"/>
      <w:bookmarkStart w:id="169" w:name="_Toc125257635"/>
      <w:bookmarkStart w:id="170" w:name="_Toc308159862"/>
      <w:r>
        <w:rPr>
          <w:rStyle w:val="CharSectno"/>
        </w:rPr>
        <w:t>20</w:t>
      </w:r>
      <w:r>
        <w:rPr>
          <w:snapToGrid w:val="0"/>
        </w:rPr>
        <w:t>.</w:t>
      </w:r>
      <w:r>
        <w:rPr>
          <w:snapToGrid w:val="0"/>
        </w:rPr>
        <w:tab/>
        <w:t>Repayments to Fund of amounts previously paid to contributor</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Where a payment has been made to a person under section 14(3), or any corresponding provision of the repealed Act, and that person again becomes a member on a subsequent date, </w:t>
      </w:r>
      <w:r>
        <w:t>the person may</w:t>
      </w:r>
      <w:r>
        <w:rPr>
          <w:snapToGrid w:val="0"/>
        </w:rPr>
        <w:t xml:space="preserve"> — </w:t>
      </w:r>
    </w:p>
    <w:p>
      <w:pPr>
        <w:pStyle w:val="Indenta"/>
        <w:rPr>
          <w:snapToGrid w:val="0"/>
        </w:rPr>
      </w:pPr>
      <w:r>
        <w:rPr>
          <w:snapToGrid w:val="0"/>
        </w:rPr>
        <w:tab/>
        <w:t>(a)</w:t>
      </w:r>
      <w:r>
        <w:rPr>
          <w:snapToGrid w:val="0"/>
        </w:rPr>
        <w:tab/>
        <w:t xml:space="preserve">within 3 months of again so becoming a member, pay into the scheme a sum equal to the payment </w:t>
      </w:r>
      <w:r>
        <w:t>made under section 14(3)</w:t>
      </w:r>
      <w:r>
        <w:rPr>
          <w:snapToGrid w:val="0"/>
        </w:rPr>
        <w:t>; or</w:t>
      </w:r>
    </w:p>
    <w:p>
      <w:pPr>
        <w:pStyle w:val="Indenta"/>
        <w:rPr>
          <w:snapToGrid w:val="0"/>
        </w:rPr>
      </w:pPr>
      <w:r>
        <w:rPr>
          <w:snapToGrid w:val="0"/>
        </w:rPr>
        <w:tab/>
        <w:t>(b)</w:t>
      </w:r>
      <w:r>
        <w:rPr>
          <w:snapToGrid w:val="0"/>
        </w:rPr>
        <w:tab/>
        <w:t xml:space="preserve">after the expiration of the period referred to in paragraph (a), but while </w:t>
      </w:r>
      <w:r>
        <w:t>the person continues</w:t>
      </w:r>
      <w:r>
        <w:rPr>
          <w:snapToGrid w:val="0"/>
        </w:rPr>
        <w:t xml:space="preserve"> to be a member, pay into the scheme a sum equal to the total of the payment </w:t>
      </w:r>
      <w:r>
        <w:t xml:space="preserve">made under section 14(3) </w:t>
      </w:r>
      <w:r>
        <w:rPr>
          <w:snapToGrid w:val="0"/>
        </w:rPr>
        <w:t>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 xml:space="preserve">[Section 20 inserted by No. 54 of 1980 s. 12; amended by No. 31 of 1989 s. 15; No. 37 of 2000 s. 13; No. 34 of 2011 s. 15.] </w:t>
      </w:r>
    </w:p>
    <w:p>
      <w:pPr>
        <w:pStyle w:val="Heading5"/>
        <w:keepLines w:val="0"/>
        <w:spacing w:before="180"/>
        <w:rPr>
          <w:snapToGrid w:val="0"/>
        </w:rPr>
      </w:pPr>
      <w:bookmarkStart w:id="171" w:name="_Toc7237090"/>
      <w:bookmarkStart w:id="172" w:name="_Toc38858469"/>
      <w:bookmarkStart w:id="173" w:name="_Toc125257636"/>
      <w:bookmarkStart w:id="174" w:name="_Toc308159863"/>
      <w:r>
        <w:rPr>
          <w:rStyle w:val="CharSectno"/>
        </w:rPr>
        <w:t>21</w:t>
      </w:r>
      <w:r>
        <w:rPr>
          <w:snapToGrid w:val="0"/>
        </w:rPr>
        <w:t>.</w:t>
      </w:r>
      <w:r>
        <w:rPr>
          <w:snapToGrid w:val="0"/>
        </w:rPr>
        <w:tab/>
        <w:t>Termination of pension if recipient becomes member of Parliament</w:t>
      </w:r>
      <w:bookmarkEnd w:id="171"/>
      <w:bookmarkEnd w:id="172"/>
      <w:bookmarkEnd w:id="173"/>
      <w:bookmarkEnd w:id="174"/>
      <w:r>
        <w:rPr>
          <w:snapToGrid w:val="0"/>
        </w:rPr>
        <w:t xml:space="preserve"> </w:t>
      </w:r>
    </w:p>
    <w:p>
      <w:pPr>
        <w:pStyle w:val="Subsection"/>
        <w:spacing w:before="80"/>
        <w:rPr>
          <w:snapToGrid w:val="0"/>
        </w:rPr>
      </w:pPr>
      <w:r>
        <w:rPr>
          <w:snapToGrid w:val="0"/>
        </w:rPr>
        <w:tab/>
      </w:r>
      <w:r>
        <w:rPr>
          <w:snapToGrid w:val="0"/>
        </w:rPr>
        <w:tab/>
        <w:t>If a former member who is receiving or is entitled to receive a pension under this Part again becomes a member, the right to that pension shall cease.</w:t>
      </w:r>
    </w:p>
    <w:p>
      <w:pPr>
        <w:pStyle w:val="Footnotesection"/>
      </w:pPr>
      <w:r>
        <w:tab/>
        <w:t>[Section 21 amended by No. 34 of 2011 s. 15.]</w:t>
      </w:r>
    </w:p>
    <w:p>
      <w:pPr>
        <w:pStyle w:val="Heading5"/>
        <w:spacing w:before="180"/>
        <w:rPr>
          <w:snapToGrid w:val="0"/>
        </w:rPr>
      </w:pPr>
      <w:bookmarkStart w:id="175" w:name="_Toc7237091"/>
      <w:bookmarkStart w:id="176" w:name="_Toc38858470"/>
      <w:bookmarkStart w:id="177" w:name="_Toc125257637"/>
      <w:bookmarkStart w:id="178" w:name="_Toc308159864"/>
      <w:r>
        <w:rPr>
          <w:rStyle w:val="CharSectno"/>
        </w:rPr>
        <w:t>22</w:t>
      </w:r>
      <w:r>
        <w:rPr>
          <w:snapToGrid w:val="0"/>
        </w:rPr>
        <w:t>.</w:t>
      </w:r>
      <w:r>
        <w:rPr>
          <w:snapToGrid w:val="0"/>
        </w:rPr>
        <w:tab/>
        <w:t>Reduction of pensions in certain cases</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the former member from time to time under this Part shall be reduced by the amount, if any, by which the remuneration received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Footnotesection"/>
      </w:pPr>
      <w:r>
        <w:tab/>
        <w:t>[Section 22 amended by No. 34 of 2011 s. 15.]</w:t>
      </w:r>
    </w:p>
    <w:p>
      <w:pPr>
        <w:pStyle w:val="Heading5"/>
        <w:rPr>
          <w:snapToGrid w:val="0"/>
        </w:rPr>
      </w:pPr>
      <w:bookmarkStart w:id="179" w:name="_Toc7237092"/>
      <w:bookmarkStart w:id="180" w:name="_Toc38858471"/>
      <w:bookmarkStart w:id="181" w:name="_Toc125257638"/>
      <w:bookmarkStart w:id="182" w:name="_Toc308159865"/>
      <w:r>
        <w:rPr>
          <w:rStyle w:val="CharSectno"/>
        </w:rPr>
        <w:t>23</w:t>
      </w:r>
      <w:r>
        <w:rPr>
          <w:snapToGrid w:val="0"/>
        </w:rPr>
        <w:t>.</w:t>
      </w:r>
      <w:r>
        <w:rPr>
          <w:snapToGrid w:val="0"/>
        </w:rPr>
        <w:tab/>
        <w:t>Childrens’ allowances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5%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10%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an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No. 34 of 2011 s. 12 and 15.] </w:t>
      </w:r>
    </w:p>
    <w:p>
      <w:pPr>
        <w:pStyle w:val="Heading5"/>
        <w:rPr>
          <w:snapToGrid w:val="0"/>
        </w:rPr>
      </w:pPr>
      <w:bookmarkStart w:id="183" w:name="_Toc7237093"/>
      <w:bookmarkStart w:id="184" w:name="_Toc38858472"/>
      <w:bookmarkStart w:id="185" w:name="_Toc125257639"/>
      <w:bookmarkStart w:id="186" w:name="_Toc308159866"/>
      <w:r>
        <w:rPr>
          <w:rStyle w:val="CharSectno"/>
        </w:rPr>
        <w:t>23A</w:t>
      </w:r>
      <w:r>
        <w:rPr>
          <w:snapToGrid w:val="0"/>
        </w:rPr>
        <w:t>.</w:t>
      </w:r>
      <w:r>
        <w:rPr>
          <w:snapToGrid w:val="0"/>
        </w:rPr>
        <w:tab/>
        <w:t>Spouse or de facto partner and children not entitled to more than one pension</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187" w:name="_Toc303666018"/>
      <w:bookmarkStart w:id="188" w:name="_Toc303666034"/>
      <w:bookmarkStart w:id="189" w:name="_Toc307835335"/>
      <w:bookmarkStart w:id="190" w:name="_Toc308159867"/>
      <w:bookmarkStart w:id="191" w:name="_Toc7237094"/>
      <w:bookmarkStart w:id="192" w:name="_Toc38858473"/>
      <w:bookmarkStart w:id="193" w:name="_Toc125257640"/>
      <w:r>
        <w:rPr>
          <w:rStyle w:val="CharSectno"/>
        </w:rPr>
        <w:t>24</w:t>
      </w:r>
      <w:r>
        <w:t>.</w:t>
      </w:r>
      <w:r>
        <w:tab/>
        <w:t>Minimum Benefits</w:t>
      </w:r>
      <w:bookmarkEnd w:id="187"/>
      <w:bookmarkEnd w:id="188"/>
      <w:bookmarkEnd w:id="189"/>
      <w:bookmarkEnd w:id="190"/>
    </w:p>
    <w:p>
      <w:pPr>
        <w:pStyle w:val="Subsection"/>
      </w:pPr>
      <w:r>
        <w:tab/>
        <w:t>(1)</w:t>
      </w:r>
      <w:r>
        <w:tab/>
        <w:t xml:space="preserve">Subject to subsection (2), the Board is to pay a minimum benefit to or in respect of each member of — </w:t>
      </w:r>
    </w:p>
    <w:p>
      <w:pPr>
        <w:pStyle w:val="Indenta"/>
      </w:pPr>
      <w:r>
        <w:tab/>
        <w:t>(a)</w:t>
      </w:r>
      <w:r>
        <w:tab/>
        <w:t>the amount of the member’s contributions with interest at the rate of 10% per annum; plus</w:t>
      </w:r>
    </w:p>
    <w:p>
      <w:pPr>
        <w:pStyle w:val="Indenta"/>
      </w:pPr>
      <w:r>
        <w:tab/>
        <w:t>(b)</w:t>
      </w:r>
      <w:r>
        <w:tab/>
        <w:t>any further amount which, in the opinion of an actuary who prepares a benefit certificate in relation to the member, the scheme must provide if the individual superannuation guarantee shortfall for the member is to be nil.</w:t>
      </w:r>
    </w:p>
    <w:p>
      <w:pPr>
        <w:pStyle w:val="Subsection"/>
      </w:pPr>
      <w:r>
        <w:tab/>
        <w:t>(2)</w:t>
      </w:r>
      <w:r>
        <w:tab/>
        <w:t>The Tribunal may from time to time inquire into and determine an alternative basis for calculating the amount of the minimum benefits payable under the scheme having regard to the SG(A) Act, and the Board is to pay minimum benefits in accordance with any determination.</w:t>
      </w:r>
    </w:p>
    <w:p>
      <w:pPr>
        <w:pStyle w:val="Footnotesection"/>
      </w:pPr>
      <w:r>
        <w:tab/>
        <w:t>[Section 24 inserted by No. 34 of 2011 s. 13.]</w:t>
      </w:r>
    </w:p>
    <w:p>
      <w:pPr>
        <w:pStyle w:val="Heading2"/>
      </w:pPr>
      <w:bookmarkStart w:id="194" w:name="_Toc125257641"/>
      <w:bookmarkStart w:id="195" w:name="_Toc137009324"/>
      <w:bookmarkStart w:id="196" w:name="_Toc137021401"/>
      <w:bookmarkStart w:id="197" w:name="_Toc139707531"/>
      <w:bookmarkStart w:id="198" w:name="_Toc157928259"/>
      <w:bookmarkStart w:id="199" w:name="_Toc200335657"/>
      <w:bookmarkStart w:id="200" w:name="_Toc200335778"/>
      <w:bookmarkStart w:id="201" w:name="_Toc202167089"/>
      <w:bookmarkStart w:id="202" w:name="_Toc202167174"/>
      <w:bookmarkStart w:id="203" w:name="_Toc202167372"/>
      <w:bookmarkStart w:id="204" w:name="_Toc203368206"/>
      <w:bookmarkStart w:id="205" w:name="_Toc268184066"/>
      <w:bookmarkStart w:id="206" w:name="_Toc268680285"/>
      <w:bookmarkStart w:id="207" w:name="_Toc268680328"/>
      <w:bookmarkStart w:id="208" w:name="_Toc272241153"/>
      <w:bookmarkStart w:id="209" w:name="_Toc272241198"/>
      <w:bookmarkStart w:id="210" w:name="_Toc307897117"/>
      <w:bookmarkStart w:id="211" w:name="_Toc308159868"/>
      <w:bookmarkEnd w:id="191"/>
      <w:bookmarkEnd w:id="192"/>
      <w:bookmarkEnd w:id="193"/>
      <w:r>
        <w:rPr>
          <w:rStyle w:val="CharPartNo"/>
        </w:rPr>
        <w:t>Part V</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5"/>
        <w:rPr>
          <w:snapToGrid w:val="0"/>
        </w:rPr>
      </w:pPr>
      <w:bookmarkStart w:id="212" w:name="_Toc7237095"/>
      <w:bookmarkStart w:id="213" w:name="_Toc38858474"/>
      <w:bookmarkStart w:id="214" w:name="_Toc125257642"/>
      <w:bookmarkStart w:id="215" w:name="_Toc308159869"/>
      <w:r>
        <w:rPr>
          <w:rStyle w:val="CharSectno"/>
        </w:rPr>
        <w:t>25</w:t>
      </w:r>
      <w:r>
        <w:rPr>
          <w:snapToGrid w:val="0"/>
        </w:rPr>
        <w:t>.</w:t>
      </w:r>
      <w:r>
        <w:rPr>
          <w:snapToGrid w:val="0"/>
        </w:rPr>
        <w:tab/>
        <w:t>Pensions payable fortnightly etc</w:t>
      </w:r>
      <w:bookmarkEnd w:id="212"/>
      <w:r>
        <w:rPr>
          <w:snapToGrid w:val="0"/>
        </w:rPr>
        <w:t>.</w:t>
      </w:r>
      <w:bookmarkEnd w:id="213"/>
      <w:bookmarkEnd w:id="214"/>
      <w:bookmarkEnd w:id="215"/>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216" w:name="_Toc7237096"/>
      <w:bookmarkStart w:id="217" w:name="_Toc38858475"/>
      <w:bookmarkStart w:id="218" w:name="_Toc125257643"/>
      <w:bookmarkStart w:id="219" w:name="_Toc308159870"/>
      <w:r>
        <w:rPr>
          <w:rStyle w:val="CharSectno"/>
        </w:rPr>
        <w:t>26</w:t>
      </w:r>
      <w:r>
        <w:rPr>
          <w:snapToGrid w:val="0"/>
        </w:rPr>
        <w:t>.</w:t>
      </w:r>
      <w:r>
        <w:rPr>
          <w:snapToGrid w:val="0"/>
        </w:rPr>
        <w:tab/>
        <w:t xml:space="preserve">Payments to be made from </w:t>
      </w:r>
      <w:bookmarkEnd w:id="216"/>
      <w:bookmarkEnd w:id="217"/>
      <w:bookmarkEnd w:id="218"/>
      <w:r>
        <w:rPr>
          <w:snapToGrid w:val="0"/>
        </w:rPr>
        <w:t>Consolidated Account</w:t>
      </w:r>
      <w:bookmarkEnd w:id="219"/>
    </w:p>
    <w:p>
      <w:pPr>
        <w:pStyle w:val="Subsection"/>
        <w:keepNext/>
        <w:rPr>
          <w:snapToGrid w:val="0"/>
        </w:rPr>
      </w:pPr>
      <w:r>
        <w:rPr>
          <w:snapToGrid w:val="0"/>
        </w:rPr>
        <w:tab/>
      </w:r>
      <w:r>
        <w:rPr>
          <w:snapToGrid w:val="0"/>
        </w:rPr>
        <w:tab/>
        <w:t>There shall be charged to the Consolidated Account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 xml:space="preserve">[Section 26 inserted by No. 31 of 1989 s. 13; amended by No. 6 of 1993 s. 11; No. 49 of 1996 s. 64; No. 77 of 2006 s. 4.] </w:t>
      </w:r>
    </w:p>
    <w:p>
      <w:pPr>
        <w:pStyle w:val="Heading5"/>
        <w:rPr>
          <w:snapToGrid w:val="0"/>
        </w:rPr>
      </w:pPr>
      <w:bookmarkStart w:id="220" w:name="_Toc7237097"/>
      <w:bookmarkStart w:id="221" w:name="_Toc38858476"/>
      <w:bookmarkStart w:id="222" w:name="_Toc125257644"/>
      <w:bookmarkStart w:id="223" w:name="_Toc308159871"/>
      <w:r>
        <w:rPr>
          <w:rStyle w:val="CharSectno"/>
        </w:rPr>
        <w:t>27</w:t>
      </w:r>
      <w:r>
        <w:rPr>
          <w:snapToGrid w:val="0"/>
        </w:rPr>
        <w:t>.</w:t>
      </w:r>
      <w:r>
        <w:rPr>
          <w:snapToGrid w:val="0"/>
        </w:rPr>
        <w:tab/>
        <w:t>Actuarial investigation</w:t>
      </w:r>
      <w:bookmarkEnd w:id="220"/>
      <w:bookmarkEnd w:id="221"/>
      <w:bookmarkEnd w:id="222"/>
      <w:bookmarkEnd w:id="223"/>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No. 77 of 2006 s. 4.] </w:t>
      </w:r>
    </w:p>
    <w:p>
      <w:pPr>
        <w:pStyle w:val="Heading5"/>
      </w:pPr>
      <w:bookmarkStart w:id="224" w:name="_Toc7237098"/>
      <w:bookmarkStart w:id="225" w:name="_Toc38858477"/>
      <w:bookmarkStart w:id="226" w:name="_Toc125257645"/>
      <w:bookmarkStart w:id="227" w:name="_Toc308159872"/>
      <w:r>
        <w:rPr>
          <w:rStyle w:val="CharSectno"/>
        </w:rPr>
        <w:t>28</w:t>
      </w:r>
      <w:r>
        <w:t>.</w:t>
      </w:r>
      <w:r>
        <w:tab/>
        <w:t>Tribunal may change the scheme</w:t>
      </w:r>
      <w:bookmarkEnd w:id="224"/>
      <w:bookmarkEnd w:id="225"/>
      <w:bookmarkEnd w:id="226"/>
      <w:bookmarkEnd w:id="227"/>
    </w:p>
    <w:p>
      <w:pPr>
        <w:pStyle w:val="Subsection"/>
      </w:pPr>
      <w:r>
        <w:tab/>
        <w:t>(1)</w:t>
      </w:r>
      <w:r>
        <w:tab/>
        <w:t xml:space="preserve">In this section — </w:t>
      </w:r>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 xml:space="preserve">Subsection (4) does not prevent the making of a determination that reduces or provides for the reduction of any benefits to which a member or former member is or will become entitled if — </w:t>
      </w:r>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 by No. 37 of 2000 s. 17; amended by No. 18 of 2006 s. 4.]</w:t>
      </w:r>
    </w:p>
    <w:p>
      <w:pPr>
        <w:pStyle w:val="Heading5"/>
      </w:pPr>
      <w:bookmarkStart w:id="228" w:name="_Toc7237099"/>
      <w:bookmarkStart w:id="229" w:name="_Toc38858478"/>
      <w:bookmarkStart w:id="230" w:name="_Toc125257646"/>
      <w:bookmarkStart w:id="231" w:name="_Toc308159873"/>
      <w:r>
        <w:rPr>
          <w:rStyle w:val="CharSectno"/>
        </w:rPr>
        <w:t>29</w:t>
      </w:r>
      <w:r>
        <w:t>.</w:t>
      </w:r>
      <w:r>
        <w:tab/>
        <w:t>State contributions for MPs who are not participants in the scheme</w:t>
      </w:r>
      <w:bookmarkEnd w:id="228"/>
      <w:bookmarkEnd w:id="229"/>
      <w:bookmarkEnd w:id="230"/>
      <w:bookmarkEnd w:id="231"/>
    </w:p>
    <w:p>
      <w:pPr>
        <w:pStyle w:val="Subsection"/>
      </w:pPr>
      <w:r>
        <w:tab/>
        <w:t>(1)</w:t>
      </w:r>
      <w:r>
        <w:tab/>
        <w:t xml:space="preserve">In this section — </w:t>
      </w:r>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during the period beginning on 10 October 2000 and ending on 30 June 2001 elected to cease participating in the scheme.</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 by No. 37 of 2000 s. 18; amended by No. 77 of 2006 s. 4; No. 34 of 2011 s. 14.]</w:t>
      </w:r>
    </w:p>
    <w:p>
      <w:pPr>
        <w:pStyle w:val="Heading5"/>
        <w:rPr>
          <w:snapToGrid w:val="0"/>
        </w:rPr>
      </w:pPr>
      <w:bookmarkStart w:id="232" w:name="_Toc7237100"/>
      <w:bookmarkStart w:id="233" w:name="_Toc38858479"/>
      <w:bookmarkStart w:id="234" w:name="_Toc125257647"/>
      <w:bookmarkStart w:id="235" w:name="_Toc308159874"/>
      <w:r>
        <w:rPr>
          <w:rStyle w:val="CharSectno"/>
        </w:rPr>
        <w:t>30</w:t>
      </w:r>
      <w:r>
        <w:rPr>
          <w:snapToGrid w:val="0"/>
        </w:rPr>
        <w:t>.</w:t>
      </w:r>
      <w:r>
        <w:rPr>
          <w:snapToGrid w:val="0"/>
        </w:rPr>
        <w:tab/>
        <w:t>Pensions etc. not assignable etc</w:t>
      </w:r>
      <w:bookmarkEnd w:id="232"/>
      <w:r>
        <w:rPr>
          <w:snapToGrid w:val="0"/>
        </w:rPr>
        <w:t>.</w:t>
      </w:r>
      <w:bookmarkEnd w:id="233"/>
      <w:bookmarkEnd w:id="234"/>
      <w:bookmarkEnd w:id="235"/>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w:t>
      </w:r>
      <w:r>
        <w:t xml:space="preserve"> the spouse or de facto partner of the member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w:t>
      </w:r>
      <w:r>
        <w:t>or the spouse or de facto partner or children of the member or former member</w:t>
      </w:r>
      <w:r>
        <w:rPr>
          <w:snapToGrid w:val="0"/>
        </w:rPr>
        <w:t>, and the pensions, benefits and payments payable under this Act shall be personal to the member or former member as the case may be and to the spouse</w:t>
      </w:r>
      <w:r>
        <w:t xml:space="preserv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No. 34 of 2011 s. 15.] </w:t>
      </w:r>
    </w:p>
    <w:p>
      <w:pPr>
        <w:pStyle w:val="Heading5"/>
        <w:rPr>
          <w:snapToGrid w:val="0"/>
        </w:rPr>
      </w:pPr>
      <w:bookmarkStart w:id="236" w:name="_Toc7237101"/>
      <w:bookmarkStart w:id="237" w:name="_Toc38858480"/>
      <w:bookmarkStart w:id="238" w:name="_Toc125257648"/>
      <w:bookmarkStart w:id="239" w:name="_Toc308159875"/>
      <w:r>
        <w:rPr>
          <w:rStyle w:val="CharSectno"/>
        </w:rPr>
        <w:t>31</w:t>
      </w:r>
      <w:r>
        <w:rPr>
          <w:snapToGrid w:val="0"/>
        </w:rPr>
        <w:t>.</w:t>
      </w:r>
      <w:r>
        <w:rPr>
          <w:snapToGrid w:val="0"/>
        </w:rPr>
        <w:tab/>
        <w:t>Regulations</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240" w:name="_Toc38858481"/>
      <w:bookmarkStart w:id="241" w:name="_Toc125257649"/>
      <w:bookmarkStart w:id="242" w:name="_Toc137009332"/>
      <w:bookmarkStart w:id="243" w:name="_Toc137021409"/>
      <w:bookmarkStart w:id="244" w:name="_Toc139707539"/>
      <w:bookmarkStart w:id="245" w:name="_Toc157928267"/>
      <w:bookmarkStart w:id="246" w:name="_Toc200335665"/>
      <w:bookmarkStart w:id="247" w:name="_Toc200335786"/>
      <w:bookmarkStart w:id="248" w:name="_Toc202167097"/>
      <w:bookmarkStart w:id="249" w:name="_Toc202167182"/>
      <w:bookmarkStart w:id="250" w:name="_Toc202167380"/>
      <w:bookmarkStart w:id="251" w:name="_Toc203368214"/>
      <w:bookmarkStart w:id="252" w:name="_Toc268184074"/>
      <w:bookmarkStart w:id="253" w:name="_Toc268680293"/>
      <w:bookmarkStart w:id="254" w:name="_Toc268680336"/>
      <w:bookmarkStart w:id="255" w:name="_Toc272241161"/>
      <w:bookmarkStart w:id="256" w:name="_Toc272241206"/>
      <w:bookmarkStart w:id="257" w:name="_Toc307897125"/>
      <w:bookmarkStart w:id="258" w:name="_Toc308159876"/>
      <w:r>
        <w:rPr>
          <w:rStyle w:val="CharSchNo"/>
        </w:rPr>
        <w:t>Schedule</w:t>
      </w:r>
      <w:bookmarkEnd w:id="240"/>
      <w:bookmarkEnd w:id="241"/>
      <w:bookmarkEnd w:id="242"/>
      <w:bookmarkEnd w:id="243"/>
      <w:bookmarkEnd w:id="244"/>
      <w:bookmarkEnd w:id="245"/>
      <w:bookmarkEnd w:id="246"/>
      <w:bookmarkEnd w:id="247"/>
      <w:bookmarkEnd w:id="248"/>
      <w:bookmarkEnd w:id="249"/>
      <w:bookmarkEnd w:id="250"/>
      <w:bookmarkEnd w:id="251"/>
      <w:r>
        <w:t> — </w:t>
      </w:r>
      <w:r>
        <w:rPr>
          <w:rStyle w:val="CharSchText"/>
        </w:rPr>
        <w:t>Title of Act</w:t>
      </w:r>
      <w:bookmarkEnd w:id="252"/>
      <w:bookmarkEnd w:id="253"/>
      <w:bookmarkEnd w:id="254"/>
      <w:bookmarkEnd w:id="255"/>
      <w:bookmarkEnd w:id="256"/>
      <w:bookmarkEnd w:id="257"/>
      <w:bookmarkEnd w:id="258"/>
    </w:p>
    <w:p>
      <w:pPr>
        <w:pStyle w:val="yShoulderClause"/>
      </w:pPr>
      <w:r>
        <w:t>[s. 4]</w:t>
      </w:r>
    </w:p>
    <w:p>
      <w:pPr>
        <w:pStyle w:val="yFootnoteheading"/>
        <w:rPr>
          <w:i w:val="0"/>
          <w:iCs/>
          <w:snapToGrid w:val="0"/>
          <w:u w:val="words"/>
        </w:rPr>
      </w:pPr>
      <w:r>
        <w:tab/>
        <w:t>[Heading amended by No. 19 of 2010 s. 4.]</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259" w:name="_Toc125257650"/>
      <w:bookmarkStart w:id="260" w:name="_Toc137009333"/>
      <w:bookmarkStart w:id="261" w:name="_Toc137021410"/>
      <w:bookmarkStart w:id="262" w:name="_Toc139707540"/>
      <w:bookmarkStart w:id="263" w:name="_Toc157928268"/>
      <w:bookmarkStart w:id="264" w:name="_Toc200335666"/>
      <w:bookmarkStart w:id="265" w:name="_Toc200335787"/>
      <w:bookmarkStart w:id="266" w:name="_Toc202167098"/>
      <w:bookmarkStart w:id="267" w:name="_Toc202167183"/>
      <w:bookmarkStart w:id="268" w:name="_Toc202167381"/>
      <w:bookmarkStart w:id="269" w:name="_Toc203368215"/>
      <w:bookmarkStart w:id="270" w:name="_Toc268184075"/>
      <w:bookmarkStart w:id="271" w:name="_Toc268680294"/>
      <w:bookmarkStart w:id="272" w:name="_Toc268680337"/>
      <w:bookmarkStart w:id="273" w:name="_Toc272241162"/>
      <w:bookmarkStart w:id="274" w:name="_Toc272241207"/>
      <w:bookmarkStart w:id="275" w:name="_Toc307897126"/>
      <w:bookmarkStart w:id="276" w:name="_Toc308159877"/>
      <w:r>
        <w:t>Notes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7" w:name="_Toc308159878"/>
      <w:r>
        <w:rPr>
          <w:snapToGrid w:val="0"/>
        </w:rPr>
        <w:t>Compilation table</w:t>
      </w:r>
      <w:bookmarkEnd w:id="277"/>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51"/>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Parliamentary Superannuation Act 1970</w:t>
            </w:r>
          </w:p>
        </w:tc>
        <w:tc>
          <w:tcPr>
            <w:tcW w:w="1134" w:type="dxa"/>
            <w:gridSpan w:val="2"/>
          </w:tcPr>
          <w:p>
            <w:pPr>
              <w:pStyle w:val="nTable"/>
              <w:spacing w:after="40"/>
              <w:rPr>
                <w:sz w:val="19"/>
              </w:rPr>
            </w:pPr>
            <w:r>
              <w:rPr>
                <w:sz w:val="19"/>
              </w:rPr>
              <w:t>36 of 1970</w:t>
            </w:r>
          </w:p>
        </w:tc>
        <w:tc>
          <w:tcPr>
            <w:tcW w:w="1134" w:type="dxa"/>
            <w:gridSpan w:val="2"/>
          </w:tcPr>
          <w:p>
            <w:pPr>
              <w:pStyle w:val="nTable"/>
              <w:spacing w:after="40"/>
              <w:rPr>
                <w:sz w:val="19"/>
              </w:rPr>
            </w:pPr>
            <w:r>
              <w:rPr>
                <w:sz w:val="19"/>
              </w:rPr>
              <w:t>27 May 1970</w:t>
            </w:r>
          </w:p>
        </w:tc>
        <w:tc>
          <w:tcPr>
            <w:tcW w:w="2551" w:type="dxa"/>
          </w:tcPr>
          <w:p>
            <w:pPr>
              <w:pStyle w:val="nTable"/>
              <w:spacing w:after="40"/>
              <w:rPr>
                <w:sz w:val="19"/>
              </w:rPr>
            </w:pPr>
            <w:r>
              <w:rPr>
                <w:sz w:val="19"/>
              </w:rPr>
              <w:t>Pt. IV: 1 Jan 1970 (see s. 2(2));</w:t>
            </w:r>
            <w:r>
              <w:rPr>
                <w:sz w:val="19"/>
              </w:rPr>
              <w:br/>
              <w:t>Act other than Pt. IV: 27 May 1970 (see s. 2(1))</w:t>
            </w:r>
          </w:p>
        </w:tc>
      </w:tr>
      <w:tr>
        <w:tc>
          <w:tcPr>
            <w:tcW w:w="2268" w:type="dxa"/>
            <w:gridSpan w:val="2"/>
          </w:tcPr>
          <w:p>
            <w:pPr>
              <w:pStyle w:val="nTable"/>
              <w:spacing w:after="40"/>
              <w:rPr>
                <w:sz w:val="19"/>
              </w:rPr>
            </w:pPr>
            <w:r>
              <w:rPr>
                <w:i/>
                <w:sz w:val="19"/>
              </w:rPr>
              <w:t>Parliamentary Superannuation Act Amendment Act 1971</w:t>
            </w:r>
          </w:p>
        </w:tc>
        <w:tc>
          <w:tcPr>
            <w:tcW w:w="1134" w:type="dxa"/>
            <w:gridSpan w:val="2"/>
          </w:tcPr>
          <w:p>
            <w:pPr>
              <w:pStyle w:val="nTable"/>
              <w:spacing w:after="40"/>
              <w:rPr>
                <w:sz w:val="19"/>
              </w:rPr>
            </w:pPr>
            <w:r>
              <w:rPr>
                <w:sz w:val="19"/>
              </w:rPr>
              <w:t>22 of 1971</w:t>
            </w:r>
          </w:p>
        </w:tc>
        <w:tc>
          <w:tcPr>
            <w:tcW w:w="1134" w:type="dxa"/>
            <w:gridSpan w:val="2"/>
          </w:tcPr>
          <w:p>
            <w:pPr>
              <w:pStyle w:val="nTable"/>
              <w:spacing w:after="40"/>
              <w:rPr>
                <w:sz w:val="19"/>
              </w:rPr>
            </w:pPr>
            <w:r>
              <w:rPr>
                <w:sz w:val="19"/>
              </w:rPr>
              <w:t>1 Dec 1971</w:t>
            </w:r>
          </w:p>
        </w:tc>
        <w:tc>
          <w:tcPr>
            <w:tcW w:w="2551" w:type="dxa"/>
          </w:tcPr>
          <w:p>
            <w:pPr>
              <w:pStyle w:val="nTable"/>
              <w:spacing w:after="40"/>
              <w:rPr>
                <w:sz w:val="19"/>
              </w:rPr>
            </w:pPr>
            <w:r>
              <w:rPr>
                <w:sz w:val="19"/>
              </w:rPr>
              <w:t>30 Dec 1970 (see s. 2)</w:t>
            </w:r>
          </w:p>
        </w:tc>
      </w:tr>
      <w:tr>
        <w:tc>
          <w:tcPr>
            <w:tcW w:w="2268" w:type="dxa"/>
            <w:gridSpan w:val="2"/>
          </w:tcPr>
          <w:p>
            <w:pPr>
              <w:pStyle w:val="nTable"/>
              <w:spacing w:after="40"/>
              <w:rPr>
                <w:sz w:val="19"/>
              </w:rPr>
            </w:pPr>
            <w:r>
              <w:rPr>
                <w:i/>
                <w:sz w:val="19"/>
              </w:rPr>
              <w:t>Parliamentary Superannuation Act Amendment Act 1975</w:t>
            </w:r>
          </w:p>
        </w:tc>
        <w:tc>
          <w:tcPr>
            <w:tcW w:w="1134" w:type="dxa"/>
            <w:gridSpan w:val="2"/>
          </w:tcPr>
          <w:p>
            <w:pPr>
              <w:pStyle w:val="nTable"/>
              <w:spacing w:after="40"/>
              <w:rPr>
                <w:sz w:val="19"/>
              </w:rPr>
            </w:pPr>
            <w:r>
              <w:rPr>
                <w:sz w:val="19"/>
              </w:rPr>
              <w:t>94 of 1975</w:t>
            </w:r>
          </w:p>
        </w:tc>
        <w:tc>
          <w:tcPr>
            <w:tcW w:w="1134" w:type="dxa"/>
            <w:gridSpan w:val="2"/>
          </w:tcPr>
          <w:p>
            <w:pPr>
              <w:pStyle w:val="nTable"/>
              <w:spacing w:after="40"/>
              <w:rPr>
                <w:sz w:val="19"/>
              </w:rPr>
            </w:pPr>
            <w:r>
              <w:rPr>
                <w:sz w:val="19"/>
              </w:rPr>
              <w:t>20 Nov 1975</w:t>
            </w:r>
          </w:p>
        </w:tc>
        <w:tc>
          <w:tcPr>
            <w:tcW w:w="2551" w:type="dxa"/>
          </w:tcPr>
          <w:p>
            <w:pPr>
              <w:pStyle w:val="nTable"/>
              <w:spacing w:after="40"/>
              <w:rPr>
                <w:sz w:val="19"/>
              </w:rPr>
            </w:pPr>
            <w:r>
              <w:rPr>
                <w:sz w:val="19"/>
              </w:rPr>
              <w:t xml:space="preserve">Act other than s. 4 and 5: 20 Nov 1975 (see s. 2(1)); </w:t>
            </w:r>
            <w:r>
              <w:rPr>
                <w:sz w:val="19"/>
              </w:rPr>
              <w:br/>
              <w:t xml:space="preserve">s. 4 and 5: 1 Jan 1976 (see s. 2(2)) </w:t>
            </w:r>
          </w:p>
        </w:tc>
      </w:tr>
      <w:tr>
        <w:tc>
          <w:tcPr>
            <w:tcW w:w="2268" w:type="dxa"/>
            <w:gridSpan w:val="2"/>
          </w:tcPr>
          <w:p>
            <w:pPr>
              <w:pStyle w:val="nTable"/>
              <w:spacing w:after="40"/>
              <w:rPr>
                <w:sz w:val="19"/>
              </w:rPr>
            </w:pPr>
            <w:r>
              <w:rPr>
                <w:i/>
                <w:sz w:val="19"/>
              </w:rPr>
              <w:t>Parliamentary Superannuation Act Amendment Act 1976</w:t>
            </w:r>
          </w:p>
        </w:tc>
        <w:tc>
          <w:tcPr>
            <w:tcW w:w="1134" w:type="dxa"/>
            <w:gridSpan w:val="2"/>
          </w:tcPr>
          <w:p>
            <w:pPr>
              <w:pStyle w:val="nTable"/>
              <w:spacing w:after="40"/>
              <w:rPr>
                <w:sz w:val="19"/>
              </w:rPr>
            </w:pPr>
            <w:r>
              <w:rPr>
                <w:sz w:val="19"/>
              </w:rPr>
              <w:t>115 of 1976</w:t>
            </w:r>
          </w:p>
        </w:tc>
        <w:tc>
          <w:tcPr>
            <w:tcW w:w="1134" w:type="dxa"/>
            <w:gridSpan w:val="2"/>
          </w:tcPr>
          <w:p>
            <w:pPr>
              <w:pStyle w:val="nTable"/>
              <w:spacing w:after="40"/>
              <w:rPr>
                <w:sz w:val="19"/>
              </w:rPr>
            </w:pPr>
            <w:r>
              <w:rPr>
                <w:sz w:val="19"/>
              </w:rPr>
              <w:t>1 Dec 1976</w:t>
            </w:r>
          </w:p>
        </w:tc>
        <w:tc>
          <w:tcPr>
            <w:tcW w:w="2551" w:type="dxa"/>
          </w:tcPr>
          <w:p>
            <w:pPr>
              <w:pStyle w:val="nTable"/>
              <w:spacing w:after="40"/>
              <w:rPr>
                <w:sz w:val="19"/>
              </w:rPr>
            </w:pPr>
            <w:r>
              <w:rPr>
                <w:sz w:val="19"/>
              </w:rPr>
              <w:t>1 Jan 1977 (see s. 2)</w:t>
            </w:r>
          </w:p>
        </w:tc>
      </w:tr>
      <w:tr>
        <w:tc>
          <w:tcPr>
            <w:tcW w:w="2268" w:type="dxa"/>
            <w:gridSpan w:val="2"/>
          </w:tcPr>
          <w:p>
            <w:pPr>
              <w:pStyle w:val="nTable"/>
              <w:spacing w:after="40"/>
              <w:rPr>
                <w:sz w:val="19"/>
              </w:rPr>
            </w:pPr>
            <w:r>
              <w:rPr>
                <w:i/>
                <w:sz w:val="19"/>
              </w:rPr>
              <w:t>Parliamentary Superannuation Amendment Act 1980</w:t>
            </w:r>
          </w:p>
        </w:tc>
        <w:tc>
          <w:tcPr>
            <w:tcW w:w="1134" w:type="dxa"/>
            <w:gridSpan w:val="2"/>
          </w:tcPr>
          <w:p>
            <w:pPr>
              <w:pStyle w:val="nTable"/>
              <w:spacing w:after="40"/>
              <w:rPr>
                <w:sz w:val="19"/>
              </w:rPr>
            </w:pPr>
            <w:r>
              <w:rPr>
                <w:sz w:val="19"/>
              </w:rPr>
              <w:t>54 of 1980</w:t>
            </w:r>
          </w:p>
        </w:tc>
        <w:tc>
          <w:tcPr>
            <w:tcW w:w="1134" w:type="dxa"/>
            <w:gridSpan w:val="2"/>
          </w:tcPr>
          <w:p>
            <w:pPr>
              <w:pStyle w:val="nTable"/>
              <w:spacing w:after="40"/>
              <w:rPr>
                <w:sz w:val="19"/>
              </w:rPr>
            </w:pPr>
            <w:r>
              <w:rPr>
                <w:sz w:val="19"/>
              </w:rPr>
              <w:t>19 Nov 1980</w:t>
            </w:r>
          </w:p>
        </w:tc>
        <w:tc>
          <w:tcPr>
            <w:tcW w:w="2551" w:type="dxa"/>
          </w:tcPr>
          <w:p>
            <w:pPr>
              <w:pStyle w:val="nTable"/>
              <w:spacing w:after="40"/>
              <w:rPr>
                <w:sz w:val="19"/>
              </w:rPr>
            </w:pPr>
            <w:r>
              <w:rPr>
                <w:sz w:val="19"/>
              </w:rPr>
              <w:t xml:space="preserve">s. 6: 22 Feb 1980 (see s. 2(2)); </w:t>
            </w:r>
            <w:r>
              <w:rPr>
                <w:sz w:val="19"/>
              </w:rPr>
              <w:br/>
              <w:t>Act other than s. 6: 19 Nov 1980 (see s. 2(1))</w:t>
            </w:r>
          </w:p>
        </w:tc>
      </w:tr>
      <w:tr>
        <w:trPr>
          <w:cantSplit/>
        </w:trPr>
        <w:tc>
          <w:tcPr>
            <w:tcW w:w="7087" w:type="dxa"/>
            <w:gridSpan w:val="7"/>
          </w:tcPr>
          <w:p>
            <w:pPr>
              <w:pStyle w:val="nTable"/>
              <w:spacing w:after="40"/>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gridSpan w:val="2"/>
          </w:tcPr>
          <w:p>
            <w:pPr>
              <w:pStyle w:val="nTable"/>
              <w:spacing w:after="40"/>
              <w:rPr>
                <w:sz w:val="19"/>
                <w:vertAlign w:val="superscript"/>
              </w:rPr>
            </w:pPr>
            <w:r>
              <w:rPr>
                <w:i/>
                <w:sz w:val="19"/>
              </w:rPr>
              <w:t xml:space="preserve">Acts Amendment (Parliamentary Superannuation) Act 1986 </w:t>
            </w:r>
            <w:r>
              <w:rPr>
                <w:sz w:val="19"/>
              </w:rPr>
              <w:t>Pt. I </w:t>
            </w:r>
            <w:r>
              <w:rPr>
                <w:sz w:val="19"/>
                <w:vertAlign w:val="superscript"/>
              </w:rPr>
              <w:t>5, 6, 7, 8</w:t>
            </w:r>
          </w:p>
        </w:tc>
        <w:tc>
          <w:tcPr>
            <w:tcW w:w="1134" w:type="dxa"/>
            <w:gridSpan w:val="2"/>
          </w:tcPr>
          <w:p>
            <w:pPr>
              <w:pStyle w:val="nTable"/>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1" w:type="dxa"/>
          </w:tcPr>
          <w:p>
            <w:pPr>
              <w:pStyle w:val="nTable"/>
              <w:spacing w:after="40"/>
              <w:rPr>
                <w:sz w:val="19"/>
              </w:rPr>
            </w:pPr>
            <w:r>
              <w:rPr>
                <w:sz w:val="19"/>
              </w:rPr>
              <w:t>24 Dec 1986</w:t>
            </w:r>
          </w:p>
        </w:tc>
      </w:tr>
      <w:tr>
        <w:tc>
          <w:tcPr>
            <w:tcW w:w="2268" w:type="dxa"/>
            <w:gridSpan w:val="2"/>
          </w:tcPr>
          <w:p>
            <w:pPr>
              <w:pStyle w:val="nTable"/>
              <w:spacing w:after="40"/>
              <w:rPr>
                <w:sz w:val="19"/>
                <w:vertAlign w:val="superscript"/>
              </w:rPr>
            </w:pPr>
            <w:r>
              <w:rPr>
                <w:i/>
                <w:sz w:val="19"/>
              </w:rPr>
              <w:t>Acts Amendment (Parliamentary Superannuation) Act 1987</w:t>
            </w:r>
            <w:r>
              <w:rPr>
                <w:sz w:val="19"/>
              </w:rPr>
              <w:t xml:space="preserve"> Pt. 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c>
          <w:tcPr>
            <w:tcW w:w="2268" w:type="dxa"/>
            <w:gridSpan w:val="2"/>
          </w:tcPr>
          <w:p>
            <w:pPr>
              <w:pStyle w:val="nTable"/>
              <w:keepNext/>
              <w:keepLines/>
              <w:spacing w:after="40"/>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gridSpan w:val="2"/>
          </w:tcPr>
          <w:p>
            <w:pPr>
              <w:pStyle w:val="nTable"/>
              <w:keepNext/>
              <w:keepLines/>
              <w:spacing w:after="40"/>
              <w:rPr>
                <w:sz w:val="19"/>
              </w:rPr>
            </w:pPr>
            <w:r>
              <w:rPr>
                <w:sz w:val="19"/>
              </w:rPr>
              <w:t>6 of 1988</w:t>
            </w:r>
            <w:r>
              <w:rPr>
                <w:sz w:val="19"/>
              </w:rPr>
              <w:br/>
              <w:t>(as amended by No. 31 of 1989 s. 17)</w:t>
            </w:r>
          </w:p>
        </w:tc>
        <w:tc>
          <w:tcPr>
            <w:tcW w:w="1134" w:type="dxa"/>
            <w:gridSpan w:val="2"/>
          </w:tcPr>
          <w:p>
            <w:pPr>
              <w:pStyle w:val="nTable"/>
              <w:keepNext/>
              <w:keepLines/>
              <w:spacing w:after="40"/>
              <w:rPr>
                <w:sz w:val="19"/>
              </w:rPr>
            </w:pPr>
            <w:r>
              <w:rPr>
                <w:sz w:val="19"/>
              </w:rPr>
              <w:t>30 Jun 1988</w:t>
            </w:r>
          </w:p>
        </w:tc>
        <w:tc>
          <w:tcPr>
            <w:tcW w:w="2551" w:type="dxa"/>
          </w:tcPr>
          <w:p>
            <w:pPr>
              <w:pStyle w:val="nTable"/>
              <w:keepNext/>
              <w:keepLines/>
              <w:spacing w:after="40"/>
              <w:rPr>
                <w:sz w:val="19"/>
              </w:rPr>
            </w:pPr>
            <w:r>
              <w:rPr>
                <w:sz w:val="19"/>
              </w:rPr>
              <w:t>Act other than s. 5 and 6(b) and Pt. 4: 30 Jun 1988 (see s. 2(1));</w:t>
            </w:r>
            <w:r>
              <w:rPr>
                <w:sz w:val="19"/>
              </w:rPr>
              <w:br/>
              <w:t xml:space="preserve">s. 5 and 6(b) and Pt. 4: 22 May 1989 (see s. 2(2)) </w:t>
            </w:r>
          </w:p>
        </w:tc>
      </w:tr>
      <w:tr>
        <w:tc>
          <w:tcPr>
            <w:tcW w:w="2268" w:type="dxa"/>
            <w:gridSpan w:val="2"/>
          </w:tcPr>
          <w:p>
            <w:pPr>
              <w:pStyle w:val="nTable"/>
              <w:spacing w:after="40"/>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gridSpan w:val="2"/>
          </w:tcPr>
          <w:p>
            <w:pPr>
              <w:pStyle w:val="nTable"/>
              <w:keepNext/>
              <w:keepLines/>
              <w:spacing w:after="40"/>
              <w:rPr>
                <w:sz w:val="19"/>
              </w:rPr>
            </w:pPr>
            <w:r>
              <w:rPr>
                <w:sz w:val="19"/>
              </w:rPr>
              <w:t>31 of 1989</w:t>
            </w:r>
          </w:p>
        </w:tc>
        <w:tc>
          <w:tcPr>
            <w:tcW w:w="1134" w:type="dxa"/>
            <w:gridSpan w:val="2"/>
          </w:tcPr>
          <w:p>
            <w:pPr>
              <w:pStyle w:val="nTable"/>
              <w:keepNext/>
              <w:keepLines/>
              <w:spacing w:after="40"/>
              <w:rPr>
                <w:sz w:val="19"/>
              </w:rPr>
            </w:pPr>
            <w:r>
              <w:rPr>
                <w:sz w:val="19"/>
              </w:rPr>
              <w:t>15 Dec 1989</w:t>
            </w:r>
          </w:p>
        </w:tc>
        <w:tc>
          <w:tcPr>
            <w:tcW w:w="2551" w:type="dxa"/>
          </w:tcPr>
          <w:p>
            <w:pPr>
              <w:pStyle w:val="nTable"/>
              <w:keepNext/>
              <w:keepLines/>
              <w:spacing w:after="40"/>
              <w:rPr>
                <w:sz w:val="19"/>
              </w:rPr>
            </w:pPr>
            <w:r>
              <w:rPr>
                <w:sz w:val="19"/>
              </w:rPr>
              <w:t>15 Dec 1989 (see s. 2)</w:t>
            </w:r>
          </w:p>
        </w:tc>
      </w:tr>
      <w:tr>
        <w:trPr>
          <w:cantSplit/>
        </w:trPr>
        <w:tc>
          <w:tcPr>
            <w:tcW w:w="7087" w:type="dxa"/>
            <w:gridSpan w:val="7"/>
          </w:tcPr>
          <w:p>
            <w:pPr>
              <w:pStyle w:val="nTable"/>
              <w:spacing w:after="40"/>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gridSpan w:val="2"/>
          </w:tcPr>
          <w:p>
            <w:pPr>
              <w:pStyle w:val="nTable"/>
              <w:spacing w:after="4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gridSpan w:val="2"/>
          </w:tcPr>
          <w:p>
            <w:pPr>
              <w:pStyle w:val="nTable"/>
              <w:spacing w:after="40"/>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1" w:type="dxa"/>
          </w:tcPr>
          <w:p>
            <w:pPr>
              <w:pStyle w:val="nTable"/>
              <w:spacing w:after="40"/>
              <w:rPr>
                <w:sz w:val="19"/>
              </w:rPr>
            </w:pPr>
            <w:r>
              <w:rPr>
                <w:sz w:val="19"/>
              </w:rPr>
              <w:t>10 Oct 2000 (see s. 2)</w:t>
            </w:r>
          </w:p>
        </w:tc>
      </w:tr>
      <w:tr>
        <w:tc>
          <w:tcPr>
            <w:tcW w:w="2268" w:type="dxa"/>
            <w:gridSpan w:val="2"/>
          </w:tcPr>
          <w:p>
            <w:pPr>
              <w:pStyle w:val="nTable"/>
              <w:spacing w:after="40"/>
              <w:rPr>
                <w:i/>
                <w:sz w:val="19"/>
              </w:rPr>
            </w:pPr>
            <w:r>
              <w:rPr>
                <w:i/>
                <w:sz w:val="19"/>
              </w:rPr>
              <w:t xml:space="preserve">Acts Amendment (Lesbian and Gay Law Reform) Act 2002 </w:t>
            </w:r>
            <w:r>
              <w:rPr>
                <w:sz w:val="19"/>
              </w:rPr>
              <w:t>Pt. 17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7"/>
          </w:tcPr>
          <w:p>
            <w:pPr>
              <w:pStyle w:val="nTable"/>
              <w:spacing w:after="40"/>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r>
        <w:tc>
          <w:tcPr>
            <w:tcW w:w="2268" w:type="dxa"/>
            <w:gridSpan w:val="2"/>
          </w:tcPr>
          <w:p>
            <w:pPr>
              <w:pStyle w:val="nTable"/>
              <w:spacing w:after="40"/>
              <w:rPr>
                <w:sz w:val="19"/>
                <w:vertAlign w:val="superscript"/>
              </w:rPr>
            </w:pPr>
            <w:r>
              <w:rPr>
                <w:i/>
                <w:sz w:val="19"/>
              </w:rPr>
              <w:t>Superannuation Legislation Amendment and Validation Act 2006</w:t>
            </w:r>
            <w:r>
              <w:rPr>
                <w:sz w:val="19"/>
              </w:rPr>
              <w:t xml:space="preserve"> Pt. 2 </w:t>
            </w:r>
          </w:p>
        </w:tc>
        <w:tc>
          <w:tcPr>
            <w:tcW w:w="1134" w:type="dxa"/>
            <w:gridSpan w:val="2"/>
          </w:tcPr>
          <w:p>
            <w:pPr>
              <w:pStyle w:val="nTable"/>
              <w:spacing w:after="40"/>
              <w:rPr>
                <w:sz w:val="19"/>
              </w:rPr>
            </w:pPr>
            <w:r>
              <w:rPr>
                <w:sz w:val="19"/>
              </w:rPr>
              <w:t>18 of 2006</w:t>
            </w:r>
          </w:p>
        </w:tc>
        <w:tc>
          <w:tcPr>
            <w:tcW w:w="1134" w:type="dxa"/>
            <w:gridSpan w:val="2"/>
          </w:tcPr>
          <w:p>
            <w:pPr>
              <w:pStyle w:val="nTable"/>
              <w:spacing w:after="40"/>
              <w:rPr>
                <w:sz w:val="19"/>
              </w:rPr>
            </w:pPr>
            <w:r>
              <w:rPr>
                <w:sz w:val="19"/>
              </w:rPr>
              <w:t>31 May 2006</w:t>
            </w:r>
          </w:p>
        </w:tc>
        <w:tc>
          <w:tcPr>
            <w:tcW w:w="2551" w:type="dxa"/>
          </w:tcPr>
          <w:p>
            <w:pPr>
              <w:pStyle w:val="nTable"/>
              <w:spacing w:after="40"/>
              <w:rPr>
                <w:sz w:val="19"/>
              </w:rPr>
            </w:pPr>
            <w:r>
              <w:rPr>
                <w:sz w:val="19"/>
              </w:rPr>
              <w:t>31 May 2006 (see s. 2)</w:t>
            </w:r>
          </w:p>
        </w:tc>
      </w:tr>
      <w:tr>
        <w:tc>
          <w:tcPr>
            <w:tcW w:w="2268" w:type="dxa"/>
            <w:gridSpan w:val="2"/>
          </w:tcPr>
          <w:p>
            <w:pPr>
              <w:pStyle w:val="nTable"/>
              <w:spacing w:after="40"/>
              <w:rPr>
                <w:i/>
                <w:sz w:val="19"/>
              </w:rPr>
            </w:pPr>
            <w:r>
              <w:rPr>
                <w:i/>
                <w:snapToGrid w:val="0"/>
                <w:sz w:val="19"/>
                <w:lang w:val="en-US"/>
              </w:rPr>
              <w:t xml:space="preserve">Machinery of Government (Miscellaneous Amendments) Act 2006 </w:t>
            </w:r>
            <w:r>
              <w:rPr>
                <w:snapToGrid w:val="0"/>
                <w:sz w:val="19"/>
                <w:lang w:val="en-US"/>
              </w:rPr>
              <w:t>Pt. 17 Div. 7</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7"/>
          </w:tcPr>
          <w:p>
            <w:pPr>
              <w:pStyle w:val="nTable"/>
              <w:spacing w:after="40"/>
              <w:rPr>
                <w:snapToGrid w:val="0"/>
                <w:sz w:val="19"/>
                <w:lang w:val="en-US"/>
              </w:rPr>
            </w:pPr>
            <w:r>
              <w:rPr>
                <w:b/>
                <w:sz w:val="19"/>
              </w:rPr>
              <w:t xml:space="preserve">Reprint 4:  The </w:t>
            </w:r>
            <w:r>
              <w:rPr>
                <w:b/>
                <w:i/>
                <w:sz w:val="19"/>
              </w:rPr>
              <w:t>Parliamentary Superannuation Act 1970</w:t>
            </w:r>
            <w:r>
              <w:rPr>
                <w:b/>
                <w:sz w:val="19"/>
              </w:rPr>
              <w:t xml:space="preserve"> as at 4 Jul 2008 </w:t>
            </w:r>
            <w:r>
              <w:rPr>
                <w:sz w:val="19"/>
              </w:rPr>
              <w:t>(includes amendments listed above)</w:t>
            </w:r>
          </w:p>
        </w:tc>
      </w:tr>
      <w:tr>
        <w:trPr>
          <w:cantSplit/>
        </w:trPr>
        <w:tc>
          <w:tcPr>
            <w:tcW w:w="224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69"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5" w:type="dxa"/>
            <w:tcBorders>
              <w:bottom w:val="single" w:sz="4" w:space="0" w:color="auto"/>
            </w:tcBorders>
          </w:tcPr>
          <w:p>
            <w:pPr>
              <w:pStyle w:val="nTable"/>
              <w:spacing w:after="40"/>
              <w:ind w:right="113"/>
              <w:rPr>
                <w:i/>
                <w:snapToGrid w:val="0"/>
                <w:sz w:val="19"/>
                <w:lang w:val="en-US"/>
              </w:rPr>
            </w:pPr>
            <w:r>
              <w:rPr>
                <w:i/>
                <w:snapToGrid w:val="0"/>
                <w:sz w:val="19"/>
                <w:lang w:val="en-US"/>
              </w:rPr>
              <w:t>Parliamentary Superannuation Amendment Act 2011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 xml:space="preserve">34 of 2011 </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12 Sep 2011</w:t>
            </w:r>
          </w:p>
        </w:tc>
        <w:tc>
          <w:tcPr>
            <w:tcW w:w="2569" w:type="dxa"/>
            <w:gridSpan w:val="2"/>
            <w:tcBorders>
              <w:bottom w:val="single" w:sz="4" w:space="0" w:color="auto"/>
            </w:tcBorders>
          </w:tcPr>
          <w:p>
            <w:pPr>
              <w:pStyle w:val="nTable"/>
              <w:spacing w:after="40"/>
              <w:rPr>
                <w:snapToGrid w:val="0"/>
                <w:sz w:val="19"/>
                <w:lang w:val="en-US"/>
              </w:rPr>
            </w:pPr>
            <w:r>
              <w:rPr>
                <w:snapToGrid w:val="0"/>
                <w:spacing w:val="-2"/>
                <w:sz w:val="19"/>
                <w:lang w:val="en-US"/>
              </w:rPr>
              <w:t>s. 1 and 2: 12 Sep 2011 (see s. 2(a));</w:t>
            </w:r>
            <w:r>
              <w:rPr>
                <w:snapToGrid w:val="0"/>
                <w:spacing w:val="-2"/>
                <w:sz w:val="19"/>
                <w:lang w:val="en-US"/>
              </w:rPr>
              <w:br/>
              <w:t xml:space="preserve">Act other than s. 1 and 2: 2 Nov 2011 (see s. 2(b) and </w:t>
            </w:r>
            <w:r>
              <w:rPr>
                <w:i/>
                <w:snapToGrid w:val="0"/>
                <w:spacing w:val="-2"/>
                <w:sz w:val="19"/>
                <w:lang w:val="en-US"/>
              </w:rPr>
              <w:t>Gazette</w:t>
            </w:r>
            <w:r>
              <w:rPr>
                <w:snapToGrid w:val="0"/>
                <w:spacing w:val="-2"/>
                <w:sz w:val="19"/>
                <w:lang w:val="en-US"/>
              </w:rPr>
              <w:t xml:space="preserve"> 1 Nov 2011 p. 4593)</w:t>
            </w:r>
          </w:p>
        </w:tc>
      </w:tr>
    </w:tbl>
    <w:p>
      <w:pPr>
        <w:pStyle w:val="nSubsection"/>
        <w:spacing w:before="160"/>
        <w:rPr>
          <w:snapToGrid w:val="0"/>
        </w:rPr>
      </w:pPr>
      <w:r>
        <w:rPr>
          <w:snapToGrid w:val="0"/>
          <w:vertAlign w:val="superscript"/>
        </w:rPr>
        <w:t>2</w:t>
      </w:r>
      <w:r>
        <w:rPr>
          <w:snapToGrid w:val="0"/>
        </w:rPr>
        <w:tab/>
        <w:t>Repe</w:t>
      </w:r>
      <w:bookmarkStart w:id="278" w:name="UpToHere"/>
      <w:bookmarkEnd w:id="278"/>
      <w:r>
        <w:rPr>
          <w:snapToGrid w:val="0"/>
        </w:rPr>
        <w:t xml:space="preserv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spacing w:before="22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spacing w:before="22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79" w:name="_Toc200335789"/>
      <w:bookmarkStart w:id="280" w:name="_Toc202167100"/>
      <w:bookmarkStart w:id="281" w:name="_Toc202167185"/>
      <w:bookmarkStart w:id="282" w:name="_Toc202167383"/>
      <w:bookmarkStart w:id="283" w:name="_Toc203368217"/>
      <w:bookmarkStart w:id="284" w:name="_Toc268184077"/>
      <w:bookmarkStart w:id="285" w:name="_Toc268680296"/>
      <w:bookmarkStart w:id="286" w:name="_Toc268680339"/>
      <w:bookmarkStart w:id="287" w:name="_Toc272241164"/>
      <w:bookmarkStart w:id="288" w:name="_Toc272241209"/>
      <w:bookmarkStart w:id="289" w:name="_Toc307897128"/>
      <w:bookmarkStart w:id="290" w:name="_Toc308159879"/>
      <w:r>
        <w:rPr>
          <w:sz w:val="28"/>
        </w:rPr>
        <w:t>Defined Terms</w:t>
      </w:r>
      <w:bookmarkEnd w:id="279"/>
      <w:bookmarkEnd w:id="280"/>
      <w:bookmarkEnd w:id="281"/>
      <w:bookmarkEnd w:id="282"/>
      <w:bookmarkEnd w:id="283"/>
      <w:bookmarkEnd w:id="284"/>
      <w:bookmarkEnd w:id="285"/>
      <w:bookmarkEnd w:id="286"/>
      <w:bookmarkEnd w:id="287"/>
      <w:bookmarkEnd w:id="288"/>
      <w:bookmarkEnd w:id="289"/>
      <w:bookmarkEnd w:id="2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1" w:name="DefinedTerms"/>
      <w:bookmarkEnd w:id="291"/>
      <w:r>
        <w:t>actuary</w:t>
      </w:r>
      <w:r>
        <w:tab/>
        <w:t>27(2)</w:t>
      </w:r>
    </w:p>
    <w:p>
      <w:pPr>
        <w:pStyle w:val="DefinedTerms"/>
      </w:pPr>
      <w:r>
        <w:t>basic pension</w:t>
      </w:r>
      <w:r>
        <w:tab/>
        <w:t>13(1)</w:t>
      </w:r>
    </w:p>
    <w:p>
      <w:pPr>
        <w:pStyle w:val="DefinedTerms"/>
      </w:pPr>
      <w:r>
        <w:t>basic salary</w:t>
      </w:r>
      <w:r>
        <w:tab/>
        <w:t>5(1)</w:t>
      </w:r>
    </w:p>
    <w:p>
      <w:pPr>
        <w:pStyle w:val="DefinedTerms"/>
      </w:pPr>
      <w:r>
        <w:t>benefits</w:t>
      </w:r>
      <w:r>
        <w:tab/>
        <w:t>28(1)</w:t>
      </w:r>
    </w:p>
    <w:p>
      <w:pPr>
        <w:pStyle w:val="DefinedTerms"/>
      </w:pPr>
      <w:r>
        <w:t>benefit certificate</w:t>
      </w:r>
      <w:r>
        <w:tab/>
        <w:t>5</w:t>
      </w:r>
    </w:p>
    <w:p>
      <w:pPr>
        <w:pStyle w:val="DefinedTerms"/>
      </w:pPr>
      <w:r>
        <w:t>Board</w:t>
      </w:r>
      <w:r>
        <w:tab/>
        <w:t>5(1)</w:t>
      </w:r>
    </w:p>
    <w:p>
      <w:pPr>
        <w:pStyle w:val="DefinedTerms"/>
      </w:pPr>
      <w:r>
        <w:t>closing day</w:t>
      </w:r>
      <w:r>
        <w:tab/>
        <w:t>5(1)</w:t>
      </w:r>
    </w:p>
    <w:p>
      <w:pPr>
        <w:pStyle w:val="DefinedTerms"/>
      </w:pPr>
      <w:r>
        <w:t>complying superannuation fund</w:t>
      </w:r>
      <w:r>
        <w:tab/>
        <w:t>5</w:t>
      </w:r>
    </w:p>
    <w:p>
      <w:pPr>
        <w:pStyle w:val="DefinedTerms"/>
      </w:pPr>
      <w:r>
        <w:t>election</w:t>
      </w:r>
      <w:r>
        <w:tab/>
        <w:t>5(1)</w:t>
      </w:r>
    </w:p>
    <w:p>
      <w:pPr>
        <w:pStyle w:val="DefinedTerms"/>
      </w:pPr>
      <w:r>
        <w:t>eligible person</w:t>
      </w:r>
      <w:r>
        <w:tab/>
        <w:t>10(1)</w:t>
      </w:r>
    </w:p>
    <w:p>
      <w:pPr>
        <w:pStyle w:val="DefinedTerms"/>
      </w:pPr>
      <w:r>
        <w:t>flag lifting agreement</w:t>
      </w:r>
      <w:r>
        <w:tab/>
        <w:t>28(6)</w:t>
      </w:r>
    </w:p>
    <w:p>
      <w:pPr>
        <w:pStyle w:val="DefinedTerms"/>
      </w:pPr>
      <w:r>
        <w:t>Index</w:t>
      </w:r>
      <w:r>
        <w:tab/>
        <w:t>5(1)</w:t>
      </w:r>
    </w:p>
    <w:p>
      <w:pPr>
        <w:pStyle w:val="DefinedTerms"/>
      </w:pPr>
      <w:r>
        <w:t>individual superannuation guarantee shortfall</w:t>
      </w:r>
      <w:r>
        <w:tab/>
        <w:t>5</w:t>
      </w:r>
    </w:p>
    <w:p>
      <w:pPr>
        <w:pStyle w:val="DefinedTerms"/>
      </w:pPr>
      <w:r>
        <w:t>member</w:t>
      </w:r>
      <w:r>
        <w:tab/>
        <w:t>5(1)</w:t>
      </w:r>
    </w:p>
    <w:p>
      <w:pPr>
        <w:pStyle w:val="DefinedTerms"/>
      </w:pPr>
      <w:r>
        <w:t>non</w:t>
      </w:r>
      <w:r>
        <w:noBreakHyphen/>
        <w:t>participant</w:t>
      </w:r>
      <w:r>
        <w:tab/>
        <w:t>29(1)</w:t>
      </w:r>
    </w:p>
    <w:p>
      <w:pPr>
        <w:pStyle w:val="DefinedTerms"/>
      </w:pPr>
      <w:r>
        <w:t>pay day</w:t>
      </w:r>
      <w:r>
        <w:tab/>
        <w:t>5(1)</w:t>
      </w:r>
    </w:p>
    <w:p>
      <w:pPr>
        <w:pStyle w:val="DefinedTerms"/>
      </w:pPr>
      <w:r>
        <w:t>salary</w:t>
      </w:r>
      <w:r>
        <w:tab/>
        <w:t>5(1)</w:t>
      </w:r>
    </w:p>
    <w:p>
      <w:pPr>
        <w:pStyle w:val="DefinedTerms"/>
      </w:pPr>
      <w:r>
        <w:t>scheme</w:t>
      </w:r>
      <w:r>
        <w:tab/>
        <w:t>5(1)</w:t>
      </w:r>
    </w:p>
    <w:p>
      <w:pPr>
        <w:pStyle w:val="DefinedTerms"/>
      </w:pPr>
      <w:r>
        <w:t>set period</w:t>
      </w:r>
      <w:r>
        <w:tab/>
        <w:t>10(1)</w:t>
      </w:r>
    </w:p>
    <w:p>
      <w:pPr>
        <w:pStyle w:val="DefinedTerms"/>
      </w:pPr>
      <w:r>
        <w:t>SG(A) Act</w:t>
      </w:r>
      <w:r>
        <w:tab/>
        <w:t>5</w:t>
      </w:r>
    </w:p>
    <w:p>
      <w:pPr>
        <w:pStyle w:val="DefinedTerms"/>
      </w:pPr>
      <w:r>
        <w:t>specified</w:t>
      </w:r>
      <w:r>
        <w:tab/>
        <w:t>13(1)</w:t>
      </w:r>
    </w:p>
    <w:p>
      <w:pPr>
        <w:pStyle w:val="DefinedTerms"/>
      </w:pPr>
      <w:r>
        <w:t>splitting order</w:t>
      </w:r>
      <w:r>
        <w:tab/>
        <w:t>28(6)</w:t>
      </w:r>
    </w:p>
    <w:p>
      <w:pPr>
        <w:pStyle w:val="DefinedTerms"/>
      </w:pPr>
      <w:r>
        <w:t>spouse or de facto partner</w:t>
      </w:r>
      <w:r>
        <w:tab/>
        <w:t>5(1)</w:t>
      </w:r>
    </w:p>
    <w:p>
      <w:pPr>
        <w:pStyle w:val="DefinedTerms"/>
      </w:pPr>
      <w:r>
        <w:t>superannuation agreement</w:t>
      </w:r>
      <w:r>
        <w:tab/>
        <w:t>28(6)</w:t>
      </w:r>
    </w:p>
    <w:p>
      <w:pPr>
        <w:pStyle w:val="DefinedTerms"/>
      </w:pPr>
      <w:r>
        <w:t>termination benefits</w:t>
      </w:r>
      <w:r>
        <w:tab/>
        <w:t>10(3)(a)</w:t>
      </w:r>
    </w:p>
    <w:p>
      <w:pPr>
        <w:pStyle w:val="DefinedTerms"/>
      </w:pPr>
      <w:r>
        <w:t>the repealed Act</w:t>
      </w:r>
      <w:r>
        <w:tab/>
        <w:t>5(1)</w:t>
      </w:r>
    </w:p>
    <w:p>
      <w:pPr>
        <w:pStyle w:val="DefinedTerms"/>
      </w:pPr>
      <w:r>
        <w:t>the specified age</w:t>
      </w:r>
      <w:r>
        <w:tab/>
        <w:t>16(2a), 19B(3)</w:t>
      </w:r>
    </w:p>
    <w:p>
      <w:pPr>
        <w:pStyle w:val="DefinedTerms"/>
      </w:pPr>
      <w:r>
        <w:t>Tribunal</w:t>
      </w:r>
      <w:r>
        <w:tab/>
        <w:t>5(1)</w:t>
      </w:r>
    </w:p>
    <w:p>
      <w:pPr>
        <w:pStyle w:val="DefinedTerms"/>
      </w:pPr>
    </w:p>
    <w:p/>
    <w:p>
      <w:pPr>
        <w:jc w:val="center"/>
        <w:sectPr>
          <w:headerReference w:type="even" r:id="rId37"/>
          <w:headerReference w:type="default" r:id="rId38"/>
          <w:foot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Superannuation Act 1970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5078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9472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754150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3E22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32D8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A4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C8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EB6E7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182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D7A2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D34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B6EE7C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11751</Words>
  <Characters>54173</Characters>
  <Application>Microsoft Office Word</Application>
  <DocSecurity>0</DocSecurity>
  <Lines>1547</Lines>
  <Paragraphs>740</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1970 - 04-e0-04</dc:title>
  <dc:subject/>
  <dc:creator/>
  <cp:keywords/>
  <dc:description/>
  <cp:lastModifiedBy>svcMRProcess</cp:lastModifiedBy>
  <cp:revision>4</cp:revision>
  <cp:lastPrinted>2011-10-31T23:47:00Z</cp:lastPrinted>
  <dcterms:created xsi:type="dcterms:W3CDTF">2020-02-18T03:45:00Z</dcterms:created>
  <dcterms:modified xsi:type="dcterms:W3CDTF">2020-02-18T03:45:00Z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20111102</vt:lpwstr>
  </property>
  <property fmtid="{D5CDD505-2E9C-101B-9397-08002B2CF9AE}" pid="4" name="DocumentType">
    <vt:lpwstr>Act</vt:lpwstr>
  </property>
  <property fmtid="{D5CDD505-2E9C-101B-9397-08002B2CF9AE}" pid="5" name="OwlsUID">
    <vt:i4>575</vt:i4>
  </property>
  <property fmtid="{D5CDD505-2E9C-101B-9397-08002B2CF9AE}" pid="6" name="AsAtDate">
    <vt:lpwstr>02 Nov 2011</vt:lpwstr>
  </property>
  <property fmtid="{D5CDD505-2E9C-101B-9397-08002B2CF9AE}" pid="7" name="Suffix">
    <vt:lpwstr>04-e0-04</vt:lpwstr>
  </property>
  <property fmtid="{D5CDD505-2E9C-101B-9397-08002B2CF9AE}" pid="8" name="ReprintNo">
    <vt:lpwstr>4</vt:lpwstr>
  </property>
</Properties>
</file>