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Land Valuers Licensing Act 1978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October 2011</w:t>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Page1"/>
        <w:spacing w:before="160" w:after="840"/>
      </w:pPr>
      <w:r>
        <w:fldChar w:fldCharType="begin"/>
      </w:r>
      <w:r>
        <w:instrText xml:space="preserve"> STYLEREF "Name Of Act/Reg"</w:instrText>
      </w:r>
      <w:r>
        <w:fldChar w:fldCharType="separate"/>
      </w:r>
      <w:r>
        <w:rPr>
          <w:noProof/>
        </w:rPr>
        <w:t>Land Valuers Licensing Act 1978</w:t>
      </w:r>
      <w:r>
        <w:fldChar w:fldCharType="end"/>
      </w:r>
    </w:p>
    <w:p>
      <w:pPr>
        <w:pStyle w:val="Arrangement"/>
      </w:pPr>
      <w:r>
        <w:t>Contents</w:t>
      </w:r>
    </w:p>
    <w:p>
      <w:pPr>
        <w:pStyle w:val="TOC2"/>
        <w:tabs>
          <w:tab w:val="right" w:leader="dot" w:pos="7078"/>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_Toc378945311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_Toc378945312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_Toc378945313 \h </w:instrText>
      </w:r>
      <w:r>
        <w:fldChar w:fldCharType="separate"/>
      </w:r>
      <w:r>
        <w:t>2</w:t>
      </w:r>
      <w:r>
        <w:fldChar w:fldCharType="end"/>
      </w:r>
    </w:p>
    <w:p>
      <w:pPr>
        <w:pStyle w:val="TOC8"/>
        <w:rPr>
          <w:rFonts w:asciiTheme="minorHAnsi" w:eastAsiaTheme="minorEastAsia" w:hAnsiTheme="minorHAnsi" w:cstheme="minorBidi"/>
          <w:szCs w:val="22"/>
        </w:rPr>
      </w:pPr>
      <w:r>
        <w:t>15.</w:t>
      </w:r>
      <w:r>
        <w:tab/>
        <w:t>Powers of investigation</w:t>
      </w:r>
      <w:r>
        <w:tab/>
      </w:r>
      <w:r>
        <w:fldChar w:fldCharType="begin"/>
      </w:r>
      <w:r>
        <w:instrText xml:space="preserve"> PAGEREF _Toc378945314 \h </w:instrText>
      </w:r>
      <w:r>
        <w:fldChar w:fldCharType="separate"/>
      </w:r>
      <w:r>
        <w:t>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Application for review by SAT of certain decisions under Part III</w:t>
      </w:r>
      <w:r>
        <w:tab/>
      </w:r>
      <w:r>
        <w:fldChar w:fldCharType="begin"/>
      </w:r>
      <w:r>
        <w:instrText xml:space="preserve"> PAGEREF _Toc378945315 \h </w:instrText>
      </w:r>
      <w:r>
        <w:fldChar w:fldCharType="separate"/>
      </w:r>
      <w:r>
        <w:t>3</w:t>
      </w:r>
      <w:r>
        <w:fldChar w:fldCharType="end"/>
      </w:r>
    </w:p>
    <w:p>
      <w:pPr>
        <w:pStyle w:val="TOC2"/>
        <w:tabs>
          <w:tab w:val="right" w:leader="dot" w:pos="7078"/>
        </w:tabs>
        <w:rPr>
          <w:rFonts w:asciiTheme="minorHAnsi" w:eastAsiaTheme="minorEastAsia" w:hAnsiTheme="minorHAnsi" w:cstheme="minorBidi"/>
          <w:b w:val="0"/>
          <w:sz w:val="22"/>
          <w:szCs w:val="22"/>
        </w:rPr>
      </w:pPr>
      <w:r>
        <w:t>Part III — Licensing</w:t>
      </w:r>
    </w:p>
    <w:p>
      <w:pPr>
        <w:pStyle w:val="TOC8"/>
        <w:rPr>
          <w:rFonts w:asciiTheme="minorHAnsi" w:eastAsiaTheme="minorEastAsia" w:hAnsiTheme="minorHAnsi" w:cstheme="minorBidi"/>
          <w:szCs w:val="22"/>
        </w:rPr>
      </w:pPr>
      <w:r>
        <w:t>17</w:t>
      </w:r>
      <w:r>
        <w:rPr>
          <w:snapToGrid w:val="0"/>
        </w:rPr>
        <w:t>.</w:t>
      </w:r>
      <w:r>
        <w:rPr>
          <w:snapToGrid w:val="0"/>
        </w:rPr>
        <w:tab/>
        <w:t>Applications for licences</w:t>
      </w:r>
      <w:r>
        <w:tab/>
      </w:r>
      <w:r>
        <w:fldChar w:fldCharType="begin"/>
      </w:r>
      <w:r>
        <w:instrText xml:space="preserve"> PAGEREF _Toc378945317 \h </w:instrText>
      </w:r>
      <w:r>
        <w:fldChar w:fldCharType="separate"/>
      </w:r>
      <w:r>
        <w:t>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Objections to grants of licences</w:t>
      </w:r>
      <w:r>
        <w:tab/>
      </w:r>
      <w:r>
        <w:fldChar w:fldCharType="begin"/>
      </w:r>
      <w:r>
        <w:instrText xml:space="preserve"> PAGEREF _Toc378945318 \h </w:instrText>
      </w:r>
      <w:r>
        <w:fldChar w:fldCharType="separate"/>
      </w:r>
      <w:r>
        <w:t>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Grant of licence</w:t>
      </w:r>
      <w:r>
        <w:tab/>
      </w:r>
      <w:r>
        <w:fldChar w:fldCharType="begin"/>
      </w:r>
      <w:r>
        <w:instrText xml:space="preserve"> PAGEREF _Toc378945319 \h </w:instrText>
      </w:r>
      <w:r>
        <w:fldChar w:fldCharType="separate"/>
      </w:r>
      <w:r>
        <w:t>6</w:t>
      </w:r>
      <w:r>
        <w:fldChar w:fldCharType="end"/>
      </w:r>
    </w:p>
    <w:p>
      <w:pPr>
        <w:pStyle w:val="TOC8"/>
        <w:rPr>
          <w:rFonts w:asciiTheme="minorHAnsi" w:eastAsiaTheme="minorEastAsia" w:hAnsiTheme="minorHAnsi" w:cstheme="minorBidi"/>
          <w:szCs w:val="22"/>
        </w:rPr>
      </w:pPr>
      <w:r>
        <w:t>19A.</w:t>
      </w:r>
      <w:r>
        <w:tab/>
        <w:t>Unopposed applications</w:t>
      </w:r>
      <w:r>
        <w:tab/>
      </w:r>
      <w:r>
        <w:fldChar w:fldCharType="begin"/>
      </w:r>
      <w:r>
        <w:instrText xml:space="preserve"> PAGEREF _Toc378945320 \h </w:instrText>
      </w:r>
      <w:r>
        <w:fldChar w:fldCharType="separate"/>
      </w:r>
      <w:r>
        <w:t>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Fee for licences and oath by licensees</w:t>
      </w:r>
      <w:r>
        <w:tab/>
      </w:r>
      <w:r>
        <w:fldChar w:fldCharType="begin"/>
      </w:r>
      <w:r>
        <w:instrText xml:space="preserve"> PAGEREF _Toc378945321 \h </w:instrText>
      </w:r>
      <w:r>
        <w:fldChar w:fldCharType="separate"/>
      </w:r>
      <w:r>
        <w:t>7</w:t>
      </w:r>
      <w:r>
        <w:fldChar w:fldCharType="end"/>
      </w:r>
    </w:p>
    <w:p>
      <w:pPr>
        <w:pStyle w:val="TOC8"/>
        <w:rPr>
          <w:rFonts w:asciiTheme="minorHAnsi" w:eastAsiaTheme="minorEastAsia" w:hAnsiTheme="minorHAnsi" w:cstheme="minorBidi"/>
          <w:szCs w:val="22"/>
        </w:rPr>
      </w:pPr>
      <w:r>
        <w:t>20A.</w:t>
      </w:r>
      <w:r>
        <w:tab/>
        <w:t>SAT may suspend licence in some cases</w:t>
      </w:r>
      <w:r>
        <w:tab/>
      </w:r>
      <w:r>
        <w:fldChar w:fldCharType="begin"/>
      </w:r>
      <w:r>
        <w:instrText xml:space="preserve"> PAGEREF _Toc378945322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Expiry and surrender of licence</w:t>
      </w:r>
      <w:r>
        <w:tab/>
      </w:r>
      <w:r>
        <w:fldChar w:fldCharType="begin"/>
      </w:r>
      <w:r>
        <w:instrText xml:space="preserve"> PAGEREF _Toc378945323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Renewal of licence</w:t>
      </w:r>
      <w:r>
        <w:tab/>
      </w:r>
      <w:r>
        <w:fldChar w:fldCharType="begin"/>
      </w:r>
      <w:r>
        <w:instrText xml:space="preserve"> PAGEREF _Toc378945324 \h </w:instrText>
      </w:r>
      <w:r>
        <w:fldChar w:fldCharType="separate"/>
      </w:r>
      <w:r>
        <w:t>8</w:t>
      </w:r>
      <w:r>
        <w:fldChar w:fldCharType="end"/>
      </w:r>
    </w:p>
    <w:p>
      <w:pPr>
        <w:pStyle w:val="TOC2"/>
        <w:tabs>
          <w:tab w:val="right" w:leader="dot" w:pos="7078"/>
        </w:tabs>
        <w:rPr>
          <w:rFonts w:asciiTheme="minorHAnsi" w:eastAsiaTheme="minorEastAsia" w:hAnsiTheme="minorHAnsi" w:cstheme="minorBidi"/>
          <w:b w:val="0"/>
          <w:sz w:val="22"/>
          <w:szCs w:val="22"/>
        </w:rPr>
      </w:pPr>
      <w:r>
        <w:t>Part IV — Control of the practice of valuation</w:t>
      </w:r>
    </w:p>
    <w:p>
      <w:pPr>
        <w:pStyle w:val="TOC4"/>
        <w:tabs>
          <w:tab w:val="right" w:leader="dot" w:pos="7078"/>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23</w:t>
      </w:r>
      <w:r>
        <w:rPr>
          <w:snapToGrid w:val="0"/>
        </w:rPr>
        <w:t>.</w:t>
      </w:r>
      <w:r>
        <w:rPr>
          <w:snapToGrid w:val="0"/>
        </w:rPr>
        <w:tab/>
        <w:t>Valuers to be licensed</w:t>
      </w:r>
      <w:r>
        <w:tab/>
      </w:r>
      <w:r>
        <w:fldChar w:fldCharType="begin"/>
      </w:r>
      <w:r>
        <w:instrText xml:space="preserve"> PAGEREF _Toc378945327 \h </w:instrText>
      </w:r>
      <w:r>
        <w:fldChar w:fldCharType="separate"/>
      </w:r>
      <w:r>
        <w:t>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False claim of being licensed</w:t>
      </w:r>
      <w:r>
        <w:tab/>
      </w:r>
      <w:r>
        <w:fldChar w:fldCharType="begin"/>
      </w:r>
      <w:r>
        <w:instrText xml:space="preserve"> PAGEREF _Toc378945328 \h </w:instrText>
      </w:r>
      <w:r>
        <w:fldChar w:fldCharType="separate"/>
      </w:r>
      <w:r>
        <w:t>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Remuneration of licensed valuers</w:t>
      </w:r>
      <w:r>
        <w:tab/>
      </w:r>
      <w:r>
        <w:fldChar w:fldCharType="begin"/>
      </w:r>
      <w:r>
        <w:instrText xml:space="preserve"> PAGEREF _Toc378945329 \h </w:instrText>
      </w:r>
      <w:r>
        <w:fldChar w:fldCharType="separate"/>
      </w:r>
      <w:r>
        <w:t>10</w:t>
      </w:r>
      <w:r>
        <w:fldChar w:fldCharType="end"/>
      </w:r>
    </w:p>
    <w:p>
      <w:pPr>
        <w:pStyle w:val="TOC4"/>
        <w:tabs>
          <w:tab w:val="right" w:leader="dot" w:pos="7078"/>
        </w:tabs>
        <w:rPr>
          <w:rFonts w:asciiTheme="minorHAnsi" w:eastAsiaTheme="minorEastAsia" w:hAnsiTheme="minorHAnsi" w:cstheme="minorBidi"/>
          <w:b w:val="0"/>
          <w:szCs w:val="22"/>
        </w:rPr>
      </w:pPr>
      <w:r>
        <w:t>Division 2</w:t>
      </w:r>
      <w:r>
        <w:rPr>
          <w:snapToGrid w:val="0"/>
        </w:rPr>
        <w:t> — </w:t>
      </w:r>
      <w:r>
        <w:t>Discipline</w:t>
      </w:r>
    </w:p>
    <w:p>
      <w:pPr>
        <w:pStyle w:val="TOC8"/>
        <w:rPr>
          <w:rFonts w:asciiTheme="minorHAnsi" w:eastAsiaTheme="minorEastAsia" w:hAnsiTheme="minorHAnsi" w:cstheme="minorBidi"/>
          <w:szCs w:val="22"/>
        </w:rPr>
      </w:pPr>
      <w:r>
        <w:t>26</w:t>
      </w:r>
      <w:r>
        <w:rPr>
          <w:snapToGrid w:val="0"/>
        </w:rPr>
        <w:t>.</w:t>
      </w:r>
      <w:r>
        <w:rPr>
          <w:snapToGrid w:val="0"/>
        </w:rPr>
        <w:tab/>
        <w:t>Licensed valuers’ code of conduct</w:t>
      </w:r>
      <w:r>
        <w:tab/>
      </w:r>
      <w:r>
        <w:fldChar w:fldCharType="begin"/>
      </w:r>
      <w:r>
        <w:instrText xml:space="preserve"> PAGEREF _Toc378945331 \h </w:instrText>
      </w:r>
      <w:r>
        <w:fldChar w:fldCharType="separate"/>
      </w:r>
      <w:r>
        <w:t>11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Disciplinary proceedings against licensed valuers</w:t>
      </w:r>
      <w:r>
        <w:tab/>
      </w:r>
      <w:r>
        <w:fldChar w:fldCharType="begin"/>
      </w:r>
      <w:r>
        <w:instrText xml:space="preserve"> PAGEREF _Toc378945332 \h </w:instrText>
      </w:r>
      <w:r>
        <w:fldChar w:fldCharType="separate"/>
      </w:r>
      <w:r>
        <w:t>11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SAT’s powers on disciplinary proceedings</w:t>
      </w:r>
      <w:r>
        <w:tab/>
      </w:r>
      <w:r>
        <w:fldChar w:fldCharType="begin"/>
      </w:r>
      <w:r>
        <w:instrText xml:space="preserve"> PAGEREF _Toc378945333 \h </w:instrText>
      </w:r>
      <w:r>
        <w:fldChar w:fldCharType="separate"/>
      </w:r>
      <w:r>
        <w:t>11</w:t>
      </w:r>
      <w:r>
        <w:fldChar w:fldCharType="end"/>
      </w:r>
    </w:p>
    <w:p>
      <w:pPr>
        <w:pStyle w:val="TOC2"/>
        <w:tabs>
          <w:tab w:val="right" w:leader="dot" w:pos="7078"/>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29</w:t>
      </w:r>
      <w:r>
        <w:rPr>
          <w:snapToGrid w:val="0"/>
        </w:rPr>
        <w:t>.</w:t>
      </w:r>
      <w:r>
        <w:rPr>
          <w:snapToGrid w:val="0"/>
        </w:rPr>
        <w:tab/>
        <w:t>Register of licensed valuers</w:t>
      </w:r>
      <w:r>
        <w:tab/>
      </w:r>
      <w:r>
        <w:fldChar w:fldCharType="begin"/>
      </w:r>
      <w:r>
        <w:instrText xml:space="preserve"> PAGEREF _Toc378945335 \h </w:instrText>
      </w:r>
      <w:r>
        <w:fldChar w:fldCharType="separate"/>
      </w:r>
      <w:r>
        <w:t>13</w:t>
      </w:r>
      <w:r>
        <w:fldChar w:fldCharType="end"/>
      </w:r>
    </w:p>
    <w:p>
      <w:pPr>
        <w:pStyle w:val="TOC8"/>
        <w:rPr>
          <w:rFonts w:asciiTheme="minorHAnsi" w:eastAsiaTheme="minorEastAsia" w:hAnsiTheme="minorHAnsi" w:cstheme="minorBidi"/>
          <w:szCs w:val="22"/>
        </w:rPr>
      </w:pPr>
      <w:r>
        <w:t>29A</w:t>
      </w:r>
      <w:r>
        <w:rPr>
          <w:snapToGrid w:val="0"/>
        </w:rPr>
        <w:t>.</w:t>
      </w:r>
      <w:r>
        <w:rPr>
          <w:snapToGrid w:val="0"/>
        </w:rPr>
        <w:tab/>
        <w:t>Change of particulars, licensee to notify Commissioner</w:t>
      </w:r>
      <w:r>
        <w:tab/>
      </w:r>
      <w:r>
        <w:fldChar w:fldCharType="begin"/>
      </w:r>
      <w:r>
        <w:instrText xml:space="preserve"> PAGEREF _Toc378945336 \h </w:instrText>
      </w:r>
      <w:r>
        <w:fldChar w:fldCharType="separate"/>
      </w:r>
      <w:r>
        <w:t>13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Names etc. of licensed valuers to be published; evidentiary provisions</w:t>
      </w:r>
      <w:r>
        <w:tab/>
      </w:r>
      <w:r>
        <w:fldChar w:fldCharType="begin"/>
      </w:r>
      <w:r>
        <w:instrText xml:space="preserve"> PAGEREF _Toc378945337 \h </w:instrText>
      </w:r>
      <w:r>
        <w:fldChar w:fldCharType="separate"/>
      </w:r>
      <w:r>
        <w:t>13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Annual report by department</w:t>
      </w:r>
      <w:r>
        <w:tab/>
      </w:r>
      <w:r>
        <w:fldChar w:fldCharType="begin"/>
      </w:r>
      <w:r>
        <w:instrText xml:space="preserve"> PAGEREF _Toc378945338 \h </w:instrText>
      </w:r>
      <w:r>
        <w:fldChar w:fldCharType="separate"/>
      </w:r>
      <w:r>
        <w:t>14</w:t>
      </w:r>
      <w:r>
        <w:fldChar w:fldCharType="end"/>
      </w:r>
    </w:p>
    <w:p>
      <w:pPr>
        <w:pStyle w:val="TOC8"/>
        <w:rPr>
          <w:rFonts w:asciiTheme="minorHAnsi" w:eastAsiaTheme="minorEastAsia" w:hAnsiTheme="minorHAnsi" w:cstheme="minorBidi"/>
          <w:szCs w:val="22"/>
        </w:rPr>
      </w:pPr>
      <w:r>
        <w:t>33.</w:t>
      </w:r>
      <w:r>
        <w:tab/>
        <w:t>Confidentiality of information officially obtained</w:t>
      </w:r>
      <w:r>
        <w:tab/>
      </w:r>
      <w:r>
        <w:fldChar w:fldCharType="begin"/>
      </w:r>
      <w:r>
        <w:instrText xml:space="preserve"> PAGEREF _Toc378945339 \h </w:instrText>
      </w:r>
      <w:r>
        <w:fldChar w:fldCharType="separate"/>
      </w:r>
      <w:r>
        <w:t>15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Offences by corporations</w:t>
      </w:r>
      <w:r>
        <w:tab/>
      </w:r>
      <w:r>
        <w:fldChar w:fldCharType="begin"/>
      </w:r>
      <w:r>
        <w:instrText xml:space="preserve"> PAGEREF _Toc378945340 \h </w:instrText>
      </w:r>
      <w:r>
        <w:fldChar w:fldCharType="separate"/>
      </w:r>
      <w:r>
        <w:t>15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Proceedings for offences</w:t>
      </w:r>
      <w:r>
        <w:tab/>
      </w:r>
      <w:r>
        <w:fldChar w:fldCharType="begin"/>
      </w:r>
      <w:r>
        <w:instrText xml:space="preserve"> PAGEREF _Toc378945341 \h </w:instrText>
      </w:r>
      <w:r>
        <w:fldChar w:fldCharType="separate"/>
      </w:r>
      <w:r>
        <w:t>15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Regulations</w:t>
      </w:r>
      <w:r>
        <w:tab/>
      </w:r>
      <w:r>
        <w:fldChar w:fldCharType="begin"/>
      </w:r>
      <w:r>
        <w:instrText xml:space="preserve"> PAGEREF _Toc378945342 \h </w:instrText>
      </w:r>
      <w:r>
        <w:fldChar w:fldCharType="separate"/>
      </w:r>
      <w:r>
        <w:t>15</w:t>
      </w:r>
      <w:r>
        <w:fldChar w:fldCharType="end"/>
      </w:r>
    </w:p>
    <w:p>
      <w:pPr>
        <w:pStyle w:val="TOC2"/>
        <w:tabs>
          <w:tab w:val="right" w:leader="dot" w:pos="7078"/>
        </w:tabs>
        <w:rPr>
          <w:rFonts w:asciiTheme="minorHAnsi" w:eastAsiaTheme="minorEastAsia" w:hAnsiTheme="minorHAnsi" w:cstheme="minorBidi"/>
          <w:b w:val="0"/>
          <w:sz w:val="22"/>
          <w:szCs w:val="22"/>
        </w:rPr>
      </w:pPr>
      <w:r>
        <w:t>Part VI</w:t>
      </w:r>
      <w:r>
        <w:rPr>
          <w:b w:val="0"/>
        </w:rPr>
        <w:t> </w:t>
      </w:r>
      <w:r>
        <w:t>—</w:t>
      </w:r>
      <w:r>
        <w:rPr>
          <w:b w:val="0"/>
        </w:rPr>
        <w:t> </w:t>
      </w:r>
      <w:r>
        <w:t>Miscellaneous transitional matters</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_Toc378945344 \h </w:instrText>
      </w:r>
      <w:r>
        <w:fldChar w:fldCharType="separate"/>
      </w:r>
      <w:r>
        <w:t>17</w:t>
      </w:r>
      <w:r>
        <w:fldChar w:fldCharType="end"/>
      </w:r>
    </w:p>
    <w:p>
      <w:pPr>
        <w:pStyle w:val="TOC8"/>
        <w:rPr>
          <w:rFonts w:asciiTheme="minorHAnsi" w:eastAsiaTheme="minorEastAsia" w:hAnsiTheme="minorHAnsi" w:cstheme="minorBidi"/>
          <w:szCs w:val="22"/>
        </w:rPr>
      </w:pPr>
      <w:r>
        <w:t>38.</w:t>
      </w:r>
      <w:r>
        <w:tab/>
        <w:t>Former Board abolished</w:t>
      </w:r>
      <w:r>
        <w:tab/>
      </w:r>
      <w:r>
        <w:fldChar w:fldCharType="begin"/>
      </w:r>
      <w:r>
        <w:instrText xml:space="preserve"> PAGEREF _Toc378945345 \h </w:instrText>
      </w:r>
      <w:r>
        <w:fldChar w:fldCharType="separate"/>
      </w:r>
      <w:r>
        <w:t>17</w:t>
      </w:r>
      <w:r>
        <w:fldChar w:fldCharType="end"/>
      </w:r>
    </w:p>
    <w:p>
      <w:pPr>
        <w:pStyle w:val="TOC8"/>
        <w:rPr>
          <w:rFonts w:asciiTheme="minorHAnsi" w:eastAsiaTheme="minorEastAsia" w:hAnsiTheme="minorHAnsi" w:cstheme="minorBidi"/>
          <w:szCs w:val="22"/>
        </w:rPr>
      </w:pPr>
      <w:r>
        <w:t>39.</w:t>
      </w:r>
      <w:r>
        <w:tab/>
        <w:t>References to former Board or Registrar</w:t>
      </w:r>
      <w:r>
        <w:tab/>
      </w:r>
      <w:r>
        <w:fldChar w:fldCharType="begin"/>
      </w:r>
      <w:r>
        <w:instrText xml:space="preserve"> PAGEREF _Toc378945346 \h </w:instrText>
      </w:r>
      <w:r>
        <w:fldChar w:fldCharType="separate"/>
      </w:r>
      <w:r>
        <w:t>17</w:t>
      </w:r>
      <w:r>
        <w:fldChar w:fldCharType="end"/>
      </w:r>
    </w:p>
    <w:p>
      <w:pPr>
        <w:pStyle w:val="TOC8"/>
        <w:rPr>
          <w:rFonts w:asciiTheme="minorHAnsi" w:eastAsiaTheme="minorEastAsia" w:hAnsiTheme="minorHAnsi" w:cstheme="minorBidi"/>
          <w:szCs w:val="22"/>
        </w:rPr>
      </w:pPr>
      <w:r>
        <w:t>40.</w:t>
      </w:r>
      <w:r>
        <w:tab/>
        <w:t>Immunity continues</w:t>
      </w:r>
      <w:r>
        <w:tab/>
      </w:r>
      <w:r>
        <w:fldChar w:fldCharType="begin"/>
      </w:r>
      <w:r>
        <w:instrText xml:space="preserve"> PAGEREF _Toc378945347 \h </w:instrText>
      </w:r>
      <w:r>
        <w:fldChar w:fldCharType="separate"/>
      </w:r>
      <w:r>
        <w:t>18</w:t>
      </w:r>
      <w:r>
        <w:fldChar w:fldCharType="end"/>
      </w:r>
    </w:p>
    <w:p>
      <w:pPr>
        <w:pStyle w:val="TOC8"/>
        <w:rPr>
          <w:rFonts w:asciiTheme="minorHAnsi" w:eastAsiaTheme="minorEastAsia" w:hAnsiTheme="minorHAnsi" w:cstheme="minorBidi"/>
          <w:szCs w:val="22"/>
        </w:rPr>
      </w:pPr>
      <w:r>
        <w:t>41.</w:t>
      </w:r>
      <w:r>
        <w:tab/>
        <w:t>Notices of maximum amounts of remuneration</w:t>
      </w:r>
      <w:r>
        <w:tab/>
      </w:r>
      <w:r>
        <w:fldChar w:fldCharType="begin"/>
      </w:r>
      <w:r>
        <w:instrText xml:space="preserve"> PAGEREF _Toc378945348 \h </w:instrText>
      </w:r>
      <w:r>
        <w:fldChar w:fldCharType="separate"/>
      </w:r>
      <w:r>
        <w:t>18</w:t>
      </w:r>
      <w:r>
        <w:fldChar w:fldCharType="end"/>
      </w:r>
    </w:p>
    <w:p>
      <w:pPr>
        <w:pStyle w:val="TOC8"/>
        <w:rPr>
          <w:rFonts w:asciiTheme="minorHAnsi" w:eastAsiaTheme="minorEastAsia" w:hAnsiTheme="minorHAnsi" w:cstheme="minorBidi"/>
          <w:szCs w:val="22"/>
        </w:rPr>
      </w:pPr>
      <w:r>
        <w:t>42.</w:t>
      </w:r>
      <w:r>
        <w:tab/>
        <w:t>Unfinished proceedings by former Registrar</w:t>
      </w:r>
      <w:r>
        <w:tab/>
      </w:r>
      <w:r>
        <w:fldChar w:fldCharType="begin"/>
      </w:r>
      <w:r>
        <w:instrText xml:space="preserve"> PAGEREF _Toc378945349 \h </w:instrText>
      </w:r>
      <w:r>
        <w:fldChar w:fldCharType="separate"/>
      </w:r>
      <w:r>
        <w:t>18</w:t>
      </w:r>
      <w:r>
        <w:fldChar w:fldCharType="end"/>
      </w:r>
    </w:p>
    <w:p>
      <w:pPr>
        <w:pStyle w:val="TOC8"/>
        <w:rPr>
          <w:rFonts w:asciiTheme="minorHAnsi" w:eastAsiaTheme="minorEastAsia" w:hAnsiTheme="minorHAnsi" w:cstheme="minorBidi"/>
          <w:szCs w:val="22"/>
        </w:rPr>
      </w:pPr>
      <w:r>
        <w:t>43.</w:t>
      </w:r>
      <w:r>
        <w:tab/>
        <w:t>Unfinished proceedings by former Board</w:t>
      </w:r>
      <w:r>
        <w:tab/>
      </w:r>
      <w:r>
        <w:fldChar w:fldCharType="begin"/>
      </w:r>
      <w:r>
        <w:instrText xml:space="preserve"> PAGEREF _Toc378945350 \h </w:instrText>
      </w:r>
      <w:r>
        <w:fldChar w:fldCharType="separate"/>
      </w:r>
      <w:r>
        <w:t>18</w:t>
      </w:r>
      <w:r>
        <w:fldChar w:fldCharType="end"/>
      </w:r>
    </w:p>
    <w:p>
      <w:pPr>
        <w:pStyle w:val="TOC8"/>
        <w:rPr>
          <w:rFonts w:asciiTheme="minorHAnsi" w:eastAsiaTheme="minorEastAsia" w:hAnsiTheme="minorHAnsi" w:cstheme="minorBidi"/>
          <w:szCs w:val="22"/>
        </w:rPr>
      </w:pPr>
      <w:r>
        <w:t>44.</w:t>
      </w:r>
      <w:r>
        <w:tab/>
        <w:t>Winding</w:t>
      </w:r>
      <w:r>
        <w:noBreakHyphen/>
        <w:t>up by former Board</w:t>
      </w:r>
      <w:r>
        <w:tab/>
      </w:r>
      <w:r>
        <w:fldChar w:fldCharType="begin"/>
      </w:r>
      <w:r>
        <w:instrText xml:space="preserve"> PAGEREF _Toc378945351 \h </w:instrText>
      </w:r>
      <w:r>
        <w:fldChar w:fldCharType="separate"/>
      </w:r>
      <w:r>
        <w:t>19</w:t>
      </w:r>
      <w:r>
        <w:fldChar w:fldCharType="end"/>
      </w:r>
    </w:p>
    <w:p>
      <w:pPr>
        <w:pStyle w:val="TOC8"/>
        <w:rPr>
          <w:rFonts w:asciiTheme="minorHAnsi" w:eastAsiaTheme="minorEastAsia" w:hAnsiTheme="minorHAnsi" w:cstheme="minorBidi"/>
          <w:szCs w:val="22"/>
        </w:rPr>
      </w:pPr>
      <w:r>
        <w:t>45.</w:t>
      </w:r>
      <w:r>
        <w:tab/>
        <w:t>Final report by former Board</w:t>
      </w:r>
      <w:r>
        <w:tab/>
      </w:r>
      <w:r>
        <w:fldChar w:fldCharType="begin"/>
      </w:r>
      <w:r>
        <w:instrText xml:space="preserve"> PAGEREF _Toc378945352 \h </w:instrText>
      </w:r>
      <w:r>
        <w:fldChar w:fldCharType="separate"/>
      </w:r>
      <w:r>
        <w:t>19</w:t>
      </w:r>
      <w:r>
        <w:fldChar w:fldCharType="end"/>
      </w:r>
    </w:p>
    <w:p>
      <w:pPr>
        <w:pStyle w:val="TOC8"/>
        <w:rPr>
          <w:rFonts w:asciiTheme="minorHAnsi" w:eastAsiaTheme="minorEastAsia" w:hAnsiTheme="minorHAnsi" w:cstheme="minorBidi"/>
          <w:szCs w:val="22"/>
        </w:rPr>
      </w:pPr>
      <w:r>
        <w:t>46.</w:t>
      </w:r>
      <w:r>
        <w:tab/>
        <w:t>Transitional regulations</w:t>
      </w:r>
      <w:r>
        <w:tab/>
      </w:r>
      <w:r>
        <w:fldChar w:fldCharType="begin"/>
      </w:r>
      <w:r>
        <w:instrText xml:space="preserve"> PAGEREF _Toc378945353 \h </w:instrText>
      </w:r>
      <w:r>
        <w:fldChar w:fldCharType="separate"/>
      </w:r>
      <w:r>
        <w:t>20</w:t>
      </w:r>
      <w:r>
        <w:fldChar w:fldCharType="end"/>
      </w:r>
    </w:p>
    <w:p>
      <w:pPr>
        <w:pStyle w:val="TOC2"/>
        <w:tabs>
          <w:tab w:val="right" w:leader="dot" w:pos="707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_Toc378945355 \h </w:instrText>
      </w:r>
      <w:r>
        <w:fldChar w:fldCharType="separate"/>
      </w:r>
      <w:r>
        <w:t>22</w:t>
      </w:r>
      <w:r>
        <w:fldChar w:fldCharType="end"/>
      </w:r>
    </w:p>
    <w:p>
      <w:pPr>
        <w:pStyle w:val="TOC2"/>
        <w:tabs>
          <w:tab w:val="right" w:leader="dot" w:pos="7078"/>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4035" cy="470535"/>
                  <wp:effectExtent l="0" t="0" r="0" b="571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035" cy="47053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w:t>
            </w:r>
            <w:r>
              <w:rPr>
                <w:b/>
                <w:snapToGrid w:val="0"/>
                <w:sz w:val="22"/>
              </w:rPr>
              <w:t xml:space="preserve"> October 2011</w:t>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880" w:after="1440"/>
      </w:pPr>
      <w:r>
        <w:t>Land Valuers Licensing Act 1978</w:t>
      </w:r>
    </w:p>
    <w:p>
      <w:pPr>
        <w:pStyle w:val="LongTitle"/>
        <w:rPr>
          <w:snapToGrid w:val="0"/>
        </w:rPr>
      </w:pPr>
      <w:r>
        <w:rPr>
          <w:snapToGrid w:val="0"/>
        </w:rPr>
        <w:t>An Act to provide for the licensing of land valuers and for related purposes.</w:t>
      </w:r>
    </w:p>
    <w:p>
      <w:pPr>
        <w:pStyle w:val="Heading2"/>
      </w:pPr>
      <w:bookmarkStart w:id="1" w:name="_Toc378945310"/>
      <w:r>
        <w:rPr>
          <w:rStyle w:val="CharPartNo"/>
        </w:rPr>
        <w:t>Part I</w:t>
      </w:r>
      <w:r>
        <w:rPr>
          <w:rStyle w:val="CharDivNo"/>
        </w:rPr>
        <w:t> </w:t>
      </w:r>
      <w:r>
        <w:t>—</w:t>
      </w:r>
      <w:r>
        <w:rPr>
          <w:rStyle w:val="CharDivText"/>
        </w:rPr>
        <w:t> </w:t>
      </w:r>
      <w:r>
        <w:rPr>
          <w:rStyle w:val="CharPartText"/>
        </w:rPr>
        <w:t>Preliminary</w:t>
      </w:r>
      <w:bookmarkEnd w:id="1"/>
    </w:p>
    <w:p>
      <w:pPr>
        <w:pStyle w:val="Heading5"/>
        <w:rPr>
          <w:snapToGrid w:val="0"/>
        </w:rPr>
      </w:pPr>
      <w:bookmarkStart w:id="2" w:name="_Toc378945311"/>
      <w:r>
        <w:rPr>
          <w:rStyle w:val="CharSectno"/>
        </w:rPr>
        <w:t>1</w:t>
      </w:r>
      <w:r>
        <w:rPr>
          <w:snapToGrid w:val="0"/>
        </w:rPr>
        <w:t>.</w:t>
      </w:r>
      <w:r>
        <w:rPr>
          <w:snapToGrid w:val="0"/>
        </w:rPr>
        <w:tab/>
        <w:t>Short title</w:t>
      </w:r>
      <w:bookmarkEnd w:id="2"/>
    </w:p>
    <w:p>
      <w:pPr>
        <w:pStyle w:val="Subsection"/>
        <w:rPr>
          <w:snapToGrid w:val="0"/>
        </w:rPr>
      </w:pPr>
      <w:r>
        <w:rPr>
          <w:snapToGrid w:val="0"/>
        </w:rPr>
        <w:tab/>
      </w:r>
      <w:r>
        <w:rPr>
          <w:snapToGrid w:val="0"/>
        </w:rPr>
        <w:tab/>
        <w:t xml:space="preserve">This Act may be cited as the </w:t>
      </w:r>
      <w:r>
        <w:rPr>
          <w:i/>
          <w:snapToGrid w:val="0"/>
        </w:rPr>
        <w:t>Land Valuers Licensing Act 1978 </w:t>
      </w:r>
      <w:r>
        <w:rPr>
          <w:snapToGrid w:val="0"/>
          <w:vertAlign w:val="superscript"/>
        </w:rPr>
        <w:t>1</w:t>
      </w:r>
      <w:r>
        <w:rPr>
          <w:snapToGrid w:val="0"/>
        </w:rPr>
        <w:t>.</w:t>
      </w:r>
    </w:p>
    <w:p>
      <w:pPr>
        <w:pStyle w:val="Heading5"/>
        <w:spacing w:before="240"/>
        <w:rPr>
          <w:snapToGrid w:val="0"/>
        </w:rPr>
      </w:pPr>
      <w:bookmarkStart w:id="3" w:name="_Toc378945312"/>
      <w:r>
        <w:rPr>
          <w:rStyle w:val="CharSectno"/>
        </w:rPr>
        <w:t>2</w:t>
      </w:r>
      <w:r>
        <w:rPr>
          <w:snapToGrid w:val="0"/>
        </w:rPr>
        <w:t>.</w:t>
      </w:r>
      <w:r>
        <w:rPr>
          <w:snapToGrid w:val="0"/>
        </w:rPr>
        <w:tab/>
        <w:t>Commencement</w:t>
      </w:r>
      <w:bookmarkEnd w:id="3"/>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spacing w:before="240"/>
      </w:pPr>
      <w:r>
        <w:t>[</w:t>
      </w:r>
      <w:r>
        <w:rPr>
          <w:b/>
        </w:rPr>
        <w:t>3.</w:t>
      </w:r>
      <w:r>
        <w:tab/>
        <w:t>Deleted by No. 56 of 1995 s. 26.]</w:t>
      </w:r>
    </w:p>
    <w:p>
      <w:pPr>
        <w:pStyle w:val="Heading5"/>
        <w:spacing w:before="240"/>
        <w:rPr>
          <w:snapToGrid w:val="0"/>
        </w:rPr>
      </w:pPr>
      <w:bookmarkStart w:id="4" w:name="_Toc378945313"/>
      <w:r>
        <w:rPr>
          <w:rStyle w:val="CharSectno"/>
        </w:rPr>
        <w:t>4</w:t>
      </w:r>
      <w:r>
        <w:rPr>
          <w:snapToGrid w:val="0"/>
        </w:rPr>
        <w:t>.</w:t>
      </w:r>
      <w:r>
        <w:rPr>
          <w:snapToGrid w:val="0"/>
        </w:rPr>
        <w:tab/>
        <w:t>Terms used</w:t>
      </w:r>
      <w:bookmarkEnd w:id="4"/>
    </w:p>
    <w:p>
      <w:pPr>
        <w:pStyle w:val="Subsection"/>
        <w:keepNext/>
        <w:rPr>
          <w:snapToGrid w:val="0"/>
        </w:rPr>
      </w:pPr>
      <w:r>
        <w:rPr>
          <w:snapToGrid w:val="0"/>
        </w:rPr>
        <w:tab/>
      </w:r>
      <w:r>
        <w:rPr>
          <w:snapToGrid w:val="0"/>
        </w:rPr>
        <w:tab/>
        <w:t>In this Act unless the context otherwise requires —</w:t>
      </w:r>
    </w:p>
    <w:p>
      <w:pPr>
        <w:pStyle w:val="Defstart"/>
        <w:spacing w:before="100"/>
      </w:pPr>
      <w:r>
        <w:rPr>
          <w:b/>
        </w:rPr>
        <w:tab/>
      </w:r>
      <w:r>
        <w:rPr>
          <w:rStyle w:val="CharDefText"/>
        </w:rPr>
        <w:t>approved</w:t>
      </w:r>
      <w:r>
        <w:t xml:space="preserve"> means approved by the Commissioner;</w:t>
      </w:r>
    </w:p>
    <w:p>
      <w:pPr>
        <w:pStyle w:val="Defstart"/>
        <w:spacing w:before="100"/>
      </w:pPr>
      <w:r>
        <w:tab/>
      </w:r>
      <w:r>
        <w:rPr>
          <w:rStyle w:val="CharDefText"/>
        </w:rPr>
        <w:t>Australian Property Institute</w:t>
      </w:r>
      <w:r>
        <w:t xml:space="preserve"> means the incorporated association known as the Australian Property Institute;</w:t>
      </w:r>
    </w:p>
    <w:p>
      <w:pPr>
        <w:pStyle w:val="Defstart"/>
        <w:spacing w:before="100"/>
      </w:pPr>
      <w:r>
        <w:tab/>
      </w:r>
      <w:r>
        <w:rPr>
          <w:rStyle w:val="CharDefText"/>
        </w:rPr>
        <w:t>Commissioner</w:t>
      </w:r>
      <w:r>
        <w:t xml:space="preserve"> has the meaning given in the </w:t>
      </w:r>
      <w:r>
        <w:rPr>
          <w:i/>
          <w:iCs/>
        </w:rPr>
        <w:t>Fair Trading Act 2010</w:t>
      </w:r>
      <w:r>
        <w:t xml:space="preserve"> section 6;</w:t>
      </w:r>
    </w:p>
    <w:p>
      <w:pPr>
        <w:pStyle w:val="Defstart"/>
        <w:spacing w:before="100"/>
      </w:pPr>
      <w:r>
        <w:rPr>
          <w:b/>
        </w:rPr>
        <w:tab/>
      </w:r>
      <w:r>
        <w:rPr>
          <w:rStyle w:val="CharDefText"/>
        </w:rPr>
        <w:t>corporation</w:t>
      </w:r>
      <w:r>
        <w:t xml:space="preserve"> means any body corporate;</w:t>
      </w:r>
    </w:p>
    <w:p>
      <w:pPr>
        <w:pStyle w:val="Defstart"/>
        <w:spacing w:before="100"/>
      </w:pPr>
      <w:r>
        <w:tab/>
      </w:r>
      <w:r>
        <w:rPr>
          <w:rStyle w:val="CharDefText"/>
        </w:rPr>
        <w:t>department</w:t>
      </w:r>
      <w:r>
        <w:t xml:space="preserve"> means the department of the Public Service principally assisting the Minister in the administration of this Act;</w:t>
      </w:r>
    </w:p>
    <w:p>
      <w:pPr>
        <w:pStyle w:val="Defstart"/>
        <w:spacing w:before="100"/>
      </w:pPr>
      <w:r>
        <w:rPr>
          <w:b/>
        </w:rPr>
        <w:tab/>
      </w:r>
      <w:r>
        <w:rPr>
          <w:rStyle w:val="CharDefText"/>
        </w:rPr>
        <w:t>land</w:t>
      </w:r>
      <w:r>
        <w:t xml:space="preserve"> includes any estate or interest in land;</w:t>
      </w:r>
    </w:p>
    <w:p>
      <w:pPr>
        <w:pStyle w:val="Defstart"/>
        <w:spacing w:before="100"/>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spacing w:before="100"/>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100"/>
      </w:pPr>
      <w:r>
        <w:rPr>
          <w:b/>
        </w:rPr>
        <w:tab/>
      </w:r>
      <w:r>
        <w:rPr>
          <w:rStyle w:val="CharDefText"/>
        </w:rPr>
        <w:t>licence</w:t>
      </w:r>
      <w:r>
        <w:t xml:space="preserve"> means a licence under this Act;</w:t>
      </w:r>
    </w:p>
    <w:p>
      <w:pPr>
        <w:pStyle w:val="Defstart"/>
        <w:spacing w:before="100"/>
      </w:pPr>
      <w:r>
        <w:rPr>
          <w:b/>
        </w:rPr>
        <w:tab/>
      </w:r>
      <w:r>
        <w:rPr>
          <w:rStyle w:val="CharDefText"/>
        </w:rPr>
        <w:t>licensed valuer</w:t>
      </w:r>
      <w:r>
        <w:t xml:space="preserve"> means a person licensed under this Act;</w:t>
      </w:r>
    </w:p>
    <w:p>
      <w:pPr>
        <w:pStyle w:val="Defstart"/>
        <w:keepNext/>
      </w:pPr>
      <w:r>
        <w:rPr>
          <w:b/>
        </w:rPr>
        <w:tab/>
      </w:r>
      <w:r>
        <w:rPr>
          <w:rStyle w:val="CharDefText"/>
        </w:rPr>
        <w:t>licensed valuers code of conduct</w:t>
      </w:r>
      <w:r>
        <w:t xml:space="preserve"> means the code published under section 26;</w:t>
      </w:r>
    </w:p>
    <w:p>
      <w:pPr>
        <w:pStyle w:val="Defstart"/>
        <w:keepNext/>
      </w:pPr>
      <w:r>
        <w:rPr>
          <w:b/>
        </w:rPr>
        <w:tab/>
      </w:r>
      <w:r>
        <w:rPr>
          <w:rStyle w:val="CharDefText"/>
        </w:rPr>
        <w:t>officer</w:t>
      </w:r>
      <w:r>
        <w:t xml:space="preserve"> means —</w:t>
      </w:r>
    </w:p>
    <w:p>
      <w:pPr>
        <w:pStyle w:val="Defpara"/>
      </w:pPr>
      <w:r>
        <w:tab/>
        <w:t>(a)</w:t>
      </w:r>
      <w:r>
        <w:tab/>
        <w:t>in relation to a firm — a member of the firm or an employee of the firm whose sole or principal employment is in the service of the firm;</w:t>
      </w:r>
    </w:p>
    <w:p>
      <w:pPr>
        <w:pStyle w:val="Defpara"/>
      </w:pPr>
      <w:r>
        <w:tab/>
        <w:t>(b)</w:t>
      </w:r>
      <w:r>
        <w:tab/>
        <w:t>in relation to a corporation — any director, manager or secretary of the corporation or any employee of the corporation whose sole or principal employment is in the service of the corporation.</w:t>
      </w:r>
    </w:p>
    <w:p>
      <w:pPr>
        <w:pStyle w:val="Footnotesection"/>
      </w:pPr>
      <w:r>
        <w:tab/>
        <w:t>[Section 4 amended by No. 15 of 1984 s. 3; No. 56 of 1995 s. 27; No. 65 of 2003 s. 44(2); No. 74 of 2003 s. 74(2); No. 55 of 2004 s. 586; No. 21 of 2008 s. 671(2); No. 58 of 2010 s. 14 and 31.]</w:t>
      </w:r>
    </w:p>
    <w:p>
      <w:pPr>
        <w:pStyle w:val="Footnoteheading"/>
      </w:pPr>
      <w:r>
        <w:tab/>
        <w:t>[Part II heading deleted by No. 58 of 2010 s. 15.]</w:t>
      </w:r>
    </w:p>
    <w:p>
      <w:pPr>
        <w:pStyle w:val="Footnoteheading"/>
      </w:pPr>
      <w:r>
        <w:tab/>
        <w:t>[Heading deleted by No. 58 of 2010 s. 16.]</w:t>
      </w:r>
    </w:p>
    <w:p>
      <w:pPr>
        <w:pStyle w:val="Ednotesection"/>
      </w:pPr>
      <w:r>
        <w:t>[</w:t>
      </w:r>
      <w:r>
        <w:rPr>
          <w:b/>
        </w:rPr>
        <w:t>5-11.</w:t>
      </w:r>
      <w:r>
        <w:tab/>
        <w:t>Deleted by No. 58 of 2010 s. 16.]</w:t>
      </w:r>
    </w:p>
    <w:p>
      <w:pPr>
        <w:pStyle w:val="Footnoteheading"/>
      </w:pPr>
      <w:r>
        <w:tab/>
        <w:t>[Heading deleted by No. 58 of 2010 s. 17.]</w:t>
      </w:r>
    </w:p>
    <w:p>
      <w:pPr>
        <w:pStyle w:val="Ednotesection"/>
      </w:pPr>
      <w:r>
        <w:t>[</w:t>
      </w:r>
      <w:r>
        <w:rPr>
          <w:b/>
        </w:rPr>
        <w:t>12-14.</w:t>
      </w:r>
      <w:r>
        <w:tab/>
        <w:t>Deleted by No. 58 of 2010 s. 18.]</w:t>
      </w:r>
    </w:p>
    <w:p>
      <w:pPr>
        <w:pStyle w:val="Heading5"/>
      </w:pPr>
      <w:bookmarkStart w:id="5" w:name="_Toc378945314"/>
      <w:r>
        <w:rPr>
          <w:rStyle w:val="CharSectno"/>
        </w:rPr>
        <w:t>15</w:t>
      </w:r>
      <w:r>
        <w:t>.</w:t>
      </w:r>
      <w:r>
        <w:tab/>
        <w:t>Powers of investigation</w:t>
      </w:r>
      <w:bookmarkEnd w:id="5"/>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15 inserted by No. 58 of 2010 s. 19.]</w:t>
      </w:r>
    </w:p>
    <w:p>
      <w:pPr>
        <w:pStyle w:val="Ednotesection"/>
      </w:pPr>
      <w:r>
        <w:t>[</w:t>
      </w:r>
      <w:r>
        <w:rPr>
          <w:b/>
        </w:rPr>
        <w:t>15A-15C.</w:t>
      </w:r>
      <w:r>
        <w:rPr>
          <w:b/>
        </w:rPr>
        <w:tab/>
      </w:r>
      <w:r>
        <w:t>Deleted by No. 58 of 2010 s. 20.]</w:t>
      </w:r>
    </w:p>
    <w:p>
      <w:pPr>
        <w:pStyle w:val="Heading5"/>
        <w:rPr>
          <w:snapToGrid w:val="0"/>
        </w:rPr>
      </w:pPr>
      <w:bookmarkStart w:id="6" w:name="_Toc378945315"/>
      <w:r>
        <w:rPr>
          <w:rStyle w:val="CharSectno"/>
        </w:rPr>
        <w:t>16</w:t>
      </w:r>
      <w:r>
        <w:rPr>
          <w:snapToGrid w:val="0"/>
        </w:rPr>
        <w:t>.</w:t>
      </w:r>
      <w:r>
        <w:rPr>
          <w:snapToGrid w:val="0"/>
        </w:rPr>
        <w:tab/>
        <w:t>Application for review by SAT of certain decisions under Part III</w:t>
      </w:r>
      <w:bookmarkEnd w:id="6"/>
    </w:p>
    <w:p>
      <w:pPr>
        <w:pStyle w:val="Subsection"/>
        <w:rPr>
          <w:snapToGrid w:val="0"/>
        </w:rPr>
      </w:pPr>
      <w:r>
        <w:rPr>
          <w:snapToGrid w:val="0"/>
        </w:rPr>
        <w:tab/>
        <w:t>(1)</w:t>
      </w:r>
      <w:r>
        <w:rPr>
          <w:snapToGrid w:val="0"/>
        </w:rPr>
        <w:tab/>
        <w:t xml:space="preserve">Any person aggrieved by a reviewable decision of the </w:t>
      </w:r>
      <w:r>
        <w:t>Commissioner</w:t>
      </w:r>
      <w:r>
        <w:rPr>
          <w:snapToGrid w:val="0"/>
        </w:rPr>
        <w:t xml:space="preserve"> may apply to the State Administrative Tribunal for a review of the decision.</w:t>
      </w:r>
    </w:p>
    <w:p>
      <w:pPr>
        <w:pStyle w:val="Subsection"/>
      </w:pPr>
      <w:r>
        <w:tab/>
        <w:t>(2)</w:t>
      </w:r>
      <w:r>
        <w:tab/>
        <w:t>In subsection (1) —</w:t>
      </w:r>
    </w:p>
    <w:p>
      <w:pPr>
        <w:pStyle w:val="Defstart"/>
      </w:pPr>
      <w:r>
        <w:rPr>
          <w:b/>
        </w:rPr>
        <w:tab/>
      </w:r>
      <w:r>
        <w:rPr>
          <w:rStyle w:val="CharDefText"/>
        </w:rPr>
        <w:t>person aggrieved</w:t>
      </w:r>
      <w:r>
        <w:t xml:space="preserve"> means a person whose licence is affected by a reviewable decision or who, under Part III, applies for or objects to the grant of a licence or the renewal of a licence;</w:t>
      </w:r>
    </w:p>
    <w:p>
      <w:pPr>
        <w:pStyle w:val="Defstart"/>
      </w:pPr>
      <w:r>
        <w:tab/>
      </w:r>
      <w:r>
        <w:rPr>
          <w:rStyle w:val="CharDefText"/>
        </w:rPr>
        <w:t>reviewable decision</w:t>
      </w:r>
      <w:r>
        <w:t xml:space="preserve"> means a decision under Part III other than a determination of the form in which an application or objection is to be made.</w:t>
      </w:r>
    </w:p>
    <w:p>
      <w:pPr>
        <w:pStyle w:val="Footnotesection"/>
      </w:pPr>
      <w:r>
        <w:tab/>
        <w:t>[Section 16 inserted by No. 55 of 2004 s. 592; amended by No. 58 of 2010 s. 31.]</w:t>
      </w:r>
    </w:p>
    <w:p>
      <w:pPr>
        <w:pStyle w:val="Heading2"/>
      </w:pPr>
      <w:bookmarkStart w:id="7" w:name="_Toc378945316"/>
      <w:r>
        <w:rPr>
          <w:rStyle w:val="CharPartNo"/>
        </w:rPr>
        <w:t>Part III</w:t>
      </w:r>
      <w:r>
        <w:rPr>
          <w:rStyle w:val="CharDivNo"/>
        </w:rPr>
        <w:t> </w:t>
      </w:r>
      <w:r>
        <w:t>—</w:t>
      </w:r>
      <w:r>
        <w:rPr>
          <w:rStyle w:val="CharDivText"/>
        </w:rPr>
        <w:t> </w:t>
      </w:r>
      <w:r>
        <w:rPr>
          <w:rStyle w:val="CharPartText"/>
        </w:rPr>
        <w:t>Licensing</w:t>
      </w:r>
      <w:bookmarkEnd w:id="7"/>
    </w:p>
    <w:p>
      <w:pPr>
        <w:pStyle w:val="Heading5"/>
        <w:rPr>
          <w:snapToGrid w:val="0"/>
        </w:rPr>
      </w:pPr>
      <w:bookmarkStart w:id="8" w:name="_Toc378945317"/>
      <w:r>
        <w:rPr>
          <w:rStyle w:val="CharSectno"/>
        </w:rPr>
        <w:t>17</w:t>
      </w:r>
      <w:r>
        <w:rPr>
          <w:snapToGrid w:val="0"/>
        </w:rPr>
        <w:t>.</w:t>
      </w:r>
      <w:r>
        <w:rPr>
          <w:snapToGrid w:val="0"/>
        </w:rPr>
        <w:tab/>
        <w:t>Applications for licences</w:t>
      </w:r>
      <w:bookmarkEnd w:id="8"/>
    </w:p>
    <w:p>
      <w:pPr>
        <w:pStyle w:val="Subsection"/>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17 amended by No. 58 of 2010 s. 21 and 31; correction to reprint in Gazette 24 Aug 2012 p. 3959.]</w:t>
      </w:r>
    </w:p>
    <w:p>
      <w:pPr>
        <w:pStyle w:val="Heading5"/>
        <w:rPr>
          <w:snapToGrid w:val="0"/>
        </w:rPr>
      </w:pPr>
      <w:bookmarkStart w:id="9" w:name="_Toc378945318"/>
      <w:r>
        <w:rPr>
          <w:rStyle w:val="CharSectno"/>
        </w:rPr>
        <w:t>18</w:t>
      </w:r>
      <w:r>
        <w:rPr>
          <w:snapToGrid w:val="0"/>
        </w:rPr>
        <w:t>.</w:t>
      </w:r>
      <w:r>
        <w:rPr>
          <w:snapToGrid w:val="0"/>
        </w:rPr>
        <w:tab/>
        <w:t>Objections to grants of licences</w:t>
      </w:r>
      <w:bookmarkEnd w:id="9"/>
    </w:p>
    <w:p>
      <w:pPr>
        <w:pStyle w:val="Subsection"/>
        <w:rPr>
          <w:snapToGrid w:val="0"/>
        </w:rPr>
      </w:pPr>
      <w:r>
        <w:rPr>
          <w:snapToGrid w:val="0"/>
        </w:rPr>
        <w:tab/>
        <w:t>(1)</w:t>
      </w:r>
      <w:r>
        <w:rPr>
          <w:snapToGrid w:val="0"/>
        </w:rPr>
        <w:tab/>
        <w:t>Any person may object to the grant of a licence.</w:t>
      </w:r>
    </w:p>
    <w:p>
      <w:pPr>
        <w:pStyle w:val="Subsection"/>
        <w:rPr>
          <w:snapToGrid w:val="0"/>
        </w:rPr>
      </w:pPr>
      <w:r>
        <w:rPr>
          <w:snapToGrid w:val="0"/>
        </w:rPr>
        <w:tab/>
        <w:t>(2)</w:t>
      </w:r>
      <w:r>
        <w:rPr>
          <w:snapToGrid w:val="0"/>
        </w:rPr>
        <w:tab/>
        <w:t xml:space="preserve">Any objection made shall be in writing and in a form and manner determined by the </w:t>
      </w:r>
      <w:r>
        <w:t>Commissioner</w:t>
      </w:r>
      <w:r>
        <w:rPr>
          <w:snapToGrid w:val="0"/>
        </w:rPr>
        <w:t xml:space="preserve">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pPr>
      <w:r>
        <w:tab/>
        <w:t>(4)</w:t>
      </w:r>
      <w:r>
        <w:tab/>
        <w:t>If the Commissioner is considering making an adverse decision in relation to the objection, the Commissioner must give the objector the opportunity to give additional information in relation to that objection.</w:t>
      </w:r>
    </w:p>
    <w:p>
      <w:pPr>
        <w:pStyle w:val="Footnotesection"/>
      </w:pPr>
      <w:r>
        <w:tab/>
        <w:t>[Section 18 amended by No. 58 of 2010 s. 22 and 31.]</w:t>
      </w:r>
    </w:p>
    <w:p>
      <w:pPr>
        <w:pStyle w:val="Heading5"/>
        <w:rPr>
          <w:snapToGrid w:val="0"/>
        </w:rPr>
      </w:pPr>
      <w:bookmarkStart w:id="10" w:name="_Toc378945319"/>
      <w:r>
        <w:rPr>
          <w:rStyle w:val="CharSectno"/>
        </w:rPr>
        <w:t>19</w:t>
      </w:r>
      <w:r>
        <w:rPr>
          <w:snapToGrid w:val="0"/>
        </w:rPr>
        <w:t>.</w:t>
      </w:r>
      <w:r>
        <w:rPr>
          <w:snapToGrid w:val="0"/>
        </w:rPr>
        <w:tab/>
        <w:t>Grant of licence</w:t>
      </w:r>
      <w:bookmarkEnd w:id="10"/>
    </w:p>
    <w:p>
      <w:pPr>
        <w:pStyle w:val="Subsection"/>
        <w:rPr>
          <w:snapToGrid w:val="0"/>
        </w:rPr>
      </w:pPr>
      <w:r>
        <w:rPr>
          <w:snapToGrid w:val="0"/>
        </w:rPr>
        <w:tab/>
      </w:r>
      <w:r>
        <w:rPr>
          <w:snapToGrid w:val="0"/>
        </w:rPr>
        <w:tab/>
        <w:t xml:space="preserve">The </w:t>
      </w:r>
      <w:r>
        <w:t>Commissioner</w:t>
      </w:r>
      <w:r>
        <w:rPr>
          <w:snapToGrid w:val="0"/>
        </w:rPr>
        <w:t xml:space="preserve"> may grant a licence to any person who satisfies the </w:t>
      </w:r>
      <w:r>
        <w:t>Commissioner, by such evidence as the Commissioner</w:t>
      </w:r>
      <w:r>
        <w:rPr>
          <w:snapToGrid w:val="0"/>
        </w:rPr>
        <w:t xml:space="preserve"> may require that he is a person of good character and repute and is competent to carry out the duties of a licensed valuer and who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a member of the</w:t>
      </w:r>
      <w:r>
        <w:t xml:space="preserve"> Australian Property Institute</w:t>
      </w:r>
      <w:r>
        <w:rPr>
          <w:snapToGrid w:val="0"/>
        </w:rPr>
        <w:t>; or</w:t>
      </w:r>
    </w:p>
    <w:p>
      <w:pPr>
        <w:pStyle w:val="Indenta"/>
        <w:keepNext/>
        <w:rPr>
          <w:snapToGrid w:val="0"/>
        </w:rPr>
      </w:pPr>
      <w:r>
        <w:rPr>
          <w:snapToGrid w:val="0"/>
        </w:rPr>
        <w:tab/>
        <w:t>(c)</w:t>
      </w:r>
      <w:r>
        <w:rPr>
          <w:snapToGrid w:val="0"/>
        </w:rPr>
        <w:tab/>
        <w:t>is the holder of a prescribed degree, diploma, certificate or other award and has had, in the opinion of the</w:t>
      </w:r>
      <w:r>
        <w:t xml:space="preserve"> Commissioner</w:t>
      </w:r>
      <w:r>
        <w:rPr>
          <w:snapToGrid w:val="0"/>
        </w:rPr>
        <w:t>, —</w:t>
      </w:r>
    </w:p>
    <w:p>
      <w:pPr>
        <w:pStyle w:val="Indenti"/>
        <w:rPr>
          <w:snapToGrid w:val="0"/>
        </w:rPr>
      </w:pPr>
      <w:r>
        <w:rPr>
          <w:snapToGrid w:val="0"/>
        </w:rPr>
        <w:tab/>
        <w:t>(i)</w:t>
      </w:r>
      <w:r>
        <w:rPr>
          <w:snapToGrid w:val="0"/>
        </w:rPr>
        <w:tab/>
        <w:t xml:space="preserve">satisfactory practical experience in the valuation of land, for the period of </w:t>
      </w:r>
      <w:r>
        <w:t>2 years</w:t>
      </w:r>
      <w:r>
        <w:rPr>
          <w:snapToGrid w:val="0"/>
        </w:rPr>
        <w:t xml:space="preserve"> immediately preceding the date of his application; and</w:t>
      </w:r>
    </w:p>
    <w:p>
      <w:pPr>
        <w:pStyle w:val="Indenti"/>
        <w:rPr>
          <w:snapToGrid w:val="0"/>
        </w:rPr>
      </w:pPr>
      <w:r>
        <w:rPr>
          <w:snapToGrid w:val="0"/>
        </w:rPr>
        <w:tab/>
        <w:t>(ii)</w:t>
      </w:r>
      <w:r>
        <w:rPr>
          <w:snapToGrid w:val="0"/>
        </w:rPr>
        <w:tab/>
        <w:t>a total of not less than 4 years’ satisfactory practical experience in the valuation of land within the period of 10 years immediately preceding the date of his application;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previously held a licence under this Act within the period of 5 years immediately preceding the date of his application.</w:t>
      </w:r>
    </w:p>
    <w:p>
      <w:pPr>
        <w:pStyle w:val="Footnotesection"/>
      </w:pPr>
      <w:r>
        <w:tab/>
        <w:t>[Section 19 amended by No. 74 of 2003 s. 74(3); No. 55 of 2004 s. 593; No. 58 of 2010 s. 31.]</w:t>
      </w:r>
    </w:p>
    <w:p>
      <w:pPr>
        <w:pStyle w:val="Heading5"/>
      </w:pPr>
      <w:bookmarkStart w:id="11" w:name="_Toc378945320"/>
      <w:r>
        <w:rPr>
          <w:rStyle w:val="CharSectno"/>
        </w:rPr>
        <w:t>19A.</w:t>
      </w:r>
      <w:r>
        <w:tab/>
        <w:t>Unopposed applications</w:t>
      </w:r>
      <w:bookmarkEnd w:id="11"/>
    </w:p>
    <w:p>
      <w:pPr>
        <w:pStyle w:val="Subsection"/>
        <w:rPr>
          <w:snapToGrid w:val="0"/>
        </w:rPr>
      </w:pPr>
      <w:r>
        <w:rPr>
          <w:snapToGrid w:val="0"/>
        </w:rPr>
        <w:tab/>
        <w:t>(1)</w:t>
      </w:r>
      <w:r>
        <w:rPr>
          <w:snapToGrid w:val="0"/>
        </w:rPr>
        <w:tab/>
        <w:t xml:space="preserve">Subject to this Part, a licence may be granted (as long as there is no objection) by the </w:t>
      </w:r>
      <w:r>
        <w:t>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to the applicant.</w:t>
      </w:r>
    </w:p>
    <w:p>
      <w:pPr>
        <w:pStyle w:val="Footnotesection"/>
      </w:pPr>
      <w:r>
        <w:tab/>
        <w:t>[Section 19A inserted by No. 55 of 2004 s. 594; amended by No. 58 of 2010 s. 23 and 31.]</w:t>
      </w:r>
    </w:p>
    <w:p>
      <w:pPr>
        <w:pStyle w:val="Heading5"/>
        <w:rPr>
          <w:snapToGrid w:val="0"/>
        </w:rPr>
      </w:pPr>
      <w:bookmarkStart w:id="12" w:name="_Toc378945321"/>
      <w:r>
        <w:rPr>
          <w:rStyle w:val="CharSectno"/>
        </w:rPr>
        <w:t>20</w:t>
      </w:r>
      <w:r>
        <w:rPr>
          <w:snapToGrid w:val="0"/>
        </w:rPr>
        <w:t>.</w:t>
      </w:r>
      <w:r>
        <w:rPr>
          <w:snapToGrid w:val="0"/>
        </w:rPr>
        <w:tab/>
        <w:t>Fee for licences and oath by licensees</w:t>
      </w:r>
      <w:bookmarkEnd w:id="12"/>
    </w:p>
    <w:p>
      <w:pPr>
        <w:pStyle w:val="Subsection"/>
        <w:keepNext/>
        <w:rPr>
          <w:snapToGrid w:val="0"/>
        </w:rPr>
      </w:pPr>
      <w:r>
        <w:rPr>
          <w:snapToGrid w:val="0"/>
        </w:rPr>
        <w:tab/>
      </w:r>
      <w:r>
        <w:rPr>
          <w:snapToGrid w:val="0"/>
        </w:rPr>
        <w:tab/>
        <w:t>A person who has applied for and is qualified to hold, a licence shall, before being granted a licence —</w:t>
      </w:r>
    </w:p>
    <w:p>
      <w:pPr>
        <w:pStyle w:val="Indenta"/>
        <w:rPr>
          <w:snapToGrid w:val="0"/>
        </w:rPr>
      </w:pPr>
      <w:r>
        <w:rPr>
          <w:snapToGrid w:val="0"/>
        </w:rPr>
        <w:tab/>
        <w:t>(a)</w:t>
      </w:r>
      <w:r>
        <w:rPr>
          <w:snapToGrid w:val="0"/>
        </w:rPr>
        <w:tab/>
        <w:t xml:space="preserve">pay to the </w:t>
      </w:r>
      <w:r>
        <w:t>Commissioner</w:t>
      </w:r>
      <w:r>
        <w:rPr>
          <w:snapToGrid w:val="0"/>
        </w:rPr>
        <w:t xml:space="preserve"> the prescribed fee for the licence; and</w:t>
      </w:r>
    </w:p>
    <w:p>
      <w:pPr>
        <w:pStyle w:val="Indenta"/>
        <w:rPr>
          <w:snapToGrid w:val="0"/>
        </w:rPr>
      </w:pPr>
      <w:r>
        <w:rPr>
          <w:snapToGrid w:val="0"/>
        </w:rPr>
        <w:tab/>
        <w:t>(b)</w:t>
      </w:r>
      <w:r>
        <w:rPr>
          <w:snapToGrid w:val="0"/>
        </w:rPr>
        <w:tab/>
        <w:t>make on oath or affirmation a declaration in an approved form that he will make every valuation impartially.</w:t>
      </w:r>
    </w:p>
    <w:p>
      <w:pPr>
        <w:pStyle w:val="Footnotesection"/>
      </w:pPr>
      <w:r>
        <w:tab/>
        <w:t>[Section 20 amended by No. 58 of 2010 s. 31.]</w:t>
      </w:r>
    </w:p>
    <w:p>
      <w:pPr>
        <w:pStyle w:val="Heading5"/>
      </w:pPr>
      <w:bookmarkStart w:id="13" w:name="_Toc378945322"/>
      <w:r>
        <w:rPr>
          <w:rStyle w:val="CharSectno"/>
        </w:rPr>
        <w:t>20A</w:t>
      </w:r>
      <w:r>
        <w:t>.</w:t>
      </w:r>
      <w:r>
        <w:tab/>
        <w:t>SAT may suspend licence in some cases</w:t>
      </w:r>
      <w:bookmarkEnd w:id="13"/>
    </w:p>
    <w:p>
      <w:pPr>
        <w:pStyle w:val="Subsection"/>
        <w:rPr>
          <w:snapToGrid w:val="0"/>
        </w:rPr>
      </w:pPr>
      <w:r>
        <w:rPr>
          <w:snapToGrid w:val="0"/>
        </w:rPr>
        <w:tab/>
        <w:t>(1)</w:t>
      </w:r>
      <w:r>
        <w:rPr>
          <w:snapToGrid w:val="0"/>
        </w:rPr>
        <w:tab/>
        <w:t>Where the State Administrative Tribunal makes an order against a licensed valuer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20A inserted by No. 55 of 2004 s. 595.]</w:t>
      </w:r>
    </w:p>
    <w:p>
      <w:pPr>
        <w:pStyle w:val="Heading5"/>
        <w:rPr>
          <w:snapToGrid w:val="0"/>
        </w:rPr>
      </w:pPr>
      <w:bookmarkStart w:id="14" w:name="_Toc378945323"/>
      <w:r>
        <w:rPr>
          <w:rStyle w:val="CharSectno"/>
        </w:rPr>
        <w:t>21</w:t>
      </w:r>
      <w:r>
        <w:rPr>
          <w:snapToGrid w:val="0"/>
        </w:rPr>
        <w:t>.</w:t>
      </w:r>
      <w:r>
        <w:rPr>
          <w:snapToGrid w:val="0"/>
        </w:rPr>
        <w:tab/>
        <w:t>Expiry and surrender of licence</w:t>
      </w:r>
      <w:bookmarkEnd w:id="14"/>
    </w:p>
    <w:p>
      <w:pPr>
        <w:pStyle w:val="Subsection"/>
        <w:rPr>
          <w:snapToGrid w:val="0"/>
        </w:rPr>
      </w:pPr>
      <w:r>
        <w:rPr>
          <w:snapToGrid w:val="0"/>
        </w:rPr>
        <w:tab/>
        <w:t>(1)</w:t>
      </w:r>
      <w:r>
        <w:rPr>
          <w:snapToGrid w:val="0"/>
        </w:rPr>
        <w:tab/>
        <w:t xml:space="preserve">On granting a licence the </w:t>
      </w:r>
      <w:r>
        <w:t>Commissioner</w:t>
      </w:r>
      <w:r>
        <w:rPr>
          <w:snapToGrid w:val="0"/>
        </w:rPr>
        <w:t xml:space="preserve"> shall fix a period, not exceeding the period prescribed, during which the licence is to have effect.</w:t>
      </w:r>
    </w:p>
    <w:p>
      <w:pPr>
        <w:pStyle w:val="Subsection"/>
        <w:rPr>
          <w:snapToGrid w:val="0"/>
        </w:rPr>
      </w:pPr>
      <w:r>
        <w:rPr>
          <w:snapToGrid w:val="0"/>
        </w:rPr>
        <w:tab/>
        <w:t>(1a)</w:t>
      </w:r>
      <w:r>
        <w:rPr>
          <w:snapToGrid w:val="0"/>
        </w:rPr>
        <w:tab/>
        <w:t>Subject to section 28, unless sooner surrendered a licence shall have effect for the period fixed under subsection (1) and may be renewed under section 22.</w:t>
      </w:r>
    </w:p>
    <w:p>
      <w:pPr>
        <w:pStyle w:val="Subsection"/>
        <w:spacing w:before="150"/>
        <w:rPr>
          <w:snapToGrid w:val="0"/>
        </w:rPr>
      </w:pPr>
      <w:r>
        <w:rPr>
          <w:snapToGrid w:val="0"/>
        </w:rPr>
        <w:tab/>
        <w:t>(2)</w:t>
      </w:r>
      <w:r>
        <w:rPr>
          <w:snapToGrid w:val="0"/>
        </w:rPr>
        <w:tab/>
        <w:t>A person may at any time surrender a licence and the licence shall thereupon become and be void and of no effect.</w:t>
      </w:r>
    </w:p>
    <w:p>
      <w:pPr>
        <w:pStyle w:val="Subsection"/>
        <w:spacing w:before="150"/>
        <w:rPr>
          <w:snapToGrid w:val="0"/>
        </w:rPr>
      </w:pPr>
      <w:r>
        <w:rPr>
          <w:snapToGrid w:val="0"/>
        </w:rPr>
        <w:tab/>
        <w:t>(3)</w:t>
      </w:r>
      <w:r>
        <w:rPr>
          <w:snapToGrid w:val="0"/>
        </w:rPr>
        <w:tab/>
        <w:t xml:space="preserve">Despite the surrender by a person of a licence, this Act </w:t>
      </w:r>
      <w:r>
        <w:t xml:space="preserve">and the </w:t>
      </w:r>
      <w:r>
        <w:rPr>
          <w:i/>
          <w:iCs/>
        </w:rPr>
        <w:t>Fair Trading Act 2010</w:t>
      </w:r>
      <w:r>
        <w:t xml:space="preserve"> apply, </w:t>
      </w:r>
      <w:r>
        <w:rPr>
          <w:snapToGrid w:val="0"/>
        </w:rPr>
        <w:t>for the purpose of enabling the person to be investigated or otherwise dealt with for a matter arising before the surrender, as if the licence had not been surrendered.</w:t>
      </w:r>
    </w:p>
    <w:p>
      <w:pPr>
        <w:pStyle w:val="Footnotesection"/>
        <w:spacing w:before="100"/>
        <w:ind w:left="890" w:hanging="890"/>
      </w:pPr>
      <w:r>
        <w:tab/>
        <w:t>[Section 21 amended by No. 56 of 1995 s. 28; No. 55 of 2004 s. 596; No. 58 of 2010 s. 24 and 31.]</w:t>
      </w:r>
    </w:p>
    <w:p>
      <w:pPr>
        <w:pStyle w:val="Heading5"/>
        <w:rPr>
          <w:snapToGrid w:val="0"/>
        </w:rPr>
      </w:pPr>
      <w:bookmarkStart w:id="15" w:name="_Toc378945324"/>
      <w:r>
        <w:rPr>
          <w:rStyle w:val="CharSectno"/>
        </w:rPr>
        <w:t>22</w:t>
      </w:r>
      <w:r>
        <w:rPr>
          <w:snapToGrid w:val="0"/>
        </w:rPr>
        <w:t>.</w:t>
      </w:r>
      <w:r>
        <w:rPr>
          <w:snapToGrid w:val="0"/>
        </w:rPr>
        <w:tab/>
        <w:t>Renewal of licence</w:t>
      </w:r>
      <w:bookmarkEnd w:id="15"/>
    </w:p>
    <w:p>
      <w:pPr>
        <w:pStyle w:val="Subsection"/>
        <w:spacing w:before="140"/>
        <w:rPr>
          <w:snapToGrid w:val="0"/>
        </w:rPr>
      </w:pPr>
      <w:r>
        <w:rPr>
          <w:snapToGrid w:val="0"/>
        </w:rPr>
        <w:tab/>
        <w:t>(1)</w:t>
      </w:r>
      <w:r>
        <w:rPr>
          <w:snapToGrid w:val="0"/>
        </w:rPr>
        <w:tab/>
        <w:t xml:space="preserve">Where the holder of a licence applies to the </w:t>
      </w:r>
      <w:r>
        <w:t>Commissioner</w:t>
      </w:r>
      <w:r>
        <w:rPr>
          <w:snapToGrid w:val="0"/>
        </w:rPr>
        <w:t xml:space="preserve"> for the renewal of that licence and pays to the </w:t>
      </w:r>
      <w:r>
        <w:t>Commissioner</w:t>
      </w:r>
      <w:r>
        <w:rPr>
          <w:snapToGrid w:val="0"/>
        </w:rPr>
        <w:t xml:space="preserve"> the prescribed fee, the </w:t>
      </w:r>
      <w:r>
        <w:t>Commissioner may</w:t>
      </w:r>
      <w:r>
        <w:rPr>
          <w:snapToGrid w:val="0"/>
        </w:rPr>
        <w:t xml:space="preserve"> renew the licence for a further prescribed period.</w:t>
      </w:r>
    </w:p>
    <w:p>
      <w:pPr>
        <w:pStyle w:val="Subsection"/>
        <w:keepNext/>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an application is made after, but within 28 days of, the day on which the licence expired; and</w:t>
      </w:r>
    </w:p>
    <w:p>
      <w:pPr>
        <w:pStyle w:val="Indenta"/>
        <w:spacing w:before="60"/>
        <w:rPr>
          <w:snapToGrid w:val="0"/>
        </w:rPr>
      </w:pPr>
      <w:r>
        <w:rPr>
          <w:snapToGrid w:val="0"/>
        </w:rPr>
        <w:tab/>
        <w:t>(b)</w:t>
      </w:r>
      <w:r>
        <w:rPr>
          <w:snapToGrid w:val="0"/>
        </w:rPr>
        <w:tab/>
        <w:t>the prescribed fee and any amount prescribed by way of penalty for a late application are paid,</w:t>
      </w:r>
    </w:p>
    <w:p>
      <w:pPr>
        <w:pStyle w:val="Subsection"/>
        <w:spacing w:before="120"/>
        <w:rPr>
          <w:snapToGrid w:val="0"/>
        </w:rPr>
      </w:pPr>
      <w:r>
        <w:rPr>
          <w:snapToGrid w:val="0"/>
        </w:rPr>
        <w:tab/>
      </w:r>
      <w:r>
        <w:rPr>
          <w:snapToGrid w:val="0"/>
        </w:rPr>
        <w:tab/>
        <w:t xml:space="preserve">the </w:t>
      </w:r>
      <w:r>
        <w:t>Commissioner may</w:t>
      </w:r>
      <w:r>
        <w:rPr>
          <w:snapToGrid w:val="0"/>
        </w:rPr>
        <w:t xml:space="preserve"> renew that licence for the period prescribed.</w:t>
      </w:r>
    </w:p>
    <w:p>
      <w:pPr>
        <w:pStyle w:val="Subsection"/>
        <w:spacing w:before="140"/>
        <w:rPr>
          <w:snapToGrid w:val="0"/>
        </w:rPr>
      </w:pPr>
      <w:r>
        <w:rPr>
          <w:snapToGrid w:val="0"/>
        </w:rPr>
        <w:tab/>
        <w:t>(2a)</w:t>
      </w:r>
      <w:r>
        <w:rPr>
          <w:snapToGrid w:val="0"/>
        </w:rPr>
        <w:tab/>
        <w:t>A renewal under subsection (2) shall be taken for all purposes to have taken effect on the day immediately succeeding the day on which the previous licence expired.</w:t>
      </w:r>
    </w:p>
    <w:p>
      <w:pPr>
        <w:pStyle w:val="Subsection"/>
        <w:spacing w:before="140"/>
        <w:rPr>
          <w:snapToGrid w:val="0"/>
        </w:rPr>
      </w:pPr>
      <w:r>
        <w:rPr>
          <w:snapToGrid w:val="0"/>
        </w:rPr>
        <w:tab/>
        <w:t>(3)</w:t>
      </w:r>
      <w:r>
        <w:rPr>
          <w:snapToGrid w:val="0"/>
        </w:rPr>
        <w:tab/>
        <w:t xml:space="preserve">An application for the renewal of a licence shall be made in writing and in a manner and form determined by the </w:t>
      </w:r>
      <w:r>
        <w:t>Commissioner</w:t>
      </w:r>
      <w:r>
        <w:rPr>
          <w:snapToGrid w:val="0"/>
        </w:rPr>
        <w:t xml:space="preserve"> in respect of such an application.</w:t>
      </w:r>
    </w:p>
    <w:p>
      <w:pPr>
        <w:pStyle w:val="Footnotesection"/>
        <w:spacing w:before="100"/>
        <w:ind w:left="890" w:hanging="890"/>
      </w:pPr>
      <w:r>
        <w:tab/>
        <w:t>[Section 22 amended by No. 56 of 1995 s. 29; No. 58 of 2010 s. 25 and 31.]</w:t>
      </w:r>
    </w:p>
    <w:p>
      <w:pPr>
        <w:pStyle w:val="Heading2"/>
      </w:pPr>
      <w:bookmarkStart w:id="16" w:name="_Toc378945325"/>
      <w:r>
        <w:rPr>
          <w:rStyle w:val="CharPartNo"/>
        </w:rPr>
        <w:t>Part IV</w:t>
      </w:r>
      <w:r>
        <w:t> — </w:t>
      </w:r>
      <w:r>
        <w:rPr>
          <w:rStyle w:val="CharPartText"/>
        </w:rPr>
        <w:t>Control of the practice of valuation</w:t>
      </w:r>
      <w:bookmarkEnd w:id="16"/>
    </w:p>
    <w:p>
      <w:pPr>
        <w:pStyle w:val="Heading3"/>
      </w:pPr>
      <w:bookmarkStart w:id="17" w:name="_Toc378945326"/>
      <w:r>
        <w:rPr>
          <w:rStyle w:val="CharDivNo"/>
        </w:rPr>
        <w:t>Division 1</w:t>
      </w:r>
      <w:r>
        <w:rPr>
          <w:snapToGrid w:val="0"/>
        </w:rPr>
        <w:t> — </w:t>
      </w:r>
      <w:r>
        <w:rPr>
          <w:rStyle w:val="CharDivText"/>
        </w:rPr>
        <w:t>General</w:t>
      </w:r>
      <w:bookmarkEnd w:id="17"/>
    </w:p>
    <w:p>
      <w:pPr>
        <w:pStyle w:val="Heading5"/>
        <w:spacing w:before="180"/>
        <w:rPr>
          <w:snapToGrid w:val="0"/>
        </w:rPr>
      </w:pPr>
      <w:bookmarkStart w:id="18" w:name="_Toc378945327"/>
      <w:r>
        <w:rPr>
          <w:rStyle w:val="CharSectno"/>
        </w:rPr>
        <w:t>23</w:t>
      </w:r>
      <w:r>
        <w:rPr>
          <w:snapToGrid w:val="0"/>
        </w:rPr>
        <w:t>.</w:t>
      </w:r>
      <w:r>
        <w:rPr>
          <w:snapToGrid w:val="0"/>
        </w:rPr>
        <w:tab/>
        <w:t>Valuers to be licensed</w:t>
      </w:r>
      <w:bookmarkEnd w:id="18"/>
    </w:p>
    <w:p>
      <w:pPr>
        <w:pStyle w:val="Subsection"/>
        <w:spacing w:before="120"/>
        <w:rPr>
          <w:snapToGrid w:val="0"/>
        </w:rPr>
      </w:pPr>
      <w:r>
        <w:rPr>
          <w:snapToGrid w:val="0"/>
        </w:rPr>
        <w:tab/>
        <w:t>(1)</w:t>
      </w:r>
      <w:r>
        <w:rPr>
          <w:snapToGrid w:val="0"/>
        </w:rPr>
        <w:tab/>
        <w:t>A person shall not carry on business, or by any means hold himself out, or demand or receive commission, reward or other valuable consideration in respect of his services, as a valuer of land unless he is licensed under this Act.</w:t>
      </w:r>
    </w:p>
    <w:p>
      <w:pPr>
        <w:pStyle w:val="Penstart"/>
        <w:spacing w:before="60"/>
        <w:rPr>
          <w:snapToGrid w:val="0"/>
        </w:rPr>
      </w:pPr>
      <w:r>
        <w:rPr>
          <w:snapToGrid w:val="0"/>
        </w:rPr>
        <w:tab/>
        <w:t>Penalty:</w:t>
      </w:r>
      <w:r>
        <w:t xml:space="preserve"> $50 000.</w:t>
      </w:r>
    </w:p>
    <w:p>
      <w:pPr>
        <w:pStyle w:val="Subsection"/>
        <w:spacing w:before="120"/>
        <w:rPr>
          <w:snapToGrid w:val="0"/>
        </w:rPr>
      </w:pPr>
      <w:r>
        <w:rPr>
          <w:snapToGrid w:val="0"/>
        </w:rPr>
        <w:tab/>
        <w:t>(2)</w:t>
      </w:r>
      <w:r>
        <w:rPr>
          <w:snapToGrid w:val="0"/>
        </w:rPr>
        <w:tab/>
        <w:t>Subsection (1) does not prevent a firm or corporation from carrying on business, or holding itself out, or demanding or receiving commission, reward or other valuable consideration in respect of its services, as a valuer of land so long as every valuation of land supplied by that firm or corporation is made by an officer of the firm or corporation who is licensed under this Act.</w:t>
      </w:r>
    </w:p>
    <w:p>
      <w:pPr>
        <w:pStyle w:val="Subsection"/>
        <w:keepNext/>
        <w:spacing w:before="120"/>
        <w:rPr>
          <w:snapToGrid w:val="0"/>
        </w:rPr>
      </w:pPr>
      <w:r>
        <w:rPr>
          <w:snapToGrid w:val="0"/>
        </w:rPr>
        <w:tab/>
        <w:t>(3)</w:t>
      </w:r>
      <w:r>
        <w:rPr>
          <w:snapToGrid w:val="0"/>
        </w:rPr>
        <w:tab/>
        <w:t>Subsection (1) does not prevent —</w:t>
      </w:r>
    </w:p>
    <w:p>
      <w:pPr>
        <w:pStyle w:val="Indenta"/>
        <w:spacing w:before="60"/>
        <w:rPr>
          <w:snapToGrid w:val="0"/>
        </w:rPr>
      </w:pPr>
      <w:r>
        <w:rPr>
          <w:snapToGrid w:val="0"/>
        </w:rPr>
        <w:tab/>
        <w:t>(a)</w:t>
      </w:r>
      <w:r>
        <w:rPr>
          <w:snapToGrid w:val="0"/>
        </w:rPr>
        <w:tab/>
        <w:t>a student who is undertaking a prescribe course of study in the valuation of land; or</w:t>
      </w:r>
    </w:p>
    <w:p>
      <w:pPr>
        <w:pStyle w:val="Indenta"/>
        <w:spacing w:before="60"/>
        <w:rPr>
          <w:snapToGrid w:val="0"/>
        </w:rPr>
      </w:pPr>
      <w:r>
        <w:rPr>
          <w:snapToGrid w:val="0"/>
        </w:rPr>
        <w:tab/>
        <w:t>(b)</w:t>
      </w:r>
      <w:r>
        <w:rPr>
          <w:snapToGrid w:val="0"/>
        </w:rPr>
        <w:tab/>
        <w:t>a person who is employed as an assistant to a licensed valuer,</w:t>
      </w:r>
    </w:p>
    <w:p>
      <w:pPr>
        <w:pStyle w:val="Subsection"/>
        <w:spacing w:before="120"/>
        <w:rPr>
          <w:snapToGrid w:val="0"/>
        </w:rPr>
      </w:pPr>
      <w:r>
        <w:rPr>
          <w:snapToGrid w:val="0"/>
        </w:rPr>
        <w:tab/>
      </w:r>
      <w:r>
        <w:rPr>
          <w:snapToGrid w:val="0"/>
        </w:rPr>
        <w:tab/>
        <w:t>from performing and discharging, under the supervision of a licensed valuer, functions and duties connected with the valuation of land.</w:t>
      </w:r>
    </w:p>
    <w:p>
      <w:pPr>
        <w:pStyle w:val="Footnotesection"/>
      </w:pPr>
      <w:r>
        <w:tab/>
        <w:t>[Section 23 amended by No. 15 of 1984 s. 5; No. 69 of 2006 s. 17.]</w:t>
      </w:r>
    </w:p>
    <w:p>
      <w:pPr>
        <w:pStyle w:val="Heading5"/>
        <w:spacing w:before="180"/>
        <w:rPr>
          <w:snapToGrid w:val="0"/>
        </w:rPr>
      </w:pPr>
      <w:bookmarkStart w:id="19" w:name="_Toc378945328"/>
      <w:r>
        <w:rPr>
          <w:rStyle w:val="CharSectno"/>
        </w:rPr>
        <w:t>24</w:t>
      </w:r>
      <w:r>
        <w:rPr>
          <w:snapToGrid w:val="0"/>
        </w:rPr>
        <w:t>.</w:t>
      </w:r>
      <w:r>
        <w:rPr>
          <w:snapToGrid w:val="0"/>
        </w:rPr>
        <w:tab/>
        <w:t>False claim of being licensed</w:t>
      </w:r>
      <w:bookmarkEnd w:id="19"/>
    </w:p>
    <w:p>
      <w:pPr>
        <w:pStyle w:val="Subsection"/>
        <w:spacing w:before="120"/>
        <w:rPr>
          <w:snapToGrid w:val="0"/>
        </w:rPr>
      </w:pPr>
      <w:r>
        <w:rPr>
          <w:snapToGrid w:val="0"/>
        </w:rPr>
        <w:tab/>
        <w:t>(1)</w:t>
      </w:r>
      <w:r>
        <w:rPr>
          <w:snapToGrid w:val="0"/>
        </w:rPr>
        <w:tab/>
        <w:t>A person who, not being a licensed valuer, in any way implies that he is licensed under this Act shall be guilty of an offence against this Act.</w:t>
      </w:r>
    </w:p>
    <w:p>
      <w:pPr>
        <w:pStyle w:val="Penstart"/>
        <w:rPr>
          <w:snapToGrid w:val="0"/>
        </w:rPr>
      </w:pPr>
      <w:r>
        <w:rPr>
          <w:snapToGrid w:val="0"/>
        </w:rPr>
        <w:tab/>
        <w:t>Penalty:</w:t>
      </w:r>
      <w:r>
        <w:t xml:space="preserve"> $50 000.</w:t>
      </w:r>
    </w:p>
    <w:p>
      <w:pPr>
        <w:pStyle w:val="Subsection"/>
        <w:spacing w:before="120"/>
        <w:rPr>
          <w:snapToGrid w:val="0"/>
        </w:rPr>
      </w:pPr>
      <w:r>
        <w:rPr>
          <w:snapToGrid w:val="0"/>
        </w:rPr>
        <w:tab/>
        <w:t>(2)</w:t>
      </w:r>
      <w:r>
        <w:rPr>
          <w:snapToGrid w:val="0"/>
        </w:rPr>
        <w:tab/>
        <w:t>Subsection (1) does not prevent a firm or corporation of which at least one officer is a licensed valuer from using the term “licensed valuers”, or otherwise implying in any way that it is able to render the services of a licensed valuer, in a notice or advertisement or in a letterhead or other document so long as the notice, advertisement or document also contains the names of the officer or officers of the firm or corporation who is or are licensed under this Act.</w:t>
      </w:r>
    </w:p>
    <w:p>
      <w:pPr>
        <w:pStyle w:val="Footnotesection"/>
      </w:pPr>
      <w:r>
        <w:tab/>
        <w:t>[Section 24 amended by No. 69 of 2006 s. 18.]</w:t>
      </w:r>
    </w:p>
    <w:p>
      <w:pPr>
        <w:pStyle w:val="Heading5"/>
        <w:spacing w:before="180"/>
        <w:rPr>
          <w:snapToGrid w:val="0"/>
        </w:rPr>
      </w:pPr>
      <w:bookmarkStart w:id="20" w:name="_Toc378945329"/>
      <w:r>
        <w:rPr>
          <w:rStyle w:val="CharSectno"/>
        </w:rPr>
        <w:t>25</w:t>
      </w:r>
      <w:r>
        <w:rPr>
          <w:snapToGrid w:val="0"/>
        </w:rPr>
        <w:t>.</w:t>
      </w:r>
      <w:r>
        <w:rPr>
          <w:snapToGrid w:val="0"/>
        </w:rPr>
        <w:tab/>
        <w:t>Remuneration of licensed valuers</w:t>
      </w:r>
      <w:bookmarkEnd w:id="20"/>
    </w:p>
    <w:p>
      <w:pPr>
        <w:pStyle w:val="Subsection"/>
        <w:rPr>
          <w:snapToGrid w:val="0"/>
        </w:rPr>
      </w:pPr>
      <w:r>
        <w:rPr>
          <w:snapToGrid w:val="0"/>
        </w:rPr>
        <w:tab/>
        <w:t>(1)</w:t>
      </w:r>
      <w:r>
        <w:rPr>
          <w:snapToGrid w:val="0"/>
        </w:rPr>
        <w:tab/>
        <w:t xml:space="preserve">The </w:t>
      </w:r>
      <w:r>
        <w:t>Commissioner</w:t>
      </w:r>
      <w:r>
        <w:rPr>
          <w:snapToGrid w:val="0"/>
        </w:rPr>
        <w:t xml:space="preserve"> may, with the approval of the Minister, from time to time by notice published in the </w:t>
      </w:r>
      <w:r>
        <w:rPr>
          <w:i/>
          <w:snapToGrid w:val="0"/>
        </w:rPr>
        <w:t>Government Gazette</w:t>
      </w:r>
      <w:r>
        <w:rPr>
          <w:snapToGrid w:val="0"/>
        </w:rPr>
        <w:t xml:space="preserve"> fix the maximum amounts of remuneration for the various kinds of services rendered by licensed valuers.</w:t>
      </w:r>
    </w:p>
    <w:p>
      <w:pPr>
        <w:pStyle w:val="Subsection"/>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rPr>
          <w:snapToGrid w:val="0"/>
        </w:rPr>
      </w:pPr>
      <w:r>
        <w:rPr>
          <w:snapToGrid w:val="0"/>
        </w:rPr>
        <w:tab/>
        <w:t>(3)</w:t>
      </w:r>
      <w:r>
        <w:rPr>
          <w:snapToGrid w:val="0"/>
        </w:rPr>
        <w:tab/>
        <w:t>A licensed valuer, or a firm or corporation of which a licensed valuer is an officer, shall not demand or receive, in respect of any service rendered by the licensed valuer, any remuneration that exceeds in value the amount (if any) for the time being fixed under subsection (1) in respect of a service of that kind.</w:t>
      </w:r>
    </w:p>
    <w:p>
      <w:pPr>
        <w:pStyle w:val="Penstart"/>
        <w:rPr>
          <w:snapToGrid w:val="0"/>
        </w:rPr>
      </w:pPr>
      <w:r>
        <w:rPr>
          <w:snapToGrid w:val="0"/>
        </w:rPr>
        <w:tab/>
        <w:t>Penalty:</w:t>
      </w:r>
      <w:r>
        <w:t xml:space="preserve"> $5 000.</w:t>
      </w:r>
    </w:p>
    <w:p>
      <w:pPr>
        <w:pStyle w:val="Subsection"/>
        <w:rPr>
          <w:snapToGrid w:val="0"/>
        </w:rPr>
      </w:pPr>
      <w:r>
        <w:rPr>
          <w:snapToGrid w:val="0"/>
        </w:rPr>
        <w:tab/>
        <w:t>(4)</w:t>
      </w:r>
      <w:r>
        <w:rPr>
          <w:snapToGrid w:val="0"/>
        </w:rPr>
        <w:tab/>
        <w:t>Any remuneration received in contravention of this section may be recovered as a civil debt recoverable summarily in a court of competent jurisdiction.</w:t>
      </w:r>
    </w:p>
    <w:p>
      <w:pPr>
        <w:pStyle w:val="Footnotesection"/>
        <w:spacing w:before="100"/>
        <w:ind w:left="890" w:hanging="890"/>
      </w:pPr>
      <w:r>
        <w:tab/>
        <w:t>[Section 25 amended by No. 15 of 1984 s. 6; No. 69 of 2006 s. 19; No. 58 of 2010 s. 31.]</w:t>
      </w:r>
    </w:p>
    <w:p>
      <w:pPr>
        <w:pStyle w:val="Heading3"/>
        <w:keepLines/>
        <w:spacing w:before="200"/>
      </w:pPr>
      <w:bookmarkStart w:id="21" w:name="_Toc378945330"/>
      <w:r>
        <w:rPr>
          <w:rStyle w:val="CharDivNo"/>
        </w:rPr>
        <w:t>Division 2</w:t>
      </w:r>
      <w:r>
        <w:rPr>
          <w:snapToGrid w:val="0"/>
        </w:rPr>
        <w:t> — </w:t>
      </w:r>
      <w:r>
        <w:rPr>
          <w:rStyle w:val="CharDivText"/>
        </w:rPr>
        <w:t>Discipline</w:t>
      </w:r>
      <w:bookmarkEnd w:id="21"/>
    </w:p>
    <w:p>
      <w:pPr>
        <w:pStyle w:val="Heading5"/>
        <w:spacing w:before="180"/>
        <w:rPr>
          <w:snapToGrid w:val="0"/>
        </w:rPr>
      </w:pPr>
      <w:bookmarkStart w:id="22" w:name="_Toc378945331"/>
      <w:r>
        <w:rPr>
          <w:rStyle w:val="CharSectno"/>
        </w:rPr>
        <w:t>26</w:t>
      </w:r>
      <w:r>
        <w:rPr>
          <w:snapToGrid w:val="0"/>
        </w:rPr>
        <w:t>.</w:t>
      </w:r>
      <w:r>
        <w:rPr>
          <w:snapToGrid w:val="0"/>
        </w:rPr>
        <w:tab/>
        <w:t>Licensed valuers’ code of conduct</w:t>
      </w:r>
      <w:bookmarkEnd w:id="22"/>
    </w:p>
    <w:p>
      <w:pPr>
        <w:pStyle w:val="Subsection"/>
        <w:spacing w:before="120"/>
        <w:rPr>
          <w:snapToGrid w:val="0"/>
        </w:rPr>
      </w:pPr>
      <w:r>
        <w:rPr>
          <w:snapToGrid w:val="0"/>
        </w:rPr>
        <w:tab/>
      </w:r>
      <w:r>
        <w:rPr>
          <w:snapToGrid w:val="0"/>
        </w:rPr>
        <w:tab/>
        <w:t xml:space="preserve">The </w:t>
      </w:r>
      <w:r>
        <w:t>Commissioner</w:t>
      </w:r>
      <w:r>
        <w:rPr>
          <w:snapToGrid w:val="0"/>
        </w:rPr>
        <w:t xml:space="preserve"> may, with the approval of the Minister, from time to time by notice published in the </w:t>
      </w:r>
      <w:r>
        <w:rPr>
          <w:i/>
          <w:snapToGrid w:val="0"/>
        </w:rPr>
        <w:t>Government Gazette</w:t>
      </w:r>
      <w:r>
        <w:rPr>
          <w:snapToGrid w:val="0"/>
        </w:rPr>
        <w:t xml:space="preserve"> lay down a code of conduct for licensed valuers.</w:t>
      </w:r>
    </w:p>
    <w:p>
      <w:pPr>
        <w:pStyle w:val="Footnotesection"/>
        <w:keepLines w:val="0"/>
      </w:pPr>
      <w:r>
        <w:tab/>
        <w:t>[Section 26 inserted by No. 15 of 1984 s. 7; amended by No. 58 of 2010 s. 31.]</w:t>
      </w:r>
    </w:p>
    <w:p>
      <w:pPr>
        <w:pStyle w:val="Heading5"/>
        <w:rPr>
          <w:snapToGrid w:val="0"/>
        </w:rPr>
      </w:pPr>
      <w:bookmarkStart w:id="23" w:name="_Toc378945332"/>
      <w:r>
        <w:rPr>
          <w:rStyle w:val="CharSectno"/>
        </w:rPr>
        <w:t>27</w:t>
      </w:r>
      <w:r>
        <w:rPr>
          <w:snapToGrid w:val="0"/>
        </w:rPr>
        <w:t>.</w:t>
      </w:r>
      <w:r>
        <w:rPr>
          <w:snapToGrid w:val="0"/>
        </w:rPr>
        <w:tab/>
        <w:t>Disciplinary proceedings against licensed valuers</w:t>
      </w:r>
      <w:bookmarkEnd w:id="23"/>
    </w:p>
    <w:p>
      <w:pPr>
        <w:pStyle w:val="Subsection"/>
        <w:rPr>
          <w:snapToGrid w:val="0"/>
        </w:rPr>
      </w:pPr>
      <w:r>
        <w:rPr>
          <w:snapToGrid w:val="0"/>
        </w:rPr>
        <w:tab/>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28(2), against a licensed valuer.</w:t>
      </w:r>
    </w:p>
    <w:p>
      <w:pPr>
        <w:pStyle w:val="Footnotesection"/>
      </w:pPr>
      <w:r>
        <w:tab/>
        <w:t>[Section 27 inserted by No. 55 of 2004 s. 597; amended by No. 58 of 2010 s. 31.]</w:t>
      </w:r>
    </w:p>
    <w:p>
      <w:pPr>
        <w:pStyle w:val="Heading5"/>
        <w:rPr>
          <w:snapToGrid w:val="0"/>
        </w:rPr>
      </w:pPr>
      <w:bookmarkStart w:id="24" w:name="_Toc378945333"/>
      <w:r>
        <w:rPr>
          <w:rStyle w:val="CharSectno"/>
        </w:rPr>
        <w:t>28</w:t>
      </w:r>
      <w:r>
        <w:rPr>
          <w:snapToGrid w:val="0"/>
        </w:rPr>
        <w:t>.</w:t>
      </w:r>
      <w:r>
        <w:rPr>
          <w:snapToGrid w:val="0"/>
        </w:rPr>
        <w:tab/>
        <w:t>SAT’s powers on disciplinary proceedings</w:t>
      </w:r>
      <w:bookmarkEnd w:id="24"/>
    </w:p>
    <w:p>
      <w:pPr>
        <w:pStyle w:val="Subsection"/>
        <w:rPr>
          <w:snapToGrid w:val="0"/>
        </w:rPr>
      </w:pPr>
      <w:r>
        <w:rPr>
          <w:snapToGrid w:val="0"/>
        </w:rPr>
        <w:tab/>
        <w:t>(1)</w:t>
      </w:r>
      <w:r>
        <w:rPr>
          <w:snapToGrid w:val="0"/>
        </w:rPr>
        <w:tab/>
        <w:t>If, in a proceeding commenced by an allegation under section 27 against a licensed valuer,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licensed valuer;</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in addition, disqualify him either temporarily or permanently, or until the fulfilment of any condition which may be imposed by the Tribunal, from holding a licence.</w:t>
      </w:r>
    </w:p>
    <w:p>
      <w:pPr>
        <w:pStyle w:val="Subsection"/>
        <w:keepNext/>
        <w:rPr>
          <w:snapToGrid w:val="0"/>
        </w:rPr>
      </w:pPr>
      <w:r>
        <w:rPr>
          <w:snapToGrid w:val="0"/>
        </w:rPr>
        <w:tab/>
        <w:t>(2)</w:t>
      </w:r>
      <w:r>
        <w:rPr>
          <w:snapToGrid w:val="0"/>
        </w:rPr>
        <w:tab/>
        <w:t>There shall be proper cause for disciplinary action if —</w:t>
      </w:r>
    </w:p>
    <w:p>
      <w:pPr>
        <w:pStyle w:val="Indenta"/>
        <w:rPr>
          <w:snapToGrid w:val="0"/>
        </w:rPr>
      </w:pPr>
      <w:r>
        <w:rPr>
          <w:snapToGrid w:val="0"/>
        </w:rPr>
        <w:tab/>
        <w:t>(a)</w:t>
      </w:r>
      <w:r>
        <w:rPr>
          <w:snapToGrid w:val="0"/>
        </w:rPr>
        <w:tab/>
        <w:t>the licensed valuer improperly obtained a licence; or</w:t>
      </w:r>
    </w:p>
    <w:p>
      <w:pPr>
        <w:pStyle w:val="Indenta"/>
        <w:rPr>
          <w:snapToGrid w:val="0"/>
        </w:rPr>
      </w:pPr>
      <w:r>
        <w:rPr>
          <w:snapToGrid w:val="0"/>
        </w:rPr>
        <w:tab/>
        <w:t>(b)</w:t>
      </w:r>
      <w:r>
        <w:rPr>
          <w:snapToGrid w:val="0"/>
        </w:rPr>
        <w:tab/>
        <w:t>the licensed valuer has been guilty of negligence or incompetence in making a valuation of land; or</w:t>
      </w:r>
    </w:p>
    <w:p>
      <w:pPr>
        <w:pStyle w:val="Indenta"/>
        <w:rPr>
          <w:snapToGrid w:val="0"/>
        </w:rPr>
      </w:pPr>
      <w:r>
        <w:rPr>
          <w:snapToGrid w:val="0"/>
        </w:rPr>
        <w:tab/>
        <w:t>(c)</w:t>
      </w:r>
      <w:r>
        <w:rPr>
          <w:snapToGrid w:val="0"/>
        </w:rPr>
        <w:tab/>
        <w:t>the licensed valuer is acting or has acted in breach of the licensed valuers code of conduct; or</w:t>
      </w:r>
    </w:p>
    <w:p>
      <w:pPr>
        <w:pStyle w:val="Indenta"/>
        <w:rPr>
          <w:snapToGrid w:val="0"/>
        </w:rPr>
      </w:pPr>
      <w:r>
        <w:rPr>
          <w:snapToGrid w:val="0"/>
        </w:rPr>
        <w:tab/>
        <w:t>(d)</w:t>
      </w:r>
      <w:r>
        <w:rPr>
          <w:snapToGrid w:val="0"/>
        </w:rPr>
        <w:tab/>
        <w:t>any other cause exists that renders the licensed valuer unfit to hold a licence.</w:t>
      </w:r>
    </w:p>
    <w:p>
      <w:pPr>
        <w:pStyle w:val="Footnotesection"/>
      </w:pPr>
      <w:r>
        <w:tab/>
        <w:t>[Section 28 amended by No. 55 of 2004 s. 598; No. 69 of 2006 s. 20.]</w:t>
      </w:r>
    </w:p>
    <w:p>
      <w:pPr>
        <w:pStyle w:val="Heading2"/>
      </w:pPr>
      <w:bookmarkStart w:id="25" w:name="_Toc378945334"/>
      <w:r>
        <w:rPr>
          <w:rStyle w:val="CharPartNo"/>
        </w:rPr>
        <w:t>Part V</w:t>
      </w:r>
      <w:r>
        <w:rPr>
          <w:rStyle w:val="CharDivNo"/>
        </w:rPr>
        <w:t> </w:t>
      </w:r>
      <w:r>
        <w:t>—</w:t>
      </w:r>
      <w:r>
        <w:rPr>
          <w:rStyle w:val="CharDivText"/>
        </w:rPr>
        <w:t> </w:t>
      </w:r>
      <w:r>
        <w:rPr>
          <w:rStyle w:val="CharPartText"/>
        </w:rPr>
        <w:t>Miscellaneous</w:t>
      </w:r>
      <w:bookmarkEnd w:id="25"/>
    </w:p>
    <w:p>
      <w:pPr>
        <w:pStyle w:val="Heading5"/>
        <w:spacing w:before="120"/>
        <w:rPr>
          <w:snapToGrid w:val="0"/>
        </w:rPr>
      </w:pPr>
      <w:bookmarkStart w:id="26" w:name="_Toc378945335"/>
      <w:r>
        <w:rPr>
          <w:rStyle w:val="CharSectno"/>
        </w:rPr>
        <w:t>29</w:t>
      </w:r>
      <w:r>
        <w:rPr>
          <w:snapToGrid w:val="0"/>
        </w:rPr>
        <w:t>.</w:t>
      </w:r>
      <w:r>
        <w:rPr>
          <w:snapToGrid w:val="0"/>
        </w:rPr>
        <w:tab/>
        <w:t>Register of licensed valuers</w:t>
      </w:r>
      <w:bookmarkEnd w:id="26"/>
    </w:p>
    <w:p>
      <w:pPr>
        <w:pStyle w:val="Subsection"/>
        <w:rPr>
          <w:snapToGrid w:val="0"/>
        </w:rPr>
      </w:pPr>
      <w:r>
        <w:rPr>
          <w:snapToGrid w:val="0"/>
        </w:rPr>
        <w:tab/>
        <w:t>(1)</w:t>
      </w:r>
      <w:r>
        <w:rPr>
          <w:snapToGrid w:val="0"/>
        </w:rPr>
        <w:tab/>
        <w:t xml:space="preserve">The </w:t>
      </w:r>
      <w:r>
        <w:t>Commissioner</w:t>
      </w:r>
      <w:r>
        <w:rPr>
          <w:snapToGrid w:val="0"/>
        </w:rPr>
        <w:t xml:space="preserve"> shall keep a register of licensed valuers.</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 any prescribed particulars.</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register the name of every licensed valuer who dies or ceases for any reason to be licensed under this Act.</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 make it available for the inspection of that person.</w:t>
      </w:r>
    </w:p>
    <w:p>
      <w:pPr>
        <w:pStyle w:val="Footnotesection"/>
      </w:pPr>
      <w:r>
        <w:tab/>
        <w:t>[Section 29 amended by No. 58 of 2010 s. 31.]</w:t>
      </w:r>
    </w:p>
    <w:p>
      <w:pPr>
        <w:pStyle w:val="Heading5"/>
        <w:spacing w:before="120"/>
        <w:rPr>
          <w:snapToGrid w:val="0"/>
        </w:rPr>
      </w:pPr>
      <w:bookmarkStart w:id="27" w:name="_Toc378945336"/>
      <w:r>
        <w:rPr>
          <w:rStyle w:val="CharSectno"/>
        </w:rPr>
        <w:t>29A</w:t>
      </w:r>
      <w:r>
        <w:rPr>
          <w:snapToGrid w:val="0"/>
        </w:rPr>
        <w:t>.</w:t>
      </w:r>
      <w:r>
        <w:rPr>
          <w:snapToGrid w:val="0"/>
        </w:rPr>
        <w:tab/>
        <w:t>Change of particulars, licensee to notify Commissioner</w:t>
      </w:r>
      <w:bookmarkEnd w:id="27"/>
    </w:p>
    <w:p>
      <w:pPr>
        <w:pStyle w:val="Subsection"/>
        <w:rPr>
          <w:snapToGrid w:val="0"/>
        </w:rPr>
      </w:pPr>
      <w:r>
        <w:rPr>
          <w:snapToGrid w:val="0"/>
        </w:rPr>
        <w:tab/>
        <w:t>(1)</w:t>
      </w:r>
      <w:r>
        <w:rPr>
          <w:snapToGrid w:val="0"/>
        </w:rPr>
        <w:tab/>
        <w:t xml:space="preserve">A licensed valuer shall give written notice to the </w:t>
      </w:r>
      <w:r>
        <w:t>Commissioner</w:t>
      </w:r>
      <w:r>
        <w:rPr>
          <w:snapToGrid w:val="0"/>
        </w:rPr>
        <w:t xml:space="preserve"> of any change in the particulars specified in the register in respect of that valuer as soon as practicable after that change takes place.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The </w:t>
      </w:r>
      <w:r>
        <w:t>Commissioner</w:t>
      </w:r>
      <w:r>
        <w:rPr>
          <w:snapToGrid w:val="0"/>
        </w:rPr>
        <w:t xml:space="preserve"> shall enter in the register details of any change notified under subsection (1).</w:t>
      </w:r>
    </w:p>
    <w:p>
      <w:pPr>
        <w:pStyle w:val="Footnotesection"/>
      </w:pPr>
      <w:r>
        <w:tab/>
        <w:t>[Section 29A inserted by No. 56 of 1995 s. 30; amended by No. 69 of 2006 s. 21; No. 58 of 2010 s. 31.]</w:t>
      </w:r>
    </w:p>
    <w:p>
      <w:pPr>
        <w:pStyle w:val="Heading5"/>
        <w:spacing w:before="120"/>
        <w:rPr>
          <w:snapToGrid w:val="0"/>
        </w:rPr>
      </w:pPr>
      <w:bookmarkStart w:id="28" w:name="_Toc378945337"/>
      <w:r>
        <w:rPr>
          <w:rStyle w:val="CharSectno"/>
        </w:rPr>
        <w:t>30</w:t>
      </w:r>
      <w:r>
        <w:rPr>
          <w:snapToGrid w:val="0"/>
        </w:rPr>
        <w:t>.</w:t>
      </w:r>
      <w:r>
        <w:rPr>
          <w:snapToGrid w:val="0"/>
        </w:rPr>
        <w:tab/>
        <w:t>Names etc. of licensed valuers to be published; evidentiary provisions</w:t>
      </w:r>
      <w:bookmarkEnd w:id="28"/>
    </w:p>
    <w:p>
      <w:pPr>
        <w:pStyle w:val="Subsection"/>
        <w:rPr>
          <w:snapToGrid w:val="0"/>
        </w:rPr>
      </w:pPr>
      <w:r>
        <w:rPr>
          <w:snapToGrid w:val="0"/>
        </w:rPr>
        <w:tab/>
        <w:t>(1)</w:t>
      </w:r>
      <w:r>
        <w:rPr>
          <w:snapToGrid w:val="0"/>
        </w:rPr>
        <w:tab/>
        <w:t xml:space="preserve">A list of the names and descriptions of all persons holding licences on a date specified therein together with such of the particulars appearing in the register as the </w:t>
      </w:r>
      <w:r>
        <w:t>Commissioner</w:t>
      </w:r>
      <w:r>
        <w:rPr>
          <w:snapToGrid w:val="0"/>
        </w:rPr>
        <w:t xml:space="preserve">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 xml:space="preserve">The </w:t>
      </w:r>
      <w:r>
        <w:t>Commissioner</w:t>
      </w:r>
      <w:r>
        <w:rPr>
          <w:snapToGrid w:val="0"/>
        </w:rPr>
        <w:t xml:space="preserve"> may cause supplementary lists to be published.</w:t>
      </w:r>
    </w:p>
    <w:p>
      <w:pPr>
        <w:pStyle w:val="Subsection"/>
        <w:keepLines/>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under this Act on the date of, or a date referred to, in the certificate, or as to any other matter contained in a register, shall, in the absence of proof to the contrary, be taken as proof of the matter so certified.</w:t>
      </w:r>
    </w:p>
    <w:p>
      <w:pPr>
        <w:pStyle w:val="Subsection"/>
        <w:spacing w:before="140"/>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spacing w:before="100"/>
        <w:ind w:left="890" w:hanging="890"/>
      </w:pPr>
      <w:r>
        <w:tab/>
        <w:t>[Section 30 amended by No. 58 of 2010 s. 31.]</w:t>
      </w:r>
    </w:p>
    <w:p>
      <w:pPr>
        <w:pStyle w:val="Heading5"/>
        <w:rPr>
          <w:snapToGrid w:val="0"/>
        </w:rPr>
      </w:pPr>
      <w:bookmarkStart w:id="29" w:name="_Toc378945338"/>
      <w:r>
        <w:rPr>
          <w:rStyle w:val="CharSectno"/>
        </w:rPr>
        <w:t>31</w:t>
      </w:r>
      <w:r>
        <w:rPr>
          <w:snapToGrid w:val="0"/>
        </w:rPr>
        <w:t>.</w:t>
      </w:r>
      <w:r>
        <w:rPr>
          <w:snapToGrid w:val="0"/>
        </w:rPr>
        <w:tab/>
        <w:t>Annual report by department</w:t>
      </w:r>
      <w:bookmarkEnd w:id="29"/>
    </w:p>
    <w:p>
      <w:pPr>
        <w:pStyle w:val="Subsection"/>
        <w:spacing w:before="140"/>
      </w:pPr>
      <w:r>
        <w:tab/>
        <w:t>(1)</w:t>
      </w:r>
      <w:r>
        <w:tab/>
        <w:t>The chief executive officer is to ensure that the matters set out in subsection (1a) are included in the department’s annual report.</w:t>
      </w:r>
    </w:p>
    <w:p>
      <w:pPr>
        <w:pStyle w:val="Subsection"/>
        <w:spacing w:before="140"/>
      </w:pPr>
      <w:r>
        <w:tab/>
        <w:t>(1a)</w:t>
      </w:r>
      <w:r>
        <w:tab/>
        <w:t>The department’s annual report is to include details of —</w:t>
      </w:r>
    </w:p>
    <w:p>
      <w:pPr>
        <w:pStyle w:val="Indenta"/>
        <w:spacing w:before="60"/>
      </w:pPr>
      <w:r>
        <w:tab/>
        <w:t>(a)</w:t>
      </w:r>
      <w:r>
        <w:tab/>
        <w:t>the number, nature, and outcome, of —</w:t>
      </w:r>
    </w:p>
    <w:p>
      <w:pPr>
        <w:pStyle w:val="Indenti"/>
        <w:spacing w:before="60"/>
      </w:pPr>
      <w:r>
        <w:tab/>
        <w:t>(i)</w:t>
      </w:r>
      <w:r>
        <w:tab/>
        <w:t>investigations and inquiries undertaken by, or at the direction of, the Commissioner; and</w:t>
      </w:r>
    </w:p>
    <w:p>
      <w:pPr>
        <w:pStyle w:val="Indenti"/>
        <w:spacing w:before="60"/>
      </w:pPr>
      <w:r>
        <w:tab/>
        <w:t>(ii)</w:t>
      </w:r>
      <w:r>
        <w:tab/>
        <w:t xml:space="preserve">matters that have been brought before the </w:t>
      </w:r>
      <w:r>
        <w:rPr>
          <w:snapToGrid w:val="0"/>
        </w:rPr>
        <w:t>State Administrative Tribunal by the</w:t>
      </w:r>
      <w:r>
        <w:t xml:space="preserve"> Commissioner;</w:t>
      </w:r>
    </w:p>
    <w:p>
      <w:pPr>
        <w:pStyle w:val="Indenta"/>
        <w:spacing w:before="60"/>
      </w:pPr>
      <w:r>
        <w:tab/>
      </w:r>
      <w:r>
        <w:tab/>
        <w:t>and</w:t>
      </w:r>
    </w:p>
    <w:p>
      <w:pPr>
        <w:pStyle w:val="Indenta"/>
        <w:spacing w:before="60"/>
      </w:pPr>
      <w:r>
        <w:tab/>
        <w:t>(b)</w:t>
      </w:r>
      <w:r>
        <w:tab/>
        <w:t>the number and nature of matters referred to in paragraph (a) that are outstanding; and</w:t>
      </w:r>
    </w:p>
    <w:p>
      <w:pPr>
        <w:pStyle w:val="Indenta"/>
        <w:spacing w:before="60"/>
      </w:pPr>
      <w:r>
        <w:tab/>
        <w:t>(c)</w:t>
      </w:r>
      <w:r>
        <w:tab/>
        <w:t>any trends or special problems that may have emerged; and</w:t>
      </w:r>
    </w:p>
    <w:p>
      <w:pPr>
        <w:pStyle w:val="Indenta"/>
        <w:spacing w:before="60"/>
      </w:pPr>
      <w:r>
        <w:tab/>
        <w:t>(d)</w:t>
      </w:r>
      <w:r>
        <w:tab/>
        <w:t>forecasts of the workload of the Commissioner in the year after the year to which the report relates; and</w:t>
      </w:r>
    </w:p>
    <w:p>
      <w:pPr>
        <w:pStyle w:val="Indenta"/>
        <w:spacing w:before="60"/>
      </w:pPr>
      <w:r>
        <w:tab/>
        <w:t>(e)</w:t>
      </w:r>
      <w:r>
        <w:tab/>
        <w:t>any proposals for improving the performance of the  Commissioner’s functions.</w:t>
      </w:r>
    </w:p>
    <w:p>
      <w:pPr>
        <w:pStyle w:val="Ednotesubsection"/>
      </w:pPr>
      <w:r>
        <w:tab/>
        <w:t>[(2)</w:t>
      </w:r>
      <w:r>
        <w:tab/>
        <w:t>deleted]</w:t>
      </w:r>
    </w:p>
    <w:p>
      <w:pPr>
        <w:pStyle w:val="Footnotesection"/>
        <w:spacing w:before="100"/>
        <w:ind w:left="890" w:hanging="890"/>
      </w:pPr>
      <w:r>
        <w:tab/>
        <w:t>[Section 31 amended by No. 55 of 2004 s. 599; No. 58 of 2010 s. 26 and 31.]</w:t>
      </w:r>
    </w:p>
    <w:p>
      <w:pPr>
        <w:pStyle w:val="Ednotesection"/>
      </w:pPr>
      <w:r>
        <w:t>[</w:t>
      </w:r>
      <w:r>
        <w:rPr>
          <w:b/>
        </w:rPr>
        <w:t>32.</w:t>
      </w:r>
      <w:r>
        <w:tab/>
        <w:t>Deleted by No. 58 of 2010 s. 27.]</w:t>
      </w:r>
    </w:p>
    <w:p>
      <w:pPr>
        <w:pStyle w:val="Heading5"/>
      </w:pPr>
      <w:bookmarkStart w:id="30" w:name="_Toc378945339"/>
      <w:r>
        <w:rPr>
          <w:rStyle w:val="CharSectno"/>
        </w:rPr>
        <w:t>33</w:t>
      </w:r>
      <w:r>
        <w:t>.</w:t>
      </w:r>
      <w:r>
        <w:tab/>
        <w:t>Confidentiality of information officially obtained</w:t>
      </w:r>
      <w:bookmarkEnd w:id="30"/>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33 inserted by No. 58 of 2010 s. 28.]</w:t>
      </w:r>
    </w:p>
    <w:p>
      <w:pPr>
        <w:pStyle w:val="Heading5"/>
        <w:rPr>
          <w:snapToGrid w:val="0"/>
        </w:rPr>
      </w:pPr>
      <w:bookmarkStart w:id="31" w:name="_Toc378945340"/>
      <w:r>
        <w:rPr>
          <w:rStyle w:val="CharSectno"/>
        </w:rPr>
        <w:t>34</w:t>
      </w:r>
      <w:r>
        <w:rPr>
          <w:snapToGrid w:val="0"/>
        </w:rPr>
        <w:t>.</w:t>
      </w:r>
      <w:r>
        <w:rPr>
          <w:snapToGrid w:val="0"/>
        </w:rPr>
        <w:tab/>
        <w:t>Offences by corporations</w:t>
      </w:r>
      <w:bookmarkEnd w:id="31"/>
    </w:p>
    <w:p>
      <w:pPr>
        <w:pStyle w:val="Subsection"/>
        <w:rPr>
          <w:snapToGrid w:val="0"/>
        </w:rPr>
      </w:pPr>
      <w:r>
        <w:rPr>
          <w:snapToGrid w:val="0"/>
        </w:rPr>
        <w:tab/>
      </w:r>
      <w:r>
        <w:rPr>
          <w:snapToGrid w:val="0"/>
        </w:rPr>
        <w:tab/>
        <w:t>Where a corporation is guilty of an offence against this Act any officer of the corporation who was knowingly a party to the commission of that offence is also guilty of that offence.</w:t>
      </w:r>
    </w:p>
    <w:p>
      <w:pPr>
        <w:pStyle w:val="Heading5"/>
        <w:rPr>
          <w:snapToGrid w:val="0"/>
        </w:rPr>
      </w:pPr>
      <w:bookmarkStart w:id="32" w:name="_Toc378945341"/>
      <w:r>
        <w:rPr>
          <w:rStyle w:val="CharSectno"/>
        </w:rPr>
        <w:t>35</w:t>
      </w:r>
      <w:r>
        <w:rPr>
          <w:snapToGrid w:val="0"/>
        </w:rPr>
        <w:t>.</w:t>
      </w:r>
      <w:r>
        <w:rPr>
          <w:snapToGrid w:val="0"/>
        </w:rPr>
        <w:tab/>
        <w:t>Proceedings for offences</w:t>
      </w:r>
      <w:bookmarkEnd w:id="32"/>
    </w:p>
    <w:p>
      <w:pPr>
        <w:pStyle w:val="Subsection"/>
        <w:rPr>
          <w:snapToGrid w:val="0"/>
        </w:rPr>
      </w:pPr>
      <w:r>
        <w:rPr>
          <w:snapToGrid w:val="0"/>
        </w:rPr>
        <w:tab/>
        <w:t>(1)</w:t>
      </w:r>
      <w:r>
        <w:rPr>
          <w:snapToGrid w:val="0"/>
        </w:rPr>
        <w:tab/>
        <w:t>Proceedings for an offence against this Act may be taken by the</w:t>
      </w:r>
      <w:r>
        <w:t xml:space="preserve"> Commissioner</w:t>
      </w:r>
      <w:r>
        <w:rPr>
          <w:snapToGrid w:val="0"/>
        </w:rPr>
        <w:t>.</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under this Act</w:t>
      </w:r>
      <w:r>
        <w:rPr>
          <w:snapToGrid w:val="0"/>
        </w:rPr>
        <w:t xml:space="preserve"> that a person named therein was or was not licensed under this Act at the time specified therein shall, in the absence of proof to the contrary, be taken as proved.</w:t>
      </w:r>
    </w:p>
    <w:p>
      <w:pPr>
        <w:pStyle w:val="Footnotesection"/>
      </w:pPr>
      <w:r>
        <w:tab/>
        <w:t>[Section 35 amended by No. 59 of 2004 s. 141; No. 84 of 2004 s. 78; No. 58 of 2010 s. 31.]</w:t>
      </w:r>
    </w:p>
    <w:p>
      <w:pPr>
        <w:pStyle w:val="Heading5"/>
        <w:rPr>
          <w:snapToGrid w:val="0"/>
        </w:rPr>
      </w:pPr>
      <w:bookmarkStart w:id="33" w:name="_Toc378945342"/>
      <w:r>
        <w:rPr>
          <w:rStyle w:val="CharSectno"/>
        </w:rPr>
        <w:t>36</w:t>
      </w:r>
      <w:r>
        <w:rPr>
          <w:snapToGrid w:val="0"/>
        </w:rPr>
        <w:t>.</w:t>
      </w:r>
      <w:r>
        <w:rPr>
          <w:snapToGrid w:val="0"/>
        </w:rPr>
        <w:tab/>
        <w:t>Regulations</w:t>
      </w:r>
      <w:bookmarkEnd w:id="33"/>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those regulations may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p>
    <w:p>
      <w:pPr>
        <w:pStyle w:val="Indenta"/>
        <w:rPr>
          <w:snapToGrid w:val="0"/>
        </w:rPr>
      </w:pPr>
      <w:r>
        <w:rPr>
          <w:snapToGrid w:val="0"/>
        </w:rPr>
        <w:tab/>
        <w:t>(e)</w:t>
      </w:r>
      <w:r>
        <w:rPr>
          <w:snapToGrid w:val="0"/>
        </w:rPr>
        <w:tab/>
        <w:t>prescribe the particulars to be recorded in the register required to be kept under this Act;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[Section 36 amended by No. 65 of 1987 s. 38; No. 56 of 1995 s. 31; No. 55 of 2004 s. 600; No. 69 of 2006 s. 23; No. 58 of 2010 s. 29.]</w:t>
      </w:r>
    </w:p>
    <w:p>
      <w:pPr>
        <w:pStyle w:val="Heading2"/>
      </w:pPr>
      <w:bookmarkStart w:id="34" w:name="_Toc378945343"/>
      <w:r>
        <w:rPr>
          <w:rStyle w:val="CharPartNo"/>
        </w:rPr>
        <w:t>Part VI</w:t>
      </w:r>
      <w:r>
        <w:rPr>
          <w:b w:val="0"/>
        </w:rPr>
        <w:t> </w:t>
      </w:r>
      <w:r>
        <w:t>—</w:t>
      </w:r>
      <w:r>
        <w:rPr>
          <w:b w:val="0"/>
        </w:rPr>
        <w:t> </w:t>
      </w:r>
      <w:r>
        <w:rPr>
          <w:rStyle w:val="CharPartText"/>
        </w:rPr>
        <w:t>Miscellaneous transitional matters</w:t>
      </w:r>
      <w:bookmarkEnd w:id="34"/>
    </w:p>
    <w:p>
      <w:pPr>
        <w:pStyle w:val="Footnotesection"/>
        <w:spacing w:before="100"/>
        <w:ind w:left="890" w:hanging="890"/>
      </w:pPr>
      <w:r>
        <w:tab/>
        <w:t>[Heading inserted by No. 58 of 2010 s. 30.]</w:t>
      </w:r>
    </w:p>
    <w:p>
      <w:pPr>
        <w:pStyle w:val="Heading5"/>
      </w:pPr>
      <w:bookmarkStart w:id="35" w:name="_Toc378945344"/>
      <w:r>
        <w:rPr>
          <w:rStyle w:val="CharSectno"/>
        </w:rPr>
        <w:t>37</w:t>
      </w:r>
      <w:r>
        <w:t>.</w:t>
      </w:r>
      <w:r>
        <w:tab/>
        <w:t>Terms used</w:t>
      </w:r>
      <w:bookmarkEnd w:id="35"/>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w:t>
      </w:r>
      <w:r>
        <w:rPr>
          <w:i/>
        </w:rPr>
        <w:t xml:space="preserve"> (</w:t>
      </w:r>
      <w:r>
        <w:rPr>
          <w:i/>
          <w:iCs/>
        </w:rPr>
        <w:t>Fair Trading) Act 2010</w:t>
      </w:r>
      <w:r>
        <w:t xml:space="preserve"> Part 3 comes into operation;</w:t>
      </w:r>
    </w:p>
    <w:p>
      <w:pPr>
        <w:pStyle w:val="Defstart"/>
      </w:pPr>
      <w:r>
        <w:tab/>
      </w:r>
      <w:r>
        <w:rPr>
          <w:rStyle w:val="CharDefText"/>
        </w:rPr>
        <w:t>former Board</w:t>
      </w:r>
      <w:r>
        <w:t xml:space="preserve"> means the Land Valuers Licensing Board established by section 5 of this Act immediately prior to the commencement day;</w:t>
      </w:r>
    </w:p>
    <w:p>
      <w:pPr>
        <w:pStyle w:val="Defstart"/>
      </w:pPr>
      <w:r>
        <w:tab/>
      </w:r>
      <w:r>
        <w:rPr>
          <w:rStyle w:val="CharDefText"/>
        </w:rPr>
        <w:t>former Registrar</w:t>
      </w:r>
      <w:r>
        <w:t xml:space="preserve"> means the Registrar of the former Board immediately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37 inserted by No. 58 of 2010 s. 30.]</w:t>
      </w:r>
    </w:p>
    <w:p>
      <w:pPr>
        <w:pStyle w:val="Heading5"/>
      </w:pPr>
      <w:bookmarkStart w:id="36" w:name="_Toc378945345"/>
      <w:r>
        <w:rPr>
          <w:rStyle w:val="CharSectno"/>
        </w:rPr>
        <w:t>38</w:t>
      </w:r>
      <w:r>
        <w:t>.</w:t>
      </w:r>
      <w:r>
        <w:tab/>
        <w:t>Former Board abolished</w:t>
      </w:r>
      <w:bookmarkEnd w:id="36"/>
    </w:p>
    <w:p>
      <w:pPr>
        <w:pStyle w:val="Subsection"/>
      </w:pPr>
      <w:r>
        <w:tab/>
      </w:r>
      <w:r>
        <w:tab/>
        <w:t>Subject to sections 44 and 45, at the beginning of the commencement day, the former Board is abolished and its members go out of office.</w:t>
      </w:r>
    </w:p>
    <w:p>
      <w:pPr>
        <w:pStyle w:val="Footnotesection"/>
      </w:pPr>
      <w:r>
        <w:tab/>
        <w:t>[Section 38 inserted by No. 58 of 2010 s. 30.]</w:t>
      </w:r>
    </w:p>
    <w:p>
      <w:pPr>
        <w:pStyle w:val="Heading5"/>
      </w:pPr>
      <w:bookmarkStart w:id="37" w:name="_Toc378945346"/>
      <w:r>
        <w:rPr>
          <w:rStyle w:val="CharSectno"/>
        </w:rPr>
        <w:t>39</w:t>
      </w:r>
      <w:r>
        <w:t>.</w:t>
      </w:r>
      <w:r>
        <w:tab/>
        <w:t>References to former Board or Registrar</w:t>
      </w:r>
      <w:bookmarkEnd w:id="37"/>
    </w:p>
    <w:p>
      <w:pPr>
        <w:pStyle w:val="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Footnotesection"/>
      </w:pPr>
      <w:r>
        <w:tab/>
        <w:t>[Section 39 inserted by No. 58 of 2010 s. 30.]</w:t>
      </w:r>
    </w:p>
    <w:p>
      <w:pPr>
        <w:pStyle w:val="Heading5"/>
      </w:pPr>
      <w:bookmarkStart w:id="38" w:name="_Toc378945347"/>
      <w:r>
        <w:rPr>
          <w:rStyle w:val="CharSectno"/>
        </w:rPr>
        <w:t>40</w:t>
      </w:r>
      <w:r>
        <w:t>.</w:t>
      </w:r>
      <w:r>
        <w:tab/>
        <w:t>Immunity continues</w:t>
      </w:r>
      <w:bookmarkEnd w:id="38"/>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40 inserted by No. 58 of 2010 s. 30.]</w:t>
      </w:r>
    </w:p>
    <w:p>
      <w:pPr>
        <w:pStyle w:val="Heading5"/>
      </w:pPr>
      <w:bookmarkStart w:id="39" w:name="_Toc378945348"/>
      <w:r>
        <w:rPr>
          <w:rStyle w:val="CharSectno"/>
        </w:rPr>
        <w:t>41</w:t>
      </w:r>
      <w:r>
        <w:t>.</w:t>
      </w:r>
      <w:r>
        <w:tab/>
        <w:t>Notices of maximum amounts of remuneration</w:t>
      </w:r>
      <w:bookmarkEnd w:id="39"/>
    </w:p>
    <w:p>
      <w:pPr>
        <w:pStyle w:val="Subsection"/>
      </w:pPr>
      <w:r>
        <w:tab/>
      </w:r>
      <w:r>
        <w:tab/>
        <w:t xml:space="preserve">A notice published in the </w:t>
      </w:r>
      <w:r>
        <w:rPr>
          <w:i/>
          <w:iCs/>
        </w:rPr>
        <w:t>Gazette</w:t>
      </w:r>
      <w:r>
        <w:t xml:space="preserve"> by the Board under section 25 is taken to have been published by the Commissioner.</w:t>
      </w:r>
    </w:p>
    <w:p>
      <w:pPr>
        <w:pStyle w:val="Footnotesection"/>
      </w:pPr>
      <w:r>
        <w:tab/>
        <w:t>[Section 41 inserted by No. 58 of 2010 s. 30.]</w:t>
      </w:r>
    </w:p>
    <w:p>
      <w:pPr>
        <w:pStyle w:val="Heading5"/>
      </w:pPr>
      <w:bookmarkStart w:id="40" w:name="_Toc378945349"/>
      <w:r>
        <w:rPr>
          <w:rStyle w:val="CharSectno"/>
        </w:rPr>
        <w:t>42</w:t>
      </w:r>
      <w:r>
        <w:t>.</w:t>
      </w:r>
      <w:r>
        <w:tab/>
        <w:t>Unfinished proceedings by former Registrar</w:t>
      </w:r>
      <w:bookmarkEnd w:id="40"/>
    </w:p>
    <w:p>
      <w:pPr>
        <w:pStyle w:val="Subsection"/>
      </w:pPr>
      <w:r>
        <w:tab/>
      </w:r>
      <w:r>
        <w:tab/>
        <w:t>Proceedings taken by the former Registrar under section 35 that are not complete at the commencement day are to continue under the direction and control of the Commissioner.</w:t>
      </w:r>
    </w:p>
    <w:p>
      <w:pPr>
        <w:pStyle w:val="Footnotesection"/>
      </w:pPr>
      <w:r>
        <w:tab/>
        <w:t>[Section 42 inserted by No. 58 of 2010 s. 30.]</w:t>
      </w:r>
    </w:p>
    <w:p>
      <w:pPr>
        <w:pStyle w:val="Heading5"/>
      </w:pPr>
      <w:bookmarkStart w:id="41" w:name="_Toc378945350"/>
      <w:r>
        <w:rPr>
          <w:rStyle w:val="CharSectno"/>
        </w:rPr>
        <w:t>43</w:t>
      </w:r>
      <w:r>
        <w:t>.</w:t>
      </w:r>
      <w:r>
        <w:tab/>
        <w:t>Unfinished proceedings by former Board</w:t>
      </w:r>
      <w:bookmarkEnd w:id="41"/>
    </w:p>
    <w:p>
      <w:pPr>
        <w:pStyle w:val="Subsection"/>
      </w:pPr>
      <w:r>
        <w:tab/>
        <w:t>(1)</w:t>
      </w:r>
      <w:r>
        <w:tab/>
        <w:t>Proceedings before the former Board under Part II Division 2 of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valuer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43 inserted by No. 58 of 2010 s. 30.]</w:t>
      </w:r>
    </w:p>
    <w:p>
      <w:pPr>
        <w:pStyle w:val="Heading5"/>
      </w:pPr>
      <w:bookmarkStart w:id="42" w:name="_Toc378945351"/>
      <w:r>
        <w:rPr>
          <w:rStyle w:val="CharSectno"/>
        </w:rPr>
        <w:t>44</w:t>
      </w:r>
      <w:r>
        <w:t>.</w:t>
      </w:r>
      <w:r>
        <w:tab/>
        <w:t>Winding</w:t>
      </w:r>
      <w:r>
        <w:noBreakHyphen/>
        <w:t>up by former Board</w:t>
      </w:r>
      <w:bookmarkEnd w:id="42"/>
    </w:p>
    <w:p>
      <w:pPr>
        <w:pStyle w:val="Subsection"/>
      </w:pPr>
      <w:r>
        <w:tab/>
      </w:r>
      <w:r>
        <w:tab/>
        <w:t>As soon as reasonably practicable after the commencement day, the Board is to wind</w:t>
      </w:r>
      <w:r>
        <w:noBreakHyphen/>
        <w:t>up its affairs and in particular, but without limiting what may be done to wind</w:t>
      </w:r>
      <w:r>
        <w:noBreakHyphen/>
        <w:t>up its affairs, the Board is to apply its assets, together with any moneys in hand, in —</w:t>
      </w:r>
    </w:p>
    <w:p>
      <w:pPr>
        <w:pStyle w:val="Indenta"/>
      </w:pPr>
      <w:r>
        <w:tab/>
        <w:t>(a)</w:t>
      </w:r>
      <w:r>
        <w:tab/>
        <w:t>discharging its liabilities; and</w:t>
      </w:r>
    </w:p>
    <w:p>
      <w:pPr>
        <w:pStyle w:val="Indenta"/>
      </w:pPr>
      <w:r>
        <w:tab/>
        <w:t>(b)</w:t>
      </w:r>
      <w:r>
        <w:tab/>
        <w:t>transferring any assets which remain after the discharge of liabilities (</w:t>
      </w:r>
      <w:r>
        <w:rPr>
          <w:rStyle w:val="CharDefText"/>
        </w:rPr>
        <w:t>residual assets</w:t>
      </w:r>
      <w:r>
        <w:t>) to the State to be administered in the department, or realising residual assets and causing the proceeds, together with any moneys in hand, to be credited to the Consolidated Account.</w:t>
      </w:r>
    </w:p>
    <w:p>
      <w:pPr>
        <w:pStyle w:val="Footnotesection"/>
      </w:pPr>
      <w:r>
        <w:tab/>
        <w:t>[Section 44 inserted by No. 58 of 2010 s. 30.]</w:t>
      </w:r>
    </w:p>
    <w:p>
      <w:pPr>
        <w:pStyle w:val="Heading5"/>
      </w:pPr>
      <w:bookmarkStart w:id="43" w:name="_Toc378945352"/>
      <w:r>
        <w:rPr>
          <w:rStyle w:val="CharSectno"/>
        </w:rPr>
        <w:t>45</w:t>
      </w:r>
      <w:r>
        <w:t>.</w:t>
      </w:r>
      <w:r>
        <w:tab/>
        <w:t>Final report by former Board</w:t>
      </w:r>
      <w:bookmarkEnd w:id="43"/>
    </w:p>
    <w:p>
      <w:pPr>
        <w:pStyle w:val="Subsection"/>
      </w:pPr>
      <w:r>
        <w:tab/>
        <w:t>(1)</w:t>
      </w:r>
      <w:r>
        <w:tab/>
        <w:t>As soon as reasonably practical after the Board is satisfied that the winding</w:t>
      </w:r>
      <w:r>
        <w:noBreakHyphen/>
        <w:t>up of its affairs is concluded, it is to —</w:t>
      </w:r>
    </w:p>
    <w:p>
      <w:pPr>
        <w:pStyle w:val="Indenta"/>
      </w:pPr>
      <w:r>
        <w:tab/>
        <w:t>(a)</w:t>
      </w:r>
      <w:r>
        <w:tab/>
        <w:t>make and submit to the Minister a report of its proceedings for the period beginning on the day after the commencement day and ending on the day on which the winding</w:t>
      </w:r>
      <w:r>
        <w:noBreakHyphen/>
        <w:t>up of its affairs is concluded; and</w:t>
      </w:r>
    </w:p>
    <w:p>
      <w:pPr>
        <w:pStyle w:val="Indenta"/>
      </w:pPr>
      <w:r>
        <w:tab/>
        <w:t>(b)</w:t>
      </w:r>
      <w:r>
        <w:tab/>
        <w:t>deliver to the chief executive officer all records and information in its possession or under its control.</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45 inserted by No. 58 of 2010 s. 30.]</w:t>
      </w:r>
    </w:p>
    <w:p>
      <w:pPr>
        <w:pStyle w:val="Heading5"/>
      </w:pPr>
      <w:bookmarkStart w:id="44" w:name="_Toc378945353"/>
      <w:r>
        <w:rPr>
          <w:rStyle w:val="CharSectno"/>
        </w:rPr>
        <w:t>46</w:t>
      </w:r>
      <w:r>
        <w:t>.</w:t>
      </w:r>
      <w:r>
        <w:tab/>
        <w:t>Transitional regulations</w:t>
      </w:r>
      <w:bookmarkEnd w:id="44"/>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46 inserted by No. 58 of 2010 s. 30.]</w:t>
      </w:r>
    </w:p>
    <w:p>
      <w:pPr>
        <w:pStyle w:val="CentredBaseLine"/>
        <w:jc w:val="center"/>
      </w:pPr>
      <w:r>
        <w:rPr>
          <w:noProof/>
        </w:rPr>
        <w:drawing>
          <wp:inline distT="0" distB="0" distL="0" distR="0">
            <wp:extent cx="935355" cy="168910"/>
            <wp:effectExtent l="0" t="0" r="0" b="254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nHeading2"/>
      </w:pPr>
      <w:bookmarkStart w:id="45" w:name="_Toc378945354"/>
      <w:r>
        <w:t>Notes</w:t>
      </w:r>
      <w:bookmarkEnd w:id="45"/>
    </w:p>
    <w:p>
      <w:pPr>
        <w:pStyle w:val="nSubsection"/>
        <w:rPr>
          <w:snapToGrid w:val="0"/>
        </w:rPr>
      </w:pPr>
      <w:r>
        <w:rPr>
          <w:snapToGrid w:val="0"/>
          <w:vertAlign w:val="superscript"/>
        </w:rPr>
        <w:t>1</w:t>
      </w:r>
      <w:r>
        <w:rPr>
          <w:snapToGrid w:val="0"/>
        </w:rPr>
        <w:tab/>
        <w:t xml:space="preserve">This reprint is a compilation as at 14 October 2011 of the </w:t>
      </w:r>
      <w:r>
        <w:rPr>
          <w:i/>
          <w:noProof/>
          <w:snapToGrid w:val="0"/>
        </w:rPr>
        <w:t>Land Valuers Licensing Act 1978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6" w:name="_Toc378945355"/>
      <w:r>
        <w:rPr>
          <w:snapToGrid w:val="0"/>
        </w:rPr>
        <w:t>Compilation table</w:t>
      </w:r>
      <w:bookmarkEnd w:id="46"/>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ind w:right="113"/>
              <w:rPr>
                <w:sz w:val="19"/>
              </w:rPr>
            </w:pPr>
            <w:r>
              <w:rPr>
                <w:i/>
                <w:sz w:val="19"/>
              </w:rPr>
              <w:t>Land Valuers Licensing Act 1978</w:t>
            </w:r>
          </w:p>
        </w:tc>
        <w:tc>
          <w:tcPr>
            <w:tcW w:w="1134" w:type="dxa"/>
            <w:tcBorders>
              <w:top w:val="single" w:sz="8" w:space="0" w:color="auto"/>
            </w:tcBorders>
          </w:tcPr>
          <w:p>
            <w:pPr>
              <w:pStyle w:val="nTable"/>
              <w:spacing w:after="40"/>
              <w:rPr>
                <w:sz w:val="19"/>
              </w:rPr>
            </w:pPr>
            <w:r>
              <w:rPr>
                <w:sz w:val="19"/>
              </w:rPr>
              <w:t>55 of 1978</w:t>
            </w:r>
          </w:p>
        </w:tc>
        <w:tc>
          <w:tcPr>
            <w:tcW w:w="1134" w:type="dxa"/>
            <w:tcBorders>
              <w:top w:val="single" w:sz="8" w:space="0" w:color="auto"/>
            </w:tcBorders>
          </w:tcPr>
          <w:p>
            <w:pPr>
              <w:pStyle w:val="nTable"/>
              <w:spacing w:after="40"/>
              <w:rPr>
                <w:sz w:val="19"/>
              </w:rPr>
            </w:pPr>
            <w:r>
              <w:rPr>
                <w:sz w:val="19"/>
              </w:rPr>
              <w:t>6 Sep 1978</w:t>
            </w:r>
          </w:p>
        </w:tc>
        <w:tc>
          <w:tcPr>
            <w:tcW w:w="2552" w:type="dxa"/>
            <w:tcBorders>
              <w:top w:val="single" w:sz="8" w:space="0" w:color="auto"/>
            </w:tcBorders>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2269" w:type="dxa"/>
          </w:tcPr>
          <w:p>
            <w:pPr>
              <w:pStyle w:val="nTable"/>
              <w:spacing w:after="40"/>
              <w:ind w:right="113"/>
              <w:rPr>
                <w:i/>
                <w:sz w:val="19"/>
                <w:vertAlign w:val="superscript"/>
              </w:rPr>
            </w:pPr>
            <w:r>
              <w:rPr>
                <w:i/>
                <w:sz w:val="19"/>
              </w:rPr>
              <w:t>Land Valuers Licensing Amendment Act 1984</w:t>
            </w:r>
            <w:r>
              <w:rPr>
                <w:i/>
                <w:sz w:val="19"/>
                <w:vertAlign w:val="superscript"/>
              </w:rPr>
              <w:t> </w:t>
            </w:r>
            <w:r>
              <w:rPr>
                <w:sz w:val="19"/>
                <w:vertAlign w:val="superscript"/>
              </w:rPr>
              <w:t>2</w:t>
            </w:r>
          </w:p>
        </w:tc>
        <w:tc>
          <w:tcPr>
            <w:tcW w:w="1134" w:type="dxa"/>
          </w:tcPr>
          <w:p>
            <w:pPr>
              <w:pStyle w:val="nTable"/>
              <w:spacing w:after="40"/>
              <w:rPr>
                <w:sz w:val="19"/>
              </w:rPr>
            </w:pPr>
            <w:r>
              <w:rPr>
                <w:sz w:val="19"/>
              </w:rPr>
              <w:t>15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Act other than s. 3 and 7: 28 Jun 1984 (see s. 2(1));</w:t>
            </w:r>
            <w:r>
              <w:rPr>
                <w:sz w:val="19"/>
              </w:rPr>
              <w:br/>
              <w:t xml:space="preserve">s. 3 and 7: 26 Jul 1985 (see s. 2(2) and </w:t>
            </w:r>
            <w:r>
              <w:rPr>
                <w:i/>
                <w:sz w:val="19"/>
              </w:rPr>
              <w:t>Gazette</w:t>
            </w:r>
            <w:r>
              <w:rPr>
                <w:sz w:val="19"/>
              </w:rPr>
              <w:t xml:space="preserve"> 26 Jul 1985 p. 2639)</w:t>
            </w:r>
          </w:p>
        </w:tc>
      </w:tr>
      <w:tr>
        <w:trPr>
          <w:cantSplit/>
        </w:trPr>
        <w:tc>
          <w:tcPr>
            <w:tcW w:w="2269" w:type="dxa"/>
          </w:tcPr>
          <w:p>
            <w:pPr>
              <w:pStyle w:val="nTable"/>
              <w:spacing w:after="40"/>
              <w:ind w:right="113"/>
              <w:rPr>
                <w:sz w:val="19"/>
              </w:rPr>
            </w:pPr>
            <w:r>
              <w:rPr>
                <w:i/>
                <w:sz w:val="19"/>
              </w:rPr>
              <w:t>Acts Amendment (Legal Practitioners, Costs and Taxation) Act 1987</w:t>
            </w:r>
            <w:r>
              <w:rPr>
                <w:sz w:val="19"/>
              </w:rPr>
              <w:t xml:space="preserve"> Pt. XI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9" w:type="dxa"/>
          </w:tcPr>
          <w:p>
            <w:pPr>
              <w:pStyle w:val="nTable"/>
              <w:spacing w:after="40"/>
              <w:ind w:right="113"/>
              <w:rPr>
                <w:sz w:val="19"/>
              </w:rPr>
            </w:pPr>
            <w:r>
              <w:rPr>
                <w:i/>
                <w:sz w:val="19"/>
              </w:rPr>
              <w:t xml:space="preserve">Acts Amendment (Public Sector Management) Act 1994 </w:t>
            </w:r>
            <w:r>
              <w:rPr>
                <w:sz w:val="19"/>
              </w:rPr>
              <w:t>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vertAlign w:val="superscript"/>
              </w:rPr>
            </w:pPr>
            <w:r>
              <w:rPr>
                <w:i/>
                <w:sz w:val="19"/>
              </w:rPr>
              <w:t xml:space="preserve">Business Licensing Amendment Act 1995 </w:t>
            </w:r>
            <w:r>
              <w:rPr>
                <w:sz w:val="19"/>
              </w:rPr>
              <w:t>Pt. 6</w:t>
            </w:r>
            <w:r>
              <w:rPr>
                <w:sz w:val="19"/>
                <w:vertAlign w:val="superscript"/>
              </w:rPr>
              <w:t> 3</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7089" w:type="dxa"/>
            <w:gridSpan w:val="4"/>
          </w:tcPr>
          <w:p>
            <w:pPr>
              <w:pStyle w:val="nTable"/>
              <w:spacing w:after="40"/>
              <w:rPr>
                <w:sz w:val="19"/>
              </w:rPr>
            </w:pPr>
            <w:r>
              <w:rPr>
                <w:b/>
                <w:sz w:val="19"/>
              </w:rPr>
              <w:t xml:space="preserve">Reprint of the </w:t>
            </w:r>
            <w:r>
              <w:rPr>
                <w:b/>
                <w:i/>
                <w:sz w:val="19"/>
              </w:rPr>
              <w:t>Land Valuers Licensing Act 1978</w:t>
            </w:r>
            <w:r>
              <w:rPr>
                <w:b/>
                <w:sz w:val="19"/>
              </w:rPr>
              <w:t xml:space="preserve"> as at 3 May 2002</w:t>
            </w:r>
            <w:r>
              <w:rPr>
                <w:sz w:val="19"/>
              </w:rPr>
              <w:br/>
              <w:t>(includes amendments listed above)</w:t>
            </w:r>
          </w:p>
        </w:tc>
      </w:tr>
      <w:tr>
        <w:trPr>
          <w:cantSplit/>
        </w:trPr>
        <w:tc>
          <w:tcPr>
            <w:tcW w:w="2269" w:type="dxa"/>
          </w:tcPr>
          <w:p>
            <w:pPr>
              <w:pStyle w:val="nTable"/>
              <w:spacing w:after="40"/>
              <w:ind w:right="113"/>
              <w:rPr>
                <w:sz w:val="19"/>
              </w:rPr>
            </w:pPr>
            <w:r>
              <w:rPr>
                <w:i/>
                <w:sz w:val="19"/>
              </w:rPr>
              <w:t xml:space="preserve">Acts Amendment and Repeal (Courts and Legal Practice) Act 2003 </w:t>
            </w:r>
            <w:r>
              <w:rPr>
                <w:sz w:val="19"/>
              </w:rPr>
              <w:t>s. 44 and 115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ind w:right="113"/>
              <w:rPr>
                <w:sz w:val="19"/>
                <w:vertAlign w:val="superscript"/>
              </w:rPr>
            </w:pPr>
            <w:r>
              <w:rPr>
                <w:i/>
                <w:sz w:val="19"/>
              </w:rPr>
              <w:t>Statutes (Repeals and Minor Amendments) Act 2003</w:t>
            </w:r>
            <w:r>
              <w:rPr>
                <w:sz w:val="19"/>
              </w:rPr>
              <w:t xml:space="preserve"> s. 74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ind w:right="113"/>
              <w:rPr>
                <w:i/>
                <w:sz w:val="19"/>
              </w:rPr>
            </w:pPr>
            <w:r>
              <w:rPr>
                <w:i/>
                <w:snapToGrid w:val="0"/>
                <w:sz w:val="19"/>
              </w:rPr>
              <w:t>Courts Legislation Amendment and Repeal Act 2004</w:t>
            </w:r>
            <w:r>
              <w:rPr>
                <w:snapToGrid w:val="0"/>
                <w:sz w:val="19"/>
              </w:rPr>
              <w:t xml:space="preserve"> s. 141</w:t>
            </w:r>
          </w:p>
        </w:tc>
        <w:tc>
          <w:tcPr>
            <w:tcW w:w="1134" w:type="dxa"/>
          </w:tcPr>
          <w:p>
            <w:pPr>
              <w:pStyle w:val="nTable"/>
              <w:spacing w:after="40"/>
              <w:rPr>
                <w:sz w:val="19"/>
              </w:rPr>
            </w:pPr>
            <w:r>
              <w:rPr>
                <w:snapToGrid w:val="0"/>
                <w:sz w:val="19"/>
              </w:rPr>
              <w:t>59 of 2004</w:t>
            </w:r>
          </w:p>
        </w:tc>
        <w:tc>
          <w:tcPr>
            <w:tcW w:w="1134" w:type="dxa"/>
          </w:tcPr>
          <w:p>
            <w:pPr>
              <w:pStyle w:val="nTable"/>
              <w:spacing w:after="40"/>
              <w:rPr>
                <w:sz w:val="19"/>
              </w:rPr>
            </w:pPr>
            <w:r>
              <w:rPr>
                <w:snapToGrid w:val="0"/>
                <w:sz w:val="19"/>
              </w:rPr>
              <w:t>23 Nov 2004</w:t>
            </w:r>
          </w:p>
        </w:tc>
        <w:tc>
          <w:tcPr>
            <w:tcW w:w="2552" w:type="dxa"/>
          </w:tcPr>
          <w:p>
            <w:pPr>
              <w:pStyle w:val="nTable"/>
              <w:spacing w:after="40"/>
              <w:rPr>
                <w:spacing w:val="-2"/>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9" w:type="dxa"/>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 Div. 70</w:t>
            </w:r>
            <w:r>
              <w:rPr>
                <w:snapToGrid w:val="0"/>
                <w:sz w:val="19"/>
                <w:vertAlign w:val="superscript"/>
              </w:rPr>
              <w:t>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9" w:type="dxa"/>
          </w:tcPr>
          <w:p>
            <w:pPr>
              <w:pStyle w:val="nTable"/>
              <w:spacing w:after="40"/>
              <w:ind w:right="113"/>
              <w:rPr>
                <w:i/>
                <w:snapToGrid w:val="0"/>
                <w:sz w:val="19"/>
                <w:vertAlign w:val="superscript"/>
              </w:rPr>
            </w:pPr>
            <w:r>
              <w:rPr>
                <w:i/>
                <w:snapToGrid w:val="0"/>
                <w:sz w:val="19"/>
              </w:rPr>
              <w:t>Criminal Procedure and Appeals (Consequential and Other Provisions) Act 2004</w:t>
            </w:r>
            <w:r>
              <w:rPr>
                <w:snapToGrid w:val="0"/>
                <w:sz w:val="19"/>
              </w:rPr>
              <w:t xml:space="preserve"> s. 78 </w:t>
            </w:r>
            <w:r>
              <w:rPr>
                <w:snapToGrid w:val="0"/>
                <w:sz w:val="19"/>
                <w:vertAlign w:val="superscript"/>
              </w:rPr>
              <w:t>5</w:t>
            </w:r>
          </w:p>
        </w:tc>
        <w:tc>
          <w:tcPr>
            <w:tcW w:w="1134" w:type="dxa"/>
          </w:tcPr>
          <w:p>
            <w:pPr>
              <w:pStyle w:val="nTable"/>
              <w:spacing w:after="40"/>
              <w:rPr>
                <w:sz w:val="19"/>
              </w:rPr>
            </w:pPr>
            <w:r>
              <w:rPr>
                <w:snapToGrid w:val="0"/>
                <w:sz w:val="19"/>
              </w:rPr>
              <w:t>84 of 2004 (as amended by No. 2 of 2008 s. 78(2)(b))</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7089" w:type="dxa"/>
            <w:gridSpan w:val="4"/>
          </w:tcPr>
          <w:p>
            <w:pPr>
              <w:pStyle w:val="nTable"/>
              <w:spacing w:after="40"/>
              <w:rPr>
                <w:snapToGrid w:val="0"/>
                <w:sz w:val="19"/>
              </w:rPr>
            </w:pPr>
            <w:r>
              <w:rPr>
                <w:b/>
                <w:sz w:val="19"/>
              </w:rPr>
              <w:t xml:space="preserve">Reprint 2:  The </w:t>
            </w:r>
            <w:r>
              <w:rPr>
                <w:b/>
                <w:i/>
                <w:sz w:val="19"/>
              </w:rPr>
              <w:t>Land Valuers Licensing Act 1978</w:t>
            </w:r>
            <w:r>
              <w:rPr>
                <w:b/>
                <w:sz w:val="19"/>
              </w:rPr>
              <w:t xml:space="preserve"> as at 12 May 2006</w:t>
            </w:r>
            <w:r>
              <w:rPr>
                <w:sz w:val="19"/>
              </w:rPr>
              <w:br/>
              <w:t>(includes amendments listed above)</w:t>
            </w:r>
          </w:p>
        </w:tc>
      </w:tr>
      <w:tr>
        <w:trPr>
          <w:cantSplit/>
        </w:trPr>
        <w:tc>
          <w:tcPr>
            <w:tcW w:w="2269" w:type="dxa"/>
          </w:tcPr>
          <w:p>
            <w:pPr>
              <w:pStyle w:val="nTable"/>
              <w:spacing w:after="40"/>
              <w:ind w:right="113"/>
              <w:rPr>
                <w:iCs/>
                <w:snapToGrid w:val="0"/>
                <w:sz w:val="19"/>
              </w:rPr>
            </w:pPr>
            <w:r>
              <w:rPr>
                <w:i/>
                <w:snapToGrid w:val="0"/>
                <w:sz w:val="19"/>
              </w:rPr>
              <w:t>Consumer Protection Legislation Amendment and Repeal Act 2006</w:t>
            </w:r>
            <w:r>
              <w:rPr>
                <w:iCs/>
                <w:snapToGrid w:val="0"/>
                <w:sz w:val="19"/>
              </w:rPr>
              <w:t xml:space="preserve"> Pt. 6</w:t>
            </w:r>
          </w:p>
        </w:tc>
        <w:tc>
          <w:tcPr>
            <w:tcW w:w="1134" w:type="dxa"/>
          </w:tcPr>
          <w:p>
            <w:pPr>
              <w:pStyle w:val="nTable"/>
              <w:spacing w:after="40"/>
              <w:rPr>
                <w:sz w:val="19"/>
              </w:rPr>
            </w:pPr>
            <w:r>
              <w:rPr>
                <w:snapToGrid w:val="0"/>
                <w:sz w:val="19"/>
              </w:rPr>
              <w:t>69 of 2006</w:t>
            </w:r>
          </w:p>
        </w:tc>
        <w:tc>
          <w:tcPr>
            <w:tcW w:w="1134" w:type="dxa"/>
          </w:tcPr>
          <w:p>
            <w:pPr>
              <w:pStyle w:val="nTable"/>
              <w:spacing w:after="40"/>
              <w:rPr>
                <w:sz w:val="19"/>
              </w:rPr>
            </w:pPr>
            <w:r>
              <w:rPr>
                <w:sz w:val="19"/>
              </w:rPr>
              <w:t>13 Dec 2006</w:t>
            </w:r>
          </w:p>
        </w:tc>
        <w:tc>
          <w:tcPr>
            <w:tcW w:w="2552" w:type="dxa"/>
          </w:tcPr>
          <w:p>
            <w:pPr>
              <w:pStyle w:val="nTable"/>
              <w:spacing w:after="40"/>
              <w:rPr>
                <w:spacing w:val="-2"/>
                <w:sz w:val="19"/>
              </w:rPr>
            </w:pPr>
            <w:r>
              <w:rPr>
                <w:snapToGrid w:val="0"/>
                <w:sz w:val="19"/>
              </w:rPr>
              <w:t xml:space="preserve">14 Jul 2007 (see s. 2 and </w:t>
            </w:r>
            <w:r>
              <w:rPr>
                <w:i/>
                <w:iCs/>
                <w:snapToGrid w:val="0"/>
                <w:sz w:val="19"/>
              </w:rPr>
              <w:t>Gazette</w:t>
            </w:r>
            <w:r>
              <w:rPr>
                <w:snapToGrid w:val="0"/>
                <w:sz w:val="19"/>
              </w:rPr>
              <w:t xml:space="preserve"> 13 Jul 2007 p. 3453)</w:t>
            </w:r>
          </w:p>
        </w:tc>
      </w:tr>
      <w:tr>
        <w:trPr>
          <w:cantSplit/>
        </w:trPr>
        <w:tc>
          <w:tcPr>
            <w:tcW w:w="2269" w:type="dxa"/>
          </w:tcPr>
          <w:p>
            <w:pPr>
              <w:pStyle w:val="nTable"/>
              <w:spacing w:after="40"/>
              <w:ind w:right="113"/>
              <w:rPr>
                <w:i/>
                <w:snapToGrid w:val="0"/>
                <w:sz w:val="19"/>
                <w:vertAlign w:val="superscript"/>
              </w:rPr>
            </w:pPr>
            <w:r>
              <w:rPr>
                <w:i/>
                <w:snapToGrid w:val="0"/>
                <w:sz w:val="19"/>
              </w:rPr>
              <w:t>Criminal Law and Evidence Amendment Act 2008</w:t>
            </w:r>
            <w:r>
              <w:rPr>
                <w:iCs/>
                <w:snapToGrid w:val="0"/>
                <w:sz w:val="19"/>
              </w:rPr>
              <w:t xml:space="preserve"> s. 65</w:t>
            </w:r>
          </w:p>
        </w:tc>
        <w:tc>
          <w:tcPr>
            <w:tcW w:w="1134" w:type="dxa"/>
          </w:tcPr>
          <w:p>
            <w:pPr>
              <w:pStyle w:val="nTable"/>
              <w:spacing w:after="40"/>
              <w:rPr>
                <w:snapToGrid w:val="0"/>
                <w:sz w:val="19"/>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rPr>
            </w:pPr>
            <w:r>
              <w:rPr>
                <w:snapToGrid w:val="0"/>
                <w:sz w:val="19"/>
              </w:rPr>
              <w:t xml:space="preserve">27 Apr 2008 (see s. 2 and </w:t>
            </w:r>
            <w:r>
              <w:rPr>
                <w:i/>
                <w:iCs/>
                <w:snapToGrid w:val="0"/>
                <w:sz w:val="19"/>
              </w:rPr>
              <w:t>Gazette</w:t>
            </w:r>
            <w:r>
              <w:rPr>
                <w:snapToGrid w:val="0"/>
                <w:sz w:val="19"/>
              </w:rPr>
              <w:t xml:space="preserve"> 24 Apr 2008 p. 1559)</w:t>
            </w:r>
          </w:p>
        </w:tc>
      </w:tr>
      <w:tr>
        <w:trPr>
          <w:cantSplit/>
        </w:trPr>
        <w:tc>
          <w:tcPr>
            <w:tcW w:w="2269" w:type="dxa"/>
          </w:tcPr>
          <w:p>
            <w:pPr>
              <w:pStyle w:val="nTable"/>
              <w:spacing w:after="40"/>
              <w:ind w:right="113"/>
              <w:rPr>
                <w:i/>
                <w:snapToGrid w:val="0"/>
                <w:sz w:val="19"/>
              </w:rPr>
            </w:pPr>
            <w:r>
              <w:rPr>
                <w:i/>
                <w:iCs/>
                <w:snapToGrid w:val="0"/>
                <w:sz w:val="19"/>
              </w:rPr>
              <w:t>Legal Profession Act 2008</w:t>
            </w:r>
            <w:r>
              <w:rPr>
                <w:snapToGrid w:val="0"/>
                <w:sz w:val="19"/>
              </w:rPr>
              <w:t xml:space="preserve"> s. 671</w:t>
            </w:r>
          </w:p>
        </w:tc>
        <w:tc>
          <w:tcPr>
            <w:tcW w:w="1134" w:type="dxa"/>
          </w:tcPr>
          <w:p>
            <w:pPr>
              <w:pStyle w:val="nTable"/>
              <w:spacing w:after="40"/>
              <w:rPr>
                <w:sz w:val="19"/>
              </w:rPr>
            </w:pPr>
            <w:r>
              <w:rPr>
                <w:snapToGrid w:val="0"/>
                <w:sz w:val="19"/>
              </w:rPr>
              <w:t>21 of 2008</w:t>
            </w:r>
          </w:p>
        </w:tc>
        <w:tc>
          <w:tcPr>
            <w:tcW w:w="1134" w:type="dxa"/>
          </w:tcPr>
          <w:p>
            <w:pPr>
              <w:pStyle w:val="nTable"/>
              <w:spacing w:after="40"/>
              <w:rPr>
                <w:sz w:val="19"/>
              </w:rPr>
            </w:pPr>
            <w:r>
              <w:rPr>
                <w:snapToGrid w:val="0"/>
                <w:sz w:val="19"/>
              </w:rPr>
              <w:t>27 May 2008</w:t>
            </w:r>
          </w:p>
        </w:tc>
        <w:tc>
          <w:tcPr>
            <w:tcW w:w="2552" w:type="dxa"/>
          </w:tcPr>
          <w:p>
            <w:pPr>
              <w:pStyle w:val="nTable"/>
              <w:spacing w:after="40"/>
              <w:rPr>
                <w:snapToGrid w:val="0"/>
                <w:sz w:val="19"/>
              </w:rPr>
            </w:pPr>
            <w:r>
              <w:rPr>
                <w:snapToGrid w:val="0"/>
                <w:spacing w:val="-2"/>
                <w:sz w:val="19"/>
              </w:rPr>
              <w:t xml:space="preserve">1 Mar 2009 (see s. 2(b) and </w:t>
            </w:r>
            <w:r>
              <w:rPr>
                <w:i/>
                <w:iCs/>
                <w:snapToGrid w:val="0"/>
                <w:spacing w:val="-2"/>
                <w:sz w:val="19"/>
              </w:rPr>
              <w:t xml:space="preserve">Gazette </w:t>
            </w:r>
            <w:r>
              <w:rPr>
                <w:snapToGrid w:val="0"/>
                <w:spacing w:val="-2"/>
                <w:sz w:val="19"/>
              </w:rPr>
              <w:t>27 Feb 2009 p. 511)</w:t>
            </w:r>
          </w:p>
        </w:tc>
      </w:tr>
      <w:tr>
        <w:trPr>
          <w:cantSplit/>
        </w:trPr>
        <w:tc>
          <w:tcPr>
            <w:tcW w:w="7089" w:type="dxa"/>
            <w:gridSpan w:val="4"/>
          </w:tcPr>
          <w:p>
            <w:pPr>
              <w:pStyle w:val="nTable"/>
              <w:spacing w:after="40"/>
              <w:rPr>
                <w:snapToGrid w:val="0"/>
                <w:spacing w:val="-2"/>
                <w:sz w:val="19"/>
              </w:rPr>
            </w:pPr>
            <w:r>
              <w:rPr>
                <w:b/>
                <w:sz w:val="19"/>
              </w:rPr>
              <w:t xml:space="preserve">Reprint 3:  The </w:t>
            </w:r>
            <w:r>
              <w:rPr>
                <w:b/>
                <w:i/>
                <w:sz w:val="19"/>
              </w:rPr>
              <w:t>Land Valuers Licensing Act 1978</w:t>
            </w:r>
            <w:r>
              <w:rPr>
                <w:b/>
                <w:sz w:val="19"/>
              </w:rPr>
              <w:t xml:space="preserve"> as at 17 Jul 2009</w:t>
            </w:r>
            <w:r>
              <w:rPr>
                <w:sz w:val="19"/>
              </w:rPr>
              <w:br/>
              <w:t>(includes amendments listed above)</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49</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shd w:val="clear" w:color="auto" w:fill="auto"/>
          </w:tcPr>
          <w:p>
            <w:pPr>
              <w:pStyle w:val="nTable"/>
              <w:spacing w:after="40"/>
              <w:rPr>
                <w:i/>
                <w:snapToGrid w:val="0"/>
                <w:sz w:val="19"/>
              </w:rPr>
            </w:pPr>
            <w:r>
              <w:rPr>
                <w:i/>
                <w:snapToGrid w:val="0"/>
                <w:sz w:val="19"/>
              </w:rPr>
              <w:t>Acts Amendment (Fair Trading) Act 2010</w:t>
            </w:r>
            <w:r>
              <w:rPr>
                <w:snapToGrid w:val="0"/>
                <w:sz w:val="19"/>
              </w:rPr>
              <w:t xml:space="preserve"> Pt. 3</w:t>
            </w:r>
          </w:p>
        </w:tc>
        <w:tc>
          <w:tcPr>
            <w:tcW w:w="1134" w:type="dxa"/>
            <w:shd w:val="clear" w:color="auto" w:fill="auto"/>
          </w:tcPr>
          <w:p>
            <w:pPr>
              <w:pStyle w:val="nTable"/>
              <w:spacing w:after="40"/>
              <w:rPr>
                <w:sz w:val="19"/>
              </w:rPr>
            </w:pPr>
            <w:r>
              <w:rPr>
                <w:sz w:val="19"/>
              </w:rPr>
              <w:t>58 of 2010</w:t>
            </w:r>
          </w:p>
        </w:tc>
        <w:tc>
          <w:tcPr>
            <w:tcW w:w="1134" w:type="dxa"/>
            <w:shd w:val="clear" w:color="auto" w:fill="auto"/>
          </w:tcPr>
          <w:p>
            <w:pPr>
              <w:pStyle w:val="nTable"/>
              <w:spacing w:after="40"/>
              <w:rPr>
                <w:sz w:val="19"/>
              </w:rPr>
            </w:pPr>
            <w:r>
              <w:rPr>
                <w:sz w:val="19"/>
              </w:rPr>
              <w:t>8 Dec 2010</w:t>
            </w:r>
          </w:p>
        </w:tc>
        <w:tc>
          <w:tcPr>
            <w:tcW w:w="2552" w:type="dxa"/>
            <w:shd w:val="clear" w:color="auto" w:fill="auto"/>
          </w:tcPr>
          <w:p>
            <w:pPr>
              <w:pStyle w:val="nTable"/>
              <w:spacing w:after="40"/>
              <w:rPr>
                <w:sz w:val="19"/>
              </w:rPr>
            </w:pPr>
            <w:r>
              <w:rPr>
                <w:sz w:val="19"/>
              </w:rPr>
              <w:t xml:space="preserve">1 Jul 2011 (see s. 2(c) and </w:t>
            </w:r>
            <w:r>
              <w:rPr>
                <w:i/>
                <w:sz w:val="19"/>
              </w:rPr>
              <w:t>Gazette</w:t>
            </w:r>
            <w:r>
              <w:rPr>
                <w:sz w:val="19"/>
              </w:rPr>
              <w:t xml:space="preserve"> 7 Jun 2011 p. 2057)</w:t>
            </w:r>
          </w:p>
        </w:tc>
      </w:tr>
      <w:tr>
        <w:trPr>
          <w:cantSplit/>
        </w:trPr>
        <w:tc>
          <w:tcPr>
            <w:tcW w:w="7089" w:type="dxa"/>
            <w:gridSpan w:val="4"/>
            <w:tcBorders>
              <w:bottom w:val="single" w:sz="8" w:space="0" w:color="auto"/>
            </w:tcBorders>
            <w:shd w:val="clear" w:color="auto" w:fill="auto"/>
          </w:tcPr>
          <w:p>
            <w:pPr>
              <w:pStyle w:val="nTable"/>
              <w:spacing w:after="40"/>
              <w:rPr>
                <w:sz w:val="19"/>
              </w:rPr>
            </w:pPr>
            <w:r>
              <w:rPr>
                <w:b/>
                <w:sz w:val="19"/>
              </w:rPr>
              <w:t xml:space="preserve">Reprint 4:  The </w:t>
            </w:r>
            <w:r>
              <w:rPr>
                <w:b/>
                <w:i/>
                <w:sz w:val="19"/>
              </w:rPr>
              <w:t>Land Valuers Licensing Act 1978</w:t>
            </w:r>
            <w:r>
              <w:rPr>
                <w:b/>
                <w:sz w:val="19"/>
              </w:rPr>
              <w:t xml:space="preserve"> as at 14 Oct  2011</w:t>
            </w:r>
            <w:r>
              <w:rPr>
                <w:sz w:val="19"/>
              </w:rPr>
              <w:br/>
              <w:t>(includes amendments listed above) (</w:t>
            </w:r>
            <w:r>
              <w:t xml:space="preserve">correction to reprint in </w:t>
            </w:r>
            <w:r>
              <w:rPr>
                <w:i/>
              </w:rPr>
              <w:t>Gazette</w:t>
            </w:r>
            <w:r>
              <w:t xml:space="preserve"> 24 Aug 2012 p. 3959</w:t>
            </w:r>
            <w:r>
              <w:rPr>
                <w:sz w:val="19"/>
              </w:rPr>
              <w:t>)</w:t>
            </w:r>
          </w:p>
        </w:tc>
      </w:tr>
    </w:tbl>
    <w:p>
      <w:pPr>
        <w:pStyle w:val="nSubsection"/>
        <w:keepNext/>
        <w:keepLines/>
        <w:spacing w:before="120"/>
        <w:rPr>
          <w:snapToGrid w:val="0"/>
        </w:rPr>
      </w:pPr>
      <w:r>
        <w:rPr>
          <w:snapToGrid w:val="0"/>
          <w:vertAlign w:val="superscript"/>
        </w:rPr>
        <w:t>2</w:t>
      </w:r>
      <w:r>
        <w:rPr>
          <w:snapToGrid w:val="0"/>
        </w:rPr>
        <w:tab/>
        <w:t xml:space="preserve">The </w:t>
      </w:r>
      <w:r>
        <w:rPr>
          <w:i/>
        </w:rPr>
        <w:t>Land Valuers Licensing Amendment Act 1984</w:t>
      </w:r>
      <w:r>
        <w:t xml:space="preserve"> s.</w:t>
      </w:r>
      <w:r>
        <w:rPr>
          <w:snapToGrid w:val="0"/>
        </w:rPr>
        <w:t> 4(2) and 6(2) are transitional provisions that are of no further effect.</w:t>
      </w:r>
    </w:p>
    <w:p>
      <w:pPr>
        <w:pStyle w:val="nSubsection"/>
        <w:spacing w:before="120"/>
        <w:ind w:left="459" w:hanging="459"/>
        <w:rPr>
          <w:snapToGrid w:val="0"/>
        </w:rPr>
      </w:pPr>
      <w:r>
        <w:rPr>
          <w:snapToGrid w:val="0"/>
          <w:vertAlign w:val="superscript"/>
        </w:rPr>
        <w:t>3</w:t>
      </w:r>
      <w:r>
        <w:rPr>
          <w:snapToGrid w:val="0"/>
        </w:rPr>
        <w:tab/>
        <w:t xml:space="preserve">The </w:t>
      </w:r>
      <w:r>
        <w:rPr>
          <w:i/>
        </w:rPr>
        <w:t xml:space="preserve">Business Licensing Amendment Act 1995 </w:t>
      </w:r>
      <w:r>
        <w:t>s. 32</w:t>
      </w:r>
      <w:r>
        <w:rPr>
          <w:snapToGrid w:val="0"/>
        </w:rPr>
        <w:t xml:space="preserve"> is a transitional provision that is of no further effect.</w:t>
      </w:r>
    </w:p>
    <w:p>
      <w:pPr>
        <w:pStyle w:val="nSubsection"/>
        <w:spacing w:before="120"/>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snapToGrid w:val="0"/>
        </w:rPr>
      </w:pPr>
      <w:r>
        <w:rPr>
          <w:vertAlign w:val="superscript"/>
        </w:rPr>
        <w:t>5</w:t>
      </w:r>
      <w:r>
        <w:tab/>
      </w:r>
      <w:r>
        <w:rPr>
          <w:snapToGrid w:val="0"/>
        </w:rPr>
        <w:t xml:space="preserve">The </w:t>
      </w:r>
      <w:r>
        <w:rPr>
          <w:i/>
          <w:snapToGrid w:val="0"/>
        </w:rPr>
        <w:t xml:space="preserve">Criminal Procedure and Appeals (Consequential and Other Provisions) Act 2004 </w:t>
      </w:r>
      <w:r>
        <w:rPr>
          <w:snapToGrid w:val="0"/>
        </w:rPr>
        <w:t xml:space="preserve">s. 82, to the extent it amends this Act, was deleted by the </w:t>
      </w:r>
      <w:r>
        <w:rPr>
          <w:i/>
          <w:iCs/>
          <w:snapToGrid w:val="0"/>
        </w:rPr>
        <w:t>Criminal Law and Evidence Amendment Act 2008</w:t>
      </w:r>
      <w:r>
        <w:rPr>
          <w:snapToGrid w:val="0"/>
        </w:rPr>
        <w:t xml:space="preserve"> s. 78(2)(b).</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
      <w:pPr>
        <w:pStyle w:val="nHeading2"/>
        <w:rPr>
          <w:sz w:val="28"/>
        </w:rPr>
      </w:pPr>
      <w:bookmarkStart w:id="47" w:name="_Toc378945356"/>
      <w:r>
        <w:rPr>
          <w:sz w:val="28"/>
        </w:rPr>
        <w:t>Defined Terms</w:t>
      </w:r>
      <w:bookmarkEnd w:id="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8" w:name="DefinedTerms"/>
      <w:bookmarkEnd w:id="48"/>
      <w:r>
        <w:t>approved</w:t>
      </w:r>
      <w:r>
        <w:tab/>
        <w:t>4</w:t>
      </w:r>
    </w:p>
    <w:p>
      <w:pPr>
        <w:pStyle w:val="DefinedTerms"/>
      </w:pPr>
      <w:r>
        <w:t>Australian Property Institute</w:t>
      </w:r>
      <w:r>
        <w:tab/>
        <w:t>4</w:t>
      </w:r>
    </w:p>
    <w:p>
      <w:pPr>
        <w:pStyle w:val="DefinedTerms"/>
      </w:pPr>
      <w:r>
        <w:t>commencement day</w:t>
      </w:r>
      <w:r>
        <w:tab/>
        <w:t>37</w:t>
      </w:r>
    </w:p>
    <w:p>
      <w:pPr>
        <w:pStyle w:val="DefinedTerms"/>
      </w:pPr>
      <w:r>
        <w:t>Commissioner</w:t>
      </w:r>
      <w:r>
        <w:tab/>
        <w:t>4</w:t>
      </w:r>
    </w:p>
    <w:p>
      <w:pPr>
        <w:pStyle w:val="DefinedTerms"/>
      </w:pPr>
      <w:r>
        <w:t>corporation</w:t>
      </w:r>
      <w:r>
        <w:tab/>
        <w:t>4</w:t>
      </w:r>
    </w:p>
    <w:p>
      <w:pPr>
        <w:pStyle w:val="DefinedTerms"/>
      </w:pPr>
      <w:r>
        <w:t>department</w:t>
      </w:r>
      <w:r>
        <w:tab/>
        <w:t>4</w:t>
      </w:r>
    </w:p>
    <w:p>
      <w:pPr>
        <w:pStyle w:val="DefinedTerms"/>
      </w:pPr>
      <w:r>
        <w:t>former Board</w:t>
      </w:r>
      <w:r>
        <w:tab/>
        <w:t>37</w:t>
      </w:r>
    </w:p>
    <w:p>
      <w:pPr>
        <w:pStyle w:val="DefinedTerms"/>
      </w:pPr>
      <w:r>
        <w:t>former Registrar</w:t>
      </w:r>
      <w:r>
        <w:tab/>
        <w:t>37</w:t>
      </w:r>
    </w:p>
    <w:p>
      <w:pPr>
        <w:pStyle w:val="DefinedTerms"/>
      </w:pPr>
      <w:r>
        <w:t>land</w:t>
      </w:r>
      <w:r>
        <w:tab/>
        <w:t>4</w:t>
      </w:r>
    </w:p>
    <w:p>
      <w:pPr>
        <w:pStyle w:val="DefinedTerms"/>
      </w:pPr>
      <w:r>
        <w:t>lawyer</w:t>
      </w:r>
      <w:r>
        <w:tab/>
        <w:t>4</w:t>
      </w:r>
    </w:p>
    <w:p>
      <w:pPr>
        <w:pStyle w:val="DefinedTerms"/>
      </w:pPr>
      <w:r>
        <w:t>legal practitioner</w:t>
      </w:r>
      <w:r>
        <w:tab/>
        <w:t>4</w:t>
      </w:r>
    </w:p>
    <w:p>
      <w:pPr>
        <w:pStyle w:val="DefinedTerms"/>
      </w:pPr>
      <w:r>
        <w:t>liability</w:t>
      </w:r>
      <w:r>
        <w:tab/>
        <w:t>37</w:t>
      </w:r>
    </w:p>
    <w:p>
      <w:pPr>
        <w:pStyle w:val="DefinedTerms"/>
      </w:pPr>
      <w:r>
        <w:t>licence</w:t>
      </w:r>
      <w:r>
        <w:tab/>
        <w:t>4</w:t>
      </w:r>
    </w:p>
    <w:p>
      <w:pPr>
        <w:pStyle w:val="DefinedTerms"/>
      </w:pPr>
      <w:r>
        <w:t>licensed valuer</w:t>
      </w:r>
      <w:r>
        <w:tab/>
        <w:t>4</w:t>
      </w:r>
    </w:p>
    <w:p>
      <w:pPr>
        <w:pStyle w:val="DefinedTerms"/>
      </w:pPr>
      <w:r>
        <w:t>licensed valuers code of conduct</w:t>
      </w:r>
      <w:r>
        <w:tab/>
        <w:t>4</w:t>
      </w:r>
    </w:p>
    <w:p>
      <w:pPr>
        <w:pStyle w:val="DefinedTerms"/>
      </w:pPr>
      <w:r>
        <w:t>officer</w:t>
      </w:r>
      <w:r>
        <w:tab/>
        <w:t>4</w:t>
      </w:r>
    </w:p>
    <w:p>
      <w:pPr>
        <w:pStyle w:val="DefinedTerms"/>
      </w:pPr>
      <w:r>
        <w:t>person aggrieved</w:t>
      </w:r>
      <w:r>
        <w:tab/>
        <w:t>16(2)</w:t>
      </w:r>
    </w:p>
    <w:p>
      <w:pPr>
        <w:pStyle w:val="DefinedTerms"/>
      </w:pPr>
      <w:r>
        <w:t>residual assets</w:t>
      </w:r>
      <w:r>
        <w:tab/>
        <w:t>44(b)</w:t>
      </w:r>
    </w:p>
    <w:p>
      <w:pPr>
        <w:pStyle w:val="DefinedTerms"/>
      </w:pPr>
      <w:r>
        <w:t>reviewable decision</w:t>
      </w:r>
      <w:r>
        <w:tab/>
        <w:t>16(2)</w:t>
      </w:r>
    </w:p>
    <w:p>
      <w:pPr>
        <w:pStyle w:val="DefinedTerms"/>
      </w:pPr>
      <w:r>
        <w:t>right</w:t>
      </w:r>
      <w:r>
        <w:tab/>
        <w:t>37</w:t>
      </w:r>
    </w:p>
    <w:p>
      <w:pPr>
        <w:pStyle w:val="DefinedTerms"/>
      </w:pPr>
      <w:r>
        <w:t>specified</w:t>
      </w:r>
      <w:r>
        <w:tab/>
        <w:t>46(6)</w:t>
      </w:r>
    </w:p>
    <w:p>
      <w:pPr>
        <w:pStyle w:val="DefinedTerms"/>
      </w:pPr>
      <w:r>
        <w:t>transitional matter</w:t>
      </w:r>
      <w:r>
        <w:tab/>
        <w:t>46(2)</w:t>
      </w:r>
    </w:p>
    <w:p>
      <w:pPr>
        <w:pStyle w:val="DefinedTerms"/>
      </w:pPr>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
    <w:p/>
    <w:p/>
    <w:p/>
    <w:p/>
    <w:p/>
    <w:p/>
    <w:p/>
    <w:p/>
    <w:p/>
    <w:sectPr>
      <w:headerReference w:type="even" r:id="rId35"/>
      <w:headerReference w:type="defaul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Oct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Oct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Oct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Oct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Oct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Oct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Oct 2011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Oct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Oct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04-a0-03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Valuers Licensing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Valuers Licensing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7"/>
  </w:num>
  <w:num w:numId="15">
    <w:abstractNumId w:val="13"/>
  </w:num>
  <w:num w:numId="16">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31152224"/>
    <w:docVar w:name="WAFER_20140131152219" w:val="RemoveTocBookmarks,RemoveUnusedBookmarks,RemoveLanguageTags,UsedStyles,ResetPageSize,UpdateArrangement"/>
    <w:docVar w:name="WAFER_20140131152219_GUID" w:val="01dce1c1-e568-4d50-9d72-9eb359b2d17a"/>
    <w:docVar w:name="WAFER_20140131152224" w:val="RemoveTocBookmarks,RunningHeaders"/>
    <w:docVar w:name="WAFER_20140131152224_GUID" w:val="f9d73887-275d-4ed4-8b43-259db01532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5683</Words>
  <Characters>26656</Characters>
  <Application>Microsoft Office Word</Application>
  <DocSecurity>0</DocSecurity>
  <Lines>833</Lines>
  <Paragraphs>513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Act 1978 - 04-a0-03</dc:title>
  <dc:subject/>
  <dc:creator/>
  <cp:keywords/>
  <dc:description/>
  <cp:lastModifiedBy>svcMRProcess</cp:lastModifiedBy>
  <cp:revision>4</cp:revision>
  <cp:lastPrinted>2011-11-07T07:27:00Z</cp:lastPrinted>
  <dcterms:created xsi:type="dcterms:W3CDTF">2018-09-03T23:39:00Z</dcterms:created>
  <dcterms:modified xsi:type="dcterms:W3CDTF">2018-09-03T23:39:00Z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1978</vt:lpwstr>
  </property>
  <property fmtid="{D5CDD505-2E9C-101B-9397-08002B2CF9AE}" pid="3" name="CommencementDate">
    <vt:lpwstr>20111014</vt:lpwstr>
  </property>
  <property fmtid="{D5CDD505-2E9C-101B-9397-08002B2CF9AE}" pid="4" name="DocumentType">
    <vt:lpwstr>Act</vt:lpwstr>
  </property>
  <property fmtid="{D5CDD505-2E9C-101B-9397-08002B2CF9AE}" pid="5" name="OwlsUID">
    <vt:i4>436</vt:i4>
  </property>
  <property fmtid="{D5CDD505-2E9C-101B-9397-08002B2CF9AE}" pid="6" name="AsAtDate">
    <vt:lpwstr>14 Oct 2011</vt:lpwstr>
  </property>
  <property fmtid="{D5CDD505-2E9C-101B-9397-08002B2CF9AE}" pid="7" name="Suffix">
    <vt:lpwstr>04-a0-03</vt:lpwstr>
  </property>
  <property fmtid="{D5CDD505-2E9C-101B-9397-08002B2CF9AE}" pid="8" name="ReprintNo">
    <vt:lpwstr>4</vt:lpwstr>
  </property>
  <property fmtid="{D5CDD505-2E9C-101B-9397-08002B2CF9AE}" pid="9" name="ReprintedAsAt">
    <vt:filetime>2011-10-13T16:00:00Z</vt:filetime>
  </property>
</Properties>
</file>