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74" w:rsidRDefault="004C4674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B22C98" w:rsidRDefault="00B22C98" w:rsidP="00B22C98">
      <w:pPr>
        <w:pStyle w:val="PrincipalActReg"/>
        <w:spacing w:before="2600" w:after="0"/>
      </w:pPr>
      <w:r>
        <w:t>Criminal Procedure Act 2004</w:t>
      </w:r>
    </w:p>
    <w:p w:rsidR="004C4674" w:rsidRDefault="004C4674" w:rsidP="00B22C98">
      <w:pPr>
        <w:pStyle w:val="NameofActRegPage1"/>
        <w:spacing w:before="19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31530">
        <w:rPr>
          <w:noProof/>
        </w:rPr>
        <w:t>Criminal Procedure (District Court) Rules 2008</w:t>
      </w:r>
      <w:r>
        <w:fldChar w:fldCharType="end"/>
      </w:r>
    </w:p>
    <w:p w:rsidR="004C4674" w:rsidRDefault="004C4674">
      <w:pPr>
        <w:jc w:val="center"/>
        <w:rPr>
          <w:b/>
        </w:rPr>
        <w:sectPr w:rsidR="004C4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C4674" w:rsidRDefault="004C4674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C4674" w:rsidRDefault="004C467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31530">
        <w:rPr>
          <w:noProof/>
        </w:rPr>
        <w:t>Criminal Procedure (District Court) Rules 2008</w:t>
      </w:r>
      <w:r>
        <w:fldChar w:fldCharType="end"/>
      </w:r>
    </w:p>
    <w:p w:rsidR="004C4674" w:rsidRDefault="004C4674">
      <w:pPr>
        <w:pStyle w:val="Arrangement"/>
      </w:pPr>
      <w:r>
        <w:t>Contents</w:t>
      </w:r>
    </w:p>
    <w:p w:rsidR="00CF3390" w:rsidRDefault="004C467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CF3390">
        <w:t>1.</w:t>
      </w:r>
      <w:r w:rsidR="00CF3390">
        <w:tab/>
        <w:t>Citation</w:t>
      </w:r>
      <w:r w:rsidR="00CF3390">
        <w:tab/>
      </w:r>
      <w:r w:rsidR="00CF3390">
        <w:fldChar w:fldCharType="begin"/>
      </w:r>
      <w:r w:rsidR="00CF3390">
        <w:instrText xml:space="preserve"> PAGEREF _Toc378154238 \h </w:instrText>
      </w:r>
      <w:r w:rsidR="00CF3390">
        <w:fldChar w:fldCharType="separate"/>
      </w:r>
      <w:r w:rsidR="00631530">
        <w:t>1</w:t>
      </w:r>
      <w:r w:rsidR="00CF3390"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A3174E">
        <w:rPr>
          <w:spacing w:val="-2"/>
        </w:rPr>
        <w:t>.</w:t>
      </w:r>
      <w:r w:rsidRPr="00A3174E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_Toc378154239 \h </w:instrText>
      </w:r>
      <w:r>
        <w:fldChar w:fldCharType="separate"/>
      </w:r>
      <w:r w:rsidR="00631530">
        <w:t>1</w:t>
      </w:r>
      <w:r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_Toc378154240 \h </w:instrText>
      </w:r>
      <w:r>
        <w:fldChar w:fldCharType="separate"/>
      </w:r>
      <w:r w:rsidR="00631530">
        <w:t>1</w:t>
      </w:r>
      <w:r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</w:t>
      </w:r>
      <w:r>
        <w:tab/>
      </w:r>
      <w:r>
        <w:fldChar w:fldCharType="begin"/>
      </w:r>
      <w:r>
        <w:instrText xml:space="preserve"> PAGEREF _Toc378154241 \h </w:instrText>
      </w:r>
      <w:r>
        <w:fldChar w:fldCharType="separate"/>
      </w:r>
      <w:r w:rsidR="00631530">
        <w:t>2</w:t>
      </w:r>
      <w:r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indictment or discontinuance must be lodged</w:t>
      </w:r>
      <w:r>
        <w:tab/>
      </w:r>
      <w:r>
        <w:fldChar w:fldCharType="begin"/>
      </w:r>
      <w:r>
        <w:instrText xml:space="preserve"> PAGEREF _Toc378154242 \h </w:instrText>
      </w:r>
      <w:r>
        <w:fldChar w:fldCharType="separate"/>
      </w:r>
      <w:r w:rsidR="00631530">
        <w:t>2</w:t>
      </w:r>
      <w:r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Initial hearing</w:t>
      </w:r>
      <w:r>
        <w:tab/>
      </w:r>
      <w:r>
        <w:fldChar w:fldCharType="begin"/>
      </w:r>
      <w:r>
        <w:instrText xml:space="preserve"> PAGEREF _Toc378154243 \h </w:instrText>
      </w:r>
      <w:r>
        <w:fldChar w:fldCharType="separate"/>
      </w:r>
      <w:r w:rsidR="00631530">
        <w:t>2</w:t>
      </w:r>
      <w:r>
        <w:fldChar w:fldCharType="end"/>
      </w:r>
    </w:p>
    <w:p w:rsidR="00CF3390" w:rsidRDefault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When request about pending charges must be lodged</w:t>
      </w:r>
      <w:r>
        <w:tab/>
      </w:r>
      <w:r>
        <w:fldChar w:fldCharType="begin"/>
      </w:r>
      <w:r>
        <w:instrText xml:space="preserve"> PAGEREF _Toc378154244 \h </w:instrText>
      </w:r>
      <w:r>
        <w:fldChar w:fldCharType="separate"/>
      </w:r>
      <w:r w:rsidR="00631530">
        <w:t>3</w:t>
      </w:r>
      <w:r>
        <w:fldChar w:fldCharType="end"/>
      </w:r>
    </w:p>
    <w:p w:rsidR="00CF3390" w:rsidRDefault="00CF339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CF3390" w:rsidRDefault="00CF3390" w:rsidP="00CF339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_Toc378154246 \h </w:instrText>
      </w:r>
      <w:r>
        <w:fldChar w:fldCharType="separate"/>
      </w:r>
      <w:r w:rsidR="00631530">
        <w:t>4</w:t>
      </w:r>
      <w:r>
        <w:fldChar w:fldCharType="end"/>
      </w:r>
    </w:p>
    <w:p w:rsidR="004C4674" w:rsidRDefault="004C4674">
      <w:pPr>
        <w:pStyle w:val="TOC8"/>
      </w:pPr>
      <w:r>
        <w:fldChar w:fldCharType="end"/>
      </w:r>
    </w:p>
    <w:p w:rsidR="004C4674" w:rsidRDefault="004C467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4C4674" w:rsidRDefault="004C4674">
      <w:pPr>
        <w:pStyle w:val="NoteHeading"/>
        <w:sectPr w:rsidR="004C467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C4674" w:rsidRDefault="004C4674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C4674" w:rsidRDefault="004C4674">
      <w:pPr>
        <w:pStyle w:val="PrincipalActReg"/>
      </w:pPr>
      <w:r>
        <w:t>Criminal Procedure Act 2004</w:t>
      </w:r>
    </w:p>
    <w:p w:rsidR="004C4674" w:rsidRDefault="004C4674">
      <w:pPr>
        <w:pStyle w:val="NameofActReg"/>
      </w:pPr>
      <w:r>
        <w:t>Criminal Procedure (District Court) Rules 2008</w:t>
      </w:r>
    </w:p>
    <w:p w:rsidR="004C4674" w:rsidRDefault="004C4674">
      <w:pPr>
        <w:pStyle w:val="Heading5"/>
      </w:pPr>
      <w:bookmarkStart w:id="1" w:name="_Toc378154238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4C4674" w:rsidRDefault="004C4674">
      <w:pPr>
        <w:pStyle w:val="Subsection"/>
        <w:ind w:right="282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Criminal Procedure (District Court) Rules 2008</w:t>
      </w:r>
      <w:r>
        <w:t>.</w:t>
      </w:r>
    </w:p>
    <w:p w:rsidR="004C4674" w:rsidRDefault="004C4674">
      <w:pPr>
        <w:pStyle w:val="Heading5"/>
        <w:rPr>
          <w:spacing w:val="-2"/>
        </w:rPr>
      </w:pPr>
      <w:bookmarkStart w:id="3" w:name="_Toc3781542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 w:rsidR="004C4674" w:rsidRDefault="004C467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follows:</w:t>
      </w:r>
    </w:p>
    <w:p w:rsidR="004C4674" w:rsidRDefault="004C4674"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 w:rsidR="004C4674" w:rsidRDefault="004C4674">
      <w:pPr>
        <w:pStyle w:val="Indenta"/>
      </w:pPr>
      <w:r>
        <w:tab/>
        <w:t>(b)</w:t>
      </w:r>
      <w:r>
        <w:tab/>
        <w:t>the rest of the rules — on the day after that day.</w:t>
      </w:r>
    </w:p>
    <w:p w:rsidR="004C4674" w:rsidRDefault="004C4674">
      <w:pPr>
        <w:pStyle w:val="Heading5"/>
      </w:pPr>
      <w:bookmarkStart w:id="4" w:name="_Toc378154240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 w:rsidR="004C4674" w:rsidRDefault="004C4674">
      <w:pPr>
        <w:pStyle w:val="Subsection"/>
      </w:pPr>
      <w:r>
        <w:tab/>
      </w:r>
      <w:r>
        <w:tab/>
        <w:t>In these rules unless the contrary intention appears —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accused</w:t>
      </w:r>
      <w:r>
        <w:t xml:space="preserve"> means a person who has been committed to the court for trial or sentence or who is the subject of an indictment that has been lodged in the court;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Chief Judge</w:t>
      </w:r>
      <w:r>
        <w:t xml:space="preserve"> means the Chief Judge of the District Court;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court</w:t>
      </w:r>
      <w:r>
        <w:t xml:space="preserve"> means the District Court;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CPA</w:t>
      </w:r>
      <w:r>
        <w:t xml:space="preserve"> means the </w:t>
      </w:r>
      <w:r>
        <w:rPr>
          <w:i/>
        </w:rPr>
        <w:t>Criminal Procedure Act 2004</w:t>
      </w:r>
      <w:r>
        <w:t>;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judge</w:t>
      </w:r>
      <w:r>
        <w:t xml:space="preserve"> means a District Court judge;</w:t>
      </w:r>
    </w:p>
    <w:p w:rsidR="004C4674" w:rsidRDefault="004C4674"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a document, means to lodge it with the court.</w:t>
      </w:r>
    </w:p>
    <w:p w:rsidR="004C4674" w:rsidRDefault="004C4674">
      <w:pPr>
        <w:pStyle w:val="Heading5"/>
      </w:pPr>
      <w:bookmarkStart w:id="5" w:name="_Toc378154241"/>
      <w:r>
        <w:rPr>
          <w:rStyle w:val="CharSectno"/>
        </w:rPr>
        <w:lastRenderedPageBreak/>
        <w:t>4</w:t>
      </w:r>
      <w:r>
        <w:t>.</w:t>
      </w:r>
      <w:r>
        <w:tab/>
        <w:t>Application</w:t>
      </w:r>
      <w:bookmarkEnd w:id="5"/>
    </w:p>
    <w:p w:rsidR="004C4674" w:rsidRDefault="004C4674">
      <w:pPr>
        <w:pStyle w:val="Subsection"/>
      </w:pPr>
      <w:r>
        <w:tab/>
        <w:t>(1)</w:t>
      </w:r>
      <w:r>
        <w:tab/>
        <w:t xml:space="preserve">These rules must be read with the </w:t>
      </w:r>
      <w:r>
        <w:rPr>
          <w:i/>
        </w:rPr>
        <w:t>Criminal Procedure Rules 2005</w:t>
      </w:r>
      <w:r>
        <w:t>.</w:t>
      </w:r>
    </w:p>
    <w:p w:rsidR="004C4674" w:rsidRDefault="004C4674">
      <w:pPr>
        <w:pStyle w:val="Subsection"/>
        <w:rPr>
          <w:iCs/>
        </w:rPr>
      </w:pPr>
      <w:r>
        <w:tab/>
        <w:t>(2)</w:t>
      </w:r>
      <w:r>
        <w:tab/>
        <w:t xml:space="preserve">If a provision in these rules is inconsistent with a provision of the </w:t>
      </w:r>
      <w:r>
        <w:rPr>
          <w:i/>
        </w:rPr>
        <w:t>Criminal Procedure Rules 2005</w:t>
      </w:r>
      <w:r>
        <w:rPr>
          <w:iCs/>
        </w:rPr>
        <w:t>, the provision in these rules prevails in relation to any case in the court.</w:t>
      </w:r>
    </w:p>
    <w:p w:rsidR="000268B3" w:rsidRPr="007A2397" w:rsidRDefault="007A2397" w:rsidP="000268B3">
      <w:pPr>
        <w:pStyle w:val="Ednotesection"/>
      </w:pPr>
      <w:r>
        <w:t>[</w:t>
      </w:r>
      <w:r>
        <w:rPr>
          <w:b/>
        </w:rPr>
        <w:t>5.</w:t>
      </w:r>
      <w:r>
        <w:tab/>
      </w:r>
      <w:r>
        <w:tab/>
        <w:t>Deleted in Gazette 25 Nov 2011 p. 4872.]</w:t>
      </w:r>
    </w:p>
    <w:p w:rsidR="004C4674" w:rsidRDefault="004C4674">
      <w:pPr>
        <w:pStyle w:val="Heading5"/>
      </w:pPr>
      <w:bookmarkStart w:id="6" w:name="_Toc378154242"/>
      <w:r>
        <w:rPr>
          <w:rStyle w:val="CharSectno"/>
        </w:rPr>
        <w:t>6</w:t>
      </w:r>
      <w:r>
        <w:t>.</w:t>
      </w:r>
      <w:r>
        <w:tab/>
        <w:t>When indictment or discontinuance must be lodged</w:t>
      </w:r>
      <w:bookmarkEnd w:id="6"/>
    </w:p>
    <w:p w:rsidR="004C4674" w:rsidRDefault="004C4674">
      <w:pPr>
        <w:pStyle w:val="Subsection"/>
      </w:pPr>
      <w:r>
        <w:tab/>
        <w:t>(1)</w:t>
      </w:r>
      <w:r>
        <w:tab/>
        <w:t>The Chief Judge, by a practice direction, may set the period within which an authorised officer must act under the CPA Part 4 Division 2 in respect of an accused who is committed to the court for trial or sentence on a charge.</w:t>
      </w:r>
    </w:p>
    <w:p w:rsidR="004C4674" w:rsidRDefault="004C4674">
      <w:pPr>
        <w:pStyle w:val="Subsection"/>
      </w:pPr>
      <w:r>
        <w:tab/>
        <w:t>(2)</w:t>
      </w:r>
      <w:r>
        <w:tab/>
        <w:t>If an authorised officer does not comply with a practice direction issued under subrule (1), the court may make an order under the CPA section 94(3).</w:t>
      </w:r>
    </w:p>
    <w:p w:rsidR="004C4674" w:rsidRDefault="004C4674">
      <w:pPr>
        <w:pStyle w:val="Heading5"/>
      </w:pPr>
      <w:bookmarkStart w:id="7" w:name="_Toc378154243"/>
      <w:r>
        <w:rPr>
          <w:rStyle w:val="CharSectno"/>
        </w:rPr>
        <w:t>7</w:t>
      </w:r>
      <w:r>
        <w:t>.</w:t>
      </w:r>
      <w:r>
        <w:tab/>
        <w:t>Initial hearing</w:t>
      </w:r>
      <w:bookmarkEnd w:id="7"/>
    </w:p>
    <w:p w:rsidR="004C4674" w:rsidRDefault="004C4674">
      <w:pPr>
        <w:pStyle w:val="Subsection"/>
      </w:pPr>
      <w:r>
        <w:tab/>
        <w:t>(1)</w:t>
      </w:r>
      <w:r>
        <w:tab/>
        <w:t>For the purpose of this rule, the initial hearing of a prosecution commences on the day on which the accused first appears in the court having been committed to the court for trial or sentencing.</w:t>
      </w:r>
    </w:p>
    <w:p w:rsidR="004C4674" w:rsidRDefault="004C4674">
      <w:pPr>
        <w:pStyle w:val="Subsection"/>
      </w:pPr>
      <w:r>
        <w:tab/>
        <w:t>(2)</w:t>
      </w:r>
      <w:r>
        <w:tab/>
        <w:t>A judge must preside at an initial hearing of a prosecution.</w:t>
      </w:r>
    </w:p>
    <w:p w:rsidR="004C4674" w:rsidRDefault="004C4674">
      <w:pPr>
        <w:pStyle w:val="Subsection"/>
      </w:pPr>
      <w:r>
        <w:tab/>
        <w:t>(3)</w:t>
      </w:r>
      <w:r>
        <w:tab/>
        <w:t>At an initial hearing of a prosecution the court may do any of the following —</w:t>
      </w:r>
    </w:p>
    <w:p w:rsidR="004C4674" w:rsidRDefault="004C4674">
      <w:pPr>
        <w:pStyle w:val="Indenta"/>
      </w:pPr>
      <w:r>
        <w:tab/>
        <w:t>(a)</w:t>
      </w:r>
      <w:r>
        <w:tab/>
        <w:t>deal with any application under the CPA section 89, 90, 97, 118, 131, 132, 133, 134, 135, 136 or 138;</w:t>
      </w:r>
    </w:p>
    <w:p w:rsidR="004C4674" w:rsidRDefault="004C4674">
      <w:pPr>
        <w:pStyle w:val="Indenta"/>
      </w:pPr>
      <w:r>
        <w:tab/>
        <w:t>(b)</w:t>
      </w:r>
      <w:r>
        <w:tab/>
        <w:t>exercise any of its powers in those sections if it can do so on its own initiative;</w:t>
      </w:r>
    </w:p>
    <w:p w:rsidR="004C4674" w:rsidRDefault="004C4674">
      <w:pPr>
        <w:pStyle w:val="Indenta"/>
      </w:pPr>
      <w:r>
        <w:tab/>
        <w:t>(c)</w:t>
      </w:r>
      <w:r>
        <w:tab/>
        <w:t>exercise any of its powers in the CPA section 98 or 137;</w:t>
      </w:r>
    </w:p>
    <w:p w:rsidR="004C4674" w:rsidRDefault="004C4674">
      <w:pPr>
        <w:pStyle w:val="Indenta"/>
      </w:pPr>
      <w:r>
        <w:lastRenderedPageBreak/>
        <w:tab/>
        <w:t>(d)</w:t>
      </w:r>
      <w:r>
        <w:tab/>
        <w:t xml:space="preserve">order that a status hearing be held under the </w:t>
      </w:r>
      <w:r>
        <w:rPr>
          <w:i/>
        </w:rPr>
        <w:t>Criminal Procedure Rules 2005</w:t>
      </w:r>
      <w:r>
        <w:rPr>
          <w:iCs/>
        </w:rPr>
        <w:t xml:space="preserve"> rule 33 </w:t>
      </w:r>
      <w:r>
        <w:t>and fix the time and place for it;</w:t>
      </w:r>
    </w:p>
    <w:p w:rsidR="004C4674" w:rsidRDefault="004C4674">
      <w:pPr>
        <w:pStyle w:val="Indenta"/>
      </w:pPr>
      <w:r>
        <w:tab/>
        <w:t>(e)</w:t>
      </w:r>
      <w:r>
        <w:tab/>
        <w:t xml:space="preserve">order that a pre-trial hearing be held under the </w:t>
      </w:r>
      <w:r>
        <w:rPr>
          <w:i/>
        </w:rPr>
        <w:t>Criminal Procedure Rules 2005</w:t>
      </w:r>
      <w:r>
        <w:rPr>
          <w:iCs/>
        </w:rPr>
        <w:t xml:space="preserve"> rule 34 </w:t>
      </w:r>
      <w:r>
        <w:t>and fix the time and place for it;</w:t>
      </w:r>
    </w:p>
    <w:p w:rsidR="004C4674" w:rsidRDefault="004C4674">
      <w:pPr>
        <w:pStyle w:val="Indenta"/>
      </w:pPr>
      <w:r>
        <w:tab/>
        <w:t>(f)</w:t>
      </w:r>
      <w:r>
        <w:tab/>
        <w:t>fix the time and place for the trial or sentencing proceedings;</w:t>
      </w:r>
    </w:p>
    <w:p w:rsidR="004C4674" w:rsidRDefault="004C4674">
      <w:pPr>
        <w:pStyle w:val="Indenta"/>
      </w:pPr>
      <w:r>
        <w:tab/>
        <w:t>(g)</w:t>
      </w:r>
      <w:r>
        <w:tab/>
        <w:t>adjourn the initial hearing from time to time.</w:t>
      </w:r>
    </w:p>
    <w:p w:rsidR="004C4674" w:rsidRDefault="004C4674">
      <w:pPr>
        <w:pStyle w:val="Heading5"/>
      </w:pPr>
      <w:bookmarkStart w:id="8" w:name="_Toc378154244"/>
      <w:r>
        <w:rPr>
          <w:rStyle w:val="CharSectno"/>
        </w:rPr>
        <w:t>8</w:t>
      </w:r>
      <w:r>
        <w:t>.</w:t>
      </w:r>
      <w:r>
        <w:tab/>
        <w:t>When request about pending charges must be lodged</w:t>
      </w:r>
      <w:bookmarkEnd w:id="8"/>
    </w:p>
    <w:p w:rsidR="004C4674" w:rsidRDefault="004C4674">
      <w:pPr>
        <w:pStyle w:val="Subsection"/>
        <w:rPr>
          <w:iCs/>
        </w:rPr>
      </w:pPr>
      <w:r>
        <w:tab/>
      </w:r>
      <w:r>
        <w:tab/>
        <w:t xml:space="preserve">The Chief Judge, by a practice direction, may set the time when a request under the </w:t>
      </w:r>
      <w:r>
        <w:rPr>
          <w:i/>
          <w:iCs/>
        </w:rPr>
        <w:t xml:space="preserve">Sentencing Act 1995 </w:t>
      </w:r>
      <w:r>
        <w:t xml:space="preserve">section 32(1) must be lodged in the court notwithstanding the </w:t>
      </w:r>
      <w:r>
        <w:rPr>
          <w:i/>
        </w:rPr>
        <w:t>Criminal Procedure Rules 2005</w:t>
      </w:r>
      <w:r>
        <w:rPr>
          <w:iCs/>
        </w:rPr>
        <w:t xml:space="preserve"> rule 44(2).</w:t>
      </w:r>
    </w:p>
    <w:p w:rsidR="004C4674" w:rsidRDefault="004C4674">
      <w:pPr>
        <w:sectPr w:rsidR="004C467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C4674" w:rsidRDefault="004C4674">
      <w:pPr>
        <w:pStyle w:val="nHeading2"/>
      </w:pPr>
      <w:bookmarkStart w:id="9" w:name="_Toc378154245"/>
      <w:r>
        <w:lastRenderedPageBreak/>
        <w:t>Notes</w:t>
      </w:r>
      <w:bookmarkEnd w:id="9"/>
    </w:p>
    <w:p w:rsidR="004C4674" w:rsidRDefault="004C467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Criminal Procedure (District Court) Rules 2008</w:t>
      </w:r>
      <w:r w:rsidR="007A2397" w:rsidRPr="007A2397">
        <w:rPr>
          <w:snapToGrid w:val="0"/>
        </w:rPr>
        <w:t xml:space="preserve"> </w:t>
      </w:r>
      <w:r w:rsidR="007A2397">
        <w:rPr>
          <w:snapToGrid w:val="0"/>
        </w:rPr>
        <w:t>and includes the amendments made by the other written laws referred to in the</w:t>
      </w:r>
      <w:r w:rsidR="00B22C98">
        <w:rPr>
          <w:snapToGrid w:val="0"/>
        </w:rPr>
        <w:t xml:space="preserve"> following table.</w:t>
      </w:r>
    </w:p>
    <w:p w:rsidR="004C4674" w:rsidRDefault="004C4674">
      <w:pPr>
        <w:pStyle w:val="nHeading3"/>
      </w:pPr>
      <w:bookmarkStart w:id="10" w:name="_Toc378154246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C4674" w:rsidTr="007A2397"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 w:rsidR="004C4674" w:rsidRDefault="004C46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674" w:rsidRDefault="004C46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4674" w:rsidRDefault="004C46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C4674" w:rsidTr="007A2397"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4C4674" w:rsidRDefault="004C467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Criminal Procedure (District Court) Rules 2008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C4674" w:rsidRDefault="004C46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 2008 p. 2069-71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C4674" w:rsidRDefault="004C46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May 2008 (see r. 2(a));</w:t>
            </w:r>
          </w:p>
          <w:p w:rsidR="004C4674" w:rsidRDefault="004C4674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Rules other than r. 1 and 2: 31 May 2008 (see r. 2(b))</w:t>
            </w:r>
          </w:p>
        </w:tc>
      </w:tr>
      <w:tr w:rsidR="007A2397" w:rsidTr="007A2397">
        <w:tc>
          <w:tcPr>
            <w:tcW w:w="3118" w:type="dxa"/>
            <w:tcBorders>
              <w:top w:val="nil"/>
            </w:tcBorders>
          </w:tcPr>
          <w:p w:rsidR="007A2397" w:rsidRDefault="007A2397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Procedure (District Court) Amendment Rules 2011</w:t>
            </w:r>
          </w:p>
        </w:tc>
        <w:tc>
          <w:tcPr>
            <w:tcW w:w="1276" w:type="dxa"/>
            <w:tcBorders>
              <w:top w:val="nil"/>
            </w:tcBorders>
          </w:tcPr>
          <w:p w:rsidR="007A2397" w:rsidRDefault="007A2397">
            <w:pPr>
              <w:pStyle w:val="nTable"/>
              <w:spacing w:after="40"/>
              <w:rPr>
                <w:sz w:val="19"/>
              </w:rPr>
            </w:pPr>
            <w:r w:rsidRPr="007A2397">
              <w:rPr>
                <w:sz w:val="19"/>
              </w:rPr>
              <w:t>25 Nov 2011 p. 4</w:t>
            </w:r>
            <w:r>
              <w:rPr>
                <w:sz w:val="19"/>
              </w:rPr>
              <w:t>872</w:t>
            </w:r>
          </w:p>
        </w:tc>
        <w:tc>
          <w:tcPr>
            <w:tcW w:w="2693" w:type="dxa"/>
            <w:tcBorders>
              <w:top w:val="nil"/>
            </w:tcBorders>
          </w:tcPr>
          <w:p w:rsidR="007A2397" w:rsidRDefault="007A2397">
            <w:pPr>
              <w:pStyle w:val="nTable"/>
              <w:spacing w:after="40"/>
              <w:rPr>
                <w:sz w:val="19"/>
              </w:rPr>
            </w:pPr>
            <w:r w:rsidRPr="007A2397">
              <w:rPr>
                <w:snapToGrid w:val="0"/>
                <w:spacing w:val="-2"/>
                <w:sz w:val="19"/>
              </w:rPr>
              <w:t xml:space="preserve">r. 1 and 2: </w:t>
            </w:r>
            <w:r>
              <w:rPr>
                <w:snapToGrid w:val="0"/>
                <w:spacing w:val="-2"/>
                <w:sz w:val="19"/>
              </w:rPr>
              <w:t>25</w:t>
            </w:r>
            <w:r w:rsidRPr="007A2397">
              <w:rPr>
                <w:snapToGrid w:val="0"/>
                <w:spacing w:val="-2"/>
                <w:sz w:val="19"/>
              </w:rPr>
              <w:t xml:space="preserve"> Nov 2011 (see r. 2(a));</w:t>
            </w:r>
            <w:r w:rsidRPr="007A2397">
              <w:rPr>
                <w:snapToGrid w:val="0"/>
                <w:spacing w:val="-2"/>
                <w:sz w:val="19"/>
              </w:rPr>
              <w:br/>
              <w:t>R</w:t>
            </w:r>
            <w:r w:rsidR="003807D6">
              <w:rPr>
                <w:snapToGrid w:val="0"/>
                <w:spacing w:val="-2"/>
                <w:sz w:val="19"/>
              </w:rPr>
              <w:t>ule</w:t>
            </w:r>
            <w:r w:rsidRPr="007A2397">
              <w:rPr>
                <w:snapToGrid w:val="0"/>
                <w:spacing w:val="-2"/>
                <w:sz w:val="19"/>
              </w:rPr>
              <w:t xml:space="preserve">s other than r. 1 and 2: </w:t>
            </w:r>
            <w:r>
              <w:rPr>
                <w:snapToGrid w:val="0"/>
                <w:spacing w:val="-2"/>
                <w:sz w:val="19"/>
              </w:rPr>
              <w:t>26</w:t>
            </w:r>
            <w:r w:rsidR="003807D6">
              <w:rPr>
                <w:snapToGrid w:val="0"/>
                <w:spacing w:val="-2"/>
                <w:sz w:val="19"/>
              </w:rPr>
              <w:t> </w:t>
            </w:r>
            <w:r w:rsidRPr="007A2397">
              <w:rPr>
                <w:snapToGrid w:val="0"/>
                <w:spacing w:val="-2"/>
                <w:sz w:val="19"/>
              </w:rPr>
              <w:t>Nov 2011 (see r. 2(b))</w:t>
            </w:r>
          </w:p>
        </w:tc>
      </w:tr>
    </w:tbl>
    <w:p w:rsidR="004C4674" w:rsidRDefault="004C4674"/>
    <w:p w:rsidR="004C4674" w:rsidRDefault="004C4674">
      <w:pPr>
        <w:sectPr w:rsidR="004C4674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C4674" w:rsidRDefault="004C4674"/>
    <w:sectPr w:rsidR="004C4674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98" w:rsidRDefault="00B22C98">
      <w:pPr>
        <w:rPr>
          <w:b/>
          <w:sz w:val="28"/>
        </w:rPr>
      </w:pPr>
      <w:r>
        <w:rPr>
          <w:b/>
          <w:sz w:val="28"/>
        </w:rPr>
        <w:t>Endnotes</w:t>
      </w:r>
    </w:p>
    <w:p w:rsidR="00B22C98" w:rsidRDefault="00B22C9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B22C98" w:rsidRDefault="00B22C98"/>
  </w:endnote>
  <w:endnote w:type="continuationSeparator" w:id="0">
    <w:p w:rsidR="00B22C98" w:rsidRDefault="00B22C98">
      <w:pPr>
        <w:pStyle w:val="Footer"/>
      </w:pPr>
    </w:p>
    <w:p w:rsidR="00B22C98" w:rsidRDefault="00B22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A1EC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A1EC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153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1530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153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Footer"/>
      <w:tabs>
        <w:tab w:val="clear" w:pos="4153"/>
        <w:tab w:val="right" w:pos="7088"/>
      </w:tabs>
      <w:rPr>
        <w:rStyle w:val="PageNumber"/>
      </w:rPr>
    </w:pPr>
  </w:p>
  <w:p w:rsidR="00B22C98" w:rsidRDefault="00B22C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26 Nov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1530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153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22C98" w:rsidRDefault="00B22C9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98" w:rsidRDefault="00B22C98">
      <w:r>
        <w:separator/>
      </w:r>
    </w:p>
  </w:footnote>
  <w:footnote w:type="continuationSeparator" w:id="0">
    <w:p w:rsidR="00B22C98" w:rsidRDefault="00B2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31530">
      <w:rPr>
        <w:i/>
        <w:noProof/>
      </w:rPr>
      <w:t>Criminal Procedure (District Court) Rules 2008</w:t>
    </w:r>
    <w:r>
      <w:rPr>
        <w:i/>
      </w:rPr>
      <w:fldChar w:fldCharType="end"/>
    </w:r>
  </w:p>
  <w:p w:rsidR="00B22C98" w:rsidRDefault="00B22C9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22C98" w:rsidRDefault="00B22C9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22C98" w:rsidRDefault="00B22C98">
    <w:pPr>
      <w:pStyle w:val="headerpart"/>
    </w:pPr>
  </w:p>
  <w:p w:rsidR="00B22C98" w:rsidRDefault="00B22C98">
    <w:pPr>
      <w:pBdr>
        <w:bottom w:val="single" w:sz="6" w:space="1" w:color="auto"/>
      </w:pBdr>
      <w:rPr>
        <w:b/>
      </w:rPr>
    </w:pPr>
  </w:p>
  <w:p w:rsidR="00B22C98" w:rsidRDefault="00B22C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Right"/>
            <w:ind w:right="17"/>
          </w:pP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22C98">
      <w:trPr>
        <w:cantSplit/>
      </w:trPr>
      <w:tc>
        <w:tcPr>
          <w:tcW w:w="7312" w:type="dxa"/>
          <w:gridSpan w:val="2"/>
        </w:tcPr>
        <w:p w:rsidR="00B22C98" w:rsidRDefault="0063153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64" w:type="dxa"/>
        </w:tcPr>
        <w:p w:rsidR="00B22C98" w:rsidRDefault="00B22C98">
          <w:pPr>
            <w:pStyle w:val="HeaderTextLeft"/>
          </w:pP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64" w:type="dxa"/>
        </w:tcPr>
        <w:p w:rsidR="00B22C98" w:rsidRDefault="00B22C98">
          <w:pPr>
            <w:pStyle w:val="HeaderTextLeft"/>
          </w:pPr>
        </w:p>
      </w:tc>
    </w:tr>
    <w:tr w:rsidR="00B22C98">
      <w:trPr>
        <w:cantSplit/>
      </w:trPr>
      <w:tc>
        <w:tcPr>
          <w:tcW w:w="7312" w:type="dxa"/>
          <w:gridSpan w:val="2"/>
        </w:tcPr>
        <w:p w:rsidR="00B22C98" w:rsidRDefault="00B22C98">
          <w:pPr>
            <w:pStyle w:val="HeaderSectionLeft"/>
          </w:pP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30" w:rsidRDefault="00631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30" w:rsidRDefault="006315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15" w:type="dxa"/>
        </w:tcPr>
        <w:p w:rsidR="00B22C98" w:rsidRDefault="00B22C98">
          <w:pPr>
            <w:pStyle w:val="HeaderTextLeft"/>
          </w:pP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15" w:type="dxa"/>
        </w:tcPr>
        <w:p w:rsidR="00B22C98" w:rsidRDefault="00B22C98">
          <w:pPr>
            <w:pStyle w:val="HeaderTextLeft"/>
          </w:pP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22C98" w:rsidRDefault="00B22C9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22C98" w:rsidRDefault="00B22C9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Left"/>
          </w:pPr>
          <w:r>
            <w:t xml:space="preserve">r. </w:t>
          </w:r>
          <w:r w:rsidR="00631530">
            <w:fldChar w:fldCharType="begin"/>
          </w:r>
          <w:r w:rsidR="00631530">
            <w:instrText xml:space="preserve"> styleref CharSectno </w:instrText>
          </w:r>
          <w:r w:rsidR="00631530">
            <w:fldChar w:fldCharType="separate"/>
          </w:r>
          <w:r w:rsidR="00631530">
            <w:rPr>
              <w:noProof/>
            </w:rPr>
            <w:t>1</w:t>
          </w:r>
          <w:r w:rsidR="00631530">
            <w:rPr>
              <w:noProof/>
            </w:rPr>
            <w:fldChar w:fldCharType="end"/>
          </w: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22C98">
      <w:tc>
        <w:tcPr>
          <w:tcW w:w="5715" w:type="dxa"/>
        </w:tcPr>
        <w:p w:rsidR="00B22C98" w:rsidRDefault="00B22C9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22C98" w:rsidRDefault="00B22C9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Right"/>
            <w:ind w:right="17"/>
          </w:pPr>
          <w:r>
            <w:t xml:space="preserve">r. </w:t>
          </w:r>
          <w:r w:rsidR="00631530">
            <w:fldChar w:fldCharType="begin"/>
          </w:r>
          <w:r w:rsidR="00631530">
            <w:instrText xml:space="preserve"> styleref CharSectno </w:instrText>
          </w:r>
          <w:r w:rsidR="00631530">
            <w:fldChar w:fldCharType="separate"/>
          </w:r>
          <w:r w:rsidR="00631530">
            <w:rPr>
              <w:noProof/>
            </w:rPr>
            <w:t>1</w:t>
          </w:r>
          <w:r w:rsidR="00631530">
            <w:rPr>
              <w:noProof/>
            </w:rPr>
            <w:fldChar w:fldCharType="end"/>
          </w: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8" w:rsidRDefault="00B22C9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2C98">
      <w:trPr>
        <w:cantSplit/>
      </w:trPr>
      <w:tc>
        <w:tcPr>
          <w:tcW w:w="7258" w:type="dxa"/>
          <w:gridSpan w:val="2"/>
        </w:tcPr>
        <w:p w:rsidR="00B22C98" w:rsidRDefault="00631530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Procedure (District Court) Rules 2008</w:t>
          </w:r>
          <w:r>
            <w:rPr>
              <w:noProof/>
            </w:rPr>
            <w:fldChar w:fldCharType="end"/>
          </w: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15" w:type="dxa"/>
        </w:tcPr>
        <w:p w:rsidR="00B22C98" w:rsidRDefault="00B22C98">
          <w:pPr>
            <w:pStyle w:val="HeaderTextLeft"/>
          </w:pPr>
        </w:p>
      </w:tc>
    </w:tr>
    <w:tr w:rsidR="00B22C98">
      <w:tc>
        <w:tcPr>
          <w:tcW w:w="1548" w:type="dxa"/>
        </w:tcPr>
        <w:p w:rsidR="00B22C98" w:rsidRDefault="00B22C98">
          <w:pPr>
            <w:pStyle w:val="HeaderNumberLeft"/>
          </w:pPr>
        </w:p>
      </w:tc>
      <w:tc>
        <w:tcPr>
          <w:tcW w:w="5715" w:type="dxa"/>
        </w:tcPr>
        <w:p w:rsidR="00B22C98" w:rsidRDefault="00B22C98">
          <w:pPr>
            <w:pStyle w:val="HeaderTextLeft"/>
          </w:pPr>
        </w:p>
      </w:tc>
    </w:tr>
    <w:tr w:rsidR="00B22C98">
      <w:trPr>
        <w:cantSplit/>
      </w:trPr>
      <w:tc>
        <w:tcPr>
          <w:tcW w:w="7258" w:type="dxa"/>
          <w:gridSpan w:val="2"/>
        </w:tcPr>
        <w:p w:rsidR="00B22C98" w:rsidRDefault="00B22C98">
          <w:pPr>
            <w:pStyle w:val="HeaderSectionRight"/>
            <w:ind w:right="17"/>
            <w:jc w:val="left"/>
          </w:pPr>
        </w:p>
      </w:tc>
    </w:tr>
  </w:tbl>
  <w:p w:rsidR="00B22C98" w:rsidRDefault="00B22C9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2113355"/>
    <w:docVar w:name="WAFER_20140122112710" w:val="RemoveTocBookmarks,RemoveUnusedBookmarks,RemoveLanguageTags,UsedStyles,ResetPageSize,UpdateArrangement"/>
    <w:docVar w:name="WAFER_20140122112710_GUID" w:val="e2baa943-bc48-40f1-9d0e-f66b44b10144"/>
    <w:docVar w:name="WAFER_20140122113355" w:val="RemoveTocBookmarks,RunningHeaders"/>
    <w:docVar w:name="WAFER_20140122113355_GUID" w:val="68bdc393-aa5c-4100-9c1b-f9f9ef5e8600"/>
  </w:docVars>
  <w:rsids>
    <w:rsidRoot w:val="000268B3"/>
    <w:rsid w:val="000268B3"/>
    <w:rsid w:val="00201CB5"/>
    <w:rsid w:val="003807D6"/>
    <w:rsid w:val="004A1EC7"/>
    <w:rsid w:val="004C4674"/>
    <w:rsid w:val="005620D9"/>
    <w:rsid w:val="00631530"/>
    <w:rsid w:val="007A2397"/>
    <w:rsid w:val="00990129"/>
    <w:rsid w:val="00B22C98"/>
    <w:rsid w:val="00BF36E2"/>
    <w:rsid w:val="00CF3390"/>
    <w:rsid w:val="00F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789</Words>
  <Characters>3647</Characters>
  <Application>Microsoft Office Word</Application>
  <DocSecurity>0</DocSecurity>
  <Lines>130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(District Court) Rules 2008 - 00-b0-02</dc:title>
  <dc:subject>Subsidiary Legislation</dc:subject>
  <dc:creator>Matthew Pether</dc:creator>
  <cp:keywords/>
  <dc:description/>
  <cp:lastModifiedBy>svcMRProcess</cp:lastModifiedBy>
  <cp:revision>4</cp:revision>
  <cp:lastPrinted>2008-05-02T03:48:00Z</cp:lastPrinted>
  <dcterms:created xsi:type="dcterms:W3CDTF">2014-01-22T03:48:00Z</dcterms:created>
  <dcterms:modified xsi:type="dcterms:W3CDTF">2014-01-22T03:48:00Z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2008 p 2069-71</vt:lpwstr>
  </property>
  <property fmtid="{D5CDD505-2E9C-101B-9397-08002B2CF9AE}" pid="3" name="CommencementDate">
    <vt:lpwstr>20111126</vt:lpwstr>
  </property>
  <property fmtid="{D5CDD505-2E9C-101B-9397-08002B2CF9AE}" pid="4" name="AsAtDate">
    <vt:lpwstr>26 Nov 2011</vt:lpwstr>
  </property>
  <property fmtid="{D5CDD505-2E9C-101B-9397-08002B2CF9AE}" pid="5" name="Suffix">
    <vt:lpwstr>00-b0-02</vt:lpwstr>
  </property>
  <property fmtid="{D5CDD505-2E9C-101B-9397-08002B2CF9AE}" pid="6" name="OwlsUID">
    <vt:i4>40096</vt:i4>
  </property>
  <property fmtid="{D5CDD505-2E9C-101B-9397-08002B2CF9AE}" pid="7" name="DocumentType">
    <vt:lpwstr>Reg</vt:lpwstr>
  </property>
</Properties>
</file>