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_Toc310844154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_Toc310844155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_Toc310844156 \h </w:instrText>
      </w:r>
      <w:r>
        <w:fldChar w:fldCharType="separate"/>
      </w:r>
      <w:r>
        <w:t>2</w:t>
      </w:r>
      <w:r>
        <w:fldChar w:fldCharType="end"/>
      </w:r>
    </w:p>
    <w:p>
      <w:pPr>
        <w:pStyle w:val="TOC2"/>
        <w:tabs>
          <w:tab w:val="right" w:leader="dot" w:pos="7086"/>
        </w:tabs>
        <w:rPr>
          <w:b w:val="0"/>
          <w:sz w:val="24"/>
          <w:szCs w:val="24"/>
          <w:lang w:val="en-US"/>
        </w:rPr>
      </w:pPr>
      <w:r>
        <w:t>Part II — Powers and duties of trustee companies</w:t>
      </w:r>
    </w:p>
    <w:p>
      <w:pPr>
        <w:pStyle w:val="TOC8"/>
        <w:rPr>
          <w:sz w:val="24"/>
          <w:szCs w:val="24"/>
          <w:lang w:val="en-US"/>
        </w:rPr>
      </w:pPr>
      <w:r>
        <w:t>5</w:t>
      </w:r>
      <w:r>
        <w:rPr>
          <w:snapToGrid w:val="0"/>
        </w:rPr>
        <w:t>.</w:t>
      </w:r>
      <w:r>
        <w:rPr>
          <w:snapToGrid w:val="0"/>
        </w:rPr>
        <w:tab/>
        <w:t>Trustee company may act as executor and obtain probate</w:t>
      </w:r>
      <w:r>
        <w:tab/>
      </w:r>
      <w:r>
        <w:fldChar w:fldCharType="begin"/>
      </w:r>
      <w:r>
        <w:instrText xml:space="preserve"> PAGEREF _Toc310844158 \h </w:instrText>
      </w:r>
      <w:r>
        <w:fldChar w:fldCharType="separate"/>
      </w:r>
      <w:r>
        <w:t>3</w:t>
      </w:r>
      <w:r>
        <w:fldChar w:fldCharType="end"/>
      </w:r>
    </w:p>
    <w:p>
      <w:pPr>
        <w:pStyle w:val="TOC8"/>
        <w:rPr>
          <w:sz w:val="24"/>
          <w:szCs w:val="24"/>
          <w:lang w:val="en-US"/>
        </w:rPr>
      </w:pPr>
      <w:r>
        <w:t>6</w:t>
      </w:r>
      <w:r>
        <w:rPr>
          <w:snapToGrid w:val="0"/>
        </w:rPr>
        <w:t>.</w:t>
      </w:r>
      <w:r>
        <w:rPr>
          <w:snapToGrid w:val="0"/>
        </w:rPr>
        <w:tab/>
        <w:t>Person entitled to probate may authorise trustee company to obtain administration with will annexed</w:t>
      </w:r>
      <w:r>
        <w:tab/>
      </w:r>
      <w:r>
        <w:fldChar w:fldCharType="begin"/>
      </w:r>
      <w:r>
        <w:instrText xml:space="preserve"> PAGEREF _Toc310844159 \h </w:instrText>
      </w:r>
      <w:r>
        <w:fldChar w:fldCharType="separate"/>
      </w:r>
      <w:r>
        <w:t>3</w:t>
      </w:r>
      <w:r>
        <w:fldChar w:fldCharType="end"/>
      </w:r>
    </w:p>
    <w:p>
      <w:pPr>
        <w:pStyle w:val="TOC8"/>
        <w:rPr>
          <w:sz w:val="24"/>
          <w:szCs w:val="24"/>
          <w:lang w:val="en-US"/>
        </w:rPr>
      </w:pPr>
      <w:r>
        <w:t>7</w:t>
      </w:r>
      <w:r>
        <w:rPr>
          <w:snapToGrid w:val="0"/>
        </w:rPr>
        <w:t>.</w:t>
      </w:r>
      <w:r>
        <w:rPr>
          <w:snapToGrid w:val="0"/>
        </w:rPr>
        <w:tab/>
        <w:t>Person entitled to administration with will annexed may authorise trustee company to obtain administration with will annexed</w:t>
      </w:r>
      <w:r>
        <w:tab/>
      </w:r>
      <w:r>
        <w:fldChar w:fldCharType="begin"/>
      </w:r>
      <w:r>
        <w:instrText xml:space="preserve"> PAGEREF _Toc310844160 \h </w:instrText>
      </w:r>
      <w:r>
        <w:fldChar w:fldCharType="separate"/>
      </w:r>
      <w:r>
        <w:t>4</w:t>
      </w:r>
      <w:r>
        <w:fldChar w:fldCharType="end"/>
      </w:r>
    </w:p>
    <w:p>
      <w:pPr>
        <w:pStyle w:val="TOC8"/>
        <w:rPr>
          <w:sz w:val="24"/>
          <w:szCs w:val="24"/>
          <w:lang w:val="en-US"/>
        </w:rPr>
      </w:pPr>
      <w:r>
        <w:t>8</w:t>
      </w:r>
      <w:r>
        <w:rPr>
          <w:snapToGrid w:val="0"/>
        </w:rPr>
        <w:t>.</w:t>
      </w:r>
      <w:r>
        <w:rPr>
          <w:snapToGrid w:val="0"/>
        </w:rPr>
        <w:tab/>
        <w:t>Person entitled to administration on intestacy may authorise trustee company to obtain administration</w:t>
      </w:r>
      <w:r>
        <w:tab/>
      </w:r>
      <w:r>
        <w:fldChar w:fldCharType="begin"/>
      </w:r>
      <w:r>
        <w:instrText xml:space="preserve"> PAGEREF _Toc310844161 \h </w:instrText>
      </w:r>
      <w:r>
        <w:fldChar w:fldCharType="separate"/>
      </w:r>
      <w:r>
        <w:t>4</w:t>
      </w:r>
      <w:r>
        <w:fldChar w:fldCharType="end"/>
      </w:r>
    </w:p>
    <w:p>
      <w:pPr>
        <w:pStyle w:val="TOC8"/>
        <w:rPr>
          <w:sz w:val="24"/>
          <w:szCs w:val="24"/>
          <w:lang w:val="en-US"/>
        </w:rPr>
      </w:pPr>
      <w:r>
        <w:t>9</w:t>
      </w:r>
      <w:r>
        <w:rPr>
          <w:snapToGrid w:val="0"/>
        </w:rPr>
        <w:t>.</w:t>
      </w:r>
      <w:r>
        <w:rPr>
          <w:snapToGrid w:val="0"/>
        </w:rPr>
        <w:tab/>
        <w:t>Trustee company may act as administrator</w:t>
      </w:r>
      <w:r>
        <w:tab/>
      </w:r>
      <w:r>
        <w:fldChar w:fldCharType="begin"/>
      </w:r>
      <w:r>
        <w:instrText xml:space="preserve"> PAGEREF _Toc310844162 \h </w:instrText>
      </w:r>
      <w:r>
        <w:fldChar w:fldCharType="separate"/>
      </w:r>
      <w:r>
        <w:t>5</w:t>
      </w:r>
      <w:r>
        <w:fldChar w:fldCharType="end"/>
      </w:r>
    </w:p>
    <w:p>
      <w:pPr>
        <w:pStyle w:val="TOC8"/>
        <w:rPr>
          <w:sz w:val="24"/>
          <w:szCs w:val="24"/>
          <w:lang w:val="en-US"/>
        </w:rPr>
      </w:pPr>
      <w:r>
        <w:t>10</w:t>
      </w:r>
      <w:r>
        <w:rPr>
          <w:snapToGrid w:val="0"/>
        </w:rPr>
        <w:t>.</w:t>
      </w:r>
      <w:r>
        <w:rPr>
          <w:snapToGrid w:val="0"/>
        </w:rPr>
        <w:tab/>
        <w:t>Trustee company may elect to administer small estates without order</w:t>
      </w:r>
      <w:r>
        <w:tab/>
      </w:r>
      <w:r>
        <w:fldChar w:fldCharType="begin"/>
      </w:r>
      <w:r>
        <w:instrText xml:space="preserve"> PAGEREF _Toc310844163 \h </w:instrText>
      </w:r>
      <w:r>
        <w:fldChar w:fldCharType="separate"/>
      </w:r>
      <w:r>
        <w:t>5</w:t>
      </w:r>
      <w:r>
        <w:fldChar w:fldCharType="end"/>
      </w:r>
    </w:p>
    <w:p>
      <w:pPr>
        <w:pStyle w:val="TOC8"/>
        <w:rPr>
          <w:sz w:val="24"/>
          <w:szCs w:val="24"/>
          <w:lang w:val="en-US"/>
        </w:rPr>
      </w:pPr>
      <w:r>
        <w:t>11</w:t>
      </w:r>
      <w:r>
        <w:rPr>
          <w:snapToGrid w:val="0"/>
        </w:rPr>
        <w:t>.</w:t>
      </w:r>
      <w:r>
        <w:rPr>
          <w:snapToGrid w:val="0"/>
        </w:rPr>
        <w:tab/>
        <w:t>Rights of interested persons not prejudiced by grant to trustee company</w:t>
      </w:r>
      <w:r>
        <w:tab/>
      </w:r>
      <w:r>
        <w:fldChar w:fldCharType="begin"/>
      </w:r>
      <w:r>
        <w:instrText xml:space="preserve"> PAGEREF _Toc310844164 \h </w:instrText>
      </w:r>
      <w:r>
        <w:fldChar w:fldCharType="separate"/>
      </w:r>
      <w:r>
        <w:t>6</w:t>
      </w:r>
      <w:r>
        <w:fldChar w:fldCharType="end"/>
      </w:r>
    </w:p>
    <w:p>
      <w:pPr>
        <w:pStyle w:val="TOC8"/>
        <w:rPr>
          <w:sz w:val="24"/>
          <w:szCs w:val="24"/>
          <w:lang w:val="en-US"/>
        </w:rPr>
      </w:pPr>
      <w:r>
        <w:t>12</w:t>
      </w:r>
      <w:r>
        <w:rPr>
          <w:snapToGrid w:val="0"/>
        </w:rPr>
        <w:t>.</w:t>
      </w:r>
      <w:r>
        <w:rPr>
          <w:snapToGrid w:val="0"/>
        </w:rPr>
        <w:tab/>
        <w:t>Trustee company may be appointed trustee, receiver etc.</w:t>
      </w:r>
      <w:r>
        <w:tab/>
      </w:r>
      <w:r>
        <w:fldChar w:fldCharType="begin"/>
      </w:r>
      <w:r>
        <w:instrText xml:space="preserve"> PAGEREF _Toc310844165 \h </w:instrText>
      </w:r>
      <w:r>
        <w:fldChar w:fldCharType="separate"/>
      </w:r>
      <w:r>
        <w:t>7</w:t>
      </w:r>
      <w:r>
        <w:fldChar w:fldCharType="end"/>
      </w:r>
    </w:p>
    <w:p>
      <w:pPr>
        <w:pStyle w:val="TOC8"/>
        <w:rPr>
          <w:sz w:val="24"/>
          <w:szCs w:val="24"/>
          <w:lang w:val="en-US"/>
        </w:rPr>
      </w:pPr>
      <w:r>
        <w:t>13</w:t>
      </w:r>
      <w:r>
        <w:rPr>
          <w:snapToGrid w:val="0"/>
        </w:rPr>
        <w:t>.</w:t>
      </w:r>
      <w:r>
        <w:rPr>
          <w:snapToGrid w:val="0"/>
        </w:rPr>
        <w:tab/>
        <w:t>Trustee company may act under power of attorney</w:t>
      </w:r>
      <w:r>
        <w:tab/>
      </w:r>
      <w:r>
        <w:fldChar w:fldCharType="begin"/>
      </w:r>
      <w:r>
        <w:instrText xml:space="preserve"> PAGEREF _Toc310844166 \h </w:instrText>
      </w:r>
      <w:r>
        <w:fldChar w:fldCharType="separate"/>
      </w:r>
      <w:r>
        <w:t>7</w:t>
      </w:r>
      <w:r>
        <w:fldChar w:fldCharType="end"/>
      </w:r>
    </w:p>
    <w:p>
      <w:pPr>
        <w:pStyle w:val="TOC8"/>
        <w:rPr>
          <w:sz w:val="24"/>
          <w:szCs w:val="24"/>
          <w:lang w:val="en-US"/>
        </w:rPr>
      </w:pPr>
      <w:r>
        <w:t>14</w:t>
      </w:r>
      <w:r>
        <w:rPr>
          <w:snapToGrid w:val="0"/>
        </w:rPr>
        <w:t>.</w:t>
      </w:r>
      <w:r>
        <w:rPr>
          <w:snapToGrid w:val="0"/>
        </w:rPr>
        <w:tab/>
        <w:t>Trustee company may be appointed attorney to act as temporary executor, administrator or trustee</w:t>
      </w:r>
      <w:r>
        <w:tab/>
      </w:r>
      <w:r>
        <w:fldChar w:fldCharType="begin"/>
      </w:r>
      <w:r>
        <w:instrText xml:space="preserve"> PAGEREF _Toc310844167 \h </w:instrText>
      </w:r>
      <w:r>
        <w:fldChar w:fldCharType="separate"/>
      </w:r>
      <w:r>
        <w:t>8</w:t>
      </w:r>
      <w:r>
        <w:fldChar w:fldCharType="end"/>
      </w:r>
    </w:p>
    <w:p>
      <w:pPr>
        <w:pStyle w:val="TOC8"/>
        <w:rPr>
          <w:sz w:val="24"/>
          <w:szCs w:val="24"/>
          <w:lang w:val="en-US"/>
        </w:rPr>
      </w:pPr>
      <w:r>
        <w:t>15</w:t>
      </w:r>
      <w:r>
        <w:rPr>
          <w:snapToGrid w:val="0"/>
        </w:rPr>
        <w:t>.</w:t>
      </w:r>
      <w:r>
        <w:rPr>
          <w:snapToGrid w:val="0"/>
        </w:rPr>
        <w:tab/>
        <w:t>Holder of certain offices may appoint trustee company to discharge duties</w:t>
      </w:r>
      <w:r>
        <w:tab/>
      </w:r>
      <w:r>
        <w:fldChar w:fldCharType="begin"/>
      </w:r>
      <w:r>
        <w:instrText xml:space="preserve"> PAGEREF _Toc310844168 \h </w:instrText>
      </w:r>
      <w:r>
        <w:fldChar w:fldCharType="separate"/>
      </w:r>
      <w:r>
        <w:t>8</w:t>
      </w:r>
      <w:r>
        <w:fldChar w:fldCharType="end"/>
      </w:r>
    </w:p>
    <w:p>
      <w:pPr>
        <w:pStyle w:val="TOC8"/>
        <w:rPr>
          <w:sz w:val="24"/>
          <w:szCs w:val="24"/>
          <w:lang w:val="en-US"/>
        </w:rPr>
      </w:pPr>
      <w:r>
        <w:t>16</w:t>
      </w:r>
      <w:r>
        <w:rPr>
          <w:snapToGrid w:val="0"/>
        </w:rPr>
        <w:t>.</w:t>
      </w:r>
      <w:r>
        <w:rPr>
          <w:snapToGrid w:val="0"/>
        </w:rPr>
        <w:tab/>
        <w:t>Directors and others may represent trustee company</w:t>
      </w:r>
      <w:r>
        <w:tab/>
      </w:r>
      <w:r>
        <w:fldChar w:fldCharType="begin"/>
      </w:r>
      <w:r>
        <w:instrText xml:space="preserve"> PAGEREF _Toc310844169 \h </w:instrText>
      </w:r>
      <w:r>
        <w:fldChar w:fldCharType="separate"/>
      </w:r>
      <w:r>
        <w:t>9</w:t>
      </w:r>
      <w:r>
        <w:fldChar w:fldCharType="end"/>
      </w:r>
    </w:p>
    <w:p>
      <w:pPr>
        <w:pStyle w:val="TOC8"/>
        <w:rPr>
          <w:sz w:val="24"/>
          <w:szCs w:val="24"/>
          <w:lang w:val="en-US"/>
        </w:rPr>
      </w:pPr>
      <w:r>
        <w:t>17</w:t>
      </w:r>
      <w:r>
        <w:rPr>
          <w:snapToGrid w:val="0"/>
        </w:rPr>
        <w:t>.</w:t>
      </w:r>
      <w:r>
        <w:rPr>
          <w:snapToGrid w:val="0"/>
        </w:rPr>
        <w:tab/>
        <w:t>Removal from office of executor or administrator</w:t>
      </w:r>
      <w:r>
        <w:tab/>
      </w:r>
      <w:r>
        <w:fldChar w:fldCharType="begin"/>
      </w:r>
      <w:r>
        <w:instrText xml:space="preserve"> PAGEREF _Toc310844170 \h </w:instrText>
      </w:r>
      <w:r>
        <w:fldChar w:fldCharType="separate"/>
      </w:r>
      <w:r>
        <w:t>10</w:t>
      </w:r>
      <w:r>
        <w:fldChar w:fldCharType="end"/>
      </w:r>
    </w:p>
    <w:p>
      <w:pPr>
        <w:pStyle w:val="TOC8"/>
        <w:rPr>
          <w:sz w:val="24"/>
          <w:szCs w:val="24"/>
          <w:lang w:val="en-US"/>
        </w:rPr>
      </w:pPr>
      <w:r>
        <w:t>27</w:t>
      </w:r>
      <w:r>
        <w:rPr>
          <w:snapToGrid w:val="0"/>
        </w:rPr>
        <w:t>.</w:t>
      </w:r>
      <w:r>
        <w:rPr>
          <w:snapToGrid w:val="0"/>
        </w:rPr>
        <w:tab/>
        <w:t>Unclaimed money and property</w:t>
      </w:r>
      <w:r>
        <w:tab/>
      </w:r>
      <w:r>
        <w:fldChar w:fldCharType="begin"/>
      </w:r>
      <w:r>
        <w:instrText xml:space="preserve"> PAGEREF _Toc310844171 \h </w:instrText>
      </w:r>
      <w:r>
        <w:fldChar w:fldCharType="separate"/>
      </w:r>
      <w:r>
        <w:t>10</w:t>
      </w:r>
      <w:r>
        <w:fldChar w:fldCharType="end"/>
      </w:r>
    </w:p>
    <w:p>
      <w:pPr>
        <w:pStyle w:val="TOC2"/>
        <w:tabs>
          <w:tab w:val="right" w:leader="dot" w:pos="7086"/>
        </w:tabs>
        <w:rPr>
          <w:b w:val="0"/>
          <w:sz w:val="24"/>
          <w:szCs w:val="24"/>
          <w:lang w:val="en-US"/>
        </w:rPr>
      </w:pPr>
      <w:r>
        <w:t>Part III — Transfer of estate assets and liabilities</w:t>
      </w:r>
    </w:p>
    <w:p>
      <w:pPr>
        <w:pStyle w:val="TOC4"/>
        <w:tabs>
          <w:tab w:val="right" w:leader="dot" w:pos="7086"/>
        </w:tabs>
        <w:rPr>
          <w:b w:val="0"/>
          <w:sz w:val="24"/>
          <w:szCs w:val="24"/>
          <w:lang w:val="en-US"/>
        </w:rPr>
      </w:pPr>
      <w:r>
        <w:t>Division 1 — Preliminary</w:t>
      </w:r>
    </w:p>
    <w:p>
      <w:pPr>
        <w:pStyle w:val="TOC8"/>
        <w:rPr>
          <w:sz w:val="24"/>
          <w:szCs w:val="24"/>
          <w:lang w:val="en-US"/>
        </w:rPr>
      </w:pPr>
      <w:r>
        <w:t>28.</w:t>
      </w:r>
      <w:r>
        <w:tab/>
        <w:t>Terms used in Corporations Act have the same meaning in this Part</w:t>
      </w:r>
      <w:r>
        <w:tab/>
      </w:r>
      <w:r>
        <w:fldChar w:fldCharType="begin"/>
      </w:r>
      <w:r>
        <w:instrText xml:space="preserve"> PAGEREF _Toc310844174 \h </w:instrText>
      </w:r>
      <w:r>
        <w:fldChar w:fldCharType="separate"/>
      </w:r>
      <w:r>
        <w:t>12</w:t>
      </w:r>
      <w:r>
        <w:fldChar w:fldCharType="end"/>
      </w:r>
    </w:p>
    <w:p>
      <w:pPr>
        <w:pStyle w:val="TOC4"/>
        <w:tabs>
          <w:tab w:val="right" w:leader="dot" w:pos="7086"/>
        </w:tabs>
        <w:rPr>
          <w:b w:val="0"/>
          <w:sz w:val="24"/>
          <w:szCs w:val="24"/>
          <w:lang w:val="en-US"/>
        </w:rPr>
      </w:pPr>
      <w:r>
        <w:t>Division 2 — Compulsory transfers</w:t>
      </w:r>
    </w:p>
    <w:p>
      <w:pPr>
        <w:pStyle w:val="TOC8"/>
        <w:rPr>
          <w:sz w:val="24"/>
          <w:szCs w:val="24"/>
          <w:lang w:val="en-US"/>
        </w:rPr>
      </w:pPr>
      <w:r>
        <w:t>29.</w:t>
      </w:r>
      <w:r>
        <w:tab/>
        <w:t>Compulsory transfers</w:t>
      </w:r>
      <w:r>
        <w:tab/>
      </w:r>
      <w:r>
        <w:fldChar w:fldCharType="begin"/>
      </w:r>
      <w:r>
        <w:instrText xml:space="preserve"> PAGEREF _Toc310844176 \h </w:instrText>
      </w:r>
      <w:r>
        <w:fldChar w:fldCharType="separate"/>
      </w:r>
      <w:r>
        <w:t>12</w:t>
      </w:r>
      <w:r>
        <w:fldChar w:fldCharType="end"/>
      </w:r>
    </w:p>
    <w:p>
      <w:pPr>
        <w:pStyle w:val="TOC8"/>
        <w:rPr>
          <w:sz w:val="24"/>
          <w:szCs w:val="24"/>
          <w:lang w:val="en-US"/>
        </w:rPr>
      </w:pPr>
      <w:r>
        <w:t>30.</w:t>
      </w:r>
      <w:r>
        <w:tab/>
        <w:t>Certificates evidencing operation of Division</w:t>
      </w:r>
      <w:r>
        <w:tab/>
      </w:r>
      <w:r>
        <w:fldChar w:fldCharType="begin"/>
      </w:r>
      <w:r>
        <w:instrText xml:space="preserve"> PAGEREF _Toc310844177 \h </w:instrText>
      </w:r>
      <w:r>
        <w:fldChar w:fldCharType="separate"/>
      </w:r>
      <w:r>
        <w:t>13</w:t>
      </w:r>
      <w:r>
        <w:fldChar w:fldCharType="end"/>
      </w:r>
    </w:p>
    <w:p>
      <w:pPr>
        <w:pStyle w:val="TOC8"/>
        <w:rPr>
          <w:sz w:val="24"/>
          <w:szCs w:val="24"/>
          <w:lang w:val="en-US"/>
        </w:rPr>
      </w:pPr>
      <w:r>
        <w:t>31.</w:t>
      </w:r>
      <w:r>
        <w:tab/>
        <w:t>Registration or record of transfer</w:t>
      </w:r>
      <w:r>
        <w:tab/>
      </w:r>
      <w:r>
        <w:fldChar w:fldCharType="begin"/>
      </w:r>
      <w:r>
        <w:instrText xml:space="preserve"> PAGEREF _Toc310844178 \h </w:instrText>
      </w:r>
      <w:r>
        <w:fldChar w:fldCharType="separate"/>
      </w:r>
      <w:r>
        <w:t>14</w:t>
      </w:r>
      <w:r>
        <w:fldChar w:fldCharType="end"/>
      </w:r>
    </w:p>
    <w:p>
      <w:pPr>
        <w:pStyle w:val="TOC8"/>
        <w:rPr>
          <w:sz w:val="24"/>
          <w:szCs w:val="24"/>
          <w:lang w:val="en-US"/>
        </w:rPr>
      </w:pPr>
      <w:r>
        <w:t>32.</w:t>
      </w:r>
      <w:r>
        <w:tab/>
        <w:t>Exemption from State tax</w:t>
      </w:r>
      <w:r>
        <w:tab/>
      </w:r>
      <w:r>
        <w:fldChar w:fldCharType="begin"/>
      </w:r>
      <w:r>
        <w:instrText xml:space="preserve"> PAGEREF _Toc310844179 \h </w:instrText>
      </w:r>
      <w:r>
        <w:fldChar w:fldCharType="separate"/>
      </w:r>
      <w:r>
        <w:t>14</w:t>
      </w:r>
      <w:r>
        <w:fldChar w:fldCharType="end"/>
      </w:r>
    </w:p>
    <w:p>
      <w:pPr>
        <w:pStyle w:val="TOC4"/>
        <w:tabs>
          <w:tab w:val="right" w:leader="dot" w:pos="7086"/>
        </w:tabs>
        <w:rPr>
          <w:b w:val="0"/>
          <w:sz w:val="24"/>
          <w:szCs w:val="24"/>
          <w:lang w:val="en-US"/>
        </w:rPr>
      </w:pPr>
      <w:r>
        <w:t>Division 3 — Voluntary transfers</w:t>
      </w:r>
    </w:p>
    <w:p>
      <w:pPr>
        <w:pStyle w:val="TOC8"/>
        <w:rPr>
          <w:sz w:val="24"/>
          <w:szCs w:val="24"/>
          <w:lang w:val="en-US"/>
        </w:rPr>
      </w:pPr>
      <w:r>
        <w:t>33.</w:t>
      </w:r>
      <w:r>
        <w:tab/>
        <w:t>Voluntary transfers</w:t>
      </w:r>
      <w:r>
        <w:tab/>
      </w:r>
      <w:r>
        <w:fldChar w:fldCharType="begin"/>
      </w:r>
      <w:r>
        <w:instrText xml:space="preserve"> PAGEREF _Toc310844181 \h </w:instrText>
      </w:r>
      <w:r>
        <w:fldChar w:fldCharType="separate"/>
      </w:r>
      <w:r>
        <w:t>15</w:t>
      </w:r>
      <w:r>
        <w:fldChar w:fldCharType="end"/>
      </w:r>
    </w:p>
    <w:p>
      <w:pPr>
        <w:pStyle w:val="TOC4"/>
        <w:tabs>
          <w:tab w:val="right" w:leader="dot" w:pos="7086"/>
        </w:tabs>
        <w:rPr>
          <w:b w:val="0"/>
          <w:sz w:val="24"/>
          <w:szCs w:val="24"/>
          <w:lang w:val="en-US"/>
        </w:rPr>
      </w:pPr>
      <w:r>
        <w:t>Division 4 — Relationship of Part with other laws</w:t>
      </w:r>
    </w:p>
    <w:p>
      <w:pPr>
        <w:pStyle w:val="TOC8"/>
        <w:rPr>
          <w:sz w:val="24"/>
          <w:szCs w:val="24"/>
          <w:lang w:val="en-US"/>
        </w:rPr>
      </w:pPr>
      <w:r>
        <w:t>34.</w:t>
      </w:r>
      <w:r>
        <w:tab/>
        <w:t>Relationship of Part with other laws</w:t>
      </w:r>
      <w:r>
        <w:tab/>
      </w:r>
      <w:r>
        <w:fldChar w:fldCharType="begin"/>
      </w:r>
      <w:r>
        <w:instrText xml:space="preserve"> PAGEREF _Toc310844183 \h </w:instrText>
      </w:r>
      <w:r>
        <w:fldChar w:fldCharType="separate"/>
      </w:r>
      <w:r>
        <w:t>16</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38</w:t>
      </w:r>
      <w:r>
        <w:rPr>
          <w:snapToGrid w:val="0"/>
        </w:rPr>
        <w:t>.</w:t>
      </w:r>
      <w:r>
        <w:rPr>
          <w:snapToGrid w:val="0"/>
        </w:rPr>
        <w:tab/>
        <w:t>Contributory investments</w:t>
      </w:r>
      <w:r>
        <w:tab/>
      </w:r>
      <w:r>
        <w:fldChar w:fldCharType="begin"/>
      </w:r>
      <w:r>
        <w:instrText xml:space="preserve"> PAGEREF _Toc310844185 \h </w:instrText>
      </w:r>
      <w:r>
        <w:fldChar w:fldCharType="separate"/>
      </w:r>
      <w:r>
        <w:t>18</w:t>
      </w:r>
      <w:r>
        <w:fldChar w:fldCharType="end"/>
      </w:r>
    </w:p>
    <w:p>
      <w:pPr>
        <w:pStyle w:val="TOC8"/>
        <w:rPr>
          <w:sz w:val="24"/>
          <w:szCs w:val="24"/>
          <w:lang w:val="en-US"/>
        </w:rPr>
      </w:pPr>
      <w:r>
        <w:t>41</w:t>
      </w:r>
      <w:r>
        <w:rPr>
          <w:snapToGrid w:val="0"/>
        </w:rPr>
        <w:t>.</w:t>
      </w:r>
      <w:r>
        <w:rPr>
          <w:snapToGrid w:val="0"/>
        </w:rPr>
        <w:tab/>
        <w:t>Orders as to costs</w:t>
      </w:r>
      <w:r>
        <w:tab/>
      </w:r>
      <w:r>
        <w:fldChar w:fldCharType="begin"/>
      </w:r>
      <w:r>
        <w:instrText xml:space="preserve"> PAGEREF _Toc310844186 \h </w:instrText>
      </w:r>
      <w:r>
        <w:fldChar w:fldCharType="separate"/>
      </w:r>
      <w:r>
        <w:t>18</w:t>
      </w:r>
      <w:r>
        <w:fldChar w:fldCharType="end"/>
      </w:r>
    </w:p>
    <w:p>
      <w:pPr>
        <w:pStyle w:val="TOC8"/>
        <w:rPr>
          <w:sz w:val="24"/>
          <w:szCs w:val="24"/>
          <w:lang w:val="en-US"/>
        </w:rPr>
      </w:pPr>
      <w:r>
        <w:t>43</w:t>
      </w:r>
      <w:r>
        <w:rPr>
          <w:snapToGrid w:val="0"/>
        </w:rPr>
        <w:t>.</w:t>
      </w:r>
      <w:r>
        <w:rPr>
          <w:snapToGrid w:val="0"/>
        </w:rPr>
        <w:tab/>
        <w:t>False or misleading statements</w:t>
      </w:r>
      <w:r>
        <w:tab/>
      </w:r>
      <w:r>
        <w:fldChar w:fldCharType="begin"/>
      </w:r>
      <w:r>
        <w:instrText xml:space="preserve"> PAGEREF _Toc310844187 \h </w:instrText>
      </w:r>
      <w:r>
        <w:fldChar w:fldCharType="separate"/>
      </w:r>
      <w:r>
        <w:t>18</w:t>
      </w:r>
      <w:r>
        <w:fldChar w:fldCharType="end"/>
      </w:r>
    </w:p>
    <w:p>
      <w:pPr>
        <w:pStyle w:val="TOC8"/>
        <w:rPr>
          <w:sz w:val="24"/>
          <w:szCs w:val="24"/>
          <w:lang w:val="en-US"/>
        </w:rPr>
      </w:pPr>
      <w:r>
        <w:t>44</w:t>
      </w:r>
      <w:r>
        <w:rPr>
          <w:snapToGrid w:val="0"/>
        </w:rPr>
        <w:t>.</w:t>
      </w:r>
      <w:r>
        <w:rPr>
          <w:snapToGrid w:val="0"/>
        </w:rPr>
        <w:tab/>
        <w:t>Offences by officers</w:t>
      </w:r>
      <w:r>
        <w:tab/>
      </w:r>
      <w:r>
        <w:fldChar w:fldCharType="begin"/>
      </w:r>
      <w:r>
        <w:instrText xml:space="preserve"> PAGEREF _Toc310844188 \h </w:instrText>
      </w:r>
      <w:r>
        <w:fldChar w:fldCharType="separate"/>
      </w:r>
      <w:r>
        <w:t>20</w:t>
      </w:r>
      <w:r>
        <w:fldChar w:fldCharType="end"/>
      </w:r>
    </w:p>
    <w:p>
      <w:pPr>
        <w:pStyle w:val="TOC8"/>
        <w:rPr>
          <w:sz w:val="24"/>
          <w:szCs w:val="24"/>
          <w:lang w:val="en-US"/>
        </w:rPr>
      </w:pPr>
      <w:r>
        <w:t>45</w:t>
      </w:r>
      <w:r>
        <w:rPr>
          <w:snapToGrid w:val="0"/>
        </w:rPr>
        <w:t>.</w:t>
      </w:r>
      <w:r>
        <w:rPr>
          <w:snapToGrid w:val="0"/>
        </w:rPr>
        <w:tab/>
        <w:t>Regulations</w:t>
      </w:r>
      <w:r>
        <w:tab/>
      </w:r>
      <w:r>
        <w:fldChar w:fldCharType="begin"/>
      </w:r>
      <w:r>
        <w:instrText xml:space="preserve"> PAGEREF _Toc310844189 \h </w:instrText>
      </w:r>
      <w:r>
        <w:fldChar w:fldCharType="separate"/>
      </w:r>
      <w:r>
        <w:t>21</w:t>
      </w:r>
      <w:r>
        <w:fldChar w:fldCharType="end"/>
      </w:r>
    </w:p>
    <w:p>
      <w:pPr>
        <w:pStyle w:val="TOC2"/>
        <w:tabs>
          <w:tab w:val="right" w:leader="dot" w:pos="7086"/>
        </w:tabs>
        <w:rPr>
          <w:b w:val="0"/>
          <w:sz w:val="24"/>
          <w:szCs w:val="24"/>
          <w:lang w:val="en-US"/>
        </w:rPr>
      </w:pPr>
      <w:r>
        <w:t xml:space="preserve">Part VIII — Transitional provisions for the </w:t>
      </w:r>
      <w:r>
        <w:rPr>
          <w:i/>
        </w:rPr>
        <w:t>Trustee Companies (Commonwealth Regulation) Amendment Act 2011</w:t>
      </w:r>
    </w:p>
    <w:p>
      <w:pPr>
        <w:pStyle w:val="TOC8"/>
        <w:rPr>
          <w:sz w:val="24"/>
          <w:szCs w:val="24"/>
          <w:lang w:val="en-US"/>
        </w:rPr>
      </w:pPr>
      <w:r>
        <w:t>46.</w:t>
      </w:r>
      <w:r>
        <w:tab/>
        <w:t>Term used: amending Act</w:t>
      </w:r>
      <w:r>
        <w:tab/>
      </w:r>
      <w:r>
        <w:fldChar w:fldCharType="begin"/>
      </w:r>
      <w:r>
        <w:instrText xml:space="preserve"> PAGEREF _Toc310844191 \h </w:instrText>
      </w:r>
      <w:r>
        <w:fldChar w:fldCharType="separate"/>
      </w:r>
      <w:r>
        <w:t>22</w:t>
      </w:r>
      <w:r>
        <w:fldChar w:fldCharType="end"/>
      </w:r>
    </w:p>
    <w:p>
      <w:pPr>
        <w:pStyle w:val="TOC8"/>
        <w:rPr>
          <w:sz w:val="24"/>
          <w:szCs w:val="24"/>
          <w:lang w:val="en-US"/>
        </w:rPr>
      </w:pPr>
      <w:r>
        <w:t>47.</w:t>
      </w:r>
      <w:r>
        <w:tab/>
        <w:t>Transitional provisions</w:t>
      </w:r>
      <w:r>
        <w:tab/>
      </w:r>
      <w:r>
        <w:fldChar w:fldCharType="begin"/>
      </w:r>
      <w:r>
        <w:instrText xml:space="preserve"> PAGEREF _Toc310844192 \h </w:instrText>
      </w:r>
      <w:r>
        <w:fldChar w:fldCharType="separate"/>
      </w:r>
      <w:r>
        <w:t>22</w:t>
      </w:r>
      <w:r>
        <w:fldChar w:fldCharType="end"/>
      </w:r>
    </w:p>
    <w:p>
      <w:pPr>
        <w:pStyle w:val="TOC8"/>
        <w:rPr>
          <w:sz w:val="24"/>
          <w:szCs w:val="24"/>
          <w:lang w:val="en-US"/>
        </w:rPr>
      </w:pPr>
      <w:r>
        <w:t>48.</w:t>
      </w:r>
      <w:r>
        <w:tab/>
        <w:t>Regulations for transitional matters</w:t>
      </w:r>
      <w:r>
        <w:tab/>
      </w:r>
      <w:r>
        <w:fldChar w:fldCharType="begin"/>
      </w:r>
      <w:r>
        <w:instrText xml:space="preserve"> PAGEREF _Toc310844193 \h </w:instrText>
      </w:r>
      <w:r>
        <w:fldChar w:fldCharType="separate"/>
      </w:r>
      <w:r>
        <w:t>23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_Toc310844195 \h </w:instrText>
      </w:r>
      <w:r>
        <w:fldChar w:fldCharType="separate"/>
      </w:r>
      <w:r>
        <w:t>25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bookmarkStart w:id="17" w:name="_Toc305594310"/>
      <w:bookmarkStart w:id="18" w:name="_Toc305594387"/>
      <w:bookmarkStart w:id="19" w:name="_Toc305595041"/>
      <w:bookmarkStart w:id="20" w:name="_Toc309913011"/>
      <w:bookmarkStart w:id="21" w:name="_Toc309916921"/>
      <w:bookmarkStart w:id="22" w:name="_Toc310599490"/>
      <w:bookmarkStart w:id="23" w:name="_Toc310599534"/>
      <w:bookmarkStart w:id="24" w:name="_Toc310600396"/>
      <w:bookmarkStart w:id="25" w:name="_Toc310600586"/>
      <w:bookmarkStart w:id="26" w:name="_Toc310600630"/>
      <w:bookmarkStart w:id="27" w:name="_Toc310840968"/>
      <w:bookmarkStart w:id="28" w:name="_Toc310841556"/>
      <w:bookmarkStart w:id="29" w:name="_Toc310841602"/>
      <w:bookmarkStart w:id="30" w:name="_Toc3108441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11822014"/>
      <w:bookmarkStart w:id="32" w:name="_Toc28163006"/>
      <w:bookmarkStart w:id="33" w:name="_Toc62553965"/>
      <w:bookmarkStart w:id="34" w:name="_Toc130632413"/>
      <w:bookmarkStart w:id="35" w:name="_Toc310844154"/>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36" w:name="_Toc411822015"/>
      <w:bookmarkStart w:id="37" w:name="_Toc28163007"/>
      <w:bookmarkStart w:id="38" w:name="_Toc62553966"/>
      <w:bookmarkStart w:id="39" w:name="_Toc130632414"/>
      <w:bookmarkStart w:id="40" w:name="_Toc310844155"/>
      <w:r>
        <w:rPr>
          <w:rStyle w:val="CharSectno"/>
        </w:rPr>
        <w:t>2</w:t>
      </w:r>
      <w:r>
        <w:rPr>
          <w:snapToGrid w:val="0"/>
        </w:rPr>
        <w:t>.</w:t>
      </w:r>
      <w:r>
        <w:rPr>
          <w:snapToGrid w:val="0"/>
        </w:rPr>
        <w:tab/>
        <w:t>Commencement</w:t>
      </w:r>
      <w:bookmarkEnd w:id="36"/>
      <w:bookmarkEnd w:id="37"/>
      <w:bookmarkEnd w:id="38"/>
      <w:bookmarkEnd w:id="39"/>
      <w:bookmarkEnd w:id="4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411822016"/>
      <w:bookmarkStart w:id="42" w:name="_Toc28163008"/>
      <w:bookmarkStart w:id="43" w:name="_Toc62553967"/>
      <w:bookmarkStart w:id="44" w:name="_Toc130632415"/>
      <w:bookmarkStart w:id="45" w:name="_Toc310844156"/>
      <w:r>
        <w:rPr>
          <w:rStyle w:val="CharSectno"/>
        </w:rPr>
        <w:t>3</w:t>
      </w:r>
      <w:r>
        <w:rPr>
          <w:snapToGrid w:val="0"/>
        </w:rPr>
        <w:t>.</w:t>
      </w:r>
      <w:r>
        <w:rPr>
          <w:snapToGrid w:val="0"/>
        </w:rPr>
        <w:tab/>
      </w:r>
      <w:bookmarkEnd w:id="41"/>
      <w:bookmarkEnd w:id="42"/>
      <w:bookmarkEnd w:id="43"/>
      <w:bookmarkEnd w:id="44"/>
      <w:r>
        <w:rPr>
          <w:snapToGrid w:val="0"/>
        </w:rPr>
        <w:t>Terms used in this Act</w:t>
      </w:r>
      <w:bookmarkEnd w:id="4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Treasurer</w:t>
      </w:r>
      <w:r>
        <w:t xml:space="preserve"> means the Treasurer of the State;</w:t>
      </w:r>
    </w:p>
    <w:p>
      <w:pPr>
        <w:pStyle w:val="Defstart"/>
      </w:pPr>
      <w:r>
        <w:tab/>
      </w:r>
      <w:r>
        <w:rPr>
          <w:rStyle w:val="CharDefText"/>
        </w:rPr>
        <w:t>trustee company</w:t>
      </w:r>
      <w:r>
        <w:t xml:space="preserve"> means a licensed trustee company as defined in the Corporations Act section 601RAA;</w:t>
      </w:r>
    </w:p>
    <w:p>
      <w:pPr>
        <w:pStyle w:val="Defstart"/>
      </w:pPr>
      <w:r>
        <w:rPr>
          <w:b/>
        </w:rPr>
        <w:tab/>
      </w:r>
      <w:r>
        <w:rPr>
          <w:rStyle w:val="CharDefText"/>
        </w:rPr>
        <w:t>will</w:t>
      </w:r>
      <w:r>
        <w:t xml:space="preserve"> includes a codicil and any other testamentary instrument or disposition.</w:t>
      </w:r>
    </w:p>
    <w:p>
      <w:pPr>
        <w:pStyle w:val="Ednotesubsection"/>
      </w:pPr>
      <w:r>
        <w:tab/>
        <w:t>[(2)</w:t>
      </w:r>
      <w:r>
        <w:noBreakHyphen/>
        <w:t>(8)</w:t>
      </w:r>
      <w:r>
        <w:tab/>
        <w:t>deleted]</w:t>
      </w:r>
    </w:p>
    <w:p>
      <w:pPr>
        <w:pStyle w:val="Footnotesection"/>
      </w:pPr>
      <w:r>
        <w:tab/>
        <w:t>[Section 3 amended by No. 42 of 1994 s. 4; No. 10 of 2001 s. 198; No. 27 of 2007 s. 25; No. 39 of 2011 s. 4.]</w:t>
      </w:r>
    </w:p>
    <w:p>
      <w:pPr>
        <w:pStyle w:val="Ednotesection"/>
        <w:rPr>
          <w:rStyle w:val="CharPartNo"/>
        </w:rPr>
      </w:pPr>
      <w:bookmarkStart w:id="46" w:name="_Toc67978910"/>
      <w:bookmarkStart w:id="47" w:name="_Toc95904902"/>
      <w:bookmarkStart w:id="48" w:name="_Toc96756501"/>
      <w:bookmarkStart w:id="49" w:name="_Toc103071959"/>
      <w:bookmarkStart w:id="50" w:name="_Toc130632417"/>
      <w:bookmarkStart w:id="51" w:name="_Toc130632500"/>
      <w:bookmarkStart w:id="52" w:name="_Toc194903576"/>
      <w:bookmarkStart w:id="53" w:name="_Toc194903814"/>
      <w:bookmarkStart w:id="54" w:name="_Toc202243663"/>
      <w:bookmarkStart w:id="55" w:name="_Toc210103560"/>
      <w:bookmarkStart w:id="56" w:name="_Toc210195477"/>
      <w:bookmarkStart w:id="57" w:name="_Toc210709117"/>
      <w:bookmarkStart w:id="58" w:name="_Toc213487905"/>
      <w:bookmarkStart w:id="59" w:name="_Toc253667765"/>
      <w:bookmarkStart w:id="60" w:name="_Toc268259080"/>
      <w:bookmarkStart w:id="61" w:name="_Toc272393985"/>
      <w:bookmarkStart w:id="62" w:name="_Toc305594315"/>
      <w:bookmarkStart w:id="63" w:name="_Toc305594392"/>
      <w:bookmarkStart w:id="64" w:name="_Toc305595046"/>
      <w:r>
        <w:rPr>
          <w:rStyle w:val="CharPartNo"/>
        </w:rPr>
        <w:t>[</w:t>
      </w:r>
      <w:r>
        <w:rPr>
          <w:rStyle w:val="CharPartNo"/>
          <w:b/>
        </w:rPr>
        <w:t>4.</w:t>
      </w:r>
      <w:r>
        <w:rPr>
          <w:rStyle w:val="CharPartNo"/>
          <w:b/>
        </w:rPr>
        <w:tab/>
      </w:r>
      <w:smartTag w:uri="urn:schemas-microsoft-com:office:smarttags" w:element="State">
        <w:smartTag w:uri="urn:schemas-microsoft-com:office:smarttags" w:element="place">
          <w:r>
            <w:rPr>
              <w:rStyle w:val="CharPartNo"/>
            </w:rPr>
            <w:t>Del</w:t>
          </w:r>
        </w:smartTag>
      </w:smartTag>
      <w:r>
        <w:rPr>
          <w:rStyle w:val="CharPartNo"/>
        </w:rPr>
        <w:t>eted by No. 39 of 2011 s. 5.]</w:t>
      </w:r>
    </w:p>
    <w:p>
      <w:pPr>
        <w:pStyle w:val="Heading2"/>
      </w:pPr>
      <w:bookmarkStart w:id="65" w:name="_Toc309913015"/>
      <w:bookmarkStart w:id="66" w:name="_Toc309916925"/>
      <w:bookmarkStart w:id="67" w:name="_Toc310599494"/>
      <w:bookmarkStart w:id="68" w:name="_Toc310599538"/>
      <w:bookmarkStart w:id="69" w:name="_Toc310600400"/>
      <w:bookmarkStart w:id="70" w:name="_Toc310600590"/>
      <w:bookmarkStart w:id="71" w:name="_Toc310600634"/>
      <w:bookmarkStart w:id="72" w:name="_Toc310840972"/>
      <w:bookmarkStart w:id="73" w:name="_Toc310841560"/>
      <w:bookmarkStart w:id="74" w:name="_Toc310841606"/>
      <w:bookmarkStart w:id="75" w:name="_Toc310844157"/>
      <w:r>
        <w:rPr>
          <w:rStyle w:val="CharPartNo"/>
        </w:rPr>
        <w:t>Part II</w:t>
      </w:r>
      <w:r>
        <w:rPr>
          <w:rStyle w:val="CharDivNo"/>
        </w:rPr>
        <w:t> </w:t>
      </w:r>
      <w:r>
        <w:t>—</w:t>
      </w:r>
      <w:r>
        <w:rPr>
          <w:rStyle w:val="CharDivText"/>
        </w:rPr>
        <w:t> </w:t>
      </w:r>
      <w:r>
        <w:rPr>
          <w:rStyle w:val="CharPartText"/>
        </w:rPr>
        <w:t>Powers and duties of trustee companies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11822018"/>
      <w:bookmarkStart w:id="77" w:name="_Toc28163010"/>
      <w:bookmarkStart w:id="78" w:name="_Toc62553969"/>
      <w:bookmarkStart w:id="79" w:name="_Toc130632418"/>
      <w:bookmarkStart w:id="80" w:name="_Toc310844158"/>
      <w:r>
        <w:rPr>
          <w:rStyle w:val="CharSectno"/>
        </w:rPr>
        <w:t>5</w:t>
      </w:r>
      <w:r>
        <w:rPr>
          <w:snapToGrid w:val="0"/>
        </w:rPr>
        <w:t>.</w:t>
      </w:r>
      <w:r>
        <w:rPr>
          <w:snapToGrid w:val="0"/>
        </w:rPr>
        <w:tab/>
        <w:t>Trustee company may act as executor and obtain probate</w:t>
      </w:r>
      <w:bookmarkEnd w:id="76"/>
      <w:bookmarkEnd w:id="77"/>
      <w:bookmarkEnd w:id="78"/>
      <w:bookmarkEnd w:id="79"/>
      <w:bookmarkEnd w:id="80"/>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1" w:name="_Toc411822019"/>
      <w:bookmarkStart w:id="82" w:name="_Toc28163011"/>
      <w:bookmarkStart w:id="83" w:name="_Toc62553970"/>
      <w:bookmarkStart w:id="84" w:name="_Toc130632419"/>
      <w:bookmarkStart w:id="85" w:name="_Toc310844159"/>
      <w:r>
        <w:rPr>
          <w:rStyle w:val="CharSectno"/>
        </w:rPr>
        <w:t>6</w:t>
      </w:r>
      <w:r>
        <w:rPr>
          <w:snapToGrid w:val="0"/>
        </w:rPr>
        <w:t>.</w:t>
      </w:r>
      <w:r>
        <w:rPr>
          <w:snapToGrid w:val="0"/>
        </w:rPr>
        <w:tab/>
        <w:t>Person entitled to probate may authorise trustee company to obtain administration with will annexed</w:t>
      </w:r>
      <w:bookmarkEnd w:id="81"/>
      <w:bookmarkEnd w:id="82"/>
      <w:bookmarkEnd w:id="83"/>
      <w:bookmarkEnd w:id="84"/>
      <w:bookmarkEnd w:id="85"/>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86" w:name="_Toc411822020"/>
      <w:bookmarkStart w:id="87" w:name="_Toc28163012"/>
      <w:bookmarkStart w:id="88" w:name="_Toc62553971"/>
      <w:bookmarkStart w:id="89" w:name="_Toc130632420"/>
      <w:bookmarkStart w:id="90" w:name="_Toc310844160"/>
      <w:r>
        <w:rPr>
          <w:rStyle w:val="CharSectno"/>
        </w:rPr>
        <w:t>7</w:t>
      </w:r>
      <w:r>
        <w:rPr>
          <w:snapToGrid w:val="0"/>
        </w:rPr>
        <w:t>.</w:t>
      </w:r>
      <w:r>
        <w:rPr>
          <w:snapToGrid w:val="0"/>
        </w:rPr>
        <w:tab/>
        <w:t>Person entitled to administration with will annexed may authorise trustee company to obtain administration with will annexed</w:t>
      </w:r>
      <w:bookmarkEnd w:id="86"/>
      <w:bookmarkEnd w:id="87"/>
      <w:bookmarkEnd w:id="88"/>
      <w:bookmarkEnd w:id="89"/>
      <w:bookmarkEnd w:id="90"/>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91" w:name="_Toc411822021"/>
      <w:bookmarkStart w:id="92" w:name="_Toc28163013"/>
      <w:bookmarkStart w:id="93" w:name="_Toc62553972"/>
      <w:bookmarkStart w:id="94" w:name="_Toc130632421"/>
      <w:bookmarkStart w:id="95" w:name="_Toc310844161"/>
      <w:r>
        <w:rPr>
          <w:rStyle w:val="CharSectno"/>
        </w:rPr>
        <w:t>8</w:t>
      </w:r>
      <w:r>
        <w:rPr>
          <w:snapToGrid w:val="0"/>
        </w:rPr>
        <w:t>.</w:t>
      </w:r>
      <w:r>
        <w:rPr>
          <w:snapToGrid w:val="0"/>
        </w:rPr>
        <w:tab/>
        <w:t>Person entitled to administration on intestacy may authorise trustee company to obtain administration</w:t>
      </w:r>
      <w:bookmarkEnd w:id="91"/>
      <w:bookmarkEnd w:id="92"/>
      <w:bookmarkEnd w:id="93"/>
      <w:bookmarkEnd w:id="94"/>
      <w:bookmarkEnd w:id="95"/>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96" w:name="_Toc411822022"/>
      <w:bookmarkStart w:id="97" w:name="_Toc28163014"/>
      <w:bookmarkStart w:id="98" w:name="_Toc62553973"/>
      <w:bookmarkStart w:id="99" w:name="_Toc130632422"/>
      <w:bookmarkStart w:id="100" w:name="_Toc310844162"/>
      <w:r>
        <w:rPr>
          <w:rStyle w:val="CharSectno"/>
        </w:rPr>
        <w:t>9</w:t>
      </w:r>
      <w:r>
        <w:rPr>
          <w:snapToGrid w:val="0"/>
        </w:rPr>
        <w:t>.</w:t>
      </w:r>
      <w:r>
        <w:rPr>
          <w:snapToGrid w:val="0"/>
        </w:rPr>
        <w:tab/>
        <w:t>Trustee company may act as administrator</w:t>
      </w:r>
      <w:bookmarkEnd w:id="96"/>
      <w:bookmarkEnd w:id="97"/>
      <w:bookmarkEnd w:id="98"/>
      <w:bookmarkEnd w:id="99"/>
      <w:bookmarkEnd w:id="100"/>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101" w:name="_Toc411822023"/>
      <w:bookmarkStart w:id="102" w:name="_Toc28163015"/>
      <w:bookmarkStart w:id="103" w:name="_Toc62553974"/>
      <w:bookmarkStart w:id="104" w:name="_Toc130632423"/>
      <w:bookmarkStart w:id="105" w:name="_Toc310844163"/>
      <w:r>
        <w:rPr>
          <w:rStyle w:val="CharSectno"/>
        </w:rPr>
        <w:t>10</w:t>
      </w:r>
      <w:r>
        <w:rPr>
          <w:snapToGrid w:val="0"/>
        </w:rPr>
        <w:t>.</w:t>
      </w:r>
      <w:r>
        <w:rPr>
          <w:snapToGrid w:val="0"/>
        </w:rPr>
        <w:tab/>
        <w:t>Trustee company may elect to administer small estates without order</w:t>
      </w:r>
      <w:bookmarkEnd w:id="101"/>
      <w:bookmarkEnd w:id="102"/>
      <w:bookmarkEnd w:id="103"/>
      <w:bookmarkEnd w:id="104"/>
      <w:bookmarkEnd w:id="105"/>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06" w:name="_Toc411822024"/>
      <w:bookmarkStart w:id="107" w:name="_Toc28163016"/>
      <w:bookmarkStart w:id="108" w:name="_Toc62553975"/>
      <w:bookmarkStart w:id="109" w:name="_Toc130632424"/>
      <w:bookmarkStart w:id="110" w:name="_Toc310844164"/>
      <w:r>
        <w:rPr>
          <w:rStyle w:val="CharSectno"/>
        </w:rPr>
        <w:t>11</w:t>
      </w:r>
      <w:r>
        <w:rPr>
          <w:snapToGrid w:val="0"/>
        </w:rPr>
        <w:t>.</w:t>
      </w:r>
      <w:r>
        <w:rPr>
          <w:snapToGrid w:val="0"/>
        </w:rPr>
        <w:tab/>
        <w:t>Rights of interested persons not prejudiced by grant to trustee company</w:t>
      </w:r>
      <w:bookmarkEnd w:id="106"/>
      <w:bookmarkEnd w:id="107"/>
      <w:bookmarkEnd w:id="108"/>
      <w:bookmarkEnd w:id="109"/>
      <w:bookmarkEnd w:id="110"/>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111" w:name="_Toc411822025"/>
      <w:bookmarkStart w:id="112" w:name="_Toc28163017"/>
      <w:bookmarkStart w:id="113" w:name="_Toc62553976"/>
      <w:bookmarkStart w:id="114" w:name="_Toc130632425"/>
      <w:bookmarkStart w:id="115" w:name="_Toc310844165"/>
      <w:r>
        <w:rPr>
          <w:rStyle w:val="CharSectno"/>
        </w:rPr>
        <w:t>12</w:t>
      </w:r>
      <w:r>
        <w:rPr>
          <w:snapToGrid w:val="0"/>
        </w:rPr>
        <w:t>.</w:t>
      </w:r>
      <w:r>
        <w:rPr>
          <w:snapToGrid w:val="0"/>
        </w:rPr>
        <w:tab/>
        <w:t>Trustee company may be appointed trustee, receiver etc.</w:t>
      </w:r>
      <w:bookmarkEnd w:id="111"/>
      <w:bookmarkEnd w:id="112"/>
      <w:bookmarkEnd w:id="113"/>
      <w:bookmarkEnd w:id="114"/>
      <w:bookmarkEnd w:id="115"/>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116" w:name="_Toc411822026"/>
      <w:bookmarkStart w:id="117" w:name="_Toc28163018"/>
      <w:bookmarkStart w:id="118" w:name="_Toc62553977"/>
      <w:bookmarkStart w:id="119" w:name="_Toc130632426"/>
      <w:bookmarkStart w:id="120" w:name="_Toc310844166"/>
      <w:r>
        <w:rPr>
          <w:rStyle w:val="CharSectno"/>
        </w:rPr>
        <w:t>13</w:t>
      </w:r>
      <w:r>
        <w:rPr>
          <w:snapToGrid w:val="0"/>
        </w:rPr>
        <w:t>.</w:t>
      </w:r>
      <w:r>
        <w:rPr>
          <w:snapToGrid w:val="0"/>
        </w:rPr>
        <w:tab/>
        <w:t>Trustee company may act under power of attorney</w:t>
      </w:r>
      <w:bookmarkEnd w:id="116"/>
      <w:bookmarkEnd w:id="117"/>
      <w:bookmarkEnd w:id="118"/>
      <w:bookmarkEnd w:id="119"/>
      <w:bookmarkEnd w:id="120"/>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121" w:name="_Toc411822027"/>
      <w:bookmarkStart w:id="122" w:name="_Toc28163019"/>
      <w:bookmarkStart w:id="123" w:name="_Toc62553978"/>
      <w:bookmarkStart w:id="124" w:name="_Toc130632427"/>
      <w:bookmarkStart w:id="125" w:name="_Toc310844167"/>
      <w:r>
        <w:rPr>
          <w:rStyle w:val="CharSectno"/>
        </w:rPr>
        <w:t>14</w:t>
      </w:r>
      <w:r>
        <w:rPr>
          <w:snapToGrid w:val="0"/>
        </w:rPr>
        <w:t>.</w:t>
      </w:r>
      <w:r>
        <w:rPr>
          <w:snapToGrid w:val="0"/>
        </w:rPr>
        <w:tab/>
        <w:t>Trustee company may be appointed attorney to act as temporary executor, administrator or trustee</w:t>
      </w:r>
      <w:bookmarkEnd w:id="121"/>
      <w:bookmarkEnd w:id="122"/>
      <w:bookmarkEnd w:id="123"/>
      <w:bookmarkEnd w:id="124"/>
      <w:bookmarkEnd w:id="125"/>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126" w:name="_Toc411822028"/>
      <w:bookmarkStart w:id="127" w:name="_Toc28163020"/>
      <w:bookmarkStart w:id="128" w:name="_Toc62553979"/>
      <w:bookmarkStart w:id="129" w:name="_Toc130632428"/>
      <w:bookmarkStart w:id="130" w:name="_Toc310844168"/>
      <w:r>
        <w:rPr>
          <w:rStyle w:val="CharSectno"/>
        </w:rPr>
        <w:t>15</w:t>
      </w:r>
      <w:r>
        <w:rPr>
          <w:snapToGrid w:val="0"/>
        </w:rPr>
        <w:t>.</w:t>
      </w:r>
      <w:r>
        <w:rPr>
          <w:snapToGrid w:val="0"/>
        </w:rPr>
        <w:tab/>
        <w:t>Holder of certain offices may appoint trustee company to discharge duties</w:t>
      </w:r>
      <w:bookmarkEnd w:id="126"/>
      <w:bookmarkEnd w:id="127"/>
      <w:bookmarkEnd w:id="128"/>
      <w:bookmarkEnd w:id="129"/>
      <w:bookmarkEnd w:id="130"/>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31" w:name="_Toc411822029"/>
      <w:bookmarkStart w:id="132" w:name="_Toc28163021"/>
      <w:bookmarkStart w:id="133" w:name="_Toc62553980"/>
      <w:bookmarkStart w:id="134" w:name="_Toc130632429"/>
      <w:bookmarkStart w:id="135" w:name="_Toc310844169"/>
      <w:r>
        <w:rPr>
          <w:rStyle w:val="CharSectno"/>
        </w:rPr>
        <w:t>16</w:t>
      </w:r>
      <w:r>
        <w:rPr>
          <w:snapToGrid w:val="0"/>
        </w:rPr>
        <w:t>.</w:t>
      </w:r>
      <w:r>
        <w:rPr>
          <w:snapToGrid w:val="0"/>
        </w:rPr>
        <w:tab/>
        <w:t>Directors and others may represent trustee company</w:t>
      </w:r>
      <w:bookmarkEnd w:id="131"/>
      <w:bookmarkEnd w:id="132"/>
      <w:bookmarkEnd w:id="133"/>
      <w:bookmarkEnd w:id="134"/>
      <w:bookmarkEnd w:id="135"/>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36" w:name="_Toc411822030"/>
      <w:bookmarkStart w:id="137" w:name="_Toc28163022"/>
      <w:bookmarkStart w:id="138" w:name="_Toc62553981"/>
      <w:bookmarkStart w:id="139" w:name="_Toc130632430"/>
      <w:bookmarkStart w:id="140" w:name="_Toc310844170"/>
      <w:r>
        <w:rPr>
          <w:rStyle w:val="CharSectno"/>
        </w:rPr>
        <w:t>17</w:t>
      </w:r>
      <w:r>
        <w:rPr>
          <w:snapToGrid w:val="0"/>
        </w:rPr>
        <w:t>.</w:t>
      </w:r>
      <w:r>
        <w:rPr>
          <w:snapToGrid w:val="0"/>
        </w:rPr>
        <w:tab/>
        <w:t>Removal from office of executor or administrator</w:t>
      </w:r>
      <w:bookmarkEnd w:id="136"/>
      <w:bookmarkEnd w:id="137"/>
      <w:bookmarkEnd w:id="138"/>
      <w:bookmarkEnd w:id="139"/>
      <w:bookmarkEnd w:id="140"/>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Ednotesection"/>
      </w:pPr>
      <w:bookmarkStart w:id="141" w:name="_Toc411822037"/>
      <w:bookmarkStart w:id="142" w:name="_Toc28163030"/>
      <w:bookmarkStart w:id="143" w:name="_Toc62553989"/>
      <w:bookmarkStart w:id="144" w:name="_Toc130632441"/>
      <w:r>
        <w:t>[</w:t>
      </w:r>
      <w:r>
        <w:rPr>
          <w:b/>
        </w:rPr>
        <w:t>18</w:t>
      </w:r>
      <w:r>
        <w:rPr>
          <w:b/>
        </w:rPr>
        <w:noBreakHyphen/>
        <w:t>23.</w:t>
      </w:r>
      <w:r>
        <w:tab/>
        <w:t>Deleted by No. 39 of 2011 s. 6.]</w:t>
      </w:r>
    </w:p>
    <w:p>
      <w:pPr>
        <w:pStyle w:val="Ednotesection"/>
      </w:pPr>
      <w:bookmarkStart w:id="145" w:name="_Toc411822040"/>
      <w:bookmarkStart w:id="146" w:name="_Toc28163033"/>
      <w:bookmarkStart w:id="147" w:name="_Toc62553992"/>
      <w:bookmarkStart w:id="148" w:name="_Toc130632444"/>
      <w:bookmarkEnd w:id="141"/>
      <w:bookmarkEnd w:id="142"/>
      <w:bookmarkEnd w:id="143"/>
      <w:bookmarkEnd w:id="144"/>
      <w:r>
        <w:t>[</w:t>
      </w:r>
      <w:r>
        <w:rPr>
          <w:b/>
        </w:rPr>
        <w:t>24</w:t>
      </w:r>
      <w:r>
        <w:rPr>
          <w:b/>
        </w:rPr>
        <w:noBreakHyphen/>
        <w:t>26.</w:t>
      </w:r>
      <w:r>
        <w:tab/>
        <w:t>Deleted by No. 39 of 2011 s. 8.]</w:t>
      </w:r>
    </w:p>
    <w:p>
      <w:pPr>
        <w:pStyle w:val="Heading5"/>
        <w:rPr>
          <w:snapToGrid w:val="0"/>
        </w:rPr>
      </w:pPr>
      <w:bookmarkStart w:id="149" w:name="_Toc310844171"/>
      <w:r>
        <w:rPr>
          <w:rStyle w:val="CharSectno"/>
        </w:rPr>
        <w:t>27</w:t>
      </w:r>
      <w:r>
        <w:rPr>
          <w:snapToGrid w:val="0"/>
        </w:rPr>
        <w:t>.</w:t>
      </w:r>
      <w:r>
        <w:rPr>
          <w:snapToGrid w:val="0"/>
        </w:rPr>
        <w:tab/>
      </w:r>
      <w:bookmarkEnd w:id="145"/>
      <w:r>
        <w:rPr>
          <w:snapToGrid w:val="0"/>
        </w:rPr>
        <w:t>Unclaimed money and property</w:t>
      </w:r>
      <w:bookmarkEnd w:id="146"/>
      <w:bookmarkEnd w:id="147"/>
      <w:bookmarkEnd w:id="148"/>
      <w:bookmarkEnd w:id="149"/>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2"/>
      </w:pPr>
      <w:bookmarkStart w:id="150" w:name="_Toc309899953"/>
      <w:bookmarkStart w:id="151" w:name="_Toc309899990"/>
      <w:bookmarkStart w:id="152" w:name="_Toc309913030"/>
      <w:bookmarkStart w:id="153" w:name="_Toc309916940"/>
      <w:bookmarkStart w:id="154" w:name="_Toc310599509"/>
      <w:bookmarkStart w:id="155" w:name="_Toc310599553"/>
      <w:bookmarkStart w:id="156" w:name="_Toc310600415"/>
      <w:bookmarkStart w:id="157" w:name="_Toc310600605"/>
      <w:bookmarkStart w:id="158" w:name="_Toc310600649"/>
      <w:bookmarkStart w:id="159" w:name="_Toc310840987"/>
      <w:bookmarkStart w:id="160" w:name="_Toc310841575"/>
      <w:bookmarkStart w:id="161" w:name="_Toc310841621"/>
      <w:bookmarkStart w:id="162" w:name="_Toc310844172"/>
      <w:bookmarkStart w:id="163" w:name="_Toc67978949"/>
      <w:bookmarkStart w:id="164" w:name="_Toc95904941"/>
      <w:bookmarkStart w:id="165" w:name="_Toc96756540"/>
      <w:bookmarkStart w:id="166" w:name="_Toc103071998"/>
      <w:bookmarkStart w:id="167" w:name="_Toc130632456"/>
      <w:bookmarkStart w:id="168" w:name="_Toc130632539"/>
      <w:bookmarkStart w:id="169" w:name="_Toc194903615"/>
      <w:bookmarkStart w:id="170" w:name="_Toc194903853"/>
      <w:bookmarkStart w:id="171" w:name="_Toc202243703"/>
      <w:bookmarkStart w:id="172" w:name="_Toc210103600"/>
      <w:bookmarkStart w:id="173" w:name="_Toc210195517"/>
      <w:bookmarkStart w:id="174" w:name="_Toc210709157"/>
      <w:bookmarkStart w:id="175" w:name="_Toc213487945"/>
      <w:bookmarkStart w:id="176" w:name="_Toc253667805"/>
      <w:bookmarkStart w:id="177" w:name="_Toc268259120"/>
      <w:bookmarkStart w:id="178" w:name="_Toc272394025"/>
      <w:bookmarkStart w:id="179" w:name="_Toc305594355"/>
      <w:bookmarkStart w:id="180" w:name="_Toc305594432"/>
      <w:bookmarkStart w:id="181" w:name="_Toc305595086"/>
      <w:r>
        <w:rPr>
          <w:rStyle w:val="CharPartNo"/>
        </w:rPr>
        <w:t>Part III</w:t>
      </w:r>
      <w:r>
        <w:t> — </w:t>
      </w:r>
      <w:r>
        <w:rPr>
          <w:rStyle w:val="CharPartText"/>
        </w:rPr>
        <w:t>Transfer of estate assets and liabilities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bookmarkStart w:id="182" w:name="_Toc309899954"/>
      <w:bookmarkStart w:id="183" w:name="_Toc309899991"/>
      <w:r>
        <w:tab/>
        <w:t>[Heading inserted by No. 39 of 2011 s. 11.]</w:t>
      </w:r>
    </w:p>
    <w:p>
      <w:pPr>
        <w:pStyle w:val="Heading3"/>
      </w:pPr>
      <w:bookmarkStart w:id="184" w:name="_Toc309913031"/>
      <w:bookmarkStart w:id="185" w:name="_Toc309916941"/>
      <w:bookmarkStart w:id="186" w:name="_Toc310599510"/>
      <w:bookmarkStart w:id="187" w:name="_Toc310599554"/>
      <w:bookmarkStart w:id="188" w:name="_Toc310600416"/>
      <w:bookmarkStart w:id="189" w:name="_Toc310600606"/>
      <w:bookmarkStart w:id="190" w:name="_Toc310600650"/>
      <w:bookmarkStart w:id="191" w:name="_Toc310840988"/>
      <w:bookmarkStart w:id="192" w:name="_Toc310841576"/>
      <w:bookmarkStart w:id="193" w:name="_Toc310841622"/>
      <w:bookmarkStart w:id="194" w:name="_Toc310844173"/>
      <w:r>
        <w:rPr>
          <w:rStyle w:val="CharDivNo"/>
        </w:rPr>
        <w:t>Division 1</w:t>
      </w:r>
      <w:r>
        <w:t> — </w:t>
      </w:r>
      <w:r>
        <w:rPr>
          <w:rStyle w:val="CharDivText"/>
        </w:rPr>
        <w:t>Preliminary</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bookmarkStart w:id="195" w:name="_Toc309899992"/>
      <w:r>
        <w:tab/>
        <w:t>[Heading inserted by No. 39 of 2011 s. 11.]</w:t>
      </w:r>
    </w:p>
    <w:p>
      <w:pPr>
        <w:pStyle w:val="Heading5"/>
      </w:pPr>
      <w:bookmarkStart w:id="196" w:name="_Toc310844174"/>
      <w:r>
        <w:rPr>
          <w:rStyle w:val="CharSectno"/>
        </w:rPr>
        <w:t>28</w:t>
      </w:r>
      <w:r>
        <w:t>.</w:t>
      </w:r>
      <w:r>
        <w:tab/>
        <w:t>Terms used in Corporations Act have the same meaning in this Part</w:t>
      </w:r>
      <w:bookmarkEnd w:id="195"/>
      <w:bookmarkEnd w:id="196"/>
    </w:p>
    <w:p>
      <w:pPr>
        <w:pStyle w:val="Subsection"/>
      </w:pPr>
      <w:r>
        <w:tab/>
      </w:r>
      <w:r>
        <w:tab/>
        <w:t>If a term is given a meaning in the Corporations Act, it has the same meaning in this Part unless the contrary intention appears in this Part.</w:t>
      </w:r>
    </w:p>
    <w:p>
      <w:pPr>
        <w:pStyle w:val="Footnotesection"/>
      </w:pPr>
      <w:bookmarkStart w:id="197" w:name="_Toc309899956"/>
      <w:bookmarkStart w:id="198" w:name="_Toc309899993"/>
      <w:r>
        <w:tab/>
        <w:t>[Section 28 inserted by No. 39 of 2011 s. 11.]</w:t>
      </w:r>
    </w:p>
    <w:p>
      <w:pPr>
        <w:pStyle w:val="Heading3"/>
      </w:pPr>
      <w:bookmarkStart w:id="199" w:name="_Toc309913033"/>
      <w:bookmarkStart w:id="200" w:name="_Toc309916943"/>
      <w:bookmarkStart w:id="201" w:name="_Toc310599512"/>
      <w:bookmarkStart w:id="202" w:name="_Toc310599556"/>
      <w:bookmarkStart w:id="203" w:name="_Toc310600418"/>
      <w:bookmarkStart w:id="204" w:name="_Toc310600608"/>
      <w:bookmarkStart w:id="205" w:name="_Toc310600652"/>
      <w:bookmarkStart w:id="206" w:name="_Toc310840990"/>
      <w:bookmarkStart w:id="207" w:name="_Toc310841578"/>
      <w:bookmarkStart w:id="208" w:name="_Toc310841624"/>
      <w:bookmarkStart w:id="209" w:name="_Toc310844175"/>
      <w:r>
        <w:rPr>
          <w:rStyle w:val="CharDivNo"/>
        </w:rPr>
        <w:t>Division 2</w:t>
      </w:r>
      <w:r>
        <w:t> — </w:t>
      </w:r>
      <w:r>
        <w:rPr>
          <w:rStyle w:val="CharDivText"/>
        </w:rPr>
        <w:t>Compulsory transfers</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bookmarkStart w:id="210" w:name="_Toc309899994"/>
      <w:r>
        <w:tab/>
        <w:t>[Heading inserted by No. 39 of 2011 s. 11.]</w:t>
      </w:r>
    </w:p>
    <w:p>
      <w:pPr>
        <w:pStyle w:val="Heading5"/>
      </w:pPr>
      <w:bookmarkStart w:id="211" w:name="_Toc310844176"/>
      <w:r>
        <w:rPr>
          <w:rStyle w:val="CharSectno"/>
        </w:rPr>
        <w:t>29</w:t>
      </w:r>
      <w:r>
        <w:t>.</w:t>
      </w:r>
      <w:r>
        <w:tab/>
        <w:t>Compulsory transfers</w:t>
      </w:r>
      <w:bookmarkEnd w:id="210"/>
      <w:bookmarkEnd w:id="211"/>
    </w:p>
    <w:p>
      <w:pPr>
        <w:pStyle w:val="Subsection"/>
      </w:pPr>
      <w:r>
        <w:tab/>
        <w:t>(1)</w:t>
      </w:r>
      <w:r>
        <w:tab/>
        <w:t>The purpose of this section is to facilitate compulsory transfers of estate assets and liabilities under the Corporations Act Part 5D.6.</w:t>
      </w:r>
    </w:p>
    <w:p>
      <w:pPr>
        <w:pStyle w:val="Subsection"/>
        <w:rPr>
          <w:szCs w:val="22"/>
        </w:rPr>
      </w:pPr>
      <w:r>
        <w:tab/>
        <w:t>(2)</w:t>
      </w:r>
      <w:r>
        <w:tab/>
        <w:t xml:space="preserve">This section </w:t>
      </w:r>
      <w:r>
        <w:rPr>
          <w:szCs w:val="22"/>
        </w:rPr>
        <w:t xml:space="preserve">applies if — </w:t>
      </w:r>
    </w:p>
    <w:p>
      <w:pPr>
        <w:pStyle w:val="Indenta"/>
      </w:pPr>
      <w:r>
        <w:tab/>
        <w:t>(a)</w:t>
      </w:r>
      <w:r>
        <w:tab/>
        <w:t xml:space="preserve">ASIC cancels the licence of a trustee company (the </w:t>
      </w:r>
      <w:r>
        <w:rPr>
          <w:rStyle w:val="CharDefText"/>
        </w:rPr>
        <w:t>transferring company</w:t>
      </w:r>
      <w:r>
        <w:t xml:space="preserve">) and makes a determination under the Corporations Act section 601WBA that there is to be a transfer of estate assets and liabilities from the transferring company to another licensed trustee company (the </w:t>
      </w:r>
      <w:r>
        <w:rPr>
          <w:rStyle w:val="CharDefText"/>
        </w:rPr>
        <w:t>receiving company</w:t>
      </w:r>
      <w:r>
        <w:t>); and</w:t>
      </w:r>
    </w:p>
    <w:p>
      <w:pPr>
        <w:pStyle w:val="Indenta"/>
      </w:pPr>
      <w:r>
        <w:tab/>
        <w:t>(b)</w:t>
      </w:r>
      <w:r>
        <w:tab/>
        <w:t>ASIC issues a certificate of transfer under the Corporations Act section 601WBG for the transfer; and</w:t>
      </w:r>
    </w:p>
    <w:p>
      <w:pPr>
        <w:pStyle w:val="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Subsection"/>
      </w:pPr>
      <w:r>
        <w:tab/>
        <w:t>(3)</w:t>
      </w:r>
      <w:r>
        <w:tab/>
      </w:r>
      <w:r>
        <w:rPr>
          <w:szCs w:val="22"/>
        </w:rPr>
        <w:t xml:space="preserve">When the certificate of transfer comes into force, the </w:t>
      </w:r>
      <w:r>
        <w:t>receiving company is taken to be the successor in law of the transferring company, to the extent of the transfer.</w:t>
      </w:r>
    </w:p>
    <w:p>
      <w:pPr>
        <w:pStyle w:val="Subsection"/>
      </w:pPr>
      <w:r>
        <w:tab/>
        <w:t>(4)</w:t>
      </w:r>
      <w:r>
        <w:tab/>
        <w:t xml:space="preserve">In particular — </w:t>
      </w:r>
    </w:p>
    <w:p>
      <w:pPr>
        <w:pStyle w:val="Indenta"/>
      </w:pPr>
      <w:r>
        <w:tab/>
        <w:t>(a)</w:t>
      </w:r>
      <w:r>
        <w:tab/>
        <w:t>if the transfer is a total transfer — all the assets and liabilities of the transferring company become respectively the assets and liabilities of the receiving company without any transfer, conveyance or assignment; and</w:t>
      </w:r>
    </w:p>
    <w:p>
      <w:pPr>
        <w:pStyle w:val="Indenta"/>
      </w:pPr>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p>
    <w:p>
      <w:pPr>
        <w:pStyle w:val="Indenta"/>
      </w:pPr>
      <w:r>
        <w:tab/>
        <w:t>(c)</w:t>
      </w:r>
      <w:r>
        <w:tab/>
        <w:t>to the extent of the transfer — the duties, obligations, immunities, rights and privileges applying to the transferring company apply to the receiving company.</w:t>
      </w:r>
    </w:p>
    <w:p>
      <w:pPr>
        <w:pStyle w:val="Subsection"/>
      </w:pPr>
      <w:r>
        <w:tab/>
        <w:t>(5)</w:t>
      </w:r>
      <w:r>
        <w:tab/>
        <w:t xml:space="preserve">If the certificate of transfer includes provisions of a kind referred to in the Corporations Act section 601WBG(3) — </w:t>
      </w:r>
    </w:p>
    <w:p>
      <w:pPr>
        <w:pStyle w:val="Indenta"/>
      </w:pPr>
      <w:r>
        <w:tab/>
        <w:t>(a)</w:t>
      </w:r>
      <w:r>
        <w:tab/>
        <w:t>specifying that particular things are to happen or are taken to be the case, those things are taken to happen, or to be the case, in accordance with those provisions; or</w:t>
      </w:r>
    </w:p>
    <w:p>
      <w:pPr>
        <w:pStyle w:val="Indenta"/>
      </w:pPr>
      <w:r>
        <w:tab/>
        <w:t>(b)</w:t>
      </w:r>
      <w:r>
        <w:tab/>
        <w:t>specifying a mechanism for determining things that are to happen or are taken to be the case, things determined in accordance with that mechanism are taken to happen, or to be the case, as determined in accordance with that mechanism.</w:t>
      </w:r>
    </w:p>
    <w:p>
      <w:pPr>
        <w:pStyle w:val="Footnotesection"/>
      </w:pPr>
      <w:bookmarkStart w:id="212" w:name="_Toc309899995"/>
      <w:r>
        <w:tab/>
        <w:t>[Section 29 inserted by No. 39 of 2011 s. 11.]</w:t>
      </w:r>
    </w:p>
    <w:p>
      <w:pPr>
        <w:pStyle w:val="Heading5"/>
      </w:pPr>
      <w:bookmarkStart w:id="213" w:name="_Toc310844177"/>
      <w:r>
        <w:rPr>
          <w:rStyle w:val="CharSectno"/>
        </w:rPr>
        <w:t>30</w:t>
      </w:r>
      <w:r>
        <w:t>.</w:t>
      </w:r>
      <w:r>
        <w:tab/>
        <w:t>Certificates evidencing operation of Division</w:t>
      </w:r>
      <w:bookmarkEnd w:id="212"/>
      <w:bookmarkEnd w:id="213"/>
    </w:p>
    <w:p>
      <w:pPr>
        <w:pStyle w:val="Subsection"/>
      </w:pPr>
      <w:r>
        <w:tab/>
        <w:t>(1)</w:t>
      </w:r>
      <w:r>
        <w:tab/>
        <w:t>An authorised ASIC officer may, by a certificate in writing signed by the officer, certify that a specific asset or liability has become an asset or liability of the receiving company under this Division.</w:t>
      </w:r>
    </w:p>
    <w:p>
      <w:pPr>
        <w:pStyle w:val="Subsection"/>
      </w:pPr>
      <w:r>
        <w:tab/>
        <w:t>(2)</w:t>
      </w:r>
      <w:r>
        <w:tab/>
        <w:t>For all purposes and in all proceedings, a certificate purporting to be issued under subsection (1) is evidence of the matters certified.</w:t>
      </w:r>
    </w:p>
    <w:p>
      <w:pPr>
        <w:pStyle w:val="Subsection"/>
      </w:pPr>
      <w:r>
        <w:tab/>
        <w:t>(3)</w:t>
      </w:r>
      <w:r>
        <w:tab/>
        <w:t>ASIC is empowered to authorise, in writing, a person who is a member of ASIC, or of its staff, to issue certificates under this section.</w:t>
      </w:r>
    </w:p>
    <w:p>
      <w:pPr>
        <w:pStyle w:val="Footnotesection"/>
      </w:pPr>
      <w:bookmarkStart w:id="214" w:name="_Toc309899996"/>
      <w:r>
        <w:tab/>
        <w:t>[Section 30 inserted by No. 39 of 2011 s. 11.]</w:t>
      </w:r>
    </w:p>
    <w:p>
      <w:pPr>
        <w:pStyle w:val="Heading5"/>
      </w:pPr>
      <w:bookmarkStart w:id="215" w:name="_Toc310844178"/>
      <w:r>
        <w:rPr>
          <w:rStyle w:val="CharSectno"/>
        </w:rPr>
        <w:t>31</w:t>
      </w:r>
      <w:r>
        <w:t>.</w:t>
      </w:r>
      <w:r>
        <w:tab/>
        <w:t>Registration or record of transfer</w:t>
      </w:r>
      <w:bookmarkEnd w:id="214"/>
      <w:bookmarkEnd w:id="215"/>
    </w:p>
    <w:p>
      <w:pPr>
        <w:pStyle w:val="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p>
    <w:p>
      <w:pPr>
        <w:pStyle w:val="Footnotesection"/>
      </w:pPr>
      <w:bookmarkStart w:id="216" w:name="_Toc309899997"/>
      <w:r>
        <w:tab/>
        <w:t>[Section 31 inserted by No. 39 of 2011 s. 11.]</w:t>
      </w:r>
    </w:p>
    <w:p>
      <w:pPr>
        <w:pStyle w:val="Heading5"/>
      </w:pPr>
      <w:bookmarkStart w:id="217" w:name="_Toc310844179"/>
      <w:r>
        <w:rPr>
          <w:rStyle w:val="CharSectno"/>
        </w:rPr>
        <w:t>32</w:t>
      </w:r>
      <w:r>
        <w:t>.</w:t>
      </w:r>
      <w:r>
        <w:tab/>
        <w:t>Exemption from State tax</w:t>
      </w:r>
      <w:bookmarkEnd w:id="216"/>
      <w:bookmarkEnd w:id="217"/>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respect of a compulsory transfer of estate assets or liabilities facilitated under this Division.</w:t>
      </w:r>
    </w:p>
    <w:p>
      <w:pPr>
        <w:pStyle w:val="Footnotesection"/>
      </w:pPr>
      <w:bookmarkStart w:id="218" w:name="_Toc309899961"/>
      <w:bookmarkStart w:id="219" w:name="_Toc309899998"/>
      <w:r>
        <w:tab/>
        <w:t>[Section 32 inserted by No. 39 of 2011 s. 11.]</w:t>
      </w:r>
    </w:p>
    <w:p>
      <w:pPr>
        <w:pStyle w:val="Heading3"/>
      </w:pPr>
      <w:bookmarkStart w:id="220" w:name="_Toc309913038"/>
      <w:bookmarkStart w:id="221" w:name="_Toc309916948"/>
      <w:bookmarkStart w:id="222" w:name="_Toc310599517"/>
      <w:bookmarkStart w:id="223" w:name="_Toc310599561"/>
      <w:bookmarkStart w:id="224" w:name="_Toc310600423"/>
      <w:bookmarkStart w:id="225" w:name="_Toc310600613"/>
      <w:bookmarkStart w:id="226" w:name="_Toc310600657"/>
      <w:bookmarkStart w:id="227" w:name="_Toc310840995"/>
      <w:bookmarkStart w:id="228" w:name="_Toc310841583"/>
      <w:bookmarkStart w:id="229" w:name="_Toc310841629"/>
      <w:bookmarkStart w:id="230" w:name="_Toc310844180"/>
      <w:r>
        <w:rPr>
          <w:rStyle w:val="CharDivNo"/>
        </w:rPr>
        <w:t>Division 3</w:t>
      </w:r>
      <w:r>
        <w:t> — </w:t>
      </w:r>
      <w:r>
        <w:rPr>
          <w:rStyle w:val="CharDivText"/>
        </w:rPr>
        <w:t>Voluntary transfers</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bookmarkStart w:id="231" w:name="_Toc309899999"/>
      <w:r>
        <w:tab/>
        <w:t>[Heading inserted by No. 39 of 2011 s. 11.]</w:t>
      </w:r>
    </w:p>
    <w:p>
      <w:pPr>
        <w:pStyle w:val="Heading5"/>
      </w:pPr>
      <w:bookmarkStart w:id="232" w:name="_Toc310844181"/>
      <w:r>
        <w:rPr>
          <w:rStyle w:val="CharSectno"/>
        </w:rPr>
        <w:t>33</w:t>
      </w:r>
      <w:r>
        <w:t>.</w:t>
      </w:r>
      <w:r>
        <w:tab/>
        <w:t>Voluntary transfers</w:t>
      </w:r>
      <w:bookmarkEnd w:id="231"/>
      <w:bookmarkEnd w:id="232"/>
    </w:p>
    <w:p>
      <w:pPr>
        <w:pStyle w:val="Subsection"/>
      </w:pPr>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p>
    <w:p>
      <w:pPr>
        <w:pStyle w:val="Subsection"/>
      </w:pPr>
      <w:r>
        <w:tab/>
        <w:t>(2)</w:t>
      </w:r>
      <w:r>
        <w:tab/>
        <w:t xml:space="preserve">Without limiting the generality of subsection (1), the regulations may — </w:t>
      </w:r>
    </w:p>
    <w:p>
      <w:pPr>
        <w:pStyle w:val="Indenta"/>
      </w:pPr>
      <w:r>
        <w:tab/>
        <w:t>(a)</w:t>
      </w:r>
      <w:r>
        <w:tab/>
        <w:t>give effect to the transfer of estate assets and liabilities from the transferring company to the receiving company; and</w:t>
      </w:r>
    </w:p>
    <w:p>
      <w:pPr>
        <w:pStyle w:val="Indenta"/>
      </w:pPr>
      <w:r>
        <w:tab/>
        <w:t>(b)</w:t>
      </w:r>
      <w:r>
        <w:tab/>
        <w:t>provide that the receiving company is to be taken to be the successor in law in relation to estate assets and liabilities of the transferring company, to the extent of the transfer; and</w:t>
      </w:r>
    </w:p>
    <w:p>
      <w:pPr>
        <w:pStyle w:val="Indenta"/>
      </w:pPr>
      <w:r>
        <w:tab/>
        <w:t>(c)</w:t>
      </w:r>
      <w:r>
        <w:tab/>
        <w:t>provide for the liquidation or dissolution of the transferring company; and</w:t>
      </w:r>
    </w:p>
    <w:p>
      <w:pPr>
        <w:pStyle w:val="Indenta"/>
      </w:pPr>
      <w:r>
        <w:tab/>
        <w:t>(d)</w:t>
      </w:r>
      <w:r>
        <w:tab/>
        <w:t>provide for the identification of estate assets or liabilities of the transferring company; and</w:t>
      </w:r>
    </w:p>
    <w:p>
      <w:pPr>
        <w:pStyle w:val="Indenta"/>
      </w:pPr>
      <w:r>
        <w:tab/>
        <w:t>(e)</w:t>
      </w:r>
      <w:r>
        <w:tab/>
        <w:t>provide for the transfer of estate assets and liabilities of the transferring company; and</w:t>
      </w:r>
    </w:p>
    <w:p>
      <w:pPr>
        <w:pStyle w:val="Indenta"/>
      </w:pPr>
      <w:r>
        <w:tab/>
        <w:t>(f)</w:t>
      </w:r>
      <w:r>
        <w:tab/>
        <w:t>provide for the registration or recording of the transfer (with or without formal application) by the Registrar of Titles or any other person or authority; and</w:t>
      </w:r>
    </w:p>
    <w:p>
      <w:pPr>
        <w:pStyle w:val="Indenta"/>
      </w:pPr>
      <w:r>
        <w:tab/>
        <w:t>(g)</w:t>
      </w:r>
      <w:r>
        <w:tab/>
        <w:t>provide for evidence of matters relating to the transfer; and</w:t>
      </w:r>
    </w:p>
    <w:p>
      <w:pPr>
        <w:pStyle w:val="Indenta"/>
      </w:pPr>
      <w:r>
        <w:tab/>
        <w:t>(h)</w:t>
      </w:r>
      <w:r>
        <w:tab/>
        <w:t>provide for relief from the consequences of anything done or allowed under regulations made under this section; and</w:t>
      </w:r>
    </w:p>
    <w:p>
      <w:pPr>
        <w:pStyle w:val="Indenta"/>
      </w:pPr>
      <w:r>
        <w:tab/>
        <w:t>(i)</w:t>
      </w:r>
      <w:r>
        <w:tab/>
        <w:t>provide for payment, or exemption from payment, of a State tax, as defined in section 32(1), in respect of the transfer; and</w:t>
      </w:r>
    </w:p>
    <w:p>
      <w:pPr>
        <w:pStyle w:val="Indenta"/>
      </w:pPr>
      <w:r>
        <w:tab/>
        <w:t>(j)</w:t>
      </w:r>
      <w:r>
        <w:tab/>
        <w:t>provide for any other matter of a savings or transitional nature consequent on the transfer; and</w:t>
      </w:r>
    </w:p>
    <w:p>
      <w:pPr>
        <w:pStyle w:val="Indenta"/>
        <w:rPr>
          <w:szCs w:val="24"/>
        </w:rPr>
      </w:pPr>
      <w:r>
        <w:rPr>
          <w:szCs w:val="24"/>
        </w:rPr>
        <w:tab/>
        <w:t>(k)</w:t>
      </w:r>
      <w:r>
        <w:rPr>
          <w:szCs w:val="24"/>
        </w:rPr>
        <w:tab/>
        <w:t>provide for and give effect to the transfer of duties, obligations, immunities, rights and privileges of the transferring company from the transferring company to the receiving company.</w:t>
      </w:r>
    </w:p>
    <w:p>
      <w:pPr>
        <w:pStyle w:val="Subsection"/>
      </w:pPr>
      <w:r>
        <w:tab/>
        <w:t>(3)</w:t>
      </w:r>
      <w:r>
        <w:tab/>
        <w:t>Regulations made under this section have effect despite anything in a contract, deed, undertaking, agreement or other instrument.</w:t>
      </w:r>
    </w:p>
    <w:p>
      <w:pPr>
        <w:pStyle w:val="Footnotesection"/>
      </w:pPr>
      <w:bookmarkStart w:id="233" w:name="_Toc309899963"/>
      <w:bookmarkStart w:id="234" w:name="_Toc309900000"/>
      <w:r>
        <w:tab/>
        <w:t>[Section 33 inserted by No. 39 of 2011 s. 11.]</w:t>
      </w:r>
    </w:p>
    <w:p>
      <w:pPr>
        <w:pStyle w:val="Heading3"/>
      </w:pPr>
      <w:bookmarkStart w:id="235" w:name="_Toc309913040"/>
      <w:bookmarkStart w:id="236" w:name="_Toc309916950"/>
      <w:bookmarkStart w:id="237" w:name="_Toc310599519"/>
      <w:bookmarkStart w:id="238" w:name="_Toc310599563"/>
      <w:bookmarkStart w:id="239" w:name="_Toc310600425"/>
      <w:bookmarkStart w:id="240" w:name="_Toc310600615"/>
      <w:bookmarkStart w:id="241" w:name="_Toc310600659"/>
      <w:bookmarkStart w:id="242" w:name="_Toc310840997"/>
      <w:bookmarkStart w:id="243" w:name="_Toc310841585"/>
      <w:bookmarkStart w:id="244" w:name="_Toc310841631"/>
      <w:bookmarkStart w:id="245" w:name="_Toc310844182"/>
      <w:r>
        <w:rPr>
          <w:rStyle w:val="CharDivNo"/>
        </w:rPr>
        <w:t>Division 4</w:t>
      </w:r>
      <w:r>
        <w:t> — </w:t>
      </w:r>
      <w:r>
        <w:rPr>
          <w:rStyle w:val="CharDivText"/>
        </w:rPr>
        <w:t>Relationship of Part with other laws</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bookmarkStart w:id="246" w:name="_Toc309900001"/>
      <w:r>
        <w:tab/>
        <w:t>[Heading inserted by No. 39 of 2011 s. 11.]</w:t>
      </w:r>
    </w:p>
    <w:p>
      <w:pPr>
        <w:pStyle w:val="Heading5"/>
      </w:pPr>
      <w:bookmarkStart w:id="247" w:name="_Toc310844183"/>
      <w:r>
        <w:rPr>
          <w:rStyle w:val="CharSectno"/>
        </w:rPr>
        <w:t>34</w:t>
      </w:r>
      <w:r>
        <w:t>.</w:t>
      </w:r>
      <w:r>
        <w:tab/>
        <w:t>Relationship of Part with other laws</w:t>
      </w:r>
      <w:bookmarkEnd w:id="246"/>
      <w:bookmarkEnd w:id="247"/>
    </w:p>
    <w:p>
      <w:pPr>
        <w:pStyle w:val="Subsection"/>
      </w:pPr>
      <w:r>
        <w:tab/>
        <w:t>(1)</w:t>
      </w:r>
      <w:r>
        <w:tab/>
        <w:t>This Part has effect despite anything in a contract, deed, undertaking, agreement or other instrument.</w:t>
      </w:r>
    </w:p>
    <w:p>
      <w:pPr>
        <w:pStyle w:val="Subsection"/>
      </w:pPr>
      <w:r>
        <w:tab/>
        <w:t>(2)</w:t>
      </w:r>
      <w:r>
        <w:tab/>
        <w:t xml:space="preserve">Nothing done by or under this Part — </w:t>
      </w:r>
    </w:p>
    <w:p>
      <w:pPr>
        <w:pStyle w:val="Indenta"/>
      </w:pPr>
      <w:r>
        <w:tab/>
        <w:t>(a)</w:t>
      </w:r>
      <w:r>
        <w:tab/>
        <w:t>places a receiving company, a transferring company or another person in breach of contract or confidence or otherwise makes any of them guilty of a civil wrong; or</w:t>
      </w:r>
    </w:p>
    <w:p>
      <w:pPr>
        <w:pStyle w:val="Indenta"/>
      </w:pPr>
      <w:r>
        <w:tab/>
        <w:t>(b)</w:t>
      </w:r>
      <w:r>
        <w:tab/>
        <w:t xml:space="preserve">places a receiving company, a transferring company or another person in breach of — </w:t>
      </w:r>
    </w:p>
    <w:p>
      <w:pPr>
        <w:pStyle w:val="Indenti"/>
      </w:pPr>
      <w:r>
        <w:tab/>
        <w:t>(i)</w:t>
      </w:r>
      <w:r>
        <w:tab/>
        <w:t>a law of the State; or</w:t>
      </w:r>
    </w:p>
    <w:p>
      <w:pPr>
        <w:pStyle w:val="Indenti"/>
      </w:pPr>
      <w:r>
        <w:tab/>
        <w:t>(ii)</w:t>
      </w:r>
      <w:r>
        <w:tab/>
        <w:t>a contractual provision prohibiting, restricting or regulating the assignment or transfer of an asset or liability or the disclosure of information;</w:t>
      </w:r>
    </w:p>
    <w:p>
      <w:pPr>
        <w:pStyle w:val="Indenta"/>
      </w:pPr>
      <w:r>
        <w:tab/>
      </w:r>
      <w:r>
        <w:tab/>
        <w:t>or</w:t>
      </w:r>
    </w:p>
    <w:p>
      <w:pPr>
        <w:pStyle w:val="Indenta"/>
      </w:pPr>
      <w:r>
        <w:tab/>
        <w:t>(c)</w:t>
      </w:r>
      <w:r>
        <w:tab/>
        <w:t>releases a surety, wholly or partly, from all or any of the surety’s obligations.</w:t>
      </w:r>
    </w:p>
    <w:p>
      <w:pPr>
        <w:pStyle w:val="Subsection"/>
      </w:pPr>
      <w:r>
        <w:tab/>
        <w:t>(3)</w:t>
      </w:r>
      <w:r>
        <w:tab/>
        <w:t>Without limiting subsection (1), if, apart from this section, the advice or consent of a person would be necessary in a particular respect, the advice is taken to have been obtained or the consent is taken to have been given.</w:t>
      </w:r>
    </w:p>
    <w:p>
      <w:pPr>
        <w:pStyle w:val="Footnotesection"/>
      </w:pPr>
      <w:r>
        <w:tab/>
        <w:t>[Section 34 inserted by No. 39 of 2011 s. 11.]</w:t>
      </w:r>
    </w:p>
    <w:p>
      <w:pPr>
        <w:pStyle w:val="Ednotepart"/>
      </w:pPr>
      <w:bookmarkStart w:id="248" w:name="_Toc309913042"/>
      <w:r>
        <w:t>[Part IV deleted by No. 39 of 2011 s. 6.]</w:t>
      </w:r>
    </w:p>
    <w:p>
      <w:pPr>
        <w:pStyle w:val="Ednotepart"/>
      </w:pPr>
      <w:r>
        <w:t>[Part V heading deleted by No. 39 of 2011 s. 7.]</w:t>
      </w:r>
    </w:p>
    <w:p>
      <w:pPr>
        <w:pStyle w:val="Ednotepart"/>
      </w:pPr>
      <w:r>
        <w:t>[Part VI (s. 35</w:t>
      </w:r>
      <w:r>
        <w:noBreakHyphen/>
        <w:t>37) deleted by No. 39 of 2011 s. 10.]</w:t>
      </w:r>
    </w:p>
    <w:p>
      <w:pPr>
        <w:pStyle w:val="Heading2"/>
      </w:pPr>
      <w:bookmarkStart w:id="249" w:name="_Toc309916952"/>
      <w:bookmarkStart w:id="250" w:name="_Toc310599521"/>
      <w:bookmarkStart w:id="251" w:name="_Toc310599565"/>
      <w:bookmarkStart w:id="252" w:name="_Toc310600427"/>
      <w:bookmarkStart w:id="253" w:name="_Toc310600617"/>
      <w:bookmarkStart w:id="254" w:name="_Toc310600661"/>
      <w:bookmarkStart w:id="255" w:name="_Toc310840999"/>
      <w:bookmarkStart w:id="256" w:name="_Toc310841587"/>
      <w:bookmarkStart w:id="257" w:name="_Toc310841633"/>
      <w:bookmarkStart w:id="258" w:name="_Toc310844184"/>
      <w:r>
        <w:rPr>
          <w:rStyle w:val="CharPartNo"/>
        </w:rPr>
        <w:t>Part VII</w:t>
      </w:r>
      <w:r>
        <w:rPr>
          <w:rStyle w:val="CharDivNo"/>
        </w:rPr>
        <w:t> </w:t>
      </w:r>
      <w:r>
        <w:t>—</w:t>
      </w:r>
      <w:r>
        <w:rPr>
          <w:rStyle w:val="CharDivText"/>
        </w:rPr>
        <w:t> </w:t>
      </w:r>
      <w:r>
        <w:rPr>
          <w:rStyle w:val="CharPartText"/>
        </w:rPr>
        <w:t>Miscellaneous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411822051"/>
      <w:bookmarkStart w:id="260" w:name="_Toc28163044"/>
      <w:bookmarkStart w:id="261" w:name="_Toc62554003"/>
      <w:bookmarkStart w:id="262" w:name="_Toc130632457"/>
      <w:bookmarkStart w:id="263" w:name="_Toc310844185"/>
      <w:r>
        <w:rPr>
          <w:rStyle w:val="CharSectno"/>
        </w:rPr>
        <w:t>38</w:t>
      </w:r>
      <w:r>
        <w:rPr>
          <w:snapToGrid w:val="0"/>
        </w:rPr>
        <w:t>.</w:t>
      </w:r>
      <w:r>
        <w:rPr>
          <w:snapToGrid w:val="0"/>
        </w:rPr>
        <w:tab/>
        <w:t>Contributory investments</w:t>
      </w:r>
      <w:bookmarkEnd w:id="259"/>
      <w:bookmarkEnd w:id="260"/>
      <w:bookmarkEnd w:id="261"/>
      <w:bookmarkEnd w:id="262"/>
      <w:bookmarkEnd w:id="263"/>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Ednotesection"/>
      </w:pPr>
      <w:bookmarkStart w:id="264" w:name="_Toc411822054"/>
      <w:bookmarkStart w:id="265" w:name="_Toc28163047"/>
      <w:bookmarkStart w:id="266" w:name="_Toc62554006"/>
      <w:bookmarkStart w:id="267" w:name="_Toc130632460"/>
      <w:r>
        <w:t>[</w:t>
      </w:r>
      <w:r>
        <w:rPr>
          <w:b/>
        </w:rPr>
        <w:t>39, 40.</w:t>
      </w:r>
      <w:r>
        <w:tab/>
        <w:t>Deleted by No. 39 of 2011 s. 12.]</w:t>
      </w:r>
    </w:p>
    <w:p>
      <w:pPr>
        <w:pStyle w:val="Heading5"/>
        <w:spacing w:before="180"/>
        <w:rPr>
          <w:snapToGrid w:val="0"/>
        </w:rPr>
      </w:pPr>
      <w:bookmarkStart w:id="268" w:name="_Toc310844186"/>
      <w:r>
        <w:rPr>
          <w:rStyle w:val="CharSectno"/>
        </w:rPr>
        <w:t>41</w:t>
      </w:r>
      <w:r>
        <w:rPr>
          <w:snapToGrid w:val="0"/>
        </w:rPr>
        <w:t>.</w:t>
      </w:r>
      <w:r>
        <w:rPr>
          <w:snapToGrid w:val="0"/>
        </w:rPr>
        <w:tab/>
        <w:t>Orders as to costs</w:t>
      </w:r>
      <w:bookmarkEnd w:id="264"/>
      <w:bookmarkEnd w:id="265"/>
      <w:bookmarkEnd w:id="266"/>
      <w:bookmarkEnd w:id="267"/>
      <w:bookmarkEnd w:id="268"/>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Ednotesection"/>
      </w:pPr>
      <w:bookmarkStart w:id="269" w:name="_Toc411822056"/>
      <w:bookmarkStart w:id="270" w:name="_Toc28163049"/>
      <w:bookmarkStart w:id="271" w:name="_Toc62554008"/>
      <w:bookmarkStart w:id="272" w:name="_Toc130632462"/>
      <w:r>
        <w:t>[</w:t>
      </w:r>
      <w:r>
        <w:rPr>
          <w:b/>
        </w:rPr>
        <w:t>42.</w:t>
      </w:r>
      <w:r>
        <w:tab/>
      </w:r>
      <w:smartTag w:uri="urn:schemas-microsoft-com:office:smarttags" w:element="State">
        <w:smartTag w:uri="urn:schemas-microsoft-com:office:smarttags" w:element="place">
          <w:r>
            <w:t>Del</w:t>
          </w:r>
        </w:smartTag>
      </w:smartTag>
      <w:r>
        <w:t>eted by No. 39 of 2011 s. 13.]</w:t>
      </w:r>
    </w:p>
    <w:p>
      <w:pPr>
        <w:pStyle w:val="Heading5"/>
        <w:spacing w:before="180"/>
        <w:rPr>
          <w:snapToGrid w:val="0"/>
        </w:rPr>
      </w:pPr>
      <w:bookmarkStart w:id="273" w:name="_Toc310844187"/>
      <w:r>
        <w:rPr>
          <w:rStyle w:val="CharSectno"/>
        </w:rPr>
        <w:t>43</w:t>
      </w:r>
      <w:r>
        <w:rPr>
          <w:snapToGrid w:val="0"/>
        </w:rPr>
        <w:t>.</w:t>
      </w:r>
      <w:r>
        <w:rPr>
          <w:snapToGrid w:val="0"/>
        </w:rPr>
        <w:tab/>
        <w:t>False or misleading statements</w:t>
      </w:r>
      <w:bookmarkEnd w:id="269"/>
      <w:bookmarkEnd w:id="270"/>
      <w:bookmarkEnd w:id="271"/>
      <w:bookmarkEnd w:id="272"/>
      <w:bookmarkEnd w:id="273"/>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74" w:name="_Toc411822057"/>
      <w:bookmarkStart w:id="275" w:name="_Toc28163050"/>
      <w:bookmarkStart w:id="276" w:name="_Toc62554009"/>
      <w:bookmarkStart w:id="277" w:name="_Toc130632463"/>
      <w:bookmarkStart w:id="278" w:name="_Toc310844188"/>
      <w:r>
        <w:rPr>
          <w:rStyle w:val="CharSectno"/>
        </w:rPr>
        <w:t>44</w:t>
      </w:r>
      <w:r>
        <w:rPr>
          <w:snapToGrid w:val="0"/>
        </w:rPr>
        <w:t>.</w:t>
      </w:r>
      <w:r>
        <w:rPr>
          <w:snapToGrid w:val="0"/>
        </w:rPr>
        <w:tab/>
        <w:t>Offences by officers</w:t>
      </w:r>
      <w:bookmarkEnd w:id="274"/>
      <w:bookmarkEnd w:id="275"/>
      <w:bookmarkEnd w:id="276"/>
      <w:bookmarkEnd w:id="277"/>
      <w:bookmarkEnd w:id="278"/>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279" w:name="_Toc411822058"/>
      <w:bookmarkStart w:id="280" w:name="_Toc28163051"/>
      <w:bookmarkStart w:id="281" w:name="_Toc62554010"/>
      <w:bookmarkStart w:id="282" w:name="_Toc130632464"/>
      <w:bookmarkStart w:id="283" w:name="_Toc310844189"/>
      <w:r>
        <w:rPr>
          <w:rStyle w:val="CharSectno"/>
        </w:rPr>
        <w:t>45</w:t>
      </w:r>
      <w:r>
        <w:rPr>
          <w:snapToGrid w:val="0"/>
        </w:rPr>
        <w:t>.</w:t>
      </w:r>
      <w:r>
        <w:rPr>
          <w:snapToGrid w:val="0"/>
        </w:rPr>
        <w:tab/>
        <w:t>Regulations</w:t>
      </w:r>
      <w:bookmarkEnd w:id="279"/>
      <w:bookmarkEnd w:id="280"/>
      <w:bookmarkEnd w:id="281"/>
      <w:bookmarkEnd w:id="282"/>
      <w:bookmarkEnd w:id="283"/>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2"/>
      </w:pPr>
      <w:bookmarkStart w:id="284" w:name="_Toc309899969"/>
      <w:bookmarkStart w:id="285" w:name="_Toc309900006"/>
      <w:bookmarkStart w:id="286" w:name="_Toc309913048"/>
      <w:bookmarkStart w:id="287" w:name="_Toc309916958"/>
      <w:bookmarkStart w:id="288" w:name="_Toc310599527"/>
      <w:bookmarkStart w:id="289" w:name="_Toc310599571"/>
      <w:bookmarkStart w:id="290" w:name="_Toc310600433"/>
      <w:bookmarkStart w:id="291" w:name="_Toc310600623"/>
      <w:bookmarkStart w:id="292" w:name="_Toc310600667"/>
      <w:bookmarkStart w:id="293" w:name="_Toc310841005"/>
      <w:bookmarkStart w:id="294" w:name="_Toc310841593"/>
      <w:bookmarkStart w:id="295" w:name="_Toc310841639"/>
      <w:bookmarkStart w:id="296" w:name="_Toc310844190"/>
      <w:r>
        <w:rPr>
          <w:rStyle w:val="CharPartNo"/>
        </w:rPr>
        <w:t>Part VIII</w:t>
      </w:r>
      <w:r>
        <w:rPr>
          <w:rStyle w:val="CharDivNo"/>
        </w:rPr>
        <w:t> </w:t>
      </w:r>
      <w:r>
        <w:t>—</w:t>
      </w:r>
      <w:r>
        <w:rPr>
          <w:rStyle w:val="CharDivText"/>
        </w:rPr>
        <w:t> </w:t>
      </w:r>
      <w:r>
        <w:rPr>
          <w:rStyle w:val="CharPartText"/>
        </w:rPr>
        <w:t xml:space="preserve">Transitional provisions for the </w:t>
      </w:r>
      <w:r>
        <w:rPr>
          <w:rStyle w:val="CharPartText"/>
          <w:i/>
        </w:rPr>
        <w:t>Trustee Companies (Commonwealth Regulation) Amendment Act 2011</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bookmarkStart w:id="297" w:name="_Toc309900007"/>
      <w:r>
        <w:tab/>
        <w:t>[Heading inserted by No. 39 of 2011 s. 15.]</w:t>
      </w:r>
    </w:p>
    <w:p>
      <w:pPr>
        <w:pStyle w:val="Heading5"/>
      </w:pPr>
      <w:bookmarkStart w:id="298" w:name="_Toc310844191"/>
      <w:r>
        <w:rPr>
          <w:rStyle w:val="CharSectno"/>
        </w:rPr>
        <w:t>46</w:t>
      </w:r>
      <w:r>
        <w:t>.</w:t>
      </w:r>
      <w:r>
        <w:tab/>
        <w:t>Term used: amending Act</w:t>
      </w:r>
      <w:bookmarkEnd w:id="297"/>
      <w:bookmarkEnd w:id="298"/>
    </w:p>
    <w:p>
      <w:pPr>
        <w:pStyle w:val="Subsection"/>
      </w:pPr>
      <w:r>
        <w:tab/>
      </w:r>
      <w:r>
        <w:tab/>
        <w:t xml:space="preserve">In this Part — </w:t>
      </w:r>
    </w:p>
    <w:p>
      <w:pPr>
        <w:pStyle w:val="Defstart"/>
      </w:pPr>
      <w:r>
        <w:tab/>
      </w:r>
      <w:r>
        <w:rPr>
          <w:rStyle w:val="CharDefText"/>
        </w:rPr>
        <w:t>amending Act</w:t>
      </w:r>
      <w:r>
        <w:t xml:space="preserve"> means the </w:t>
      </w:r>
      <w:r>
        <w:rPr>
          <w:i/>
        </w:rPr>
        <w:t>Trustee Companies (Commonwealth Regulation) Amendment Act 2011.</w:t>
      </w:r>
    </w:p>
    <w:p>
      <w:pPr>
        <w:pStyle w:val="Footnotesection"/>
      </w:pPr>
      <w:bookmarkStart w:id="299" w:name="_Toc309900008"/>
      <w:r>
        <w:tab/>
        <w:t>[Section 46 inserted by No. 39 of 2011 s. 15.]</w:t>
      </w:r>
    </w:p>
    <w:p>
      <w:pPr>
        <w:pStyle w:val="Heading5"/>
      </w:pPr>
      <w:bookmarkStart w:id="300" w:name="_Toc310844192"/>
      <w:r>
        <w:rPr>
          <w:rStyle w:val="CharSectno"/>
        </w:rPr>
        <w:t>47</w:t>
      </w:r>
      <w:r>
        <w:t>.</w:t>
      </w:r>
      <w:r>
        <w:tab/>
        <w:t>Transitional provisions</w:t>
      </w:r>
      <w:bookmarkEnd w:id="299"/>
      <w:bookmarkEnd w:id="300"/>
    </w:p>
    <w:p>
      <w:pPr>
        <w:pStyle w:val="Subsection"/>
      </w:pPr>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p>
    <w:p>
      <w:pPr>
        <w:pStyle w:val="Subsection"/>
      </w:pPr>
      <w:r>
        <w:tab/>
        <w:t>(2)</w:t>
      </w:r>
      <w:r>
        <w:tab/>
        <w:t>After the commencement of section 4 of the amending Act, a trustee company means a licensed trustee company as defined in the Corporations Act section 601RAA.</w:t>
      </w:r>
    </w:p>
    <w:p>
      <w:pPr>
        <w:pStyle w:val="Subsection"/>
      </w:pPr>
      <w:r>
        <w:tab/>
        <w:t>(3)</w:t>
      </w:r>
      <w:r>
        <w:tab/>
        <w:t>Each of the Schedule 1 trustee companies is, and was before the repeal of Schedule 1 by section 16 of the amending Act, a licensed trustee company as defined in the Corporations Act section 601RAA.</w:t>
      </w:r>
    </w:p>
    <w:p>
      <w:pPr>
        <w:pStyle w:val="Subsection"/>
        <w:rPr>
          <w:snapToGrid w:val="0"/>
        </w:rPr>
      </w:pPr>
      <w:r>
        <w:rPr>
          <w:snapToGrid w:val="0"/>
        </w:rPr>
        <w:tab/>
        <w:t>(4)</w:t>
      </w:r>
      <w:r>
        <w:rPr>
          <w:snapToGrid w:val="0"/>
        </w:rPr>
        <w:tab/>
        <w:t xml:space="preserve">Accordingly — </w:t>
      </w:r>
    </w:p>
    <w:p>
      <w:pPr>
        <w:pStyle w:val="Indenta"/>
      </w:pPr>
      <w:r>
        <w:tab/>
        <w:t>(a)</w:t>
      </w:r>
      <w:r>
        <w:tab/>
        <w:t xml:space="preserve">the repeal of Schedule 1 does not affect the appointment of a Schedule 1 trustee company made before the repeal as — </w:t>
      </w:r>
    </w:p>
    <w:p>
      <w:pPr>
        <w:pStyle w:val="Indenti"/>
      </w:pPr>
      <w:r>
        <w:tab/>
        <w:t>(i)</w:t>
      </w:r>
      <w:r>
        <w:tab/>
        <w:t>the executor of a will, or the administrator of an estate of a deceased person; or</w:t>
      </w:r>
    </w:p>
    <w:p>
      <w:pPr>
        <w:pStyle w:val="Indenti"/>
      </w:pPr>
      <w:r>
        <w:tab/>
        <w:t>(ii)</w:t>
      </w:r>
      <w:r>
        <w:tab/>
        <w:t>a trustee, agent, attorney, manager or receiver; or</w:t>
      </w:r>
    </w:p>
    <w:p>
      <w:pPr>
        <w:pStyle w:val="Indenti"/>
      </w:pPr>
      <w:r>
        <w:tab/>
        <w:t>(iii)</w:t>
      </w:r>
      <w:r>
        <w:tab/>
        <w:t>the guardian of the estate of a minor; or</w:t>
      </w:r>
    </w:p>
    <w:p>
      <w:pPr>
        <w:pStyle w:val="Indenti"/>
      </w:pPr>
      <w:r>
        <w:tab/>
        <w:t>(iv)</w:t>
      </w:r>
      <w:r>
        <w:tab/>
        <w:t>a surety or guarantor; or</w:t>
      </w:r>
    </w:p>
    <w:p>
      <w:pPr>
        <w:pStyle w:val="Indenti"/>
      </w:pPr>
      <w:r>
        <w:tab/>
        <w:t>(v)</w:t>
      </w:r>
      <w:r>
        <w:tab/>
        <w:t>the administrator, committee, guardian or manager of the estate of a person who is unable to manage his or her own affairs;</w:t>
      </w:r>
    </w:p>
    <w:p>
      <w:pPr>
        <w:pStyle w:val="Indenta"/>
      </w:pPr>
      <w:r>
        <w:tab/>
      </w:r>
      <w:r>
        <w:tab/>
        <w:t>and</w:t>
      </w:r>
    </w:p>
    <w:p>
      <w:pPr>
        <w:pStyle w:val="Indenta"/>
      </w:pPr>
      <w:r>
        <w:tab/>
        <w:t>(b)</w:t>
      </w:r>
      <w:r>
        <w:tab/>
        <w:t>this Act, as amended by the amending Act, continues to apply to a Schedule 1 trustee company; and</w:t>
      </w:r>
    </w:p>
    <w:p>
      <w:pPr>
        <w:pStyle w:val="Indenta"/>
      </w:pPr>
      <w:r>
        <w:tab/>
        <w:t>(c)</w:t>
      </w:r>
      <w:r>
        <w:tab/>
        <w:t xml:space="preserve">except to the extent of any inconsistency with the Corporations Act — </w:t>
      </w:r>
    </w:p>
    <w:p>
      <w:pPr>
        <w:pStyle w:val="Indenti"/>
      </w:pPr>
      <w:r>
        <w:tab/>
        <w:t>(i)</w:t>
      </w:r>
      <w:r>
        <w:tab/>
        <w:t>any duties, obligations, immunities, rights and privileges of a Schedule 1 trustee company arising before the repeal of that Schedule are not affected by the repeal; and</w:t>
      </w:r>
    </w:p>
    <w:p>
      <w:pPr>
        <w:pStyle w:val="Indenti"/>
      </w:pPr>
      <w:r>
        <w:tab/>
        <w:t>(ii)</w:t>
      </w:r>
      <w:r>
        <w:tab/>
        <w:t>the assets and liabilities of a Schedule 1 trustee company are not affected by the repeal; and</w:t>
      </w:r>
    </w:p>
    <w:p>
      <w:pPr>
        <w:pStyle w:val="Indenti"/>
      </w:pPr>
      <w:r>
        <w:tab/>
        <w:t>(iii)</w:t>
      </w:r>
      <w:r>
        <w:tab/>
        <w:t>any action taken or notice given by a Schedule 1 trustee company before the repeal of that Schedule or the amendment of this Act by the amending Act is not affected by the repeal or amendment;</w:t>
      </w:r>
    </w:p>
    <w:p>
      <w:pPr>
        <w:pStyle w:val="Indenta"/>
      </w:pPr>
      <w:r>
        <w:tab/>
      </w:r>
      <w:r>
        <w:tab/>
        <w:t>and</w:t>
      </w:r>
    </w:p>
    <w:p>
      <w:pPr>
        <w:pStyle w:val="Indenta"/>
      </w:pPr>
      <w:r>
        <w:tab/>
        <w:t>(d)</w:t>
      </w:r>
      <w:r>
        <w:tab/>
        <w:t>proceedings relating to a Schedule 1 trustee company that have been commenced but not determined before the repeal of that Schedule are not affected by the repeal.</w:t>
      </w:r>
    </w:p>
    <w:p>
      <w:pPr>
        <w:pStyle w:val="Footnotesection"/>
      </w:pPr>
      <w:bookmarkStart w:id="301" w:name="_Toc309900009"/>
      <w:r>
        <w:tab/>
        <w:t>[Section 47 inserted by No. 39 of 2011 s. 15.]</w:t>
      </w:r>
    </w:p>
    <w:p>
      <w:pPr>
        <w:pStyle w:val="Heading5"/>
      </w:pPr>
      <w:bookmarkStart w:id="302" w:name="_Toc310844193"/>
      <w:r>
        <w:rPr>
          <w:rStyle w:val="CharSectno"/>
        </w:rPr>
        <w:t>48</w:t>
      </w:r>
      <w:r>
        <w:t>.</w:t>
      </w:r>
      <w:r>
        <w:tab/>
        <w:t>Regulations for transitional matters</w:t>
      </w:r>
      <w:bookmarkEnd w:id="301"/>
      <w:bookmarkEnd w:id="302"/>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in the case of transitional regulations made under subsection (2)(a) — the day on which the amending provision commences; or</w:t>
      </w:r>
    </w:p>
    <w:p>
      <w:pPr>
        <w:pStyle w:val="Defpara"/>
      </w:pPr>
      <w:r>
        <w:tab/>
        <w:t>(b)</w:t>
      </w:r>
      <w:r>
        <w:tab/>
        <w:t>in the case of transitional regulations made under subsection (2)(b) — the day on which the Commonwealth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made under subsection (2).</w:t>
      </w:r>
    </w:p>
    <w:p>
      <w:pPr>
        <w:pStyle w:val="Subsection"/>
      </w:pPr>
      <w:r>
        <w:tab/>
        <w:t>(2)</w:t>
      </w:r>
      <w:r>
        <w:tab/>
        <w:t xml:space="preserve">Regulations made under this Act may prescribe anything else required, necessary or convenient to be prescribed in relation to a transitional matter in connection with — </w:t>
      </w:r>
    </w:p>
    <w:p>
      <w:pPr>
        <w:pStyle w:val="Indenta"/>
      </w:pPr>
      <w:r>
        <w:tab/>
        <w:t>(a)</w:t>
      </w:r>
      <w:r>
        <w:tab/>
        <w:t xml:space="preserve">the amendment of this Act by a provision of the amending Act (the </w:t>
      </w:r>
      <w:r>
        <w:rPr>
          <w:rStyle w:val="CharDefText"/>
          <w:snapToGrid w:val="0"/>
        </w:rPr>
        <w:t>amending provision</w:t>
      </w:r>
      <w:r>
        <w:t>); or</w:t>
      </w:r>
    </w:p>
    <w:p>
      <w:pPr>
        <w:pStyle w:val="Indenta"/>
      </w:pPr>
      <w:r>
        <w:tab/>
        <w:t>(b)</w:t>
      </w:r>
      <w:r>
        <w:tab/>
        <w:t xml:space="preserve">the interaction between this Act and a provision of an Act of the Commonwealth (the </w:t>
      </w:r>
      <w:r>
        <w:rPr>
          <w:rStyle w:val="CharDefText"/>
          <w:snapToGrid w:val="0"/>
        </w:rPr>
        <w:t>Commonwealth provision</w:t>
      </w:r>
      <w:r>
        <w:t>).</w:t>
      </w:r>
    </w:p>
    <w:p>
      <w:pPr>
        <w:pStyle w:val="Subsection"/>
      </w:pPr>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p>
    <w:p>
      <w:pPr>
        <w:pStyle w:val="Subsection"/>
      </w:pPr>
      <w:r>
        <w:tab/>
        <w:t>(4)</w:t>
      </w:r>
      <w:r>
        <w:tab/>
        <w:t xml:space="preserve">If regulations contain a provision referred to in subsection (3),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48 inserted by No. 39 of 2011 s. 15.]</w:t>
      </w:r>
    </w:p>
    <w:p>
      <w:pPr>
        <w:pStyle w:val="yEdnoteschedule"/>
      </w:pPr>
      <w:r>
        <w:t>[Schedules 1</w:t>
      </w:r>
      <w:r>
        <w:noBreakHyphen/>
        <w:t xml:space="preserve">3 </w:t>
      </w:r>
      <w:smartTag w:uri="urn:schemas-microsoft-com:office:smarttags" w:element="State">
        <w:smartTag w:uri="urn:schemas-microsoft-com:office:smarttags" w:element="place">
          <w:r>
            <w:t>del</w:t>
          </w:r>
        </w:smartTag>
      </w:smartTag>
      <w:r>
        <w:t>eted by No. 39 of 2011 s. 16.]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03" w:name="_Toc67978966"/>
      <w:bookmarkStart w:id="304" w:name="_Toc95904958"/>
      <w:bookmarkStart w:id="305" w:name="_Toc96756557"/>
      <w:bookmarkStart w:id="306" w:name="_Toc103072015"/>
      <w:bookmarkStart w:id="307" w:name="_Toc130632474"/>
      <w:bookmarkStart w:id="308" w:name="_Toc130632557"/>
      <w:bookmarkStart w:id="309" w:name="_Toc194903631"/>
      <w:bookmarkStart w:id="310" w:name="_Toc194903869"/>
      <w:bookmarkStart w:id="311" w:name="_Toc202243719"/>
      <w:bookmarkStart w:id="312" w:name="_Toc210103616"/>
      <w:bookmarkStart w:id="313" w:name="_Toc210195533"/>
      <w:bookmarkStart w:id="314" w:name="_Toc210709173"/>
      <w:bookmarkStart w:id="315" w:name="_Toc213487961"/>
      <w:bookmarkStart w:id="316" w:name="_Toc253667821"/>
      <w:bookmarkStart w:id="317" w:name="_Toc268259148"/>
      <w:bookmarkStart w:id="318" w:name="_Toc272394053"/>
      <w:bookmarkStart w:id="319" w:name="_Toc305594383"/>
      <w:bookmarkStart w:id="320" w:name="_Toc305594460"/>
      <w:bookmarkStart w:id="321" w:name="_Toc305595114"/>
      <w:bookmarkStart w:id="322" w:name="_Toc309913052"/>
      <w:bookmarkStart w:id="323" w:name="_Toc309916962"/>
      <w:bookmarkStart w:id="324" w:name="_Toc310599531"/>
      <w:bookmarkStart w:id="325" w:name="_Toc310599575"/>
      <w:bookmarkStart w:id="326" w:name="_Toc310600437"/>
      <w:bookmarkStart w:id="327" w:name="_Toc310600627"/>
      <w:bookmarkStart w:id="328" w:name="_Toc310600671"/>
      <w:bookmarkStart w:id="329" w:name="_Toc310841009"/>
      <w:bookmarkStart w:id="330" w:name="_Toc310841597"/>
      <w:bookmarkStart w:id="331" w:name="_Toc310841643"/>
      <w:bookmarkStart w:id="332" w:name="_Toc310844194"/>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310844195"/>
      <w:r>
        <w:rPr>
          <w:snapToGrid w:val="0"/>
        </w:rPr>
        <w:t>Compilation table</w:t>
      </w:r>
      <w:bookmarkEnd w:id="333"/>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8"/>
        <w:gridCol w:w="9"/>
      </w:tblGrid>
      <w:tr>
        <w:trPr>
          <w:gridAfter w:val="1"/>
          <w:wAfter w:w="9" w:type="dxa"/>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6" w:type="dxa"/>
          </w:tcPr>
          <w:p>
            <w:pPr>
              <w:pStyle w:val="nTable"/>
              <w:spacing w:after="40"/>
              <w:ind w:right="170"/>
              <w:rPr>
                <w:sz w:val="19"/>
              </w:rPr>
            </w:pPr>
            <w:r>
              <w:rPr>
                <w:i/>
                <w:sz w:val="19"/>
              </w:rPr>
              <w:t>Trustee Companies Act 1987</w:t>
            </w:r>
          </w:p>
        </w:tc>
        <w:tc>
          <w:tcPr>
            <w:tcW w:w="1133" w:type="dxa"/>
          </w:tcPr>
          <w:p>
            <w:pPr>
              <w:pStyle w:val="nTable"/>
              <w:spacing w:after="40"/>
              <w:rPr>
                <w:sz w:val="19"/>
              </w:rPr>
            </w:pPr>
            <w:r>
              <w:rPr>
                <w:sz w:val="19"/>
              </w:rPr>
              <w:t>111 of 1987</w:t>
            </w:r>
          </w:p>
        </w:tc>
        <w:tc>
          <w:tcPr>
            <w:tcW w:w="1131" w:type="dxa"/>
          </w:tcPr>
          <w:p>
            <w:pPr>
              <w:pStyle w:val="nTable"/>
              <w:spacing w:after="40"/>
              <w:rPr>
                <w:sz w:val="19"/>
              </w:rPr>
            </w:pPr>
            <w:r>
              <w:rPr>
                <w:sz w:val="19"/>
              </w:rPr>
              <w:t>19 Dec 1987</w:t>
            </w:r>
          </w:p>
        </w:tc>
        <w:tc>
          <w:tcPr>
            <w:tcW w:w="2558"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8" w:type="dxa"/>
          </w:tcPr>
          <w:p>
            <w:pPr>
              <w:pStyle w:val="nTable"/>
              <w:spacing w:after="40"/>
              <w:rPr>
                <w:sz w:val="19"/>
              </w:rPr>
            </w:pPr>
            <w:r>
              <w:rPr>
                <w:sz w:val="19"/>
              </w:rPr>
              <w:t>14 Oct 1988</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8" w:type="dxa"/>
          </w:tcPr>
          <w:p>
            <w:pPr>
              <w:pStyle w:val="nTable"/>
              <w:spacing w:after="40"/>
              <w:rPr>
                <w:sz w:val="19"/>
              </w:rPr>
            </w:pPr>
            <w:r>
              <w:rPr>
                <w:sz w:val="19"/>
              </w:rPr>
              <w:t>15 Dec 1989</w:t>
            </w:r>
          </w:p>
        </w:tc>
      </w:tr>
      <w:tr>
        <w:trPr>
          <w:gridAfter w:val="1"/>
          <w:wAfter w:w="9" w:type="dxa"/>
          <w:cantSplit/>
        </w:trPr>
        <w:tc>
          <w:tcPr>
            <w:tcW w:w="2266" w:type="dxa"/>
          </w:tcPr>
          <w:p>
            <w:pPr>
              <w:pStyle w:val="nTable"/>
              <w:spacing w:after="40"/>
              <w:ind w:right="170"/>
              <w:rPr>
                <w:sz w:val="19"/>
              </w:rPr>
            </w:pPr>
            <w:r>
              <w:rPr>
                <w:i/>
                <w:sz w:val="19"/>
              </w:rPr>
              <w:t xml:space="preserve">West Australian Trustees Limited (Merger) Act 1989 </w:t>
            </w:r>
            <w:r>
              <w:rPr>
                <w:sz w:val="19"/>
              </w:rPr>
              <w:t>s. 16</w:t>
            </w:r>
          </w:p>
        </w:tc>
        <w:tc>
          <w:tcPr>
            <w:tcW w:w="1133" w:type="dxa"/>
          </w:tcPr>
          <w:p>
            <w:pPr>
              <w:pStyle w:val="nTable"/>
              <w:spacing w:after="40"/>
              <w:rPr>
                <w:sz w:val="19"/>
              </w:rPr>
            </w:pPr>
            <w:r>
              <w:rPr>
                <w:sz w:val="19"/>
              </w:rPr>
              <w:t>38 of 1989</w:t>
            </w:r>
          </w:p>
        </w:tc>
        <w:tc>
          <w:tcPr>
            <w:tcW w:w="1131" w:type="dxa"/>
          </w:tcPr>
          <w:p>
            <w:pPr>
              <w:pStyle w:val="nTable"/>
              <w:spacing w:after="40"/>
              <w:rPr>
                <w:sz w:val="19"/>
              </w:rPr>
            </w:pPr>
            <w:r>
              <w:rPr>
                <w:sz w:val="19"/>
              </w:rPr>
              <w:t>22 Dec 1989</w:t>
            </w:r>
          </w:p>
        </w:tc>
        <w:tc>
          <w:tcPr>
            <w:tcW w:w="2558"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8" w:type="dxa"/>
          </w:tcPr>
          <w:p>
            <w:pPr>
              <w:pStyle w:val="nTable"/>
              <w:spacing w:after="40"/>
              <w:rPr>
                <w:sz w:val="19"/>
              </w:rPr>
            </w:pPr>
            <w:r>
              <w:rPr>
                <w:sz w:val="19"/>
              </w:rPr>
              <w:t>9 Nov 1990</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8" w:type="dxa"/>
          </w:tcPr>
          <w:p>
            <w:pPr>
              <w:pStyle w:val="nTable"/>
              <w:spacing w:after="40"/>
              <w:rPr>
                <w:sz w:val="19"/>
              </w:rPr>
            </w:pPr>
            <w:r>
              <w:rPr>
                <w:sz w:val="19"/>
              </w:rPr>
              <w:t>8 Feb 1991</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8" w:type="dxa"/>
          </w:tcPr>
          <w:p>
            <w:pPr>
              <w:pStyle w:val="nTable"/>
              <w:spacing w:after="40"/>
              <w:rPr>
                <w:sz w:val="19"/>
              </w:rPr>
            </w:pPr>
            <w:r>
              <w:rPr>
                <w:sz w:val="19"/>
              </w:rPr>
              <w:t>24 Sep 1993</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8" w:type="dxa"/>
          </w:tcPr>
          <w:p>
            <w:pPr>
              <w:pStyle w:val="nTable"/>
              <w:spacing w:after="40"/>
              <w:rPr>
                <w:sz w:val="19"/>
              </w:rPr>
            </w:pPr>
            <w:r>
              <w:rPr>
                <w:sz w:val="19"/>
              </w:rPr>
              <w:t>20 May 1994</w:t>
            </w:r>
          </w:p>
        </w:tc>
      </w:tr>
      <w:tr>
        <w:trPr>
          <w:gridAfter w:val="1"/>
          <w:wAfter w:w="9" w:type="dxa"/>
          <w:cantSplit/>
        </w:trPr>
        <w:tc>
          <w:tcPr>
            <w:tcW w:w="2266" w:type="dxa"/>
          </w:tcPr>
          <w:p>
            <w:pPr>
              <w:pStyle w:val="nTable"/>
              <w:spacing w:after="40"/>
              <w:ind w:right="170"/>
              <w:rPr>
                <w:sz w:val="19"/>
              </w:rPr>
            </w:pPr>
            <w:r>
              <w:rPr>
                <w:i/>
                <w:sz w:val="19"/>
              </w:rPr>
              <w:t>Trustee Companies Amendment Act 1994</w:t>
            </w:r>
          </w:p>
        </w:tc>
        <w:tc>
          <w:tcPr>
            <w:tcW w:w="1133" w:type="dxa"/>
          </w:tcPr>
          <w:p>
            <w:pPr>
              <w:pStyle w:val="nTable"/>
              <w:spacing w:after="40"/>
              <w:rPr>
                <w:sz w:val="19"/>
              </w:rPr>
            </w:pPr>
            <w:r>
              <w:rPr>
                <w:sz w:val="19"/>
              </w:rPr>
              <w:t>42 of 1994</w:t>
            </w:r>
          </w:p>
        </w:tc>
        <w:tc>
          <w:tcPr>
            <w:tcW w:w="1131" w:type="dxa"/>
          </w:tcPr>
          <w:p>
            <w:pPr>
              <w:pStyle w:val="nTable"/>
              <w:spacing w:after="40"/>
              <w:rPr>
                <w:sz w:val="19"/>
              </w:rPr>
            </w:pPr>
            <w:r>
              <w:rPr>
                <w:sz w:val="19"/>
              </w:rPr>
              <w:t>31 Aug 1994</w:t>
            </w:r>
          </w:p>
        </w:tc>
        <w:tc>
          <w:tcPr>
            <w:tcW w:w="2558" w:type="dxa"/>
          </w:tcPr>
          <w:p>
            <w:pPr>
              <w:pStyle w:val="nTable"/>
              <w:spacing w:after="40"/>
              <w:rPr>
                <w:sz w:val="19"/>
              </w:rPr>
            </w:pPr>
            <w:r>
              <w:rPr>
                <w:sz w:val="19"/>
              </w:rPr>
              <w:t>31 Aug 1994 (see s. 2)</w:t>
            </w:r>
          </w:p>
        </w:tc>
      </w:tr>
      <w:tr>
        <w:trPr>
          <w:gridAfter w:val="1"/>
          <w:wAfter w:w="9" w:type="dxa"/>
          <w:cantSplit/>
        </w:trPr>
        <w:tc>
          <w:tcPr>
            <w:tcW w:w="2266" w:type="dxa"/>
          </w:tcPr>
          <w:p>
            <w:pPr>
              <w:pStyle w:val="nTable"/>
              <w:spacing w:after="40"/>
              <w:ind w:right="170"/>
              <w:rPr>
                <w:sz w:val="19"/>
              </w:rPr>
            </w:pPr>
            <w:r>
              <w:rPr>
                <w:i/>
                <w:sz w:val="19"/>
              </w:rPr>
              <w:t xml:space="preserve">Trustees Amendment Act 1997 </w:t>
            </w:r>
            <w:r>
              <w:rPr>
                <w:sz w:val="19"/>
              </w:rPr>
              <w:t>Pt. 3</w:t>
            </w:r>
          </w:p>
        </w:tc>
        <w:tc>
          <w:tcPr>
            <w:tcW w:w="1133" w:type="dxa"/>
          </w:tcPr>
          <w:p>
            <w:pPr>
              <w:pStyle w:val="nTable"/>
              <w:spacing w:after="40"/>
              <w:rPr>
                <w:sz w:val="19"/>
              </w:rPr>
            </w:pPr>
            <w:r>
              <w:rPr>
                <w:sz w:val="19"/>
              </w:rPr>
              <w:t>1 of 1997</w:t>
            </w:r>
          </w:p>
        </w:tc>
        <w:tc>
          <w:tcPr>
            <w:tcW w:w="1131" w:type="dxa"/>
          </w:tcPr>
          <w:p>
            <w:pPr>
              <w:pStyle w:val="nTable"/>
              <w:spacing w:after="40"/>
              <w:rPr>
                <w:sz w:val="19"/>
              </w:rPr>
            </w:pPr>
            <w:r>
              <w:rPr>
                <w:sz w:val="19"/>
              </w:rPr>
              <w:t>6 May 1997</w:t>
            </w:r>
          </w:p>
        </w:tc>
        <w:tc>
          <w:tcPr>
            <w:tcW w:w="2558"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9" w:type="dxa"/>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8" w:type="dxa"/>
          </w:tcPr>
          <w:p>
            <w:pPr>
              <w:pStyle w:val="nTable"/>
              <w:spacing w:after="40"/>
              <w:rPr>
                <w:sz w:val="19"/>
              </w:rPr>
            </w:pPr>
            <w:r>
              <w:rPr>
                <w:sz w:val="19"/>
              </w:rPr>
              <w:t>7 Nov 2000</w:t>
            </w:r>
          </w:p>
        </w:tc>
      </w:tr>
      <w:tr>
        <w:trPr>
          <w:gridAfter w:val="1"/>
          <w:wAfter w:w="9" w:type="dxa"/>
          <w:cantSplit/>
        </w:trPr>
        <w:tc>
          <w:tcPr>
            <w:tcW w:w="2266" w:type="dxa"/>
          </w:tcPr>
          <w:p>
            <w:pPr>
              <w:pStyle w:val="nTable"/>
              <w:spacing w:after="40"/>
              <w:ind w:right="170"/>
              <w:rPr>
                <w:sz w:val="19"/>
              </w:rPr>
            </w:pPr>
            <w:r>
              <w:rPr>
                <w:i/>
                <w:sz w:val="19"/>
              </w:rPr>
              <w:t>Trustee Legislation (GST Consequential Amendments) Act 2000</w:t>
            </w:r>
            <w:r>
              <w:rPr>
                <w:sz w:val="19"/>
              </w:rPr>
              <w:t xml:space="preserve"> Pt. 3</w:t>
            </w:r>
          </w:p>
        </w:tc>
        <w:tc>
          <w:tcPr>
            <w:tcW w:w="1133" w:type="dxa"/>
          </w:tcPr>
          <w:p>
            <w:pPr>
              <w:pStyle w:val="nTable"/>
              <w:spacing w:after="40"/>
              <w:rPr>
                <w:sz w:val="19"/>
              </w:rPr>
            </w:pPr>
            <w:r>
              <w:rPr>
                <w:sz w:val="19"/>
              </w:rPr>
              <w:t>67 of 2000</w:t>
            </w:r>
          </w:p>
        </w:tc>
        <w:tc>
          <w:tcPr>
            <w:tcW w:w="1131" w:type="dxa"/>
          </w:tcPr>
          <w:p>
            <w:pPr>
              <w:pStyle w:val="nTable"/>
              <w:spacing w:after="40"/>
              <w:rPr>
                <w:sz w:val="19"/>
              </w:rPr>
            </w:pPr>
            <w:r>
              <w:rPr>
                <w:sz w:val="19"/>
              </w:rPr>
              <w:t>4 Dec 2000</w:t>
            </w:r>
          </w:p>
        </w:tc>
        <w:tc>
          <w:tcPr>
            <w:tcW w:w="2558" w:type="dxa"/>
          </w:tcPr>
          <w:p>
            <w:pPr>
              <w:pStyle w:val="nTable"/>
              <w:spacing w:after="40"/>
              <w:rPr>
                <w:sz w:val="19"/>
              </w:rPr>
            </w:pPr>
            <w:r>
              <w:rPr>
                <w:sz w:val="19"/>
              </w:rPr>
              <w:t>4 Dec 2000 (see s. 2)</w:t>
            </w:r>
          </w:p>
        </w:tc>
      </w:tr>
      <w:tr>
        <w:trPr>
          <w:gridAfter w:val="1"/>
          <w:wAfter w:w="9" w:type="dxa"/>
          <w:cantSplit/>
        </w:trPr>
        <w:tc>
          <w:tcPr>
            <w:tcW w:w="2266" w:type="dxa"/>
          </w:tcPr>
          <w:p>
            <w:pPr>
              <w:pStyle w:val="nTable"/>
              <w:spacing w:after="40"/>
              <w:ind w:right="170"/>
              <w:rPr>
                <w:i/>
                <w:sz w:val="19"/>
              </w:rPr>
            </w:pPr>
            <w:r>
              <w:rPr>
                <w:i/>
                <w:sz w:val="19"/>
              </w:rPr>
              <w:t>Corporations (Consequential Amendments) Act 2001</w:t>
            </w:r>
            <w:r>
              <w:rPr>
                <w:sz w:val="19"/>
              </w:rPr>
              <w:t xml:space="preserve"> Pt. 53</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8" w:type="dxa"/>
          </w:tcPr>
          <w:p>
            <w:pPr>
              <w:pStyle w:val="nTable"/>
              <w:spacing w:after="40"/>
              <w:rPr>
                <w:sz w:val="19"/>
              </w:rPr>
            </w:pPr>
            <w:r>
              <w:rPr>
                <w:sz w:val="19"/>
              </w:rPr>
              <w:t>20 Dec 2002</w:t>
            </w:r>
          </w:p>
        </w:tc>
      </w:tr>
      <w:tr>
        <w:trPr>
          <w:gridAfter w:val="1"/>
          <w:wAfter w:w="9" w:type="dxa"/>
          <w:cantSplit/>
        </w:trPr>
        <w:tc>
          <w:tcPr>
            <w:tcW w:w="2266"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3" w:type="dxa"/>
          </w:tcPr>
          <w:p>
            <w:pPr>
              <w:pStyle w:val="nTable"/>
              <w:spacing w:after="40"/>
              <w:rPr>
                <w:sz w:val="19"/>
              </w:rPr>
            </w:pPr>
            <w:r>
              <w:rPr>
                <w:sz w:val="19"/>
              </w:rPr>
              <w:t xml:space="preserve">18 of 2003 </w:t>
            </w:r>
          </w:p>
        </w:tc>
        <w:tc>
          <w:tcPr>
            <w:tcW w:w="1131" w:type="dxa"/>
          </w:tcPr>
          <w:p>
            <w:pPr>
              <w:pStyle w:val="nTable"/>
              <w:spacing w:after="40"/>
              <w:rPr>
                <w:sz w:val="19"/>
              </w:rPr>
            </w:pPr>
            <w:r>
              <w:rPr>
                <w:sz w:val="19"/>
              </w:rPr>
              <w:t>17 Apr 2003</w:t>
            </w:r>
          </w:p>
        </w:tc>
        <w:tc>
          <w:tcPr>
            <w:tcW w:w="2558"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gridAfter w:val="1"/>
          <w:wAfter w:w="9" w:type="dxa"/>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gridAfter w:val="1"/>
          <w:wAfter w:w="9" w:type="dxa"/>
          <w:cantSplit/>
        </w:trPr>
        <w:tc>
          <w:tcPr>
            <w:tcW w:w="2266"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8"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8" w:type="dxa"/>
          </w:tcPr>
          <w:p>
            <w:pPr>
              <w:pStyle w:val="nTable"/>
              <w:spacing w:after="40"/>
              <w:rPr>
                <w:sz w:val="19"/>
              </w:rPr>
            </w:pPr>
            <w:r>
              <w:rPr>
                <w:sz w:val="19"/>
              </w:rPr>
              <w:t>21 Mar 2006</w:t>
            </w:r>
          </w:p>
        </w:tc>
      </w:tr>
      <w:tr>
        <w:trPr>
          <w:gridAfter w:val="1"/>
          <w:wAfter w:w="9" w:type="dxa"/>
          <w:cantSplit/>
        </w:trPr>
        <w:tc>
          <w:tcPr>
            <w:tcW w:w="2266" w:type="dxa"/>
          </w:tcPr>
          <w:p>
            <w:pPr>
              <w:pStyle w:val="nTable"/>
              <w:spacing w:after="40"/>
              <w:rPr>
                <w:iCs/>
                <w:sz w:val="19"/>
                <w:vertAlign w:val="superscript"/>
              </w:rPr>
            </w:pPr>
            <w:r>
              <w:rPr>
                <w:i/>
                <w:sz w:val="19"/>
              </w:rPr>
              <w:t>Wills Amendment Act 2007</w:t>
            </w:r>
            <w:r>
              <w:rPr>
                <w:iCs/>
                <w:sz w:val="19"/>
              </w:rPr>
              <w:t xml:space="preserve"> s. 25</w:t>
            </w:r>
          </w:p>
        </w:tc>
        <w:tc>
          <w:tcPr>
            <w:tcW w:w="1133" w:type="dxa"/>
          </w:tcPr>
          <w:p>
            <w:pPr>
              <w:pStyle w:val="nTable"/>
              <w:spacing w:after="40"/>
              <w:rPr>
                <w:sz w:val="19"/>
              </w:rPr>
            </w:pPr>
            <w:r>
              <w:rPr>
                <w:snapToGrid w:val="0"/>
                <w:sz w:val="19"/>
                <w:lang w:val="en-US"/>
              </w:rPr>
              <w:t>27 of 2007</w:t>
            </w:r>
          </w:p>
        </w:tc>
        <w:tc>
          <w:tcPr>
            <w:tcW w:w="1131" w:type="dxa"/>
          </w:tcPr>
          <w:p>
            <w:pPr>
              <w:pStyle w:val="nTable"/>
              <w:spacing w:after="40"/>
              <w:rPr>
                <w:sz w:val="19"/>
              </w:rPr>
            </w:pPr>
            <w:r>
              <w:rPr>
                <w:snapToGrid w:val="0"/>
                <w:sz w:val="19"/>
                <w:lang w:val="en-US"/>
              </w:rPr>
              <w:t>26 Oct 2007</w:t>
            </w:r>
          </w:p>
        </w:tc>
        <w:tc>
          <w:tcPr>
            <w:tcW w:w="2558"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gridAfter w:val="1"/>
          <w:wAfter w:w="9" w:type="dxa"/>
          <w:cantSplit/>
        </w:trPr>
        <w:tc>
          <w:tcPr>
            <w:tcW w:w="2266"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9 of 2008</w:t>
            </w:r>
          </w:p>
        </w:tc>
        <w:tc>
          <w:tcPr>
            <w:tcW w:w="1131" w:type="dxa"/>
          </w:tcPr>
          <w:p>
            <w:pPr>
              <w:pStyle w:val="nTable"/>
              <w:spacing w:after="40"/>
              <w:rPr>
                <w:snapToGrid w:val="0"/>
                <w:sz w:val="19"/>
                <w:lang w:val="en-US"/>
              </w:rPr>
            </w:pPr>
            <w:r>
              <w:rPr>
                <w:sz w:val="19"/>
              </w:rPr>
              <w:t>31 Mar 2008</w:t>
            </w:r>
          </w:p>
        </w:tc>
        <w:tc>
          <w:tcPr>
            <w:tcW w:w="2558"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gridAfter w:val="1"/>
          <w:wAfter w:w="9" w:type="dxa"/>
          <w:cantSplit/>
        </w:trPr>
        <w:tc>
          <w:tcPr>
            <w:tcW w:w="7088"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gridAfter w:val="1"/>
          <w:wAfter w:w="9" w:type="dxa"/>
          <w:cantSplit/>
        </w:trPr>
        <w:tc>
          <w:tcPr>
            <w:tcW w:w="4530" w:type="dxa"/>
            <w:gridSpan w:val="3"/>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8" w:type="dxa"/>
          </w:tcPr>
          <w:p>
            <w:pPr>
              <w:pStyle w:val="nTable"/>
              <w:spacing w:after="40"/>
              <w:rPr>
                <w:sz w:val="19"/>
              </w:rPr>
            </w:pPr>
            <w:r>
              <w:rPr>
                <w:sz w:val="19"/>
              </w:rPr>
              <w:t>r. 1 and 2: 12 Feb 2010 (see r. 2(a));</w:t>
            </w:r>
            <w:r>
              <w:rPr>
                <w:sz w:val="19"/>
              </w:rPr>
              <w:br/>
              <w:t>Regulations other than r. 1 and 2: 13 Feb 2010 (see r.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Borders>
              <w:bottom w:val="single" w:sz="4" w:space="0" w:color="auto"/>
            </w:tcBorders>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2</w:t>
            </w:r>
          </w:p>
        </w:tc>
        <w:tc>
          <w:tcPr>
            <w:tcW w:w="1133" w:type="dxa"/>
            <w:tcBorders>
              <w:bottom w:val="single" w:sz="4" w:space="0" w:color="auto"/>
            </w:tcBorders>
          </w:tcPr>
          <w:p>
            <w:pPr>
              <w:pStyle w:val="nTable"/>
              <w:spacing w:after="40"/>
              <w:rPr>
                <w:snapToGrid w:val="0"/>
                <w:sz w:val="19"/>
                <w:lang w:val="en-US"/>
              </w:rPr>
            </w:pPr>
            <w:r>
              <w:rPr>
                <w:snapToGrid w:val="0"/>
                <w:sz w:val="19"/>
                <w:lang w:val="en-US"/>
              </w:rPr>
              <w:t>39 of 2011</w:t>
            </w:r>
          </w:p>
        </w:tc>
        <w:tc>
          <w:tcPr>
            <w:tcW w:w="1131" w:type="dxa"/>
            <w:tcBorders>
              <w:bottom w:val="single" w:sz="4" w:space="0" w:color="auto"/>
            </w:tcBorders>
          </w:tcPr>
          <w:p>
            <w:pPr>
              <w:pStyle w:val="nTable"/>
              <w:spacing w:after="40"/>
              <w:rPr>
                <w:snapToGrid w:val="0"/>
                <w:sz w:val="19"/>
                <w:lang w:val="en-US"/>
              </w:rPr>
            </w:pPr>
            <w:r>
              <w:rPr>
                <w:snapToGrid w:val="0"/>
                <w:sz w:val="19"/>
                <w:lang w:val="en-US"/>
              </w:rPr>
              <w:t>4 Oct 2011</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334" w:name="_Toc310841645"/>
      <w:bookmarkStart w:id="335" w:name="_Toc310844196"/>
      <w:r>
        <w:rPr>
          <w:sz w:val="28"/>
        </w:rPr>
        <w:t>Defined Terms</w:t>
      </w:r>
      <w:bookmarkEnd w:id="334"/>
      <w:bookmarkEnd w:id="3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6" w:name="DefinedTerms"/>
      <w:bookmarkEnd w:id="336"/>
      <w:r>
        <w:t>amending Act</w:t>
      </w:r>
      <w:r>
        <w:tab/>
        <w:t>46</w:t>
      </w:r>
    </w:p>
    <w:p>
      <w:pPr>
        <w:pStyle w:val="DefinedTerms"/>
      </w:pPr>
      <w:r>
        <w:t>amending provision</w:t>
      </w:r>
      <w:r>
        <w:tab/>
        <w:t>48(2)</w:t>
      </w:r>
    </w:p>
    <w:p>
      <w:pPr>
        <w:pStyle w:val="DefinedTerms"/>
      </w:pPr>
      <w:r>
        <w:t>board of directors</w:t>
      </w:r>
      <w:r>
        <w:tab/>
        <w:t>3(1)</w:t>
      </w:r>
    </w:p>
    <w:p>
      <w:pPr>
        <w:pStyle w:val="DefinedTerms"/>
      </w:pPr>
      <w:r>
        <w:t>commencement day</w:t>
      </w:r>
      <w:r>
        <w:tab/>
        <w:t>48(1)</w:t>
      </w:r>
    </w:p>
    <w:p>
      <w:pPr>
        <w:pStyle w:val="DefinedTerms"/>
      </w:pPr>
      <w:r>
        <w:t>Commissioner</w:t>
      </w:r>
      <w:r>
        <w:tab/>
        <w:t>3(1)</w:t>
      </w:r>
    </w:p>
    <w:p>
      <w:pPr>
        <w:pStyle w:val="DefinedTerms"/>
      </w:pPr>
      <w:r>
        <w:t>Commonwealth provision</w:t>
      </w:r>
      <w:r>
        <w:tab/>
        <w:t>48(2)</w:t>
      </w:r>
    </w:p>
    <w:p>
      <w:pPr>
        <w:pStyle w:val="DefinedTerms"/>
      </w:pPr>
      <w:r>
        <w:t>Corporations Act</w:t>
      </w:r>
      <w:r>
        <w:tab/>
        <w:t>3(1)</w:t>
      </w:r>
    </w:p>
    <w:p>
      <w:pPr>
        <w:pStyle w:val="DefinedTerms"/>
      </w:pPr>
      <w:r>
        <w:t>Court</w:t>
      </w:r>
      <w:r>
        <w:tab/>
        <w:t>3(1)</w:t>
      </w:r>
    </w:p>
    <w:p>
      <w:pPr>
        <w:pStyle w:val="DefinedTerms"/>
      </w:pPr>
      <w:r>
        <w:t>estate</w:t>
      </w:r>
      <w:r>
        <w:tab/>
        <w:t>3(1)</w:t>
      </w:r>
    </w:p>
    <w:p>
      <w:pPr>
        <w:pStyle w:val="DefinedTerms"/>
      </w:pPr>
      <w:r>
        <w:t>gazettal day</w:t>
      </w:r>
      <w:r>
        <w:tab/>
        <w:t>48(1)</w:t>
      </w:r>
    </w:p>
    <w:p>
      <w:pPr>
        <w:pStyle w:val="DefinedTerms"/>
      </w:pPr>
      <w:r>
        <w:t>officer</w:t>
      </w:r>
      <w:r>
        <w:tab/>
        <w:t>44(2)</w:t>
      </w:r>
    </w:p>
    <w:p>
      <w:pPr>
        <w:pStyle w:val="DefinedTerms"/>
      </w:pPr>
      <w:r>
        <w:t>operative day</w:t>
      </w:r>
      <w:r>
        <w:tab/>
        <w:t>48(3)</w:t>
      </w:r>
    </w:p>
    <w:p>
      <w:pPr>
        <w:pStyle w:val="DefinedTerms"/>
      </w:pPr>
      <w:r>
        <w:t>receiving company</w:t>
      </w:r>
      <w:r>
        <w:tab/>
        <w:t>29(2), 33(1)</w:t>
      </w:r>
    </w:p>
    <w:p>
      <w:pPr>
        <w:pStyle w:val="DefinedTerms"/>
      </w:pPr>
      <w:r>
        <w:t>Schedule 1 trustee company</w:t>
      </w:r>
      <w:r>
        <w:tab/>
        <w:t>47(1)</w:t>
      </w:r>
    </w:p>
    <w:p>
      <w:pPr>
        <w:pStyle w:val="DefinedTerms"/>
      </w:pPr>
      <w:r>
        <w:t>State tax</w:t>
      </w:r>
      <w:r>
        <w:tab/>
        <w:t>32(1)</w:t>
      </w:r>
    </w:p>
    <w:p>
      <w:pPr>
        <w:pStyle w:val="DefinedTerms"/>
      </w:pPr>
      <w:r>
        <w:t>transferring company</w:t>
      </w:r>
      <w:r>
        <w:tab/>
        <w:t>29(2), 33(1)</w:t>
      </w:r>
    </w:p>
    <w:p>
      <w:pPr>
        <w:pStyle w:val="DefinedTerms"/>
      </w:pPr>
      <w:r>
        <w:t>transitional matter</w:t>
      </w:r>
      <w:r>
        <w:tab/>
        <w:t>48(1)</w:t>
      </w:r>
    </w:p>
    <w:p>
      <w:pPr>
        <w:pStyle w:val="DefinedTerms"/>
      </w:pPr>
      <w:r>
        <w:t>transitional regulations</w:t>
      </w:r>
      <w:r>
        <w:tab/>
        <w:t>48(1)</w:t>
      </w:r>
    </w:p>
    <w:p>
      <w:pPr>
        <w:pStyle w:val="DefinedTerms"/>
      </w:pPr>
      <w:r>
        <w:t>Treasurer</w:t>
      </w:r>
      <w:r>
        <w:tab/>
        <w:t>3(1)</w:t>
      </w:r>
    </w:p>
    <w:p>
      <w:pPr>
        <w:pStyle w:val="DefinedTerms"/>
      </w:pPr>
      <w:r>
        <w:t>trustee company</w:t>
      </w:r>
      <w:r>
        <w:tab/>
        <w:t>3(1)</w:t>
      </w:r>
    </w:p>
    <w:p>
      <w:pPr>
        <w:pStyle w:val="DefinedTerms"/>
      </w:pPr>
      <w:r>
        <w:t>will</w:t>
      </w:r>
      <w:r>
        <w:tab/>
        <w:t>3(1)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0864402"/>
    <w:multiLevelType w:val="hybridMultilevel"/>
    <w:tmpl w:val="813097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4717">
      <w:bodyDiv w:val="1"/>
      <w:marLeft w:val="0"/>
      <w:marRight w:val="0"/>
      <w:marTop w:val="0"/>
      <w:marBottom w:val="0"/>
      <w:divBdr>
        <w:top w:val="none" w:sz="0" w:space="0" w:color="auto"/>
        <w:left w:val="none" w:sz="0" w:space="0" w:color="auto"/>
        <w:bottom w:val="none" w:sz="0" w:space="0" w:color="auto"/>
        <w:right w:val="none" w:sz="0" w:space="0" w:color="auto"/>
      </w:divBdr>
    </w:div>
    <w:div w:id="14766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7083</Words>
  <Characters>34426</Characters>
  <Application>Microsoft Office Word</Application>
  <DocSecurity>0</DocSecurity>
  <Lines>956</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1987 - 03-f0-03</dc:title>
  <dc:subject/>
  <dc:creator/>
  <cp:keywords/>
  <dc:description/>
  <cp:lastModifiedBy>svcMRProcess</cp:lastModifiedBy>
  <cp:revision>4</cp:revision>
  <cp:lastPrinted>2011-12-05T01:45:00Z</cp:lastPrinted>
  <dcterms:created xsi:type="dcterms:W3CDTF">2018-09-09T08:26:00Z</dcterms:created>
  <dcterms:modified xsi:type="dcterms:W3CDTF">2018-09-09T08:26:00Z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20111126</vt:lpwstr>
  </property>
  <property fmtid="{D5CDD505-2E9C-101B-9397-08002B2CF9AE}" pid="4" name="DocumentType">
    <vt:lpwstr>Act</vt:lpwstr>
  </property>
  <property fmtid="{D5CDD505-2E9C-101B-9397-08002B2CF9AE}" pid="5" name="OwlsUID">
    <vt:i4>832</vt:i4>
  </property>
  <property fmtid="{D5CDD505-2E9C-101B-9397-08002B2CF9AE}" pid="6" name="AsAtDate">
    <vt:lpwstr>26 Nov 2011</vt:lpwstr>
  </property>
  <property fmtid="{D5CDD505-2E9C-101B-9397-08002B2CF9AE}" pid="7" name="Suffix">
    <vt:lpwstr>03-f0-03</vt:lpwstr>
  </property>
  <property fmtid="{D5CDD505-2E9C-101B-9397-08002B2CF9AE}" pid="8" name="ReprintNo">
    <vt:lpwstr>3</vt:lpwstr>
  </property>
</Properties>
</file>