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_Toc310410947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_Toc310410948 \h </w:instrText>
      </w:r>
      <w:r>
        <w:fldChar w:fldCharType="separate"/>
      </w:r>
      <w:r>
        <w:t>1</w:t>
      </w:r>
      <w:r>
        <w:fldChar w:fldCharType="end"/>
      </w:r>
    </w:p>
    <w:p>
      <w:pPr>
        <w:pStyle w:val="TOC8"/>
        <w:rPr>
          <w:sz w:val="24"/>
          <w:szCs w:val="24"/>
          <w:lang w:val="en-US"/>
        </w:rPr>
      </w:pPr>
      <w:r>
        <w:t>2A.</w:t>
      </w:r>
      <w:r>
        <w:tab/>
        <w:t>Terms used</w:t>
      </w:r>
      <w:r>
        <w:tab/>
      </w:r>
      <w:r>
        <w:fldChar w:fldCharType="begin"/>
      </w:r>
      <w:r>
        <w:instrText xml:space="preserve"> PAGEREF _Toc310410949 \h </w:instrText>
      </w:r>
      <w:r>
        <w:fldChar w:fldCharType="separate"/>
      </w:r>
      <w:r>
        <w:t>1</w:t>
      </w:r>
      <w:r>
        <w:fldChar w:fldCharType="end"/>
      </w:r>
    </w:p>
    <w:p>
      <w:pPr>
        <w:pStyle w:val="TOC8"/>
        <w:rPr>
          <w:sz w:val="24"/>
          <w:szCs w:val="24"/>
          <w:lang w:val="en-US"/>
        </w:rPr>
      </w:pPr>
      <w:r>
        <w:t>3</w:t>
      </w:r>
      <w:r>
        <w:rPr>
          <w:snapToGrid w:val="0"/>
        </w:rPr>
        <w:t>.</w:t>
      </w:r>
      <w:r>
        <w:rPr>
          <w:snapToGrid w:val="0"/>
        </w:rPr>
        <w:tab/>
        <w:t>Fares and charges</w:t>
      </w:r>
      <w:r>
        <w:tab/>
      </w:r>
      <w:r>
        <w:fldChar w:fldCharType="begin"/>
      </w:r>
      <w:r>
        <w:instrText xml:space="preserve"> PAGEREF _Toc310410950 \h </w:instrText>
      </w:r>
      <w:r>
        <w:fldChar w:fldCharType="separate"/>
      </w:r>
      <w:r>
        <w:t>1</w:t>
      </w:r>
      <w:r>
        <w:fldChar w:fldCharType="end"/>
      </w:r>
    </w:p>
    <w:p>
      <w:pPr>
        <w:pStyle w:val="TOC8"/>
        <w:rPr>
          <w:sz w:val="24"/>
          <w:szCs w:val="24"/>
          <w:lang w:val="en-US"/>
        </w:rPr>
      </w:pPr>
      <w:r>
        <w:t>4</w:t>
      </w:r>
      <w:r>
        <w:rPr>
          <w:snapToGrid w:val="0"/>
        </w:rPr>
        <w:t>.</w:t>
      </w:r>
      <w:r>
        <w:rPr>
          <w:snapToGrid w:val="0"/>
        </w:rPr>
        <w:tab/>
        <w:t>Evasion of fares and charges</w:t>
      </w:r>
      <w:r>
        <w:tab/>
      </w:r>
      <w:r>
        <w:fldChar w:fldCharType="begin"/>
      </w:r>
      <w:r>
        <w:instrText xml:space="preserve"> PAGEREF _Toc310410951 \h </w:instrText>
      </w:r>
      <w:r>
        <w:fldChar w:fldCharType="separate"/>
      </w:r>
      <w:r>
        <w:t>3</w:t>
      </w:r>
      <w:r>
        <w:fldChar w:fldCharType="end"/>
      </w:r>
    </w:p>
    <w:p>
      <w:pPr>
        <w:pStyle w:val="TOC8"/>
        <w:rPr>
          <w:sz w:val="24"/>
          <w:szCs w:val="24"/>
          <w:lang w:val="en-US"/>
        </w:rPr>
      </w:pPr>
      <w:r>
        <w:t>4A.</w:t>
      </w:r>
      <w:r>
        <w:tab/>
        <w:t>Driver may require a deposit</w:t>
      </w:r>
      <w:r>
        <w:tab/>
      </w:r>
      <w:r>
        <w:fldChar w:fldCharType="begin"/>
      </w:r>
      <w:r>
        <w:instrText xml:space="preserve"> PAGEREF _Toc310410952 \h </w:instrText>
      </w:r>
      <w:r>
        <w:fldChar w:fldCharType="separate"/>
      </w:r>
      <w:r>
        <w:t>3</w:t>
      </w:r>
      <w:r>
        <w:fldChar w:fldCharType="end"/>
      </w:r>
    </w:p>
    <w:p>
      <w:pPr>
        <w:pStyle w:val="TOC8"/>
        <w:rPr>
          <w:sz w:val="24"/>
          <w:szCs w:val="24"/>
          <w:lang w:val="en-US"/>
        </w:rPr>
      </w:pPr>
      <w:r>
        <w:t>5</w:t>
      </w:r>
      <w:r>
        <w:rPr>
          <w:snapToGrid w:val="0"/>
        </w:rPr>
        <w:t>.</w:t>
      </w:r>
      <w:r>
        <w:rPr>
          <w:snapToGrid w:val="0"/>
        </w:rPr>
        <w:tab/>
        <w:t>Separate fares</w:t>
      </w:r>
      <w:r>
        <w:tab/>
      </w:r>
      <w:r>
        <w:fldChar w:fldCharType="begin"/>
      </w:r>
      <w:r>
        <w:instrText xml:space="preserve"> PAGEREF _Toc310410953 \h </w:instrText>
      </w:r>
      <w:r>
        <w:fldChar w:fldCharType="separate"/>
      </w:r>
      <w:r>
        <w:t>3</w:t>
      </w:r>
      <w:r>
        <w:fldChar w:fldCharType="end"/>
      </w:r>
    </w:p>
    <w:p>
      <w:pPr>
        <w:pStyle w:val="TOC8"/>
        <w:rPr>
          <w:sz w:val="24"/>
          <w:szCs w:val="24"/>
          <w:lang w:val="en-US"/>
        </w:rPr>
      </w:pPr>
      <w:r>
        <w:t>6</w:t>
      </w:r>
      <w:r>
        <w:rPr>
          <w:snapToGrid w:val="0"/>
        </w:rPr>
        <w:t>.</w:t>
      </w:r>
      <w:r>
        <w:rPr>
          <w:snapToGrid w:val="0"/>
        </w:rPr>
        <w:tab/>
        <w:t>Fare schedule card</w:t>
      </w:r>
      <w:r>
        <w:tab/>
      </w:r>
      <w:r>
        <w:fldChar w:fldCharType="begin"/>
      </w:r>
      <w:r>
        <w:instrText xml:space="preserve"> PAGEREF _Toc310410954 \h </w:instrText>
      </w:r>
      <w:r>
        <w:fldChar w:fldCharType="separate"/>
      </w:r>
      <w:r>
        <w:t>4</w:t>
      </w:r>
      <w:r>
        <w:fldChar w:fldCharType="end"/>
      </w:r>
    </w:p>
    <w:p>
      <w:pPr>
        <w:pStyle w:val="TOC8"/>
        <w:rPr>
          <w:sz w:val="24"/>
          <w:szCs w:val="24"/>
          <w:lang w:val="en-US"/>
        </w:rPr>
      </w:pPr>
      <w:r>
        <w:t>7</w:t>
      </w:r>
      <w:r>
        <w:rPr>
          <w:snapToGrid w:val="0"/>
        </w:rPr>
        <w:t>.</w:t>
      </w:r>
      <w:r>
        <w:rPr>
          <w:snapToGrid w:val="0"/>
        </w:rPr>
        <w:tab/>
        <w:t>Offences</w:t>
      </w:r>
      <w:r>
        <w:tab/>
      </w:r>
      <w:r>
        <w:fldChar w:fldCharType="begin"/>
      </w:r>
      <w:r>
        <w:instrText xml:space="preserve"> PAGEREF _Toc310410955 \h </w:instrText>
      </w:r>
      <w:r>
        <w:fldChar w:fldCharType="separate"/>
      </w:r>
      <w:r>
        <w:t>4</w:t>
      </w:r>
      <w:r>
        <w:fldChar w:fldCharType="end"/>
      </w:r>
    </w:p>
    <w:p>
      <w:pPr>
        <w:pStyle w:val="TOC8"/>
        <w:rPr>
          <w:sz w:val="24"/>
          <w:szCs w:val="24"/>
          <w:lang w:val="en-US"/>
        </w:rPr>
      </w:pPr>
      <w:r>
        <w:t>7A.</w:t>
      </w:r>
      <w:r>
        <w:tab/>
        <w:t>Infringement notices and modified penalties</w:t>
      </w:r>
      <w:r>
        <w:tab/>
      </w:r>
      <w:r>
        <w:fldChar w:fldCharType="begin"/>
      </w:r>
      <w:r>
        <w:instrText xml:space="preserve"> PAGEREF _Toc310410956 \h </w:instrText>
      </w:r>
      <w:r>
        <w:fldChar w:fldCharType="separate"/>
      </w:r>
      <w:r>
        <w:t>4</w:t>
      </w:r>
      <w:r>
        <w:fldChar w:fldCharType="end"/>
      </w:r>
    </w:p>
    <w:p>
      <w:pPr>
        <w:pStyle w:val="TOC2"/>
        <w:tabs>
          <w:tab w:val="right" w:leader="dot" w:pos="7086"/>
        </w:tabs>
        <w:rPr>
          <w:b w:val="0"/>
          <w:sz w:val="24"/>
          <w:szCs w:val="24"/>
          <w:lang w:val="en-US"/>
        </w:rPr>
      </w:pPr>
      <w:r>
        <w:t>Schedule 1 — Fees and charges</w:t>
      </w:r>
    </w:p>
    <w:p>
      <w:pPr>
        <w:pStyle w:val="TOC4"/>
        <w:tabs>
          <w:tab w:val="right" w:leader="dot" w:pos="7086"/>
        </w:tabs>
        <w:rPr>
          <w:b w:val="0"/>
          <w:sz w:val="24"/>
          <w:szCs w:val="24"/>
          <w:lang w:val="en-US"/>
        </w:rPr>
      </w:pPr>
      <w:r>
        <w:t>Division 1 — Goldfields region</w:t>
      </w:r>
    </w:p>
    <w:p>
      <w:pPr>
        <w:pStyle w:val="TOC8"/>
        <w:rPr>
          <w:sz w:val="24"/>
          <w:szCs w:val="24"/>
          <w:lang w:val="en-US"/>
        </w:rPr>
      </w:pPr>
      <w:r>
        <w:tab/>
        <w:t>Brief description</w:t>
      </w:r>
      <w:r>
        <w:tab/>
      </w:r>
      <w:r>
        <w:fldChar w:fldCharType="begin"/>
      </w:r>
      <w:r>
        <w:instrText xml:space="preserve"> PAGEREF _Toc310410959 \h </w:instrText>
      </w:r>
      <w:r>
        <w:fldChar w:fldCharType="separate"/>
      </w:r>
      <w:r>
        <w:t>5</w:t>
      </w:r>
      <w:r>
        <w:fldChar w:fldCharType="end"/>
      </w:r>
    </w:p>
    <w:p>
      <w:pPr>
        <w:pStyle w:val="TOC8"/>
        <w:rPr>
          <w:sz w:val="24"/>
          <w:szCs w:val="24"/>
          <w:lang w:val="en-US"/>
        </w:rPr>
      </w:pPr>
      <w:r>
        <w:tab/>
        <w:t>Major towns</w:t>
      </w:r>
      <w:r>
        <w:tab/>
      </w:r>
      <w:r>
        <w:fldChar w:fldCharType="begin"/>
      </w:r>
      <w:r>
        <w:instrText xml:space="preserve"> PAGEREF _Toc310410960 \h </w:instrText>
      </w:r>
      <w:r>
        <w:fldChar w:fldCharType="separate"/>
      </w:r>
      <w:r>
        <w:t>5</w:t>
      </w:r>
      <w:r>
        <w:fldChar w:fldCharType="end"/>
      </w:r>
    </w:p>
    <w:p>
      <w:pPr>
        <w:pStyle w:val="TOC4"/>
        <w:tabs>
          <w:tab w:val="right" w:leader="dot" w:pos="7086"/>
        </w:tabs>
        <w:rPr>
          <w:b w:val="0"/>
          <w:sz w:val="24"/>
          <w:szCs w:val="24"/>
          <w:lang w:val="en-US"/>
        </w:rPr>
      </w:pPr>
      <w:r>
        <w:t>Division 2 — Kalbarri region</w:t>
      </w:r>
    </w:p>
    <w:p>
      <w:pPr>
        <w:pStyle w:val="TOC8"/>
        <w:rPr>
          <w:sz w:val="24"/>
          <w:szCs w:val="24"/>
          <w:lang w:val="en-US"/>
        </w:rPr>
      </w:pPr>
      <w:r>
        <w:tab/>
        <w:t>Brief description</w:t>
      </w:r>
      <w:r>
        <w:tab/>
      </w:r>
      <w:r>
        <w:fldChar w:fldCharType="begin"/>
      </w:r>
      <w:r>
        <w:instrText xml:space="preserve"> PAGEREF _Toc310410962 \h </w:instrText>
      </w:r>
      <w:r>
        <w:fldChar w:fldCharType="separate"/>
      </w:r>
      <w:r>
        <w:t>7</w:t>
      </w:r>
      <w:r>
        <w:fldChar w:fldCharType="end"/>
      </w:r>
    </w:p>
    <w:p>
      <w:pPr>
        <w:pStyle w:val="TOC8"/>
        <w:rPr>
          <w:sz w:val="24"/>
          <w:szCs w:val="24"/>
          <w:lang w:val="en-US"/>
        </w:rPr>
      </w:pPr>
      <w:r>
        <w:tab/>
        <w:t>Town</w:t>
      </w:r>
      <w:r>
        <w:tab/>
      </w:r>
      <w:r>
        <w:fldChar w:fldCharType="begin"/>
      </w:r>
      <w:r>
        <w:instrText xml:space="preserve"> PAGEREF _Toc310410963 \h </w:instrText>
      </w:r>
      <w:r>
        <w:fldChar w:fldCharType="separate"/>
      </w:r>
      <w:r>
        <w:t>7</w:t>
      </w:r>
      <w:r>
        <w:fldChar w:fldCharType="end"/>
      </w:r>
    </w:p>
    <w:p>
      <w:pPr>
        <w:pStyle w:val="TOC4"/>
        <w:tabs>
          <w:tab w:val="right" w:leader="dot" w:pos="7086"/>
        </w:tabs>
        <w:rPr>
          <w:b w:val="0"/>
          <w:sz w:val="24"/>
          <w:szCs w:val="24"/>
          <w:lang w:val="en-US"/>
        </w:rPr>
      </w:pPr>
      <w:r>
        <w:t>Division 3 — Kimberley region</w:t>
      </w:r>
    </w:p>
    <w:p>
      <w:pPr>
        <w:pStyle w:val="TOC8"/>
        <w:rPr>
          <w:sz w:val="24"/>
          <w:szCs w:val="24"/>
          <w:lang w:val="en-US"/>
        </w:rPr>
      </w:pPr>
      <w:r>
        <w:tab/>
        <w:t>Brief description</w:t>
      </w:r>
      <w:r>
        <w:tab/>
      </w:r>
      <w:r>
        <w:fldChar w:fldCharType="begin"/>
      </w:r>
      <w:r>
        <w:instrText xml:space="preserve"> PAGEREF _Toc310410965 \h </w:instrText>
      </w:r>
      <w:r>
        <w:fldChar w:fldCharType="separate"/>
      </w:r>
      <w:r>
        <w:t>9</w:t>
      </w:r>
      <w:r>
        <w:fldChar w:fldCharType="end"/>
      </w:r>
    </w:p>
    <w:p>
      <w:pPr>
        <w:pStyle w:val="TOC8"/>
        <w:rPr>
          <w:sz w:val="24"/>
          <w:szCs w:val="24"/>
          <w:lang w:val="en-US"/>
        </w:rPr>
      </w:pPr>
      <w:r>
        <w:tab/>
        <w:t>Major towns</w:t>
      </w:r>
      <w:r>
        <w:tab/>
      </w:r>
      <w:r>
        <w:fldChar w:fldCharType="begin"/>
      </w:r>
      <w:r>
        <w:instrText xml:space="preserve"> PAGEREF _Toc310410966 \h </w:instrText>
      </w:r>
      <w:r>
        <w:fldChar w:fldCharType="separate"/>
      </w:r>
      <w:r>
        <w:t>9</w:t>
      </w:r>
      <w:r>
        <w:fldChar w:fldCharType="end"/>
      </w:r>
    </w:p>
    <w:p>
      <w:pPr>
        <w:pStyle w:val="TOC4"/>
        <w:tabs>
          <w:tab w:val="right" w:leader="dot" w:pos="7086"/>
        </w:tabs>
        <w:rPr>
          <w:b w:val="0"/>
          <w:sz w:val="24"/>
          <w:szCs w:val="24"/>
          <w:lang w:val="en-US"/>
        </w:rPr>
      </w:pPr>
      <w:r>
        <w:t>Division 4 — Mid</w:t>
      </w:r>
      <w:r>
        <w:noBreakHyphen/>
        <w:t>west region</w:t>
      </w:r>
    </w:p>
    <w:p>
      <w:pPr>
        <w:pStyle w:val="TOC8"/>
        <w:rPr>
          <w:sz w:val="24"/>
          <w:szCs w:val="24"/>
          <w:lang w:val="en-US"/>
        </w:rPr>
      </w:pPr>
      <w:r>
        <w:tab/>
        <w:t>Brief description</w:t>
      </w:r>
      <w:r>
        <w:tab/>
      </w:r>
      <w:r>
        <w:fldChar w:fldCharType="begin"/>
      </w:r>
      <w:r>
        <w:instrText xml:space="preserve"> PAGEREF _Toc310410968 \h </w:instrText>
      </w:r>
      <w:r>
        <w:fldChar w:fldCharType="separate"/>
      </w:r>
      <w:r>
        <w:t>11</w:t>
      </w:r>
      <w:r>
        <w:fldChar w:fldCharType="end"/>
      </w:r>
    </w:p>
    <w:p>
      <w:pPr>
        <w:pStyle w:val="TOC8"/>
        <w:rPr>
          <w:sz w:val="24"/>
          <w:szCs w:val="24"/>
          <w:lang w:val="en-US"/>
        </w:rPr>
      </w:pPr>
      <w:r>
        <w:tab/>
        <w:t>Major towns/cities</w:t>
      </w:r>
      <w:r>
        <w:tab/>
      </w:r>
      <w:r>
        <w:fldChar w:fldCharType="begin"/>
      </w:r>
      <w:r>
        <w:instrText xml:space="preserve"> PAGEREF _Toc310410969 \h </w:instrText>
      </w:r>
      <w:r>
        <w:fldChar w:fldCharType="separate"/>
      </w:r>
      <w:r>
        <w:t>11</w:t>
      </w:r>
      <w:r>
        <w:fldChar w:fldCharType="end"/>
      </w:r>
    </w:p>
    <w:p>
      <w:pPr>
        <w:pStyle w:val="TOC4"/>
        <w:tabs>
          <w:tab w:val="right" w:leader="dot" w:pos="7086"/>
        </w:tabs>
        <w:rPr>
          <w:b w:val="0"/>
          <w:sz w:val="24"/>
          <w:szCs w:val="24"/>
          <w:lang w:val="en-US"/>
        </w:rPr>
      </w:pPr>
      <w:r>
        <w:t>Division 5 — Pilbara region</w:t>
      </w:r>
    </w:p>
    <w:p>
      <w:pPr>
        <w:pStyle w:val="TOC8"/>
        <w:rPr>
          <w:sz w:val="24"/>
          <w:szCs w:val="24"/>
          <w:lang w:val="en-US"/>
        </w:rPr>
      </w:pPr>
      <w:r>
        <w:tab/>
        <w:t>Brief description</w:t>
      </w:r>
      <w:r>
        <w:tab/>
      </w:r>
      <w:r>
        <w:fldChar w:fldCharType="begin"/>
      </w:r>
      <w:r>
        <w:instrText xml:space="preserve"> PAGEREF _Toc310410971 \h </w:instrText>
      </w:r>
      <w:r>
        <w:fldChar w:fldCharType="separate"/>
      </w:r>
      <w:r>
        <w:t>13</w:t>
      </w:r>
      <w:r>
        <w:fldChar w:fldCharType="end"/>
      </w:r>
    </w:p>
    <w:p>
      <w:pPr>
        <w:pStyle w:val="TOC8"/>
        <w:rPr>
          <w:sz w:val="24"/>
          <w:szCs w:val="24"/>
          <w:lang w:val="en-US"/>
        </w:rPr>
      </w:pPr>
      <w:r>
        <w:tab/>
        <w:t>Major towns</w:t>
      </w:r>
      <w:r>
        <w:tab/>
      </w:r>
      <w:r>
        <w:fldChar w:fldCharType="begin"/>
      </w:r>
      <w:r>
        <w:instrText xml:space="preserve"> PAGEREF _Toc310410972 \h </w:instrText>
      </w:r>
      <w:r>
        <w:fldChar w:fldCharType="separate"/>
      </w:r>
      <w:r>
        <w:t>13</w:t>
      </w:r>
      <w:r>
        <w:fldChar w:fldCharType="end"/>
      </w:r>
    </w:p>
    <w:p>
      <w:pPr>
        <w:pStyle w:val="TOC4"/>
        <w:tabs>
          <w:tab w:val="right" w:leader="dot" w:pos="7086"/>
        </w:tabs>
        <w:rPr>
          <w:b w:val="0"/>
          <w:sz w:val="24"/>
          <w:szCs w:val="24"/>
          <w:lang w:val="en-US"/>
        </w:rPr>
      </w:pPr>
      <w:r>
        <w:t>Division 6 — South</w:t>
      </w:r>
      <w:r>
        <w:noBreakHyphen/>
        <w:t>west region</w:t>
      </w:r>
    </w:p>
    <w:p>
      <w:pPr>
        <w:pStyle w:val="TOC8"/>
        <w:rPr>
          <w:sz w:val="24"/>
          <w:szCs w:val="24"/>
          <w:lang w:val="en-US"/>
        </w:rPr>
      </w:pPr>
      <w:r>
        <w:tab/>
        <w:t>Brief description</w:t>
      </w:r>
      <w:r>
        <w:tab/>
      </w:r>
      <w:r>
        <w:fldChar w:fldCharType="begin"/>
      </w:r>
      <w:r>
        <w:instrText xml:space="preserve"> PAGEREF _Toc310410974 \h </w:instrText>
      </w:r>
      <w:r>
        <w:fldChar w:fldCharType="separate"/>
      </w:r>
      <w:r>
        <w:t>15</w:t>
      </w:r>
      <w:r>
        <w:fldChar w:fldCharType="end"/>
      </w:r>
    </w:p>
    <w:p>
      <w:pPr>
        <w:pStyle w:val="TOC8"/>
        <w:rPr>
          <w:sz w:val="24"/>
          <w:szCs w:val="24"/>
          <w:lang w:val="en-US"/>
        </w:rPr>
      </w:pPr>
      <w:r>
        <w:tab/>
        <w:t>Major towns/cities</w:t>
      </w:r>
      <w:r>
        <w:tab/>
      </w:r>
      <w:r>
        <w:fldChar w:fldCharType="begin"/>
      </w:r>
      <w:r>
        <w:instrText xml:space="preserve"> PAGEREF _Toc310410975 \h </w:instrText>
      </w:r>
      <w:r>
        <w:fldChar w:fldCharType="separate"/>
      </w:r>
      <w:r>
        <w:t>15</w:t>
      </w:r>
      <w:r>
        <w:fldChar w:fldCharType="end"/>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_Toc310410979 \h </w:instrText>
      </w:r>
      <w:r>
        <w:fldChar w:fldCharType="separate"/>
      </w:r>
      <w:r>
        <w:t>24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310410947"/>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310410948"/>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310410949"/>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310410950"/>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310410951"/>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310410952"/>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310410953"/>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310410954"/>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310410955"/>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310410956"/>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pPr>
      <w:r>
        <w:t>[</w:t>
      </w:r>
      <w:r>
        <w:rPr>
          <w:b/>
          <w:bCs/>
        </w:rPr>
        <w:t>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310410957"/>
      <w:bookmarkStart w:id="73" w:name="_Toc140635263"/>
      <w:bookmarkStart w:id="74"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bookmarkEnd w:id="72"/>
    </w:p>
    <w:p>
      <w:pPr>
        <w:pStyle w:val="yShoulderClause"/>
      </w:pPr>
      <w:r>
        <w:t>[r. 3]</w:t>
      </w:r>
    </w:p>
    <w:p>
      <w:pPr>
        <w:pStyle w:val="yFootnoteheading"/>
      </w:pPr>
      <w:r>
        <w:tab/>
        <w:t>[Heading inserted in Gazette 21 Dec 2007 p. 6330.]</w:t>
      </w:r>
    </w:p>
    <w:p>
      <w:pPr>
        <w:pStyle w:val="yHeading3"/>
      </w:pPr>
      <w:bookmarkStart w:id="75" w:name="_Toc253404779"/>
      <w:bookmarkStart w:id="76" w:name="_Toc310410958"/>
      <w:r>
        <w:rPr>
          <w:rStyle w:val="CharSDivNo"/>
        </w:rPr>
        <w:t>Division 1</w:t>
      </w:r>
      <w:r>
        <w:t> — </w:t>
      </w:r>
      <w:r>
        <w:rPr>
          <w:rStyle w:val="CharSDivText"/>
        </w:rPr>
        <w:t>Goldfields region</w:t>
      </w:r>
      <w:bookmarkEnd w:id="75"/>
      <w:bookmarkEnd w:id="76"/>
    </w:p>
    <w:p>
      <w:pPr>
        <w:pStyle w:val="yFootnoteheading"/>
      </w:pPr>
      <w:r>
        <w:tab/>
        <w:t>[Heading inserted in Gazette 9 Feb 2010 p. 272.]</w:t>
      </w:r>
    </w:p>
    <w:p>
      <w:pPr>
        <w:pStyle w:val="yHeading5"/>
      </w:pPr>
      <w:bookmarkStart w:id="77" w:name="_Toc310410959"/>
      <w:r>
        <w:tab/>
        <w:t>Brief description</w:t>
      </w:r>
      <w:bookmarkEnd w:id="77"/>
    </w:p>
    <w:p>
      <w:pPr>
        <w:pStyle w:val="ySubsection"/>
      </w:pPr>
      <w:r>
        <w:tab/>
      </w:r>
      <w:r>
        <w:tab/>
        <w:t>Includes all towns south of the Mid</w:t>
      </w:r>
      <w:r>
        <w:noBreakHyphen/>
        <w:t>west region’s southern border, other than the Metropolitan area and the South</w:t>
      </w:r>
      <w:r>
        <w:noBreakHyphen/>
        <w:t xml:space="preserve">west region.  The western border abuts the eastern edge of the Metropolitan taxi area, then curves east above Narrogin towards Norseman, and then turns south to midway between </w:t>
      </w:r>
      <w:smartTag w:uri="urn:schemas-microsoft-com:office:smarttags" w:element="City">
        <w:smartTag w:uri="urn:schemas-microsoft-com:office:smarttags" w:element="place">
          <w:r>
            <w:t>Albany</w:t>
          </w:r>
        </w:smartTag>
      </w:smartTag>
      <w:r>
        <w:t xml:space="preserve"> and Esperance (</w:t>
      </w:r>
      <w:r>
        <w:rPr>
          <w:iCs/>
        </w:rPr>
        <w:t>see map</w:t>
      </w:r>
      <w:r>
        <w:t>).</w:t>
      </w:r>
    </w:p>
    <w:p>
      <w:pPr>
        <w:pStyle w:val="yHeading5"/>
      </w:pPr>
      <w:bookmarkStart w:id="78" w:name="_Toc310410960"/>
      <w:r>
        <w:tab/>
        <w:t>Major towns</w:t>
      </w:r>
      <w:bookmarkEnd w:id="78"/>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r>
      <w:smartTag w:uri="urn:schemas-microsoft-com:office:smarttags" w:element="City">
        <w:r>
          <w:t>Kalgoorlie</w:t>
        </w:r>
      </w:smartTag>
      <w:r>
        <w:t xml:space="preserve"> &amp; </w:t>
      </w:r>
      <w:smartTag w:uri="urn:schemas-microsoft-com:office:smarttags" w:element="City">
        <w:smartTag w:uri="urn:schemas-microsoft-com:office:smarttags" w:element="place">
          <w:r>
            <w:t>Boulder</w:t>
          </w:r>
        </w:smartTag>
      </w:smartTag>
      <w:r>
        <w:t>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 xml:space="preserve">York — (Shire of </w:t>
      </w:r>
      <w:smartTag w:uri="urn:schemas-microsoft-com:office:smarttags" w:element="City">
        <w:smartTag w:uri="urn:schemas-microsoft-com:office:smarttags" w:element="place">
          <w:r>
            <w:t>York</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$3.90</w:t>
            </w:r>
          </w:p>
        </w:tc>
        <w:tc>
          <w:tcPr>
            <w:tcW w:w="1551" w:type="dxa"/>
            <w:tcBorders>
              <w:top w:val="single" w:sz="4" w:space="0" w:color="auto"/>
            </w:tcBorders>
          </w:tcPr>
          <w:p>
            <w:pPr>
              <w:pStyle w:val="yTableNAm"/>
            </w:pPr>
          </w:p>
          <w:p>
            <w:pPr>
              <w:pStyle w:val="yTableNAm"/>
            </w:pPr>
            <w:r>
              <w:br/>
            </w:r>
            <w:r>
              <w:rPr>
                <w:szCs w:val="22"/>
              </w:rPr>
              <w:t>$1.63/km</w:t>
            </w:r>
            <w:r>
              <w:t xml:space="preserve"> </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$1.63/km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$2.36/km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section"/>
      </w:pPr>
      <w:r>
        <w:tab/>
        <w:t>[Division 1 inserted in Gazette 9 Feb 2010 p. 272-4; amended in Gazette 11 Feb 2011 p. 508-9; 30 Nov 2011 p. 4974.]</w:t>
      </w:r>
    </w:p>
    <w:p>
      <w:pPr>
        <w:pStyle w:val="yHeading3"/>
      </w:pPr>
      <w:bookmarkStart w:id="79" w:name="_Toc253404782"/>
      <w:bookmarkStart w:id="80" w:name="_Toc310410961"/>
      <w:r>
        <w:rPr>
          <w:rStyle w:val="CharSDivNo"/>
        </w:rPr>
        <w:t>Division 2</w:t>
      </w:r>
      <w:r>
        <w:t> — </w:t>
      </w:r>
      <w:r>
        <w:rPr>
          <w:rStyle w:val="CharSDivText"/>
        </w:rPr>
        <w:t>Kalbarri region</w:t>
      </w:r>
      <w:bookmarkEnd w:id="79"/>
      <w:bookmarkEnd w:id="80"/>
    </w:p>
    <w:p>
      <w:pPr>
        <w:pStyle w:val="yFootnoteheading"/>
      </w:pPr>
      <w:r>
        <w:tab/>
        <w:t>[Heading inserted in Gazette 9 Feb 2010 p. 274.]</w:t>
      </w:r>
    </w:p>
    <w:p>
      <w:pPr>
        <w:pStyle w:val="yHeading5"/>
      </w:pPr>
      <w:bookmarkStart w:id="81" w:name="_Toc310410962"/>
      <w:r>
        <w:tab/>
        <w:t>Brief description</w:t>
      </w:r>
      <w:bookmarkEnd w:id="81"/>
    </w:p>
    <w:p>
      <w:pPr>
        <w:pStyle w:val="ySubsection"/>
      </w:pPr>
      <w:r>
        <w:tab/>
      </w:r>
      <w:r>
        <w:tab/>
        <w:t xml:space="preserve">The town of </w:t>
      </w:r>
      <w:smartTag w:uri="urn:schemas-microsoft-com:office:smarttags" w:element="City">
        <w:smartTag w:uri="urn:schemas-microsoft-com:office:smarttags" w:element="place">
          <w:r>
            <w:t>Kalbarri</w:t>
          </w:r>
        </w:smartTag>
      </w:smartTag>
      <w:r>
        <w:t xml:space="preserve"> and its immediate environs (see map).</w:t>
      </w:r>
    </w:p>
    <w:p>
      <w:pPr>
        <w:pStyle w:val="yHeading5"/>
      </w:pPr>
      <w:bookmarkStart w:id="82" w:name="_Toc310410963"/>
      <w:r>
        <w:tab/>
        <w:t>Town</w:t>
      </w:r>
      <w:bookmarkEnd w:id="82"/>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$1.62/km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$1.62/km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$2.39/km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2 inserted in Gazette 9 Feb 2010 p. 274-5; amended in Gazette 11 Feb 2011 p. 509-10; 30 Nov 2011 p. 4974-5.]</w:t>
      </w:r>
    </w:p>
    <w:p>
      <w:pPr>
        <w:pStyle w:val="yHeading3"/>
      </w:pPr>
      <w:bookmarkStart w:id="83" w:name="_Toc253404785"/>
      <w:bookmarkStart w:id="84" w:name="_Toc310410964"/>
      <w:r>
        <w:rPr>
          <w:rStyle w:val="CharSDivNo"/>
        </w:rPr>
        <w:t>Division 3</w:t>
      </w:r>
      <w:r>
        <w:t> — </w:t>
      </w:r>
      <w:smartTag w:uri="urn:schemas-microsoft-com:office:smarttags" w:element="City">
        <w:smartTag w:uri="urn:schemas-microsoft-com:office:smarttags" w:element="place">
          <w:r>
            <w:rPr>
              <w:rStyle w:val="CharSDivText"/>
            </w:rPr>
            <w:t>Kimberley</w:t>
          </w:r>
        </w:smartTag>
      </w:smartTag>
      <w:r>
        <w:rPr>
          <w:rStyle w:val="CharSDivText"/>
        </w:rPr>
        <w:t xml:space="preserve"> region</w:t>
      </w:r>
      <w:bookmarkEnd w:id="83"/>
      <w:bookmarkEnd w:id="84"/>
    </w:p>
    <w:p>
      <w:pPr>
        <w:pStyle w:val="yFootnoteheading"/>
      </w:pPr>
      <w:r>
        <w:tab/>
        <w:t>[Heading inserted in Gazette 9 Feb 2010 p. 275.]</w:t>
      </w:r>
    </w:p>
    <w:p>
      <w:pPr>
        <w:pStyle w:val="yHeading5"/>
      </w:pPr>
      <w:bookmarkStart w:id="85" w:name="_Toc310410965"/>
      <w:r>
        <w:tab/>
        <w:t>Brief description</w:t>
      </w:r>
      <w:bookmarkEnd w:id="85"/>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86" w:name="_Toc310410966"/>
      <w:r>
        <w:tab/>
        <w:t>Major towns</w:t>
      </w:r>
      <w:bookmarkEnd w:id="86"/>
    </w:p>
    <w:p>
      <w:pPr>
        <w:pStyle w:val="ySubsection"/>
      </w:pPr>
      <w:r>
        <w:tab/>
      </w:r>
      <w:r>
        <w:tab/>
        <w:t xml:space="preserve">These major towns are specified for the purposes of regulation 3(1) as being within the </w:t>
      </w:r>
      <w:smartTag w:uri="urn:schemas-microsoft-com:office:smarttags" w:element="City">
        <w:smartTag w:uri="urn:schemas-microsoft-com:office:smarttags" w:element="place">
          <w:r>
            <w:t>Kimberley</w:t>
          </w:r>
        </w:smartTag>
      </w:smartTag>
      <w:r>
        <w:t xml:space="preserve"> region — </w:t>
      </w:r>
    </w:p>
    <w:p>
      <w:pPr>
        <w:pStyle w:val="yIndenta"/>
      </w:pPr>
      <w:r>
        <w:tab/>
      </w:r>
      <w:r>
        <w:sym w:font="Symbol" w:char="F0B7"/>
      </w:r>
      <w:r>
        <w:tab/>
        <w:t>Broome — (Shire of Broome)</w:t>
      </w:r>
    </w:p>
    <w:p>
      <w:pPr>
        <w:pStyle w:val="yIndenta"/>
      </w:pPr>
      <w:r>
        <w:tab/>
      </w:r>
      <w:r>
        <w:sym w:font="Symbol" w:char="F0B7"/>
      </w:r>
      <w:r>
        <w:tab/>
      </w:r>
      <w:smartTag w:uri="urn:schemas-microsoft-com:office:smarttags" w:element="City">
        <w:r>
          <w:t>Derby</w:t>
        </w:r>
      </w:smartTag>
      <w:r>
        <w:t xml:space="preserve"> &amp; Fitzroy Crossing — (Shire of Derby/West </w:t>
      </w:r>
      <w:smartTag w:uri="urn:schemas-microsoft-com:office:smarttags" w:element="City">
        <w:smartTag w:uri="urn:schemas-microsoft-com:office:smarttags" w:element="place">
          <w:r>
            <w:t>Kimberley</w:t>
          </w:r>
        </w:smartTag>
      </w:smartTag>
      <w:r>
        <w:t>)</w:t>
      </w:r>
    </w:p>
    <w:p>
      <w:pPr>
        <w:pStyle w:val="yIndenta"/>
      </w:pPr>
      <w:r>
        <w:tab/>
      </w:r>
      <w:r>
        <w:sym w:font="Symbol" w:char="F0B7"/>
      </w:r>
      <w:r>
        <w:tab/>
        <w:t>Halls Creek — (Shire of Halls Creek)</w:t>
      </w:r>
    </w:p>
    <w:p>
      <w:pPr>
        <w:pStyle w:val="yIndenta"/>
      </w:pPr>
      <w:r>
        <w:tab/>
      </w:r>
      <w:r>
        <w:sym w:font="Symbol" w:char="F0B7"/>
      </w:r>
      <w:r>
        <w:tab/>
        <w:t xml:space="preserve">Kununurra &amp; Wyndham — (Shire of Wyndham/East </w:t>
      </w:r>
      <w:smartTag w:uri="urn:schemas-microsoft-com:office:smarttags" w:element="City">
        <w:smartTag w:uri="urn:schemas-microsoft-com:office:smarttags" w:element="place">
          <w:r>
            <w:t>Kimberley</w:t>
          </w:r>
        </w:smartTag>
      </w:smartTag>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$2.10/km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$2.10/km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$3.10/km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$1.18/km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3 inserted in Gazette 9 Feb 2010 p. 275-7; amended in Gazette 11 Feb 2011 p. 511-12; 30 Nov 2011 p. 4975.]</w:t>
      </w:r>
    </w:p>
    <w:p>
      <w:pPr>
        <w:pStyle w:val="yHeading3"/>
      </w:pPr>
      <w:bookmarkStart w:id="87" w:name="_Toc253404788"/>
      <w:bookmarkStart w:id="88" w:name="_Toc310410967"/>
      <w:r>
        <w:rPr>
          <w:rStyle w:val="CharSDivNo"/>
        </w:rPr>
        <w:t>Division 4</w:t>
      </w:r>
      <w:r>
        <w:t> — </w:t>
      </w:r>
      <w:r>
        <w:rPr>
          <w:rStyle w:val="CharSDivText"/>
        </w:rPr>
        <w:t>Mid</w:t>
      </w:r>
      <w:r>
        <w:rPr>
          <w:rStyle w:val="CharSDivText"/>
        </w:rPr>
        <w:noBreakHyphen/>
        <w:t>west region</w:t>
      </w:r>
      <w:bookmarkEnd w:id="87"/>
      <w:bookmarkEnd w:id="88"/>
    </w:p>
    <w:p>
      <w:pPr>
        <w:pStyle w:val="yFootnoteheading"/>
      </w:pPr>
      <w:r>
        <w:tab/>
        <w:t>[Heading inserted in Gazette 9 Feb 2010 p. 277.]</w:t>
      </w:r>
    </w:p>
    <w:p>
      <w:pPr>
        <w:pStyle w:val="yHeading5"/>
      </w:pPr>
      <w:bookmarkStart w:id="89" w:name="_Toc310410968"/>
      <w:r>
        <w:tab/>
        <w:t>Brief description</w:t>
      </w:r>
      <w:bookmarkEnd w:id="89"/>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90" w:name="_Toc310410969"/>
      <w:r>
        <w:tab/>
        <w:t>Major towns/cities</w:t>
      </w:r>
      <w:bookmarkEnd w:id="90"/>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 xml:space="preserve">Geraldton — (City of </w:t>
      </w:r>
      <w:smartTag w:uri="urn:schemas-microsoft-com:office:smarttags" w:element="City">
        <w:smartTag w:uri="urn:schemas-microsoft-com:office:smarttags" w:element="place">
          <w:r>
            <w:t>Geraldton</w:t>
          </w:r>
        </w:smartTag>
      </w:smartTag>
      <w:r>
        <w:t xml:space="preserve"> &amp; environs)</w:t>
      </w:r>
    </w:p>
    <w:p>
      <w:pPr>
        <w:pStyle w:val="yIndenta"/>
      </w:pPr>
      <w:r>
        <w:tab/>
      </w:r>
      <w:r>
        <w:sym w:font="Symbol" w:char="F0B7"/>
      </w:r>
      <w:r>
        <w:tab/>
        <w:t>Irwin &amp; Dongara — (Shire of Irwin)</w:t>
      </w:r>
    </w:p>
    <w:p>
      <w:pPr>
        <w:pStyle w:val="yIndenta"/>
      </w:pPr>
      <w:r>
        <w:tab/>
      </w:r>
      <w:r>
        <w:sym w:font="Symbol" w:char="F0B7"/>
      </w:r>
      <w:r>
        <w:tab/>
      </w:r>
      <w:smartTag w:uri="urn:schemas-microsoft-com:office:smarttags" w:element="City">
        <w:r>
          <w:t>Northampton</w:t>
        </w:r>
      </w:smartTag>
      <w:r>
        <w:t xml:space="preserve"> — (Shire of </w:t>
      </w:r>
      <w:smartTag w:uri="urn:schemas-microsoft-com:office:smarttags" w:element="City">
        <w:smartTag w:uri="urn:schemas-microsoft-com:office:smarttags" w:element="place">
          <w:r>
            <w:t>Northampton</w:t>
          </w:r>
        </w:smartTag>
      </w:smartTag>
      <w:r>
        <w:t>)</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$1.59/km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rPr>
                <w:szCs w:val="22"/>
              </w:rPr>
              <w:t>$ 5.70</w:t>
            </w:r>
          </w:p>
        </w:tc>
        <w:tc>
          <w:tcPr>
            <w:tcW w:w="1551" w:type="dxa"/>
          </w:tcPr>
          <w:p>
            <w:pPr>
              <w:pStyle w:val="yTableNAm"/>
            </w:pPr>
          </w:p>
          <w:p>
            <w:pPr>
              <w:pStyle w:val="yTableNAm"/>
            </w:pPr>
            <w:r>
              <w:br/>
            </w:r>
          </w:p>
          <w:p>
            <w:pPr>
              <w:pStyle w:val="yTableNAm"/>
            </w:pPr>
            <w:r>
              <w:br/>
            </w:r>
            <w:r>
              <w:br/>
            </w:r>
          </w:p>
          <w:p>
            <w:pPr>
              <w:pStyle w:val="yTableNAm"/>
            </w:pPr>
            <w:r>
              <w:rPr>
                <w:szCs w:val="22"/>
              </w:rPr>
              <w:t>$1.59/km</w:t>
            </w:r>
          </w:p>
        </w:tc>
        <w:tc>
          <w:tcPr>
            <w:tcW w:w="1426" w:type="dxa"/>
          </w:tcPr>
          <w:p>
            <w:pPr>
              <w:pStyle w:val="yTableNAm"/>
            </w:pPr>
          </w:p>
          <w:p>
            <w:pPr>
              <w:pStyle w:val="yTableNAm"/>
            </w:pPr>
            <w:r>
              <w:br/>
            </w:r>
          </w:p>
          <w:p>
            <w:pPr>
              <w:pStyle w:val="yTableNAm"/>
            </w:pPr>
            <w:r>
              <w:br/>
            </w:r>
            <w:r>
              <w:br/>
            </w:r>
          </w:p>
          <w:p>
            <w:pPr>
              <w:pStyle w:val="yTableNAm"/>
            </w:pP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$ 5.70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$2.38/km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4 inserted in Gazette 9 Feb 2010 p. 277-8; amended in Gazette 11 Feb 2011 p. 512-13; 30 Nov 2011 p. 4975-6.]</w:t>
      </w:r>
    </w:p>
    <w:p>
      <w:pPr>
        <w:pStyle w:val="yHeading3"/>
      </w:pPr>
      <w:bookmarkStart w:id="91" w:name="_Toc253404791"/>
      <w:bookmarkStart w:id="92" w:name="_Toc310410970"/>
      <w:r>
        <w:rPr>
          <w:rStyle w:val="CharSDivNo"/>
        </w:rPr>
        <w:t>Division 5</w:t>
      </w:r>
      <w:r>
        <w:t> — </w:t>
      </w:r>
      <w:r>
        <w:rPr>
          <w:rStyle w:val="CharSDivText"/>
        </w:rPr>
        <w:t>Pilbara region</w:t>
      </w:r>
      <w:bookmarkEnd w:id="91"/>
      <w:bookmarkEnd w:id="92"/>
    </w:p>
    <w:p>
      <w:pPr>
        <w:pStyle w:val="yFootnoteheading"/>
      </w:pPr>
      <w:r>
        <w:tab/>
        <w:t>[Heading inserted in Gazette 9 Feb 2010 p. 278.]</w:t>
      </w:r>
    </w:p>
    <w:p>
      <w:pPr>
        <w:pStyle w:val="yHeading5"/>
      </w:pPr>
      <w:bookmarkStart w:id="93" w:name="_Toc310410971"/>
      <w:r>
        <w:tab/>
        <w:t>Brief description</w:t>
      </w:r>
      <w:bookmarkEnd w:id="93"/>
    </w:p>
    <w:p>
      <w:pPr>
        <w:pStyle w:val="ySubsection"/>
      </w:pPr>
      <w:r>
        <w:tab/>
      </w:r>
      <w:r>
        <w:tab/>
        <w:t xml:space="preserve">Includes all towns south of the </w:t>
      </w:r>
      <w:smartTag w:uri="urn:schemas-microsoft-com:office:smarttags" w:element="City">
        <w:smartTag w:uri="urn:schemas-microsoft-com:office:smarttags" w:element="place">
          <w:r>
            <w:t>Kimberley</w:t>
          </w:r>
        </w:smartTag>
      </w:smartTag>
      <w:r>
        <w:t xml:space="preserve"> region border to a line extending east</w:t>
      </w:r>
      <w:r>
        <w:noBreakHyphen/>
        <w:t>west across the State, above Cue (see map).</w:t>
      </w:r>
    </w:p>
    <w:p>
      <w:pPr>
        <w:pStyle w:val="yHeading5"/>
      </w:pPr>
      <w:bookmarkStart w:id="94" w:name="_Toc310410972"/>
      <w:r>
        <w:tab/>
        <w:t>Major towns</w:t>
      </w:r>
      <w:bookmarkEnd w:id="94"/>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 xml:space="preserve">Denham — (Shire of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 xml:space="preserve">Newman — (Shire of </w:t>
      </w:r>
      <w:smartTag w:uri="urn:schemas-microsoft-com:office:smarttags" w:element="place">
        <w:r>
          <w:t>East Pilbara</w:t>
        </w:r>
      </w:smartTag>
      <w:r>
        <w:t>)</w:t>
      </w:r>
    </w:p>
    <w:p>
      <w:pPr>
        <w:pStyle w:val="yIndenta"/>
      </w:pPr>
      <w:r>
        <w:tab/>
      </w:r>
      <w:r>
        <w:sym w:font="Symbol" w:char="F0B7"/>
      </w:r>
      <w:r>
        <w:tab/>
        <w:t xml:space="preserve">Port Hedland — (Town of </w:t>
      </w:r>
      <w:smartTag w:uri="urn:schemas-microsoft-com:office:smarttags" w:element="City">
        <w:smartTag w:uri="urn:schemas-microsoft-com:office:smarttags" w:element="place">
          <w:r>
            <w:t>Port</w:t>
          </w:r>
        </w:smartTag>
      </w:smartTag>
      <w:r>
        <w:t xml:space="preserve">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$2.14/km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$2.14/km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$3.16/km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$1.75/km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5 inserted in Gazette 9 Feb 2010 p. 278-9; amended in Gazette 11 Feb 2011 p. 513-14; 30 Nov 2011 p. 4976-7.]</w:t>
      </w:r>
    </w:p>
    <w:p>
      <w:pPr>
        <w:pStyle w:val="yHeading3"/>
      </w:pPr>
      <w:bookmarkStart w:id="95" w:name="_Toc253404794"/>
      <w:bookmarkStart w:id="96" w:name="_Toc310410973"/>
      <w:r>
        <w:rPr>
          <w:rStyle w:val="CharSDivNo"/>
        </w:rPr>
        <w:t>Division 6</w:t>
      </w:r>
      <w:r>
        <w:t> — </w:t>
      </w:r>
      <w:r>
        <w:rPr>
          <w:rStyle w:val="CharSDivText"/>
        </w:rPr>
        <w:t>South</w:t>
      </w:r>
      <w:r>
        <w:rPr>
          <w:rStyle w:val="CharSDivText"/>
        </w:rPr>
        <w:noBreakHyphen/>
        <w:t>west region</w:t>
      </w:r>
      <w:bookmarkEnd w:id="95"/>
      <w:bookmarkEnd w:id="96"/>
    </w:p>
    <w:p>
      <w:pPr>
        <w:pStyle w:val="yFootnoteheading"/>
      </w:pPr>
      <w:r>
        <w:tab/>
        <w:t>[Heading inserted in Gazette 9 Feb 2010 p. 280.]</w:t>
      </w:r>
    </w:p>
    <w:p>
      <w:pPr>
        <w:pStyle w:val="yHeading5"/>
      </w:pPr>
      <w:bookmarkStart w:id="97" w:name="_Toc310410974"/>
      <w:r>
        <w:tab/>
        <w:t>Brief description</w:t>
      </w:r>
      <w:bookmarkEnd w:id="97"/>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98" w:name="_Toc310410975"/>
      <w:r>
        <w:tab/>
        <w:t>Major towns/cities</w:t>
      </w:r>
      <w:bookmarkEnd w:id="98"/>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r>
      <w:smartTag w:uri="urn:schemas-microsoft-com:office:smarttags" w:element="City">
        <w:r>
          <w:t>Albany</w:t>
        </w:r>
      </w:smartTag>
      <w:r>
        <w:t xml:space="preserve"> — (City of </w:t>
      </w:r>
      <w:smartTag w:uri="urn:schemas-microsoft-com:office:smarttags" w:element="City">
        <w:smartTag w:uri="urn:schemas-microsoft-com:office:smarttags" w:element="place">
          <w:r>
            <w:t>Albany</w:t>
          </w:r>
        </w:smartTag>
      </w:smartTag>
      <w:r>
        <w:t>)</w:t>
      </w:r>
    </w:p>
    <w:p>
      <w:pPr>
        <w:pStyle w:val="yIndenta"/>
      </w:pPr>
      <w:r>
        <w:tab/>
      </w:r>
      <w:r>
        <w:sym w:font="Symbol" w:char="F0B7"/>
      </w:r>
      <w:r>
        <w:tab/>
      </w:r>
      <w:smartTag w:uri="urn:schemas-microsoft-com:office:smarttags" w:element="City">
        <w:r>
          <w:t>Augusta</w:t>
        </w:r>
      </w:smartTag>
      <w:r>
        <w:t xml:space="preserve"> &amp;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r>
      <w:smartTag w:uri="urn:schemas-microsoft-com:office:smarttags" w:element="country-region">
        <w:r>
          <w:t>Denmark</w:t>
        </w:r>
      </w:smartTag>
      <w:r>
        <w:t xml:space="preserve"> — (Shire of </w:t>
      </w:r>
      <w:smartTag w:uri="urn:schemas-microsoft-com:office:smarttags" w:element="country-region">
        <w:smartTag w:uri="urn:schemas-microsoft-com:office:smarttags" w:element="place">
          <w:r>
            <w:t>Denmark</w:t>
          </w:r>
        </w:smartTag>
      </w:smartTag>
      <w:r>
        <w:t>)</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 xml:space="preserve">Harvey — (Shire of </w:t>
      </w:r>
      <w:smartTag w:uri="urn:schemas-microsoft-com:office:smarttags" w:element="City">
        <w:smartTag w:uri="urn:schemas-microsoft-com:office:smarttags" w:element="place">
          <w:r>
            <w:t>Harvey</w:t>
          </w:r>
        </w:smartTag>
      </w:smartTag>
      <w:r>
        <w:t>)</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 xml:space="preserve">Mandurah — (City of </w:t>
      </w:r>
      <w:smartTag w:uri="urn:schemas-microsoft-com:office:smarttags" w:element="City">
        <w:smartTag w:uri="urn:schemas-microsoft-com:office:smarttags" w:element="place">
          <w:r>
            <w:t>Mandurah</w:t>
          </w:r>
        </w:smartTag>
      </w:smartTag>
      <w:r>
        <w:t>)</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 xml:space="preserve">Pinjarra — (Shire of </w:t>
      </w:r>
      <w:smartTag w:uri="urn:schemas-microsoft-com:office:smarttags" w:element="City">
        <w:smartTag w:uri="urn:schemas-microsoft-com:office:smarttags" w:element="place">
          <w:r>
            <w:t>Murray</w:t>
          </w:r>
        </w:smartTag>
      </w:smartTag>
      <w:r>
        <w:t>)</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$3.90</w:t>
            </w:r>
          </w:p>
        </w:tc>
        <w:tc>
          <w:tcPr>
            <w:tcW w:w="1551" w:type="dxa"/>
            <w:tcBorders>
              <w:top w:val="single" w:sz="4" w:space="0" w:color="auto"/>
            </w:tcBorders>
          </w:tcPr>
          <w:p>
            <w:pPr>
              <w:pStyle w:val="yTableNAm"/>
            </w:pPr>
          </w:p>
          <w:p>
            <w:pPr>
              <w:pStyle w:val="yTableNAm"/>
            </w:pPr>
            <w:r>
              <w:br/>
            </w:r>
            <w:r>
              <w:rPr>
                <w:szCs w:val="22"/>
              </w:rPr>
              <w:t>$1.59/km</w:t>
            </w:r>
          </w:p>
        </w:tc>
        <w:tc>
          <w:tcPr>
            <w:tcW w:w="1426" w:type="dxa"/>
            <w:tcBorders>
              <w:top w:val="single" w:sz="4" w:space="0" w:color="auto"/>
            </w:tcBorders>
          </w:tcPr>
          <w:p>
            <w:pPr>
              <w:pStyle w:val="yTableNAm"/>
            </w:pPr>
          </w:p>
          <w:p>
            <w:pPr>
              <w:pStyle w:val="yTableNAm"/>
            </w:pPr>
            <w:r>
              <w:br/>
            </w:r>
            <w:r>
              <w:rPr>
                <w:szCs w:val="22"/>
              </w:rPr>
              <w:t>$45.70/hour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r>
            <w:r>
              <w:rPr>
                <w:szCs w:val="22"/>
              </w:rPr>
              <w:t>$5.70</w:t>
            </w:r>
          </w:p>
        </w:tc>
        <w:tc>
          <w:tcPr>
            <w:tcW w:w="1551" w:type="dxa"/>
          </w:tcPr>
          <w:p>
            <w:pPr>
              <w:pStyle w:val="yTableNAm"/>
            </w:pPr>
          </w:p>
          <w:p>
            <w:pPr>
              <w:pStyle w:val="yTableNAm"/>
            </w:pPr>
            <w:r>
              <w:br/>
            </w:r>
          </w:p>
          <w:p>
            <w:pPr>
              <w:pStyle w:val="yTableNAm"/>
            </w:pPr>
            <w:r>
              <w:br/>
            </w:r>
          </w:p>
          <w:p>
            <w:pPr>
              <w:pStyle w:val="yTableNAm"/>
            </w:pPr>
            <w:r>
              <w:br/>
            </w:r>
            <w:r>
              <w:rPr>
                <w:szCs w:val="22"/>
              </w:rPr>
              <w:t>$1.59/km</w:t>
            </w:r>
          </w:p>
        </w:tc>
        <w:tc>
          <w:tcPr>
            <w:tcW w:w="1426" w:type="dxa"/>
          </w:tcPr>
          <w:p>
            <w:pPr>
              <w:pStyle w:val="yTableNAm"/>
            </w:pPr>
          </w:p>
          <w:p>
            <w:pPr>
              <w:pStyle w:val="yTableNAm"/>
            </w:pPr>
            <w:r>
              <w:br/>
            </w:r>
          </w:p>
          <w:p>
            <w:pPr>
              <w:pStyle w:val="yTableNAm"/>
            </w:pPr>
            <w:r>
              <w:br/>
            </w:r>
          </w:p>
          <w:p>
            <w:pPr>
              <w:pStyle w:val="yTableNAm"/>
            </w:pPr>
            <w:r>
              <w:br/>
            </w:r>
            <w:r>
              <w:rPr>
                <w:szCs w:val="22"/>
              </w:rPr>
              <w:t>$45.70/hour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r>
            <w:r>
              <w:rPr>
                <w:szCs w:val="22"/>
              </w:rPr>
              <w:t>$5.70</w:t>
            </w:r>
          </w:p>
        </w:tc>
        <w:tc>
          <w:tcPr>
            <w:tcW w:w="1551" w:type="dxa"/>
            <w:tcBorders>
              <w:bottom w:val="single" w:sz="4" w:space="0" w:color="auto"/>
            </w:tcBorders>
          </w:tcPr>
          <w:p>
            <w:pPr>
              <w:pStyle w:val="yTableNAm"/>
            </w:pPr>
          </w:p>
          <w:p>
            <w:pPr>
              <w:pStyle w:val="yTableNAm"/>
            </w:pPr>
            <w:r>
              <w:br/>
            </w:r>
            <w:r>
              <w:br/>
            </w:r>
            <w:r>
              <w:br/>
            </w:r>
            <w:r>
              <w:br/>
            </w:r>
            <w:r>
              <w:br/>
            </w:r>
            <w:r>
              <w:br/>
            </w:r>
            <w:r>
              <w:rPr>
                <w:szCs w:val="22"/>
              </w:rPr>
              <w:t>$2.39/km</w:t>
            </w:r>
          </w:p>
        </w:tc>
        <w:tc>
          <w:tcPr>
            <w:tcW w:w="1426" w:type="dxa"/>
            <w:tcBorders>
              <w:bottom w:val="single" w:sz="4" w:space="0" w:color="auto"/>
            </w:tcBorders>
          </w:tcPr>
          <w:p>
            <w:pPr>
              <w:pStyle w:val="yTableNAm"/>
            </w:pPr>
          </w:p>
          <w:p>
            <w:pPr>
              <w:pStyle w:val="yTableNAm"/>
            </w:pPr>
            <w:r>
              <w:br/>
            </w:r>
            <w:r>
              <w:br/>
            </w:r>
            <w:r>
              <w:br/>
            </w:r>
            <w:r>
              <w:br/>
            </w:r>
            <w:r>
              <w:br/>
            </w:r>
            <w:r>
              <w:br/>
            </w:r>
            <w:r>
              <w:rPr>
                <w:szCs w:val="22"/>
              </w:rPr>
              <w:t>$70.80/hour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$0.97/km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$1.47/km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r>
            <w:r>
              <w:rPr>
                <w:szCs w:val="22"/>
              </w:rPr>
              <w:t>$45.70/hour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rPr>
                <w:szCs w:val="22"/>
              </w:rPr>
              <w:t>$4.75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r>
            <w:r>
              <w:rPr>
                <w:szCs w:val="22"/>
              </w:rPr>
              <w:t>$5.35</w:t>
            </w:r>
          </w:p>
        </w:tc>
      </w:tr>
    </w:tbl>
    <w:p>
      <w:pPr>
        <w:pStyle w:val="yFootnoteheading"/>
      </w:pPr>
      <w:r>
        <w:tab/>
        <w:t>[Division 6 inserted in Gazette 9 Feb 2010 p. 280-1; amended in Gazette 11 Feb 2011 p. 514-15; 30 Nov 2011 p. 4977.]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99" w:name="_Toc185925046"/>
      <w:bookmarkStart w:id="100" w:name="_Toc205264019"/>
      <w:bookmarkStart w:id="101" w:name="_Toc205268148"/>
      <w:bookmarkStart w:id="102" w:name="_Toc217356698"/>
      <w:bookmarkStart w:id="103" w:name="_Toc219092341"/>
      <w:bookmarkStart w:id="104" w:name="_Toc219093006"/>
      <w:bookmarkStart w:id="105" w:name="_Toc221421995"/>
      <w:bookmarkStart w:id="106" w:name="_Toc221443537"/>
      <w:bookmarkStart w:id="107" w:name="_Toc221936238"/>
      <w:bookmarkStart w:id="108" w:name="_Toc253404797"/>
      <w:bookmarkStart w:id="109" w:name="_Toc310410976"/>
      <w:r>
        <w:rPr>
          <w:rStyle w:val="CharSchNo"/>
        </w:rPr>
        <w:t>Schedule 2</w:t>
      </w:r>
      <w:r>
        <w:rPr>
          <w:rStyle w:val="CharSDivNo"/>
        </w:rPr>
        <w:t> </w:t>
      </w:r>
      <w:r>
        <w:t>—</w:t>
      </w:r>
      <w:r>
        <w:rPr>
          <w:rStyle w:val="CharSDivText"/>
        </w:rPr>
        <w:t> </w:t>
      </w:r>
      <w:r>
        <w:rPr>
          <w:rStyle w:val="CharSchText"/>
        </w:rPr>
        <w:t>Modified penalties</w:t>
      </w:r>
      <w:bookmarkEnd w:id="73"/>
      <w:bookmarkEnd w:id="74"/>
      <w:bookmarkEnd w:id="99"/>
      <w:bookmarkEnd w:id="100"/>
      <w:bookmarkEnd w:id="101"/>
      <w:bookmarkEnd w:id="102"/>
      <w:bookmarkEnd w:id="103"/>
      <w:bookmarkEnd w:id="104"/>
      <w:bookmarkEnd w:id="105"/>
      <w:bookmarkEnd w:id="106"/>
      <w:bookmarkEnd w:id="107"/>
      <w:bookmarkEnd w:id="108"/>
      <w:bookmarkEnd w:id="109"/>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10" w:name="_Toc140635264"/>
      <w:bookmarkStart w:id="111" w:name="_Toc153266594"/>
      <w:bookmarkStart w:id="112" w:name="_Toc185925047"/>
      <w:bookmarkStart w:id="113" w:name="_Toc205264020"/>
      <w:bookmarkStart w:id="114" w:name="_Toc205268149"/>
      <w:bookmarkStart w:id="115" w:name="_Toc217356699"/>
      <w:bookmarkStart w:id="116" w:name="_Toc219092342"/>
      <w:bookmarkStart w:id="117" w:name="_Toc219093007"/>
      <w:bookmarkStart w:id="118" w:name="_Toc221421996"/>
      <w:bookmarkStart w:id="119" w:name="_Toc221443538"/>
      <w:bookmarkStart w:id="120" w:name="_Toc221936239"/>
      <w:bookmarkStart w:id="121" w:name="_Toc253404798"/>
      <w:bookmarkStart w:id="122" w:name="_Toc310410977"/>
      <w:r>
        <w:rPr>
          <w:rStyle w:val="CharSchNo"/>
        </w:rPr>
        <w:t>Schedule 3</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nHeading2"/>
      </w:pPr>
      <w:bookmarkStart w:id="123" w:name="_Toc90434964"/>
      <w:bookmarkStart w:id="124" w:name="_Toc93999555"/>
      <w:bookmarkStart w:id="125" w:name="_Toc94065531"/>
      <w:bookmarkStart w:id="126" w:name="_Toc94065555"/>
      <w:bookmarkStart w:id="127" w:name="_Toc121125121"/>
      <w:bookmarkStart w:id="128" w:name="_Toc140570748"/>
      <w:bookmarkStart w:id="129" w:name="_Toc140635265"/>
      <w:bookmarkStart w:id="130" w:name="_Toc153266595"/>
      <w:bookmarkStart w:id="131" w:name="_Toc185925048"/>
      <w:bookmarkStart w:id="132" w:name="_Toc205264021"/>
      <w:bookmarkStart w:id="133" w:name="_Toc205268150"/>
      <w:bookmarkStart w:id="134" w:name="_Toc217356700"/>
      <w:bookmarkStart w:id="135" w:name="_Toc219092343"/>
      <w:bookmarkStart w:id="136" w:name="_Toc219093008"/>
      <w:bookmarkStart w:id="137" w:name="_Toc221421997"/>
      <w:bookmarkStart w:id="138" w:name="_Toc221443539"/>
      <w:bookmarkStart w:id="139" w:name="_Toc221936240"/>
      <w:bookmarkStart w:id="140" w:name="_Toc253404799"/>
      <w:bookmarkStart w:id="141" w:name="_Toc310410978"/>
      <w:r>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Subsection"/>
        <w:rPr>
          <w:snapToGrid w:val="0"/>
        </w:rPr>
      </w:pPr>
      <w:bookmarkStart w:id="142"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310410979"/>
      <w:bookmarkEnd w:id="142"/>
      <w:r>
        <w:rPr>
          <w:snapToGrid w:val="0"/>
        </w:rPr>
        <w:t>Compilation table</w:t>
      </w:r>
      <w:bookmarkEnd w:id="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Borders>
              <w:bottom w:val="single" w:sz="4" w:space="0" w:color="auto"/>
            </w:tcBorders>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Borders>
              <w:bottom w:val="single" w:sz="4" w:space="0" w:color="auto"/>
            </w:tcBorders>
          </w:tcPr>
          <w:p>
            <w:pPr>
              <w:pStyle w:val="nTable"/>
              <w:spacing w:after="40"/>
              <w:rPr>
                <w:sz w:val="19"/>
              </w:rPr>
            </w:pPr>
            <w:r>
              <w:rPr>
                <w:sz w:val="19"/>
              </w:rPr>
              <w:t>30 Nov 2011 p. 4973-7</w:t>
            </w:r>
          </w:p>
        </w:tc>
        <w:tc>
          <w:tcPr>
            <w:tcW w:w="2693" w:type="dxa"/>
            <w:tcBorders>
              <w:bottom w:val="single" w:sz="4" w:space="0" w:color="auto"/>
            </w:tcBorders>
          </w:tcPr>
          <w:p>
            <w:pPr>
              <w:pStyle w:val="nTable"/>
              <w:spacing w:after="40"/>
              <w:rPr>
                <w:sz w:val="19"/>
              </w:rPr>
            </w:pPr>
            <w:r>
              <w:rPr>
                <w:sz w:val="19"/>
              </w:rPr>
              <w:t>r. 1 and 2: 30 Nov 2011 (see r. 2(a));</w:t>
            </w:r>
            <w:r>
              <w:rPr>
                <w:sz w:val="19"/>
              </w:rPr>
              <w:br/>
              <w:t>Regulations other than r. 1 and 2: 1 Dec 2011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noProof/>
          <w:sz w:val="28"/>
        </w:rPr>
      </w:pPr>
      <w:bookmarkStart w:id="144" w:name="_Toc219093010"/>
      <w:bookmarkStart w:id="145" w:name="_Toc221421999"/>
      <w:bookmarkStart w:id="146" w:name="_Toc221443541"/>
      <w:bookmarkStart w:id="147" w:name="_Toc221936242"/>
      <w:bookmarkStart w:id="148" w:name="_Toc253404801"/>
      <w:bookmarkStart w:id="149" w:name="_Toc310410980"/>
      <w:r>
        <w:rPr>
          <w:noProof/>
          <w:sz w:val="28"/>
        </w:rPr>
        <w:t>Defined Terms</w:t>
      </w:r>
      <w:bookmarkEnd w:id="144"/>
      <w:bookmarkEnd w:id="145"/>
      <w:bookmarkEnd w:id="146"/>
      <w:bookmarkEnd w:id="147"/>
      <w:bookmarkEnd w:id="148"/>
      <w:bookmarkEnd w:id="149"/>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150" w:name="DefinedTerms"/>
      <w:bookmarkEnd w:id="150"/>
      <w:r>
        <w:rPr>
          <w:noProof/>
          <w:snapToGrid w:val="0"/>
        </w:rPr>
        <w:t>a 30 km radius</w:t>
      </w:r>
      <w:r>
        <w:rPr>
          <w:noProof/>
          <w:snapToGrid w:val="0"/>
        </w:rPr>
        <w:tab/>
        <w:t>3(4)</w:t>
      </w:r>
    </w:p>
    <w:p>
      <w:pPr>
        <w:pStyle w:val="DefinedTerms"/>
        <w:rPr>
          <w:noProof/>
          <w:snapToGrid w:val="0"/>
        </w:rPr>
      </w:pPr>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rPr>
          <w:noProof/>
          <w:snapToGrid w:val="0"/>
        </w:rPr>
      </w:pPr>
    </w:p>
    <w:p>
      <w:pPr>
        <w:rPr>
          <w:noProof/>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noProof/>
          <w:snapToGrid w:val="0"/>
        </w:rPr>
      </w:pP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4938</Words>
  <Characters>25382</Characters>
  <Application>Microsoft Office Word</Application>
  <DocSecurity>0</DocSecurity>
  <Lines>1586</Lines>
  <Paragraphs>842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1991 - 02-d0-01</dc:title>
  <dc:subject/>
  <dc:creator/>
  <cp:keywords/>
  <dc:description/>
  <cp:lastModifiedBy>svcMRProcess</cp:lastModifiedBy>
  <cp:revision>4</cp:revision>
  <cp:lastPrinted>2009-02-10T03:10:00Z</cp:lastPrinted>
  <dcterms:created xsi:type="dcterms:W3CDTF">2018-09-10T09:16:00Z</dcterms:created>
  <dcterms:modified xsi:type="dcterms:W3CDTF">2018-09-10T09:16:00Z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4376</vt:i4>
  </property>
  <property fmtid="{D5CDD505-2E9C-101B-9397-08002B2CF9AE}" pid="6" name="AsAtDate">
    <vt:lpwstr>01 Dec 2011</vt:lpwstr>
  </property>
  <property fmtid="{D5CDD505-2E9C-101B-9397-08002B2CF9AE}" pid="7" name="Suffix">
    <vt:lpwstr>02-d0-01</vt:lpwstr>
  </property>
  <property fmtid="{D5CDD505-2E9C-101B-9397-08002B2CF9AE}" pid="8" name="ReprintNo">
    <vt:lpwstr>2</vt:lpwstr>
  </property>
</Properties>
</file>