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_Toc312419367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_Toc312419368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_Toc312419369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_Toc312419370 \h </w:instrText>
      </w:r>
      <w:r>
        <w:fldChar w:fldCharType="separate"/>
      </w:r>
      <w:r>
        <w:t>3</w:t>
      </w:r>
      <w:r>
        <w:fldChar w:fldCharType="end"/>
      </w:r>
    </w:p>
    <w:p>
      <w:pPr>
        <w:pStyle w:val="TOC8"/>
        <w:rPr>
          <w:sz w:val="24"/>
          <w:szCs w:val="24"/>
          <w:lang w:val="en-US"/>
        </w:rPr>
      </w:pPr>
      <w:r>
        <w:t>5.</w:t>
      </w:r>
      <w:r>
        <w:tab/>
      </w:r>
      <w:r>
        <w:rPr>
          <w:snapToGrid w:val="0"/>
        </w:rPr>
        <w:t>Exemptions</w:t>
      </w:r>
      <w:r>
        <w:tab/>
      </w:r>
      <w:r>
        <w:fldChar w:fldCharType="begin"/>
      </w:r>
      <w:r>
        <w:instrText xml:space="preserve"> PAGEREF _Toc312419371 \h </w:instrText>
      </w:r>
      <w:r>
        <w:fldChar w:fldCharType="separate"/>
      </w:r>
      <w:r>
        <w:t>5</w:t>
      </w:r>
      <w:r>
        <w:fldChar w:fldCharType="end"/>
      </w:r>
    </w:p>
    <w:p>
      <w:pPr>
        <w:pStyle w:val="TOC8"/>
        <w:rPr>
          <w:sz w:val="24"/>
          <w:szCs w:val="24"/>
          <w:lang w:val="en-US"/>
        </w:rPr>
      </w:pPr>
      <w:r>
        <w:t>6.</w:t>
      </w:r>
      <w:r>
        <w:tab/>
        <w:t>Fees subject to conditions or waiver</w:t>
      </w:r>
      <w:r>
        <w:tab/>
      </w:r>
      <w:r>
        <w:fldChar w:fldCharType="begin"/>
      </w:r>
      <w:r>
        <w:instrText xml:space="preserve"> PAGEREF _Toc312419372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_Toc312419373 \h </w:instrText>
      </w:r>
      <w:r>
        <w:fldChar w:fldCharType="separate"/>
      </w:r>
      <w:r>
        <w:t>6</w:t>
      </w:r>
      <w:r>
        <w:fldChar w:fldCharType="end"/>
      </w:r>
    </w:p>
    <w:p>
      <w:pPr>
        <w:pStyle w:val="TOC8"/>
        <w:rPr>
          <w:sz w:val="24"/>
          <w:szCs w:val="24"/>
          <w:lang w:val="en-US"/>
        </w:rPr>
      </w:pPr>
      <w:r>
        <w:t>8.</w:t>
      </w:r>
      <w:r>
        <w:tab/>
      </w:r>
      <w:r>
        <w:rPr>
          <w:snapToGrid w:val="0"/>
        </w:rPr>
        <w:t>Court or registrar may remit fees</w:t>
      </w:r>
      <w:r>
        <w:tab/>
      </w:r>
      <w:r>
        <w:fldChar w:fldCharType="begin"/>
      </w:r>
      <w:r>
        <w:instrText xml:space="preserve"> PAGEREF _Toc312419374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_Toc312419375 \h </w:instrText>
      </w:r>
      <w:r>
        <w:fldChar w:fldCharType="separate"/>
      </w:r>
      <w:r>
        <w:t>9</w:t>
      </w:r>
      <w:r>
        <w:fldChar w:fldCharType="end"/>
      </w:r>
    </w:p>
    <w:p>
      <w:pPr>
        <w:pStyle w:val="TOC8"/>
        <w:rPr>
          <w:sz w:val="24"/>
          <w:szCs w:val="24"/>
          <w:lang w:val="en-US"/>
        </w:rPr>
      </w:pPr>
      <w:r>
        <w:t>10.</w:t>
      </w:r>
      <w:r>
        <w:tab/>
        <w:t>Schedule 1 Division 2 item 5 fee</w:t>
      </w:r>
      <w:r>
        <w:tab/>
      </w:r>
      <w:r>
        <w:fldChar w:fldCharType="begin"/>
      </w:r>
      <w:r>
        <w:instrText xml:space="preserve"> PAGEREF _Toc312419376 \h </w:instrText>
      </w:r>
      <w:r>
        <w:fldChar w:fldCharType="separate"/>
      </w:r>
      <w:r>
        <w:t>9</w:t>
      </w:r>
      <w:r>
        <w:fldChar w:fldCharType="end"/>
      </w:r>
    </w:p>
    <w:p>
      <w:pPr>
        <w:pStyle w:val="TOC8"/>
        <w:rPr>
          <w:sz w:val="24"/>
          <w:szCs w:val="24"/>
          <w:lang w:val="en-US"/>
        </w:rPr>
      </w:pPr>
      <w:r>
        <w:t>11.</w:t>
      </w:r>
      <w:r>
        <w:tab/>
        <w:t>Schedule 1 Division 2 item 6 fee</w:t>
      </w:r>
      <w:r>
        <w:tab/>
      </w:r>
      <w:r>
        <w:fldChar w:fldCharType="begin"/>
      </w:r>
      <w:r>
        <w:instrText xml:space="preserve"> PAGEREF _Toc312419377 \h </w:instrText>
      </w:r>
      <w:r>
        <w:fldChar w:fldCharType="separate"/>
      </w:r>
      <w:r>
        <w:t>9</w:t>
      </w:r>
      <w:r>
        <w:fldChar w:fldCharType="end"/>
      </w:r>
    </w:p>
    <w:p>
      <w:pPr>
        <w:pStyle w:val="TOC8"/>
        <w:rPr>
          <w:sz w:val="24"/>
          <w:szCs w:val="24"/>
          <w:lang w:val="en-US"/>
        </w:rPr>
      </w:pPr>
      <w:r>
        <w:t>12.</w:t>
      </w:r>
      <w:r>
        <w:tab/>
        <w:t>Fees for searchable information</w:t>
      </w:r>
      <w:r>
        <w:tab/>
      </w:r>
      <w:r>
        <w:fldChar w:fldCharType="begin"/>
      </w:r>
      <w:r>
        <w:instrText xml:space="preserve"> PAGEREF _Toc312419378 \h </w:instrText>
      </w:r>
      <w:r>
        <w:fldChar w:fldCharType="separate"/>
      </w:r>
      <w:r>
        <w:t>10</w:t>
      </w:r>
      <w:r>
        <w:fldChar w:fldCharType="end"/>
      </w:r>
    </w:p>
    <w:p>
      <w:pPr>
        <w:pStyle w:val="TOC8"/>
        <w:rPr>
          <w:sz w:val="24"/>
          <w:szCs w:val="24"/>
          <w:lang w:val="en-US"/>
        </w:rPr>
      </w:pPr>
      <w:r>
        <w:t>13.</w:t>
      </w:r>
      <w:r>
        <w:tab/>
        <w:t>Resolution of disputes as to fees</w:t>
      </w:r>
      <w:r>
        <w:tab/>
      </w:r>
      <w:r>
        <w:fldChar w:fldCharType="begin"/>
      </w:r>
      <w:r>
        <w:instrText xml:space="preserve"> PAGEREF _Toc312419379 \h </w:instrText>
      </w:r>
      <w:r>
        <w:fldChar w:fldCharType="separate"/>
      </w:r>
      <w:r>
        <w:t>10</w:t>
      </w:r>
      <w:r>
        <w:fldChar w:fldCharType="end"/>
      </w:r>
    </w:p>
    <w:p>
      <w:pPr>
        <w:pStyle w:val="TOC8"/>
        <w:rPr>
          <w:sz w:val="24"/>
          <w:szCs w:val="24"/>
          <w:lang w:val="en-US"/>
        </w:rPr>
      </w:pPr>
      <w:r>
        <w:t>14.</w:t>
      </w:r>
      <w:r>
        <w:tab/>
        <w:t>Recovery of unpaid fees</w:t>
      </w:r>
      <w:r>
        <w:tab/>
      </w:r>
      <w:r>
        <w:fldChar w:fldCharType="begin"/>
      </w:r>
      <w:r>
        <w:instrText xml:space="preserve"> PAGEREF _Toc312419380 \h </w:instrText>
      </w:r>
      <w:r>
        <w:fldChar w:fldCharType="separate"/>
      </w:r>
      <w:r>
        <w:t>10</w:t>
      </w:r>
      <w:r>
        <w:fldChar w:fldCharType="end"/>
      </w:r>
    </w:p>
    <w:p>
      <w:pPr>
        <w:pStyle w:val="TOC8"/>
        <w:rPr>
          <w:sz w:val="24"/>
          <w:szCs w:val="24"/>
          <w:lang w:val="en-US"/>
        </w:rPr>
      </w:pPr>
      <w:r>
        <w:t>15.</w:t>
      </w:r>
      <w:r>
        <w:tab/>
        <w:t>Transitional</w:t>
      </w:r>
      <w:r>
        <w:tab/>
      </w:r>
      <w:r>
        <w:fldChar w:fldCharType="begin"/>
      </w:r>
      <w:r>
        <w:instrText xml:space="preserve"> PAGEREF _Toc312419381 \h </w:instrText>
      </w:r>
      <w:r>
        <w:fldChar w:fldCharType="separate"/>
      </w:r>
      <w:r>
        <w:t>10</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_Toc312419387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_Toc312419388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_Toc312419389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_Toc312419391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1241936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1241936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12419369"/>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1241937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12419371"/>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312419372"/>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12419373"/>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12419374"/>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12419375"/>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12419376"/>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12419377"/>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12419378"/>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12419379"/>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12419380"/>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12419381"/>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100631335"/>
      <w:bookmarkStart w:id="116" w:name="_Toc102451464"/>
      <w:bookmarkStart w:id="117" w:name="_Toc139104719"/>
      <w:bookmarkStart w:id="118" w:name="_Toc139276717"/>
      <w:bookmarkStart w:id="119" w:name="_Toc171051736"/>
      <w:bookmarkStart w:id="120" w:name="_Toc198631556"/>
      <w:bookmarkStart w:id="121" w:name="_Toc202521836"/>
      <w:bookmarkStart w:id="122" w:name="_Toc203535231"/>
      <w:bookmarkStart w:id="123" w:name="_Toc207168616"/>
      <w:bookmarkStart w:id="124" w:name="_Toc210114992"/>
      <w:bookmarkStart w:id="125" w:name="_Toc210119120"/>
      <w:bookmarkStart w:id="126" w:name="_Toc219794096"/>
      <w:bookmarkStart w:id="127" w:name="_Toc219794293"/>
      <w:bookmarkStart w:id="128" w:name="_Toc222114926"/>
      <w:bookmarkStart w:id="129" w:name="_Toc222212438"/>
      <w:bookmarkStart w:id="130" w:name="_Toc224024223"/>
      <w:bookmarkStart w:id="131" w:name="_Toc224024308"/>
      <w:bookmarkStart w:id="132"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p>
    <w:p>
      <w:pPr>
        <w:pStyle w:val="yShoulderClause"/>
      </w:pPr>
      <w:r>
        <w:t>[r. 4]</w:t>
      </w:r>
    </w:p>
    <w:p>
      <w:pPr>
        <w:pStyle w:val="yFootnoteheading"/>
      </w:pPr>
      <w:r>
        <w:tab/>
        <w:t>[Heading inserted in Gazette 4 Sep 2009 p. 3473.]</w:t>
      </w:r>
    </w:p>
    <w:p>
      <w:pPr>
        <w:pStyle w:val="yHeading3"/>
        <w:rPr>
          <w:rStyle w:val="CharSDivText"/>
        </w:rPr>
      </w:pPr>
      <w:bookmarkStart w:id="133" w:name="_Toc239746325"/>
      <w:bookmarkStart w:id="134" w:name="_Toc239759648"/>
      <w:bookmarkStart w:id="135" w:name="_Toc268173414"/>
      <w:bookmarkStart w:id="136" w:name="_Toc287428423"/>
      <w:bookmarkStart w:id="137" w:name="_Toc312142994"/>
      <w:bookmarkStart w:id="138" w:name="_Toc312419383"/>
      <w:r>
        <w:rPr>
          <w:rStyle w:val="CharSDivNo"/>
        </w:rPr>
        <w:t>Division 1</w:t>
      </w:r>
      <w:r>
        <w:t> — </w:t>
      </w:r>
      <w:r>
        <w:rPr>
          <w:rStyle w:val="CharSDivText"/>
        </w:rPr>
        <w:t>General</w:t>
      </w:r>
      <w:bookmarkEnd w:id="133"/>
      <w:bookmarkEnd w:id="134"/>
      <w:bookmarkEnd w:id="135"/>
      <w:bookmarkEnd w:id="136"/>
      <w:bookmarkEnd w:id="137"/>
      <w:bookmarkEnd w:id="138"/>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1.20</w:t>
            </w:r>
          </w:p>
          <w:p>
            <w:pPr>
              <w:pStyle w:val="yTableNAm"/>
              <w:jc w:val="center"/>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r>
              <w:rPr>
                <w:szCs w:val="22"/>
              </w:rPr>
              <w:t>27.30</w:t>
            </w:r>
          </w:p>
          <w:p>
            <w:pPr>
              <w:pStyle w:val="yTableNAm"/>
              <w:jc w:val="center"/>
            </w:pPr>
            <w:r>
              <w:br/>
            </w:r>
            <w:r>
              <w:br/>
            </w:r>
            <w:r>
              <w:rPr>
                <w:szCs w:val="22"/>
              </w:rPr>
              <w:t>27.30</w:t>
            </w:r>
          </w:p>
          <w:p>
            <w:pPr>
              <w:pStyle w:val="yTableNAm"/>
              <w:jc w:val="center"/>
            </w:pPr>
            <w:r>
              <w:br/>
            </w:r>
            <w:r>
              <w:rPr>
                <w:szCs w:val="22"/>
              </w:rP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1.20</w:t>
            </w:r>
          </w:p>
          <w:p>
            <w:pPr>
              <w:pStyle w:val="yTableNAm"/>
              <w:jc w:val="center"/>
            </w:pPr>
            <w:r>
              <w:br/>
            </w:r>
            <w:r>
              <w:rPr>
                <w:szCs w:val="22"/>
              </w:rPr>
              <w:t>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r>
              <w:rPr>
                <w:szCs w:val="22"/>
              </w:rPr>
              <w:t>40.20</w:t>
            </w:r>
          </w:p>
          <w:p>
            <w:pPr>
              <w:pStyle w:val="yTableNAm"/>
              <w:jc w:val="center"/>
            </w:pPr>
            <w:r>
              <w:br/>
            </w:r>
            <w:r>
              <w:br/>
            </w:r>
            <w:r>
              <w:br/>
            </w:r>
            <w:r>
              <w:br/>
            </w:r>
            <w:r>
              <w:br/>
            </w:r>
            <w:r>
              <w:rPr>
                <w:szCs w:val="22"/>
              </w:rPr>
              <w:t>67.50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r>
            <w:r>
              <w:rPr>
                <w:szCs w:val="22"/>
              </w:rPr>
              <w:t>9.50</w:t>
            </w:r>
          </w:p>
          <w:p>
            <w:pPr>
              <w:pStyle w:val="yTableNAm"/>
              <w:jc w:val="center"/>
            </w:pPr>
            <w:r>
              <w:br/>
            </w:r>
            <w:r>
              <w:rPr>
                <w:szCs w:val="22"/>
              </w:rPr>
              <w:t>1.20</w:t>
            </w:r>
          </w:p>
          <w:p>
            <w:pPr>
              <w:pStyle w:val="yTableNAm"/>
              <w:jc w:val="center"/>
            </w:pPr>
            <w:r>
              <w:br/>
            </w:r>
            <w:r>
              <w:rPr>
                <w:szCs w:val="22"/>
              </w:rP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r>
            <w:r>
              <w:rPr>
                <w:szCs w:val="22"/>
              </w:rPr>
              <w:t>5.30</w:t>
            </w:r>
          </w:p>
          <w:p>
            <w:pPr>
              <w:pStyle w:val="yTableNAm"/>
              <w:jc w:val="center"/>
            </w:pPr>
            <w:r>
              <w:br/>
            </w:r>
            <w:r>
              <w:br/>
            </w:r>
            <w:r>
              <w:br/>
            </w:r>
            <w:r>
              <w:br/>
            </w:r>
            <w:r>
              <w:rPr>
                <w:szCs w:val="22"/>
              </w:rPr>
              <w:t>13.15</w:t>
            </w:r>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rPr>
          <w:rStyle w:val="CharSDivText"/>
        </w:rPr>
      </w:pPr>
      <w:bookmarkStart w:id="139" w:name="_Toc239746326"/>
      <w:bookmarkStart w:id="140" w:name="_Toc239759649"/>
      <w:bookmarkStart w:id="141" w:name="_Toc268173415"/>
      <w:bookmarkStart w:id="142" w:name="_Toc287428424"/>
      <w:bookmarkStart w:id="143" w:name="_Toc312142995"/>
      <w:bookmarkStart w:id="144" w:name="_Toc312419384"/>
      <w:r>
        <w:rPr>
          <w:rStyle w:val="CharSDivNo"/>
        </w:rPr>
        <w:t>Division 2</w:t>
      </w:r>
      <w:r>
        <w:rPr>
          <w:b w:val="0"/>
        </w:rPr>
        <w:t> — </w:t>
      </w:r>
      <w:r>
        <w:rPr>
          <w:rStyle w:val="CharSDivText"/>
        </w:rPr>
        <w:t>Civil jurisdiction</w:t>
      </w:r>
      <w:bookmarkEnd w:id="139"/>
      <w:bookmarkEnd w:id="140"/>
      <w:bookmarkEnd w:id="141"/>
      <w:bookmarkEnd w:id="142"/>
      <w:bookmarkEnd w:id="143"/>
      <w:bookmarkEnd w:id="144"/>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76.00</w:t>
            </w:r>
          </w:p>
        </w:tc>
        <w:tc>
          <w:tcPr>
            <w:tcW w:w="806" w:type="dxa"/>
            <w:tcBorders>
              <w:top w:val="single" w:sz="4" w:space="0" w:color="auto"/>
            </w:tcBorders>
            <w:vAlign w:val="bottom"/>
          </w:tcPr>
          <w:p>
            <w:pPr>
              <w:pStyle w:val="yTableNAm"/>
              <w:keepNext/>
              <w:keepLines/>
              <w:jc w:val="center"/>
              <w:rPr>
                <w:sz w:val="18"/>
                <w:szCs w:val="18"/>
              </w:rPr>
            </w:pPr>
            <w:r>
              <w:rPr>
                <w:sz w:val="18"/>
                <w:szCs w:val="18"/>
              </w:rPr>
              <w:t>149.00</w:t>
            </w:r>
          </w:p>
        </w:tc>
        <w:tc>
          <w:tcPr>
            <w:tcW w:w="850" w:type="dxa"/>
            <w:tcBorders>
              <w:top w:val="single" w:sz="4" w:space="0" w:color="auto"/>
            </w:tcBorders>
            <w:vAlign w:val="bottom"/>
          </w:tcPr>
          <w:p>
            <w:pPr>
              <w:pStyle w:val="yTableNAm"/>
              <w:keepNext/>
              <w:keepLines/>
              <w:jc w:val="center"/>
              <w:rPr>
                <w:sz w:val="18"/>
                <w:szCs w:val="18"/>
              </w:rPr>
            </w:pPr>
            <w:r>
              <w:rPr>
                <w:sz w:val="18"/>
                <w:szCs w:val="18"/>
              </w:rPr>
              <w:t>194.50</w:t>
            </w:r>
          </w:p>
        </w:tc>
        <w:tc>
          <w:tcPr>
            <w:tcW w:w="851" w:type="dxa"/>
            <w:tcBorders>
              <w:top w:val="single" w:sz="4" w:space="0" w:color="auto"/>
            </w:tcBorders>
            <w:vAlign w:val="bottom"/>
          </w:tcPr>
          <w:p>
            <w:pPr>
              <w:pStyle w:val="yTableNAm"/>
              <w:keepNext/>
              <w:keepLines/>
              <w:jc w:val="center"/>
              <w:rPr>
                <w:sz w:val="18"/>
                <w:szCs w:val="18"/>
              </w:rPr>
            </w:pPr>
            <w:r>
              <w:rPr>
                <w:sz w:val="18"/>
                <w:szCs w:val="18"/>
              </w:rPr>
              <w:t>381.00</w:t>
            </w:r>
          </w:p>
        </w:tc>
        <w:tc>
          <w:tcPr>
            <w:tcW w:w="850" w:type="dxa"/>
            <w:tcBorders>
              <w:top w:val="single" w:sz="4" w:space="0" w:color="auto"/>
            </w:tcBorders>
            <w:vAlign w:val="bottom"/>
          </w:tcPr>
          <w:p>
            <w:pPr>
              <w:pStyle w:val="yTableNAm"/>
              <w:keepNext/>
              <w:keepLines/>
              <w:jc w:val="center"/>
              <w:rPr>
                <w:sz w:val="18"/>
                <w:szCs w:val="18"/>
              </w:rPr>
            </w:pPr>
            <w:r>
              <w:rPr>
                <w:sz w:val="18"/>
                <w:szCs w:val="18"/>
              </w:rPr>
              <w:t>310.00</w:t>
            </w:r>
          </w:p>
        </w:tc>
        <w:tc>
          <w:tcPr>
            <w:tcW w:w="851" w:type="dxa"/>
            <w:tcBorders>
              <w:top w:val="single" w:sz="4" w:space="0" w:color="auto"/>
            </w:tcBorders>
            <w:vAlign w:val="bottom"/>
          </w:tcPr>
          <w:p>
            <w:pPr>
              <w:pStyle w:val="yTableNAm"/>
              <w:keepNext/>
              <w:keepLines/>
              <w:jc w:val="center"/>
              <w:rPr>
                <w:sz w:val="18"/>
                <w:szCs w:val="18"/>
              </w:rPr>
            </w:pPr>
            <w:r>
              <w:rPr>
                <w:sz w:val="18"/>
                <w:szCs w:val="18"/>
              </w:rPr>
              <w:t>604.00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49.50</w:t>
            </w:r>
          </w:p>
        </w:tc>
        <w:tc>
          <w:tcPr>
            <w:tcW w:w="851" w:type="dxa"/>
            <w:gridSpan w:val="2"/>
            <w:vAlign w:val="bottom"/>
          </w:tcPr>
          <w:p>
            <w:pPr>
              <w:pStyle w:val="yTableNAm"/>
              <w:jc w:val="center"/>
              <w:rPr>
                <w:sz w:val="18"/>
                <w:szCs w:val="18"/>
              </w:rPr>
            </w:pPr>
            <w:r>
              <w:rPr>
                <w:sz w:val="18"/>
                <w:szCs w:val="18"/>
              </w:rPr>
              <w:t>96.50</w:t>
            </w:r>
          </w:p>
        </w:tc>
        <w:tc>
          <w:tcPr>
            <w:tcW w:w="850" w:type="dxa"/>
            <w:vAlign w:val="bottom"/>
          </w:tcPr>
          <w:p>
            <w:pPr>
              <w:pStyle w:val="yTableNAm"/>
              <w:jc w:val="center"/>
              <w:rPr>
                <w:sz w:val="18"/>
                <w:szCs w:val="18"/>
              </w:rPr>
            </w:pPr>
            <w:r>
              <w:rPr>
                <w:sz w:val="18"/>
                <w:szCs w:val="18"/>
              </w:rPr>
              <w:t>90.50</w:t>
            </w:r>
          </w:p>
        </w:tc>
        <w:tc>
          <w:tcPr>
            <w:tcW w:w="851" w:type="dxa"/>
            <w:vAlign w:val="bottom"/>
          </w:tcPr>
          <w:p>
            <w:pPr>
              <w:pStyle w:val="yTableNAm"/>
              <w:jc w:val="center"/>
              <w:rPr>
                <w:sz w:val="18"/>
                <w:szCs w:val="18"/>
              </w:rPr>
            </w:pPr>
            <w:r>
              <w:rPr>
                <w:sz w:val="18"/>
                <w:szCs w:val="18"/>
              </w:rPr>
              <w:t>151.00</w:t>
            </w:r>
          </w:p>
        </w:tc>
        <w:tc>
          <w:tcPr>
            <w:tcW w:w="850" w:type="dxa"/>
            <w:vAlign w:val="bottom"/>
          </w:tcPr>
          <w:p>
            <w:pPr>
              <w:pStyle w:val="yTableNAm"/>
              <w:jc w:val="center"/>
              <w:rPr>
                <w:sz w:val="18"/>
                <w:szCs w:val="18"/>
              </w:rPr>
            </w:pPr>
            <w:r>
              <w:rPr>
                <w:sz w:val="18"/>
                <w:szCs w:val="18"/>
              </w:rPr>
              <w:t>144.00</w:t>
            </w:r>
          </w:p>
        </w:tc>
        <w:tc>
          <w:tcPr>
            <w:tcW w:w="851" w:type="dxa"/>
            <w:vAlign w:val="bottom"/>
          </w:tcPr>
          <w:p>
            <w:pPr>
              <w:pStyle w:val="yTableNAm"/>
              <w:jc w:val="center"/>
              <w:rPr>
                <w:sz w:val="18"/>
                <w:szCs w:val="18"/>
              </w:rPr>
            </w:pPr>
            <w:r>
              <w:rPr>
                <w:sz w:val="18"/>
                <w:szCs w:val="18"/>
              </w:rPr>
              <w:t>241.00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25.50</w:t>
            </w:r>
          </w:p>
        </w:tc>
        <w:tc>
          <w:tcPr>
            <w:tcW w:w="851" w:type="dxa"/>
            <w:gridSpan w:val="2"/>
          </w:tcPr>
          <w:p>
            <w:pPr>
              <w:pStyle w:val="yTableNAm"/>
              <w:jc w:val="center"/>
              <w:rPr>
                <w:sz w:val="18"/>
              </w:rPr>
            </w:pPr>
            <w:r>
              <w:rPr>
                <w:sz w:val="18"/>
              </w:rPr>
              <w:br/>
              <w:t>65.50</w:t>
            </w:r>
          </w:p>
        </w:tc>
        <w:tc>
          <w:tcPr>
            <w:tcW w:w="850" w:type="dxa"/>
          </w:tcPr>
          <w:p>
            <w:pPr>
              <w:pStyle w:val="yTableNAm"/>
              <w:jc w:val="center"/>
              <w:rPr>
                <w:sz w:val="18"/>
              </w:rPr>
            </w:pPr>
            <w:r>
              <w:rPr>
                <w:sz w:val="18"/>
              </w:rPr>
              <w:br/>
              <w:t>38.50</w:t>
            </w:r>
          </w:p>
        </w:tc>
        <w:tc>
          <w:tcPr>
            <w:tcW w:w="851" w:type="dxa"/>
          </w:tcPr>
          <w:p>
            <w:pPr>
              <w:pStyle w:val="yTableNAm"/>
              <w:jc w:val="center"/>
              <w:rPr>
                <w:sz w:val="18"/>
              </w:rPr>
            </w:pPr>
            <w:r>
              <w:rPr>
                <w:sz w:val="18"/>
              </w:rPr>
              <w:br/>
              <w:t>100.00</w:t>
            </w:r>
          </w:p>
        </w:tc>
        <w:tc>
          <w:tcPr>
            <w:tcW w:w="850" w:type="dxa"/>
          </w:tcPr>
          <w:p>
            <w:pPr>
              <w:pStyle w:val="yTableNAm"/>
              <w:jc w:val="center"/>
              <w:rPr>
                <w:sz w:val="18"/>
              </w:rPr>
            </w:pPr>
            <w:r>
              <w:rPr>
                <w:sz w:val="18"/>
              </w:rPr>
              <w:br/>
              <w:t>51.50</w:t>
            </w:r>
          </w:p>
        </w:tc>
        <w:tc>
          <w:tcPr>
            <w:tcW w:w="851" w:type="dxa"/>
          </w:tcPr>
          <w:p>
            <w:pPr>
              <w:pStyle w:val="yTableNAm"/>
              <w:jc w:val="center"/>
              <w:rPr>
                <w:sz w:val="18"/>
              </w:rPr>
            </w:pPr>
            <w:r>
              <w:rPr>
                <w:sz w:val="18"/>
              </w:rPr>
              <w:br/>
              <w:t>134.00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121.00</w:t>
            </w:r>
          </w:p>
        </w:tc>
        <w:tc>
          <w:tcPr>
            <w:tcW w:w="851" w:type="dxa"/>
            <w:gridSpan w:val="2"/>
          </w:tcPr>
          <w:p>
            <w:pPr>
              <w:pStyle w:val="yTableNAm"/>
              <w:jc w:val="center"/>
              <w:rPr>
                <w:sz w:val="18"/>
              </w:rPr>
            </w:pPr>
            <w:r>
              <w:rPr>
                <w:sz w:val="18"/>
              </w:rPr>
              <w:br/>
              <w:t>235.00</w:t>
            </w:r>
          </w:p>
        </w:tc>
        <w:tc>
          <w:tcPr>
            <w:tcW w:w="850" w:type="dxa"/>
          </w:tcPr>
          <w:p>
            <w:pPr>
              <w:pStyle w:val="yTableNAm"/>
              <w:jc w:val="center"/>
              <w:rPr>
                <w:sz w:val="18"/>
              </w:rPr>
            </w:pPr>
            <w:r>
              <w:rPr>
                <w:sz w:val="18"/>
              </w:rPr>
              <w:br/>
              <w:t>220.00</w:t>
            </w:r>
          </w:p>
        </w:tc>
        <w:tc>
          <w:tcPr>
            <w:tcW w:w="851" w:type="dxa"/>
          </w:tcPr>
          <w:p>
            <w:pPr>
              <w:pStyle w:val="yTableNAm"/>
              <w:jc w:val="center"/>
              <w:rPr>
                <w:sz w:val="18"/>
              </w:rPr>
            </w:pPr>
            <w:r>
              <w:rPr>
                <w:sz w:val="18"/>
              </w:rPr>
              <w:br/>
              <w:t>426.00</w:t>
            </w:r>
          </w:p>
        </w:tc>
        <w:tc>
          <w:tcPr>
            <w:tcW w:w="850" w:type="dxa"/>
          </w:tcPr>
          <w:p>
            <w:pPr>
              <w:pStyle w:val="yTableNAm"/>
              <w:jc w:val="center"/>
              <w:rPr>
                <w:sz w:val="18"/>
              </w:rPr>
            </w:pPr>
            <w:r>
              <w:rPr>
                <w:sz w:val="18"/>
              </w:rPr>
              <w:br/>
              <w:t>245.00</w:t>
            </w:r>
          </w:p>
        </w:tc>
        <w:tc>
          <w:tcPr>
            <w:tcW w:w="851" w:type="dxa"/>
          </w:tcPr>
          <w:p>
            <w:pPr>
              <w:pStyle w:val="yTableNAm"/>
              <w:jc w:val="center"/>
              <w:rPr>
                <w:sz w:val="18"/>
              </w:rPr>
            </w:pPr>
            <w:r>
              <w:rPr>
                <w:sz w:val="18"/>
              </w:rPr>
              <w:br/>
              <w:t>475.00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64.00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124.00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77.00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149.50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203.50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64.00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rPr>
              <w:t>124.00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77.00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149.50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203.50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22.00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rPr>
              <w:t>76.00</w:t>
            </w:r>
          </w:p>
        </w:tc>
      </w:tr>
    </w:tbl>
    <w:p>
      <w:pPr>
        <w:pStyle w:val="yFootnotesection"/>
      </w:pPr>
      <w:r>
        <w:tab/>
        <w:t>[Division 2 inserted in Gazette 4 Sep 2009 p. 3475-8; amended in Gazette 30 Jul 2010 p. 3499-500; 8 Mar 2011 p. 788</w:t>
      </w:r>
      <w:r>
        <w:noBreakHyphen/>
        <w:t>90.]</w:t>
      </w:r>
    </w:p>
    <w:p>
      <w:pPr>
        <w:pStyle w:val="yHeading3"/>
      </w:pPr>
      <w:bookmarkStart w:id="145" w:name="_Toc239746327"/>
      <w:bookmarkStart w:id="146" w:name="_Toc239759650"/>
      <w:bookmarkStart w:id="147" w:name="_Toc268173416"/>
      <w:bookmarkStart w:id="148" w:name="_Toc287428425"/>
      <w:bookmarkStart w:id="149" w:name="_Toc312142996"/>
      <w:bookmarkStart w:id="150" w:name="_Toc312419385"/>
      <w:r>
        <w:rPr>
          <w:rStyle w:val="CharSDivNo"/>
        </w:rPr>
        <w:t>Division 3</w:t>
      </w:r>
      <w:r>
        <w:rPr>
          <w:b w:val="0"/>
        </w:rPr>
        <w:t> — </w:t>
      </w:r>
      <w:r>
        <w:rPr>
          <w:rStyle w:val="CharSDivText"/>
        </w:rPr>
        <w:t>Criminal jurisdiction</w:t>
      </w:r>
      <w:bookmarkEnd w:id="145"/>
      <w:bookmarkEnd w:id="146"/>
      <w:bookmarkEnd w:id="147"/>
      <w:bookmarkEnd w:id="148"/>
      <w:bookmarkEnd w:id="149"/>
      <w:bookmarkEnd w:id="150"/>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64.00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12.25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64.00</w:t>
            </w:r>
          </w:p>
          <w:p>
            <w:pPr>
              <w:pStyle w:val="yTableNAm"/>
              <w:jc w:val="center"/>
            </w:pPr>
            <w:r>
              <w:t>83.00</w:t>
            </w:r>
          </w:p>
        </w:tc>
      </w:tr>
    </w:tbl>
    <w:p>
      <w:pPr>
        <w:pStyle w:val="yFootnotesection"/>
      </w:pPr>
      <w:r>
        <w:tab/>
        <w:t>[Division 3 inserted in Gazette 4 Sep 2009 p. 3478</w:t>
      </w:r>
      <w:r>
        <w:noBreakHyphen/>
        <w:t>9; amended in Gazette 8 Mar 2011 p. 790.]</w:t>
      </w:r>
    </w:p>
    <w:p>
      <w:pPr>
        <w:pStyle w:val="yScheduleHeading"/>
      </w:pPr>
      <w:bookmarkStart w:id="151" w:name="_Toc239746328"/>
      <w:bookmarkStart w:id="152" w:name="_Toc239759651"/>
      <w:bookmarkStart w:id="153" w:name="_Toc268173417"/>
      <w:bookmarkStart w:id="154" w:name="_Toc287428426"/>
      <w:bookmarkStart w:id="155" w:name="_Toc312142997"/>
      <w:bookmarkStart w:id="156" w:name="_Toc312419386"/>
      <w:r>
        <w:rPr>
          <w:rStyle w:val="CharSchNo"/>
        </w:rPr>
        <w:t>Schedule 2</w:t>
      </w:r>
      <w:r>
        <w:rPr>
          <w:rStyle w:val="CharSDivNo"/>
        </w:rPr>
        <w:t> </w:t>
      </w:r>
      <w:r>
        <w:t>—</w:t>
      </w:r>
      <w:r>
        <w:rPr>
          <w:rStyle w:val="CharSDivText"/>
        </w:rPr>
        <w:t> </w:t>
      </w:r>
      <w:r>
        <w:rPr>
          <w:rStyle w:val="CharSchText"/>
        </w:rPr>
        <w:t>Forms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51"/>
      <w:bookmarkEnd w:id="152"/>
      <w:bookmarkEnd w:id="153"/>
      <w:bookmarkEnd w:id="154"/>
      <w:bookmarkEnd w:id="155"/>
      <w:bookmarkEnd w:id="156"/>
    </w:p>
    <w:p>
      <w:pPr>
        <w:pStyle w:val="yShoulderClause"/>
      </w:pPr>
      <w:r>
        <w:t>[r. 4(6), 8(6), 13(2)]</w:t>
      </w:r>
    </w:p>
    <w:p>
      <w:pPr>
        <w:pStyle w:val="yHeading5"/>
      </w:pPr>
      <w:bookmarkStart w:id="157" w:name="_Toc96398510"/>
      <w:bookmarkStart w:id="158" w:name="_Toc96417044"/>
      <w:bookmarkStart w:id="159" w:name="_Toc100631336"/>
      <w:bookmarkStart w:id="160" w:name="_Toc102451465"/>
      <w:bookmarkStart w:id="161" w:name="_Toc222114927"/>
      <w:bookmarkStart w:id="162" w:name="_Toc312419387"/>
      <w:r>
        <w:t>1.</w:t>
      </w:r>
      <w:r>
        <w:tab/>
        <w:t>Declaration that a person is a small business or a non</w:t>
      </w:r>
      <w:r>
        <w:noBreakHyphen/>
        <w:t>profit association</w:t>
      </w:r>
      <w:bookmarkEnd w:id="157"/>
      <w:bookmarkEnd w:id="158"/>
      <w:bookmarkEnd w:id="159"/>
      <w:bookmarkEnd w:id="160"/>
      <w:bookmarkEnd w:id="161"/>
      <w:bookmarkEnd w:id="16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63" w:name="_Toc96398511"/>
      <w:bookmarkStart w:id="164" w:name="_Toc96417045"/>
      <w:bookmarkStart w:id="165" w:name="_Toc100631337"/>
      <w:bookmarkStart w:id="166" w:name="_Toc102451466"/>
      <w:bookmarkStart w:id="167" w:name="_Toc222114928"/>
      <w:bookmarkStart w:id="168" w:name="_Toc312419388"/>
      <w:r>
        <w:t>2.</w:t>
      </w:r>
      <w:r>
        <w:tab/>
        <w:t>Application to remit fees</w:t>
      </w:r>
      <w:bookmarkEnd w:id="163"/>
      <w:bookmarkEnd w:id="164"/>
      <w:bookmarkEnd w:id="165"/>
      <w:bookmarkEnd w:id="166"/>
      <w:bookmarkEnd w:id="167"/>
      <w:bookmarkEnd w:id="16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69" w:name="_Toc100631338"/>
      <w:bookmarkStart w:id="170" w:name="_Toc102451467"/>
      <w:bookmarkStart w:id="171" w:name="_Toc222114929"/>
      <w:bookmarkStart w:id="172" w:name="_Toc312419389"/>
      <w:r>
        <w:t>3.</w:t>
      </w:r>
      <w:r>
        <w:tab/>
        <w:t>Application for determination of dispute about fees</w:t>
      </w:r>
      <w:bookmarkEnd w:id="169"/>
      <w:bookmarkEnd w:id="170"/>
      <w:bookmarkEnd w:id="171"/>
      <w:bookmarkEnd w:id="17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73" w:name="_Toc102451468"/>
      <w:bookmarkStart w:id="174" w:name="_Toc139104723"/>
      <w:bookmarkStart w:id="175" w:name="_Toc139276721"/>
      <w:bookmarkStart w:id="176" w:name="_Toc171051740"/>
      <w:bookmarkStart w:id="177" w:name="_Toc198631560"/>
      <w:bookmarkStart w:id="178" w:name="_Toc202521840"/>
      <w:bookmarkStart w:id="179" w:name="_Toc203535235"/>
      <w:bookmarkStart w:id="180" w:name="_Toc207168620"/>
      <w:bookmarkStart w:id="181" w:name="_Toc210114996"/>
      <w:bookmarkStart w:id="182" w:name="_Toc210119124"/>
      <w:bookmarkStart w:id="183" w:name="_Toc219794100"/>
      <w:bookmarkStart w:id="184" w:name="_Toc219794297"/>
      <w:bookmarkStart w:id="185" w:name="_Toc222114930"/>
      <w:bookmarkStart w:id="186" w:name="_Toc222212442"/>
      <w:bookmarkStart w:id="187" w:name="_Toc224024227"/>
      <w:bookmarkStart w:id="188" w:name="_Toc224024312"/>
      <w:bookmarkStart w:id="189" w:name="_Toc232310095"/>
      <w:bookmarkStart w:id="190" w:name="_Toc239746332"/>
      <w:bookmarkStart w:id="191" w:name="_Toc239759655"/>
      <w:bookmarkStart w:id="192" w:name="_Toc268173421"/>
      <w:bookmarkStart w:id="193" w:name="_Toc287428430"/>
      <w:bookmarkStart w:id="194" w:name="_Toc312143001"/>
      <w:bookmarkStart w:id="195" w:name="_Toc312419390"/>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96" w:name="_Toc312419391"/>
      <w: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Borders>
              <w:bottom w:val="single" w:sz="4" w:space="0" w:color="auto"/>
            </w:tcBorders>
          </w:tcPr>
          <w:p>
            <w:pPr>
              <w:pStyle w:val="nTable"/>
              <w:spacing w:after="40"/>
              <w:rPr>
                <w:sz w:val="19"/>
              </w:rPr>
            </w:pPr>
            <w:r>
              <w:rPr>
                <w:i/>
                <w:sz w:val="19"/>
              </w:rPr>
              <w:t>Magistrates Court (Fees) Amendment Regulations (No. 2) 2011</w:t>
            </w:r>
            <w:r>
              <w:rPr>
                <w:sz w:val="19"/>
                <w:vertAlign w:val="superscript"/>
              </w:rPr>
              <w:t> 2</w:t>
            </w:r>
          </w:p>
        </w:tc>
        <w:tc>
          <w:tcPr>
            <w:tcW w:w="1276" w:type="dxa"/>
            <w:tcBorders>
              <w:bottom w:val="single" w:sz="4" w:space="0" w:color="auto"/>
            </w:tcBorders>
          </w:tcPr>
          <w:p>
            <w:pPr>
              <w:pStyle w:val="nTable"/>
              <w:spacing w:after="40"/>
              <w:rPr>
                <w:sz w:val="19"/>
              </w:rPr>
            </w:pPr>
            <w:r>
              <w:rPr>
                <w:sz w:val="19"/>
              </w:rPr>
              <w:t>20 Dec 2011 p. 5387-90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7" w:name="_Toc219794299"/>
      <w:bookmarkStart w:id="198" w:name="_Toc222114932"/>
      <w:bookmarkStart w:id="199" w:name="_Toc222212444"/>
      <w:bookmarkStart w:id="200" w:name="_Toc224024229"/>
      <w:bookmarkStart w:id="201" w:name="_Toc224024314"/>
      <w:bookmarkStart w:id="202" w:name="_Toc232310097"/>
      <w:bookmarkStart w:id="203" w:name="_Toc239746334"/>
      <w:bookmarkStart w:id="204" w:name="_Toc239759657"/>
      <w:bookmarkStart w:id="205" w:name="_Toc268173423"/>
      <w:bookmarkStart w:id="206" w:name="_Toc287428432"/>
      <w:bookmarkStart w:id="207" w:name="_Toc312143003"/>
      <w:bookmarkStart w:id="208" w:name="_Toc312419392"/>
      <w:r>
        <w:rPr>
          <w:sz w:val="28"/>
        </w:rPr>
        <w:t>Defined Terms</w:t>
      </w:r>
      <w:bookmarkEnd w:id="197"/>
      <w:bookmarkEnd w:id="198"/>
      <w:bookmarkEnd w:id="199"/>
      <w:bookmarkEnd w:id="200"/>
      <w:bookmarkEnd w:id="201"/>
      <w:bookmarkEnd w:id="202"/>
      <w:bookmarkEnd w:id="203"/>
      <w:bookmarkEnd w:id="204"/>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 w:name="DefinedTerms"/>
      <w:bookmarkEnd w:id="209"/>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6666</Words>
  <Characters>35067</Characters>
  <Application>Microsoft Office Word</Application>
  <DocSecurity>0</DocSecurity>
  <Lines>1461</Lines>
  <Paragraphs>802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2005 - 01-f0-02</dc:title>
  <dc:subject/>
  <dc:creator/>
  <cp:keywords/>
  <dc:description/>
  <cp:lastModifiedBy>svcMRProcess</cp:lastModifiedBy>
  <cp:revision>4</cp:revision>
  <cp:lastPrinted>2009-02-12T06:34:00Z</cp:lastPrinted>
  <dcterms:created xsi:type="dcterms:W3CDTF">2018-09-12T18:00:00Z</dcterms:created>
  <dcterms:modified xsi:type="dcterms:W3CDTF">2018-09-12T18:01:00Z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20111221</vt:lpwstr>
  </property>
  <property fmtid="{D5CDD505-2E9C-101B-9397-08002B2CF9AE}" pid="4" name="OwlsUID">
    <vt:i4>37120</vt:i4>
  </property>
  <property fmtid="{D5CDD505-2E9C-101B-9397-08002B2CF9AE}" pid="5" name="AsAtDate">
    <vt:lpwstr>21 Dec 2011</vt:lpwstr>
  </property>
  <property fmtid="{D5CDD505-2E9C-101B-9397-08002B2CF9AE}" pid="6" name="Suffix">
    <vt:lpwstr>01-f0-02</vt:lpwstr>
  </property>
  <property fmtid="{D5CDD505-2E9C-101B-9397-08002B2CF9AE}" pid="7" name="ReprintNo">
    <vt:lpwstr>1</vt:lpwstr>
  </property>
  <property fmtid="{D5CDD505-2E9C-101B-9397-08002B2CF9AE}" pid="8" name="DocumentType">
    <vt:lpwstr>Reg</vt:lpwstr>
  </property>
</Properties>
</file>