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Armadale Redevelopment Act 2001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Armadale Redevelopment Regulations 2003</w:t>
      </w:r>
      <w:r>
        <w:fldChar w:fldCharType="end"/>
      </w:r>
    </w:p>
    <w:p>
      <w:pPr>
        <w:pStyle w:val="Subsection"/>
      </w:pPr>
      <w:r>
        <w:rPr>
          <w:color w:val="000000"/>
          <w:sz w:val="22"/>
          <w:szCs w:val="22"/>
        </w:rPr>
        <w:tab/>
      </w:r>
      <w:r>
        <w:rPr>
          <w:sz w:val="22"/>
          <w:szCs w:val="22"/>
        </w:rPr>
        <w:tab/>
        <w:t xml:space="preserve">These regulations were repealed by the </w:t>
      </w:r>
      <w:r>
        <w:rPr>
          <w:i/>
          <w:sz w:val="22"/>
          <w:szCs w:val="22"/>
        </w:rPr>
        <w:t>Metropolitan Redevelopment Authority Act 2011</w:t>
      </w:r>
      <w:r>
        <w:rPr>
          <w:sz w:val="22"/>
          <w:szCs w:val="22"/>
        </w:rPr>
        <w:t xml:space="preserve"> s. 134(a) (No. 45 of 2011) as at 31 Dec 2011 (see s. 2(b) and </w:t>
      </w:r>
      <w:r>
        <w:rPr>
          <w:i/>
          <w:sz w:val="22"/>
          <w:szCs w:val="22"/>
        </w:rPr>
        <w:t>Gazette</w:t>
      </w:r>
      <w:r>
        <w:rPr>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_Toc425431777 \h </w:instrText>
      </w:r>
      <w:r>
        <w:fldChar w:fldCharType="separate"/>
      </w:r>
      <w:r>
        <w:t>1</w:t>
      </w:r>
      <w:r>
        <w:fldChar w:fldCharType="end"/>
      </w:r>
    </w:p>
    <w:p>
      <w:pPr>
        <w:pStyle w:val="TOC8"/>
        <w:rPr>
          <w:rFonts w:asciiTheme="minorHAnsi" w:eastAsiaTheme="minorEastAsia" w:hAnsiTheme="minorHAnsi" w:cstheme="minorBidi"/>
          <w:szCs w:val="22"/>
        </w:rPr>
      </w:pPr>
      <w:r>
        <w:t>2.</w:t>
      </w:r>
      <w:r>
        <w:tab/>
        <w:t>Exclusions from definition of “development”</w:t>
      </w:r>
      <w:r>
        <w:tab/>
      </w:r>
      <w:r>
        <w:fldChar w:fldCharType="begin"/>
      </w:r>
      <w:r>
        <w:instrText xml:space="preserve"> PAGEREF _Toc425431778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w:t>
      </w:r>
      <w:r>
        <w:tab/>
      </w:r>
      <w:r>
        <w:fldChar w:fldCharType="begin"/>
      </w:r>
      <w:r>
        <w:instrText xml:space="preserve"> PAGEREF _Toc425431779 \h </w:instrText>
      </w:r>
      <w:r>
        <w:fldChar w:fldCharType="separate"/>
      </w:r>
      <w:r>
        <w:t>4</w:t>
      </w:r>
      <w:r>
        <w:fldChar w:fldCharType="end"/>
      </w:r>
    </w:p>
    <w:p>
      <w:pPr>
        <w:pStyle w:val="TOC8"/>
        <w:rPr>
          <w:rFonts w:asciiTheme="minorHAnsi" w:eastAsiaTheme="minorEastAsia" w:hAnsiTheme="minorHAnsi" w:cstheme="minorBidi"/>
          <w:szCs w:val="22"/>
        </w:rPr>
      </w:pPr>
      <w:r>
        <w:t>4.</w:t>
      </w:r>
      <w:r>
        <w:tab/>
        <w:t>Fee for application</w:t>
      </w:r>
      <w:r>
        <w:tab/>
      </w:r>
      <w:r>
        <w:fldChar w:fldCharType="begin"/>
      </w:r>
      <w:r>
        <w:instrText xml:space="preserve"> PAGEREF _Toc425431780 \h </w:instrText>
      </w:r>
      <w:r>
        <w:fldChar w:fldCharType="separate"/>
      </w:r>
      <w:r>
        <w:t>4</w:t>
      </w:r>
      <w:r>
        <w:fldChar w:fldCharType="end"/>
      </w:r>
    </w:p>
    <w:p>
      <w:pPr>
        <w:pStyle w:val="TOC8"/>
        <w:rPr>
          <w:rFonts w:asciiTheme="minorHAnsi" w:eastAsiaTheme="minorEastAsia" w:hAnsiTheme="minorHAnsi" w:cstheme="minorBidi"/>
          <w:szCs w:val="22"/>
        </w:rPr>
      </w:pPr>
      <w:r>
        <w:t>5.</w:t>
      </w:r>
      <w:r>
        <w:tab/>
        <w:t>Plans</w:t>
      </w:r>
      <w:r>
        <w:tab/>
      </w:r>
      <w:r>
        <w:fldChar w:fldCharType="begin"/>
      </w:r>
      <w:r>
        <w:instrText xml:space="preserve"> PAGEREF _Toc425431781 \h </w:instrText>
      </w:r>
      <w:r>
        <w:fldChar w:fldCharType="separate"/>
      </w:r>
      <w:r>
        <w:t>4</w:t>
      </w:r>
      <w:r>
        <w:fldChar w:fldCharType="end"/>
      </w:r>
    </w:p>
    <w:p>
      <w:pPr>
        <w:pStyle w:val="TOC8"/>
        <w:rPr>
          <w:rFonts w:asciiTheme="minorHAnsi" w:eastAsiaTheme="minorEastAsia" w:hAnsiTheme="minorHAnsi" w:cstheme="minorBidi"/>
          <w:szCs w:val="22"/>
        </w:rPr>
      </w:pPr>
      <w:r>
        <w:t>6.</w:t>
      </w:r>
      <w:r>
        <w:tab/>
        <w:t>Fee for revised plan</w:t>
      </w:r>
      <w:r>
        <w:tab/>
      </w:r>
      <w:r>
        <w:fldChar w:fldCharType="begin"/>
      </w:r>
      <w:r>
        <w:instrText xml:space="preserve"> PAGEREF _Toc425431782 \h </w:instrText>
      </w:r>
      <w:r>
        <w:fldChar w:fldCharType="separate"/>
      </w:r>
      <w:r>
        <w:t>6</w:t>
      </w:r>
      <w:r>
        <w:fldChar w:fldCharType="end"/>
      </w:r>
    </w:p>
    <w:p>
      <w:pPr>
        <w:pStyle w:val="TOC8"/>
        <w:rPr>
          <w:rFonts w:asciiTheme="minorHAnsi" w:eastAsiaTheme="minorEastAsia" w:hAnsiTheme="minorHAnsi" w:cstheme="minorBidi"/>
          <w:szCs w:val="22"/>
        </w:rPr>
      </w:pPr>
      <w:r>
        <w:t>7.</w:t>
      </w:r>
      <w:r>
        <w:tab/>
        <w:t>Offences</w:t>
      </w:r>
      <w:r>
        <w:tab/>
      </w:r>
      <w:r>
        <w:fldChar w:fldCharType="begin"/>
      </w:r>
      <w:r>
        <w:instrText xml:space="preserve"> PAGEREF _Toc425431783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application</w:t>
      </w:r>
    </w:p>
    <w:p>
      <w:pPr>
        <w:pStyle w:val="TOC2"/>
        <w:tabs>
          <w:tab w:val="right" w:leader="dot" w:pos="7077"/>
        </w:tabs>
        <w:rPr>
          <w:rFonts w:asciiTheme="minorHAnsi" w:eastAsiaTheme="minorEastAsia" w:hAnsiTheme="minorHAnsi" w:cstheme="minorBidi"/>
          <w:b w:val="0"/>
          <w:sz w:val="22"/>
          <w:szCs w:val="22"/>
        </w:rPr>
      </w:pPr>
      <w:r>
        <w:t>Schedule 2 — Fee for application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_Toc425431787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3" w:name="_Toc377996512"/>
      <w:bookmarkStart w:id="4" w:name="_Toc42543177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Armadale Redevelopment Regulations 2003</w:t>
      </w:r>
      <w:r>
        <w:rPr>
          <w:vertAlign w:val="superscript"/>
        </w:rPr>
        <w:t> 1</w:t>
      </w:r>
      <w:r>
        <w:t>.</w:t>
      </w:r>
    </w:p>
    <w:p>
      <w:pPr>
        <w:pStyle w:val="Heading5"/>
      </w:pPr>
      <w:bookmarkStart w:id="6" w:name="_Toc377996513"/>
      <w:bookmarkStart w:id="7" w:name="_Toc425431778"/>
      <w:r>
        <w:rPr>
          <w:rStyle w:val="CharSectno"/>
        </w:rPr>
        <w:t>2</w:t>
      </w:r>
      <w:r>
        <w:t>.</w:t>
      </w:r>
      <w:r>
        <w:tab/>
        <w:t>Exclusions from definition of “development”</w:t>
      </w:r>
      <w:bookmarkEnd w:id="6"/>
      <w:bookmarkEnd w:id="7"/>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 xml:space="preserve">the erection of a sign, including a traffic control sign or device, by a public authority or the City of </w:t>
      </w:r>
      <w:smartTag w:uri="urn:schemas-microsoft-com:office:smarttags" w:element="City">
        <w:smartTag w:uri="urn:schemas-microsoft-com:office:smarttags" w:element="place">
          <w:r>
            <w:t>Armadale</w:t>
          </w:r>
        </w:smartTag>
      </w:smartTag>
      <w:r>
        <w:t>;</w:t>
      </w:r>
    </w:p>
    <w:p>
      <w:pPr>
        <w:pStyle w:val="Indenta"/>
      </w:pPr>
      <w:r>
        <w:tab/>
        <w:t>(b)</w:t>
      </w:r>
      <w:r>
        <w:tab/>
        <w:t>the erection of a sign within a building;</w:t>
      </w:r>
    </w:p>
    <w:p>
      <w:pPr>
        <w:pStyle w:val="Indenta"/>
      </w:pPr>
      <w:r>
        <w:tab/>
        <w:t>(c)</w:t>
      </w:r>
      <w:r>
        <w:tab/>
        <w:t xml:space="preserve">the carrying out of routine work by a public authority or the City of </w:t>
      </w:r>
      <w:smartTag w:uri="urn:schemas-microsoft-com:office:smarttags" w:element="City">
        <w:smartTag w:uri="urn:schemas-microsoft-com:office:smarttags" w:element="place">
          <w:r>
            <w:t>Armadale</w:t>
          </w:r>
        </w:smartTag>
      </w:smartTag>
      <w:r>
        <w:t xml:space="preserv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 xml:space="preserve">a drain or pipe that is part of a drainage scheme under the control of the public authority or the City of </w:t>
      </w:r>
      <w:smartTag w:uri="urn:schemas-microsoft-com:office:smarttags" w:element="City">
        <w:smartTag w:uri="urn:schemas-microsoft-com:office:smarttags" w:element="place">
          <w:r>
            <w:t>Armadale</w:t>
          </w:r>
        </w:smartTag>
      </w:smartTag>
      <w:r>
        <w:t>;</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the use of land, or any work on land, by the Authority, that where the land is held by the Authority or a public authority, providing the use or work complies with subregulation (2a);</w:t>
      </w:r>
    </w:p>
    <w:p>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pPr>
        <w:pStyle w:val="Indenti"/>
      </w:pPr>
      <w:r>
        <w:tab/>
        <w:t>(i)</w:t>
      </w:r>
      <w:r>
        <w:tab/>
        <w:t xml:space="preserve">is located in a place that has been entered in the Register of Heritage Places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or</w:t>
      </w:r>
    </w:p>
    <w:p>
      <w:pPr>
        <w:pStyle w:val="Indenti"/>
      </w:pPr>
      <w:r>
        <w:tab/>
        <w:t>(ii)</w:t>
      </w:r>
      <w:r>
        <w:tab/>
        <w:t xml:space="preserve">is the subject of an order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xml:space="preserve"> Part 6; or</w:t>
      </w:r>
    </w:p>
    <w:p>
      <w:pPr>
        <w:pStyle w:val="Indenti"/>
      </w:pPr>
      <w:r>
        <w:tab/>
        <w:t>(iii)</w:t>
      </w:r>
      <w:r>
        <w:tab/>
        <w:t>is included within a heritage strategy prepared and adopted under the Scheme clause 9.1;</w:t>
      </w:r>
    </w:p>
    <w:p>
      <w:pPr>
        <w:pStyle w:val="Indenta"/>
      </w:pPr>
      <w:r>
        <w:tab/>
        <w:t>(f)</w:t>
      </w:r>
      <w:r>
        <w:tab/>
        <w:t>the carrying out of work to which subregulation (2) applies;</w:t>
      </w:r>
    </w:p>
    <w:p>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pPr>
        <w:pStyle w:val="Indenti"/>
        <w:tabs>
          <w:tab w:val="left" w:pos="3480"/>
        </w:tabs>
      </w:pPr>
      <w:r>
        <w:tab/>
        <w:t>(i)</w:t>
      </w:r>
      <w:r>
        <w:tab/>
        <w:t>requires the exercise of the Authority’s discretion to vary the provisions of the R</w:t>
      </w:r>
      <w:r>
        <w:noBreakHyphen/>
        <w:t>Codes; or</w:t>
      </w:r>
    </w:p>
    <w:p>
      <w:pPr>
        <w:pStyle w:val="Indenti"/>
      </w:pPr>
      <w:r>
        <w:tab/>
        <w:t>(ii)</w:t>
      </w:r>
      <w:r>
        <w:tab/>
        <w:t>will be located on land included within a heritage strategy prepared and adopted under the Scheme clause 9.1; or</w:t>
      </w:r>
    </w:p>
    <w:p>
      <w:pPr>
        <w:pStyle w:val="Indenti"/>
      </w:pPr>
      <w:r>
        <w:tab/>
        <w:t>(iii)</w:t>
      </w:r>
      <w:r>
        <w:tab/>
        <w:t xml:space="preserve">will be located on land affected by, or within, the “management area” within the meaning of that term in the </w:t>
      </w:r>
      <w:r>
        <w:rPr>
          <w:i/>
          <w:iCs/>
        </w:rPr>
        <w:t>Swan River Trust Act 1988</w:t>
      </w:r>
      <w:r>
        <w:rPr>
          <w:iCs/>
          <w:vertAlign w:val="superscript"/>
        </w:rPr>
        <w:t> 2</w:t>
      </w:r>
      <w:r>
        <w:t>;</w:t>
      </w:r>
    </w:p>
    <w:p>
      <w:pPr>
        <w:pStyle w:val="Indenta"/>
      </w:pPr>
      <w:r>
        <w:tab/>
        <w:t>(h)</w:t>
      </w:r>
      <w:r>
        <w:tab/>
        <w:t>a home office, as defined by the Scheme clause 2;</w:t>
      </w:r>
    </w:p>
    <w:p>
      <w:pPr>
        <w:pStyle w:val="Indenta"/>
      </w:pPr>
      <w:r>
        <w:tab/>
        <w:t>(i)</w:t>
      </w:r>
      <w:r>
        <w:tab/>
        <w:t>any works or activities that are temporary and are in existence for less than 48 consecutive hours, or such longer time as may be agreed by the Authority on a case by case basis;</w:t>
      </w:r>
    </w:p>
    <w:p>
      <w:pPr>
        <w:pStyle w:val="Indenta"/>
      </w:pPr>
      <w:r>
        <w:tab/>
        <w:t>(j)</w:t>
      </w:r>
      <w:r>
        <w:tab/>
        <w:t>the erection, maintenance or alteration of a boundary fence or wall, if the proposal does not require the Authority to exercise its discretion under the Scheme or the R</w:t>
      </w:r>
      <w:r>
        <w:noBreakHyphen/>
        <w:t>Codes;</w:t>
      </w:r>
    </w:p>
    <w:p>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pPr>
        <w:pStyle w:val="Subsection"/>
        <w:spacing w:before="120"/>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 xml:space="preserve">causing to be constructed to the satisfaction, and in accordance with the specifications, of the City of </w:t>
      </w:r>
      <w:smartTag w:uri="urn:schemas-microsoft-com:office:smarttags" w:element="City">
        <w:smartTag w:uri="urn:schemas-microsoft-com:office:smarttags" w:element="place">
          <w:r>
            <w:t>Armadale</w:t>
          </w:r>
        </w:smartTag>
      </w:smartTag>
      <w:r>
        <w:t xml:space="preserv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spacing w:before="120"/>
      </w:pPr>
      <w:r>
        <w:tab/>
        <w:t>(2a)</w:t>
      </w:r>
      <w:r>
        <w:tab/>
        <w:t xml:space="preserve">For the purposes of subregulation (1)(d) — </w:t>
      </w:r>
    </w:p>
    <w:p>
      <w:pPr>
        <w:pStyle w:val="Indenta"/>
      </w:pPr>
      <w:r>
        <w:tab/>
        <w:t>(a)</w:t>
      </w:r>
      <w:r>
        <w:tab/>
        <w:t>the use or work must be categorised as permitted pursuant to the Scheme clause 6.2; and</w:t>
      </w:r>
    </w:p>
    <w:p>
      <w:pPr>
        <w:pStyle w:val="Indenta"/>
      </w:pPr>
      <w:r>
        <w:tab/>
        <w:t>(b)</w:t>
      </w:r>
      <w:r>
        <w:tab/>
        <w:t>the use must be permitted without requiring the exercise of the Authority’s discretion under that clause.</w:t>
      </w:r>
    </w:p>
    <w:p>
      <w:pPr>
        <w:pStyle w:val="Subsection"/>
      </w:pPr>
      <w:r>
        <w:tab/>
        <w:t>(3)</w:t>
      </w:r>
      <w:r>
        <w:tab/>
        <w:t>In this regulation —</w:t>
      </w:r>
    </w:p>
    <w:p>
      <w:pPr>
        <w:pStyle w:val="Defstart"/>
      </w:pPr>
      <w:r>
        <w:rPr>
          <w:b/>
        </w:rPr>
        <w:tab/>
      </w:r>
      <w:r>
        <w:rPr>
          <w:rStyle w:val="CharDefText"/>
        </w:rPr>
        <w:t>R</w:t>
      </w:r>
      <w:r>
        <w:rPr>
          <w:rStyle w:val="CharDefText"/>
        </w:rPr>
        <w:noBreakHyphen/>
        <w:t>Codes</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pPr>
        <w:pStyle w:val="Defstart"/>
        <w:rPr>
          <w:b/>
        </w:rPr>
      </w:pPr>
      <w:r>
        <w:rPr>
          <w:b/>
        </w:rPr>
        <w:tab/>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r>
      <w:r>
        <w:rPr>
          <w:rStyle w:val="CharDefText"/>
        </w:rPr>
        <w:t>Scheme</w:t>
      </w:r>
      <w:r>
        <w:t xml:space="preserve"> means the Armadale Redevelopment Scheme 2004;</w:t>
      </w:r>
    </w:p>
    <w:p>
      <w:pPr>
        <w:pStyle w:val="Defstart"/>
      </w:pPr>
      <w:r>
        <w:rPr>
          <w:b/>
        </w:rPr>
        <w:tab/>
      </w:r>
      <w:r>
        <w:rPr>
          <w:rStyle w:val="CharDefText"/>
        </w:rPr>
        <w:t>Water Corporation</w:t>
      </w:r>
      <w:r>
        <w:t xml:space="preserve"> means the body established by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 2 amended in Gazette 5 Apr 2007 p. 1526</w:t>
      </w:r>
      <w:r>
        <w:noBreakHyphen/>
        <w:t>7.]</w:t>
      </w:r>
    </w:p>
    <w:p>
      <w:pPr>
        <w:pStyle w:val="Heading5"/>
      </w:pPr>
      <w:bookmarkStart w:id="8" w:name="_Toc377996514"/>
      <w:bookmarkStart w:id="9" w:name="_Toc425431779"/>
      <w:r>
        <w:rPr>
          <w:rStyle w:val="CharSectno"/>
        </w:rPr>
        <w:t>3</w:t>
      </w:r>
      <w:r>
        <w:t>.</w:t>
      </w:r>
      <w:r>
        <w:tab/>
        <w:t>Form of application</w:t>
      </w:r>
      <w:bookmarkEnd w:id="8"/>
      <w:bookmarkEnd w:id="9"/>
    </w:p>
    <w:p>
      <w:pPr>
        <w:pStyle w:val="Subsection"/>
      </w:pPr>
      <w:r>
        <w:tab/>
      </w:r>
      <w:r>
        <w:tab/>
        <w:t>Form 1 in Schedule 1 is prescribed for the purposes of section 46(1) of the Act.</w:t>
      </w:r>
    </w:p>
    <w:p>
      <w:pPr>
        <w:pStyle w:val="Heading5"/>
      </w:pPr>
      <w:bookmarkStart w:id="10" w:name="_Toc377996515"/>
      <w:bookmarkStart w:id="11" w:name="_Toc425431780"/>
      <w:r>
        <w:rPr>
          <w:rStyle w:val="CharSectno"/>
        </w:rPr>
        <w:t>4</w:t>
      </w:r>
      <w:r>
        <w:t>.</w:t>
      </w:r>
      <w:r>
        <w:tab/>
        <w:t>Fee for application</w:t>
      </w:r>
      <w:bookmarkEnd w:id="10"/>
      <w:bookmarkEnd w:id="11"/>
    </w:p>
    <w:p>
      <w:pPr>
        <w:pStyle w:val="Subsection"/>
      </w:pPr>
      <w:r>
        <w:tab/>
        <w:t>(1)</w:t>
      </w:r>
      <w:r>
        <w:tab/>
        <w:t>The fees specified in Schedule 2 are prescribed for the purposes of section 46(1) of the Act in relation to land to which a redevelopment scheme applies.</w:t>
      </w:r>
    </w:p>
    <w:p>
      <w:pPr>
        <w:pStyle w:val="Subsection"/>
      </w:pPr>
      <w:r>
        <w:tab/>
        <w:t>(2)</w:t>
      </w:r>
      <w:r>
        <w:tab/>
        <w:t>The Authority may waive, in whole or in part, the payment of a fee under subregulation (1).</w:t>
      </w:r>
    </w:p>
    <w:p>
      <w:pPr>
        <w:pStyle w:val="Footnotesection"/>
      </w:pPr>
      <w:r>
        <w:tab/>
        <w:t>[Regulation 4 amended in Gazette 26 Oct 2010 p. 5295.]</w:t>
      </w:r>
    </w:p>
    <w:p>
      <w:pPr>
        <w:pStyle w:val="Heading5"/>
      </w:pPr>
      <w:bookmarkStart w:id="12" w:name="_Toc377996516"/>
      <w:bookmarkStart w:id="13" w:name="_Toc425431781"/>
      <w:r>
        <w:rPr>
          <w:rStyle w:val="CharSectno"/>
        </w:rPr>
        <w:t>5</w:t>
      </w:r>
      <w:r>
        <w:t>.</w:t>
      </w:r>
      <w:r>
        <w:tab/>
        <w:t>Plans</w:t>
      </w:r>
      <w:bookmarkEnd w:id="12"/>
      <w:bookmarkEnd w:id="13"/>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spacing w:before="180"/>
      </w:pPr>
      <w:bookmarkStart w:id="14" w:name="_Toc377996517"/>
      <w:bookmarkStart w:id="15" w:name="_Toc425431782"/>
      <w:r>
        <w:rPr>
          <w:rStyle w:val="CharSectno"/>
        </w:rPr>
        <w:t>6</w:t>
      </w:r>
      <w:r>
        <w:t>.</w:t>
      </w:r>
      <w:r>
        <w:tab/>
        <w:t>Fee for revised plan</w:t>
      </w:r>
      <w:bookmarkEnd w:id="14"/>
      <w:bookmarkEnd w:id="15"/>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spacing w:before="180"/>
      </w:pPr>
      <w:bookmarkStart w:id="16" w:name="_Toc377996518"/>
      <w:bookmarkStart w:id="17" w:name="_Toc425431783"/>
      <w:r>
        <w:rPr>
          <w:rStyle w:val="CharSectno"/>
        </w:rPr>
        <w:t>7</w:t>
      </w:r>
      <w:r>
        <w:t>.</w:t>
      </w:r>
      <w:r>
        <w:tab/>
        <w:t>Offences</w:t>
      </w:r>
      <w:bookmarkEnd w:id="16"/>
      <w:bookmarkEnd w:id="17"/>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377996519"/>
      <w:bookmarkStart w:id="19" w:name="_Toc425431725"/>
      <w:bookmarkStart w:id="20" w:name="_Toc425431784"/>
      <w:r>
        <w:rPr>
          <w:rStyle w:val="CharSchNo"/>
        </w:rPr>
        <w:t>Schedule 1</w:t>
      </w:r>
      <w:r>
        <w:t> — </w:t>
      </w:r>
      <w:r>
        <w:rPr>
          <w:rStyle w:val="CharSchText"/>
        </w:rPr>
        <w:t>Form of application</w:t>
      </w:r>
      <w:bookmarkEnd w:id="18"/>
      <w:bookmarkEnd w:id="19"/>
      <w:bookmarkEnd w:id="20"/>
    </w:p>
    <w:p>
      <w:pPr>
        <w:pStyle w:val="yShoulderClause"/>
      </w:pPr>
      <w:r>
        <w:t>[r. 3]</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 . . . .Location No.  . . . . . . .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 . . . . . . . . . . . . . . . . . . . . . . . . . . . . . . . . . . . . . . . . . . . . . . . . . . . . . . . . .</w:t>
      </w:r>
    </w:p>
    <w:p>
      <w:pPr>
        <w:pStyle w:val="yMiscellaneousBody"/>
        <w:tabs>
          <w:tab w:val="left" w:pos="567"/>
        </w:tabs>
      </w:pPr>
      <w:r>
        <w:rPr>
          <w:b/>
        </w:rPr>
        <w:t>9.</w:t>
      </w:r>
      <w:r>
        <w:rPr>
          <w:b/>
        </w:rPr>
        <w:tab/>
        <w:t xml:space="preserve">Purpose for which land is currently being used </w:t>
      </w:r>
      <w:r>
        <w:t>.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keepNext/>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21" w:name="_Toc377996520"/>
      <w:bookmarkStart w:id="22" w:name="_Toc425431726"/>
      <w:bookmarkStart w:id="23" w:name="_Toc425431785"/>
      <w:r>
        <w:rPr>
          <w:rStyle w:val="CharSchNo"/>
        </w:rPr>
        <w:t>Schedule 2</w:t>
      </w:r>
      <w:r>
        <w:rPr>
          <w:rStyle w:val="CharSDivNo"/>
        </w:rPr>
        <w:t> </w:t>
      </w:r>
      <w:r>
        <w:t>—</w:t>
      </w:r>
      <w:r>
        <w:rPr>
          <w:rStyle w:val="CharSDivText"/>
        </w:rPr>
        <w:t> </w:t>
      </w:r>
      <w:r>
        <w:rPr>
          <w:rStyle w:val="CharSchText"/>
        </w:rPr>
        <w:t>Fee for application</w:t>
      </w:r>
      <w:bookmarkEnd w:id="21"/>
      <w:bookmarkEnd w:id="22"/>
      <w:bookmarkEnd w:id="23"/>
    </w:p>
    <w:p>
      <w:pPr>
        <w:pStyle w:val="yShoulderClause"/>
      </w:pPr>
      <w:r>
        <w:t>[r. 4]</w:t>
      </w:r>
    </w:p>
    <w:p>
      <w:pPr>
        <w:pStyle w:val="yFootnoteheading"/>
        <w:spacing w:after="120"/>
      </w:pPr>
      <w:r>
        <w:tab/>
        <w:t>[Heading inserted in Gazette 26 Oct 2010 p. 5296.]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2977"/>
      </w:tblGrid>
      <w:tr>
        <w:trPr>
          <w:tblHeader/>
        </w:trPr>
        <w:tc>
          <w:tcPr>
            <w:tcW w:w="3260" w:type="dxa"/>
          </w:tcPr>
          <w:p>
            <w:pPr>
              <w:pStyle w:val="yTableNAm"/>
              <w:rPr>
                <w:b/>
                <w:bCs/>
              </w:rPr>
            </w:pPr>
            <w:r>
              <w:rPr>
                <w:b/>
                <w:bCs/>
              </w:rPr>
              <w:t>Estimated value of proposed development</w:t>
            </w:r>
          </w:p>
        </w:tc>
        <w:tc>
          <w:tcPr>
            <w:tcW w:w="2977" w:type="dxa"/>
          </w:tcPr>
          <w:p>
            <w:pPr>
              <w:pStyle w:val="yTableNAm"/>
              <w:rPr>
                <w:b/>
                <w:bCs/>
              </w:rPr>
            </w:pPr>
            <w:r>
              <w:rPr>
                <w:b/>
                <w:bCs/>
              </w:rPr>
              <w:t>Fee</w:t>
            </w:r>
          </w:p>
        </w:tc>
      </w:tr>
      <w:tr>
        <w:tc>
          <w:tcPr>
            <w:tcW w:w="3260" w:type="dxa"/>
          </w:tcPr>
          <w:p>
            <w:pPr>
              <w:pStyle w:val="yTableNAm"/>
            </w:pPr>
            <w:r>
              <w:t>Up to $50 000</w:t>
            </w:r>
          </w:p>
        </w:tc>
        <w:tc>
          <w:tcPr>
            <w:tcW w:w="2977" w:type="dxa"/>
          </w:tcPr>
          <w:p>
            <w:pPr>
              <w:pStyle w:val="yTableNAm"/>
            </w:pPr>
            <w:r>
              <w:t>$132</w:t>
            </w:r>
          </w:p>
        </w:tc>
      </w:tr>
      <w:tr>
        <w:tc>
          <w:tcPr>
            <w:tcW w:w="3260" w:type="dxa"/>
          </w:tcPr>
          <w:p>
            <w:pPr>
              <w:pStyle w:val="yTableNAm"/>
            </w:pPr>
            <w:r>
              <w:t>$50 001 to $500 000</w:t>
            </w:r>
          </w:p>
        </w:tc>
        <w:tc>
          <w:tcPr>
            <w:tcW w:w="2977" w:type="dxa"/>
          </w:tcPr>
          <w:p>
            <w:pPr>
              <w:pStyle w:val="yTableNAm"/>
            </w:pPr>
            <w:r>
              <w:t>0.3% of the estimated value of the development</w:t>
            </w:r>
          </w:p>
        </w:tc>
      </w:tr>
      <w:tr>
        <w:tc>
          <w:tcPr>
            <w:tcW w:w="3260" w:type="dxa"/>
          </w:tcPr>
          <w:p>
            <w:pPr>
              <w:pStyle w:val="yTableNAm"/>
            </w:pPr>
            <w:r>
              <w:t>$500 001 to $2 500 000</w:t>
            </w:r>
          </w:p>
        </w:tc>
        <w:tc>
          <w:tcPr>
            <w:tcW w:w="2977" w:type="dxa"/>
          </w:tcPr>
          <w:p>
            <w:pPr>
              <w:pStyle w:val="yTableNAm"/>
            </w:pPr>
            <w:r>
              <w:t>$1 500 plus 0.24% of the amount by which the estimated value of the proposed development exceeds $500 000</w:t>
            </w:r>
          </w:p>
        </w:tc>
      </w:tr>
      <w:tr>
        <w:tc>
          <w:tcPr>
            <w:tcW w:w="3260" w:type="dxa"/>
          </w:tcPr>
          <w:p>
            <w:pPr>
              <w:pStyle w:val="yTableNAm"/>
            </w:pPr>
            <w:r>
              <w:t>$2 500 001 to $5 000 000</w:t>
            </w:r>
          </w:p>
        </w:tc>
        <w:tc>
          <w:tcPr>
            <w:tcW w:w="2977" w:type="dxa"/>
          </w:tcPr>
          <w:p>
            <w:pPr>
              <w:pStyle w:val="yTableNAm"/>
            </w:pPr>
            <w:r>
              <w:t>$6 300 plus 0.20% of the amount by which the estimated value of the proposed development exceeds $2 500 000</w:t>
            </w:r>
          </w:p>
        </w:tc>
      </w:tr>
      <w:tr>
        <w:tc>
          <w:tcPr>
            <w:tcW w:w="3260" w:type="dxa"/>
          </w:tcPr>
          <w:p>
            <w:pPr>
              <w:pStyle w:val="yTableNAm"/>
            </w:pPr>
            <w:r>
              <w:t>$5 000 001 to $21 500 000</w:t>
            </w:r>
          </w:p>
        </w:tc>
        <w:tc>
          <w:tcPr>
            <w:tcW w:w="2977" w:type="dxa"/>
          </w:tcPr>
          <w:p>
            <w:pPr>
              <w:pStyle w:val="yTableNAm"/>
            </w:pPr>
            <w:r>
              <w:t>$11 300 plus 0.12% of the amount by which the estimated value of the proposed development exceeds $5 000 000</w:t>
            </w:r>
          </w:p>
        </w:tc>
      </w:tr>
      <w:tr>
        <w:tc>
          <w:tcPr>
            <w:tcW w:w="3260" w:type="dxa"/>
          </w:tcPr>
          <w:p>
            <w:pPr>
              <w:pStyle w:val="yTableNAm"/>
            </w:pPr>
            <w:r>
              <w:t>Greater than $21 500 000</w:t>
            </w:r>
          </w:p>
        </w:tc>
        <w:tc>
          <w:tcPr>
            <w:tcW w:w="2977" w:type="dxa"/>
          </w:tcPr>
          <w:p>
            <w:pPr>
              <w:pStyle w:val="yTableNAm"/>
            </w:pPr>
            <w:r>
              <w:t>$31 100</w:t>
            </w:r>
          </w:p>
        </w:tc>
      </w:tr>
    </w:tbl>
    <w:p>
      <w:pPr>
        <w:pStyle w:val="yFootnotesection"/>
      </w:pPr>
      <w:r>
        <w:tab/>
        <w:t>[Schedule 2 inserted in Gazette 26 Oct 2010 p. 5296.]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5" w:name="_Toc377996521"/>
      <w:bookmarkStart w:id="26" w:name="_Toc425431727"/>
      <w:bookmarkStart w:id="27" w:name="_Toc425431786"/>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28" w:name="_Toc377996522"/>
      <w:bookmarkStart w:id="29" w:name="_Toc425431787"/>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Armadale Redevelopment Regulations 2003</w:t>
            </w:r>
          </w:p>
        </w:tc>
        <w:tc>
          <w:tcPr>
            <w:tcW w:w="1276" w:type="dxa"/>
            <w:tcBorders>
              <w:top w:val="single" w:sz="8" w:space="0" w:color="auto"/>
            </w:tcBorders>
          </w:tcPr>
          <w:p>
            <w:pPr>
              <w:pStyle w:val="nTable"/>
              <w:spacing w:after="40"/>
            </w:pPr>
            <w:r>
              <w:t>29 Aug 2003 p. 3834</w:t>
            </w:r>
            <w:r>
              <w:noBreakHyphen/>
              <w:t>9</w:t>
            </w:r>
          </w:p>
        </w:tc>
        <w:tc>
          <w:tcPr>
            <w:tcW w:w="2693" w:type="dxa"/>
            <w:tcBorders>
              <w:top w:val="single" w:sz="8" w:space="0" w:color="auto"/>
            </w:tcBorders>
          </w:tcPr>
          <w:p>
            <w:pPr>
              <w:pStyle w:val="nTable"/>
              <w:spacing w:after="40"/>
            </w:pPr>
            <w:r>
              <w:t>29 Aug 2003</w:t>
            </w:r>
          </w:p>
        </w:tc>
      </w:tr>
      <w:tr>
        <w:tc>
          <w:tcPr>
            <w:tcW w:w="3119" w:type="dxa"/>
          </w:tcPr>
          <w:p>
            <w:pPr>
              <w:pStyle w:val="nTable"/>
              <w:spacing w:after="40"/>
              <w:rPr>
                <w:i/>
              </w:rPr>
            </w:pPr>
            <w:r>
              <w:rPr>
                <w:i/>
              </w:rPr>
              <w:t>Armadale Redevelopment Amendment Regulations 2005</w:t>
            </w:r>
          </w:p>
        </w:tc>
        <w:tc>
          <w:tcPr>
            <w:tcW w:w="1276" w:type="dxa"/>
          </w:tcPr>
          <w:p>
            <w:pPr>
              <w:pStyle w:val="nTable"/>
              <w:spacing w:after="40"/>
            </w:pPr>
            <w:r>
              <w:t>12 Apr 2005 p. 1169</w:t>
            </w:r>
          </w:p>
        </w:tc>
        <w:tc>
          <w:tcPr>
            <w:tcW w:w="2693" w:type="dxa"/>
          </w:tcPr>
          <w:p>
            <w:pPr>
              <w:pStyle w:val="nTable"/>
              <w:spacing w:after="40"/>
            </w:pPr>
            <w:r>
              <w:t>12 Apr 2005</w:t>
            </w:r>
          </w:p>
        </w:tc>
      </w:tr>
      <w:tr>
        <w:tc>
          <w:tcPr>
            <w:tcW w:w="3119" w:type="dxa"/>
          </w:tcPr>
          <w:p>
            <w:pPr>
              <w:pStyle w:val="nTable"/>
              <w:spacing w:after="40"/>
              <w:rPr>
                <w:i/>
              </w:rPr>
            </w:pPr>
            <w:r>
              <w:rPr>
                <w:i/>
              </w:rPr>
              <w:t>Armadale Redevelopment Amendment Regulations (No. 2) 2006</w:t>
            </w:r>
          </w:p>
        </w:tc>
        <w:tc>
          <w:tcPr>
            <w:tcW w:w="1276" w:type="dxa"/>
          </w:tcPr>
          <w:p>
            <w:pPr>
              <w:pStyle w:val="nTable"/>
              <w:spacing w:after="40"/>
            </w:pPr>
            <w:r>
              <w:t>29 Dec 2006 p. 5893</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9" w:type="dxa"/>
          </w:tcPr>
          <w:p>
            <w:pPr>
              <w:pStyle w:val="nTable"/>
              <w:spacing w:after="40"/>
              <w:rPr>
                <w:i/>
              </w:rPr>
            </w:pPr>
            <w:r>
              <w:rPr>
                <w:i/>
              </w:rPr>
              <w:t>Armadale Redevelopment Amendment Regulations 2006</w:t>
            </w:r>
          </w:p>
        </w:tc>
        <w:tc>
          <w:tcPr>
            <w:tcW w:w="1276" w:type="dxa"/>
          </w:tcPr>
          <w:p>
            <w:pPr>
              <w:pStyle w:val="nTable"/>
              <w:spacing w:after="40"/>
            </w:pPr>
            <w:r>
              <w:t>5 Apr 2007 p. 1525</w:t>
            </w:r>
            <w:r>
              <w:noBreakHyphen/>
              <w:t>7</w:t>
            </w:r>
          </w:p>
        </w:tc>
        <w:tc>
          <w:tcPr>
            <w:tcW w:w="2693" w:type="dxa"/>
          </w:tcPr>
          <w:p>
            <w:pPr>
              <w:pStyle w:val="nTable"/>
              <w:spacing w:after="40"/>
              <w:rPr>
                <w:snapToGrid w:val="0"/>
              </w:rPr>
            </w:pPr>
            <w:r>
              <w:rPr>
                <w:snapToGrid w:val="0"/>
              </w:rPr>
              <w:t>5 Apr 2007</w:t>
            </w:r>
          </w:p>
        </w:tc>
      </w:tr>
      <w:tr>
        <w:tc>
          <w:tcPr>
            <w:tcW w:w="3119" w:type="dxa"/>
          </w:tcPr>
          <w:p>
            <w:pPr>
              <w:pStyle w:val="nTable"/>
              <w:spacing w:after="40"/>
              <w:rPr>
                <w:i/>
              </w:rPr>
            </w:pPr>
            <w:r>
              <w:rPr>
                <w:i/>
              </w:rPr>
              <w:t>Armadale Redevelopment Amendment Regulations 2007</w:t>
            </w:r>
          </w:p>
        </w:tc>
        <w:tc>
          <w:tcPr>
            <w:tcW w:w="1276" w:type="dxa"/>
          </w:tcPr>
          <w:p>
            <w:pPr>
              <w:pStyle w:val="nTable"/>
              <w:spacing w:after="40"/>
            </w:pPr>
            <w:r>
              <w:t>31 Aug 2007 p. 4447</w:t>
            </w:r>
            <w:r>
              <w:noBreakHyphen/>
              <w:t>8</w:t>
            </w:r>
          </w:p>
        </w:tc>
        <w:tc>
          <w:tcPr>
            <w:tcW w:w="2693" w:type="dxa"/>
          </w:tcPr>
          <w:p>
            <w:pPr>
              <w:pStyle w:val="nTable"/>
              <w:spacing w:after="40"/>
              <w:rPr>
                <w:snapToGrid w:val="0"/>
              </w:rPr>
            </w:pPr>
            <w:r>
              <w:rPr>
                <w:snapToGrid w:val="0"/>
              </w:rPr>
              <w:t>r. 1 and 2: 31 Aug 2007 (see r. 2(a));</w:t>
            </w:r>
            <w:r>
              <w:rPr>
                <w:snapToGrid w:val="0"/>
              </w:rPr>
              <w:br/>
              <w:t>Regulations other than r. 1 and 2: 1 Sep 2007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 xml:space="preserve">Armadale Redevelopment Regulations 2003 </w:t>
            </w:r>
            <w:r>
              <w:rPr>
                <w:b/>
                <w:bCs/>
                <w:snapToGrid w:val="0"/>
              </w:rPr>
              <w:t>as at 24 Oct 2008</w:t>
            </w:r>
            <w:r>
              <w:rPr>
                <w:snapToGrid w:val="0"/>
              </w:rPr>
              <w:t xml:space="preserve"> (includes amendments listed above)</w:t>
            </w:r>
          </w:p>
        </w:tc>
      </w:tr>
      <w:tr>
        <w:tc>
          <w:tcPr>
            <w:tcW w:w="3119" w:type="dxa"/>
          </w:tcPr>
          <w:p>
            <w:pPr>
              <w:pStyle w:val="nTable"/>
              <w:spacing w:after="40"/>
              <w:rPr>
                <w:i/>
              </w:rPr>
            </w:pPr>
            <w:r>
              <w:rPr>
                <w:i/>
              </w:rPr>
              <w:t>Armadale Redevelopment Amendment Regulations 2010</w:t>
            </w:r>
          </w:p>
        </w:tc>
        <w:tc>
          <w:tcPr>
            <w:tcW w:w="1276" w:type="dxa"/>
          </w:tcPr>
          <w:p>
            <w:pPr>
              <w:pStyle w:val="nTable"/>
              <w:spacing w:after="40"/>
            </w:pPr>
            <w:r>
              <w:t>26 Oct 2010 p. 5295-6</w:t>
            </w:r>
          </w:p>
        </w:tc>
        <w:tc>
          <w:tcPr>
            <w:tcW w:w="2693" w:type="dxa"/>
          </w:tcPr>
          <w:p>
            <w:pPr>
              <w:pStyle w:val="nTable"/>
              <w:spacing w:after="40"/>
              <w:rPr>
                <w:snapToGrid w:val="0"/>
              </w:rPr>
            </w:pPr>
            <w:r>
              <w:rPr>
                <w:snapToGrid w:val="0"/>
              </w:rPr>
              <w:t>r. 1 and 2: 26 Aug 2010 (see r. 2(a));</w:t>
            </w:r>
            <w:r>
              <w:rPr>
                <w:snapToGrid w:val="0"/>
              </w:rPr>
              <w:br/>
              <w:t>Regulations other than r. 1 and 2: 27 Oct 2010 (see r. 2(b))</w:t>
            </w:r>
          </w:p>
        </w:tc>
      </w:tr>
      <w:tr>
        <w:tc>
          <w:tcPr>
            <w:tcW w:w="7088" w:type="dxa"/>
            <w:gridSpan w:val="3"/>
            <w:tcBorders>
              <w:bottom w:val="single" w:sz="4" w:space="0" w:color="auto"/>
            </w:tcBorders>
          </w:tcPr>
          <w:p>
            <w:pPr>
              <w:pStyle w:val="nTable"/>
              <w:spacing w:after="40"/>
              <w:rPr>
                <w:snapToGrid w:val="0"/>
              </w:rPr>
            </w:pPr>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134(a) (No. 45 of 2011) as at 31 Dec 2011 (see s. 2(b) and </w:t>
            </w:r>
            <w:r>
              <w:rPr>
                <w:b/>
                <w:i/>
                <w:snapToGrid w:val="0"/>
                <w:color w:val="FF0000"/>
              </w:rPr>
              <w:t>Gazette</w:t>
            </w:r>
            <w:r>
              <w:rPr>
                <w:b/>
                <w:snapToGrid w:val="0"/>
                <w:color w:val="FF0000"/>
              </w:rPr>
              <w:t xml:space="preserve"> 30 Dec 2011 p. 5573).</w:t>
            </w:r>
          </w:p>
        </w:tc>
      </w:tr>
    </w:tbl>
    <w:p>
      <w:pPr>
        <w:pStyle w:val="nSubsection"/>
        <w:spacing w:before="160"/>
      </w:pPr>
      <w:r>
        <w:rPr>
          <w:vertAlign w:val="superscript"/>
        </w:rPr>
        <w:t>2</w:t>
      </w:r>
      <w:r>
        <w:tab/>
        <w:t xml:space="preserve">Repealed by the </w:t>
      </w:r>
      <w:r>
        <w:rPr>
          <w:i/>
          <w:snapToGrid w:val="0"/>
        </w:rPr>
        <w:t>Swan and Canning Rivers (Consequential and Transitional Provisions) Act 2006</w:t>
      </w:r>
      <w:r>
        <w:rPr>
          <w:snapToGrid w:val="0"/>
        </w:rPr>
        <w:t xml:space="preserve"> s. 4.  Under section 10(2) of that Act</w:t>
      </w:r>
      <w:r>
        <w:t xml:space="preserve">, a reference in a written law to the management area of the Swan River Trust may, where the context so requires, be read as if it had been amended to include or be a reference to the development control area under the </w:t>
      </w:r>
      <w:r>
        <w:rPr>
          <w:i/>
        </w:rPr>
        <w:t>Swan and Canning Rivers Management Act 2006</w:t>
      </w:r>
      <w:r>
        <w:t>.</w:t>
      </w:r>
    </w:p>
    <w:p>
      <w:pPr>
        <w:pStyle w:val="nSubsection"/>
      </w:pPr>
    </w:p>
    <w:p>
      <w:pPr>
        <w:pStyle w:val="nSubsection"/>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1" w:name="_Toc425431788"/>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w:t>
      </w:r>
      <w:r>
        <w:noBreakHyphen/>
        <w:t>Codes</w:t>
      </w:r>
      <w:r>
        <w:tab/>
        <w:t>2(3)</w:t>
      </w:r>
    </w:p>
    <w:p>
      <w:pPr>
        <w:pStyle w:val="DefinedTerms"/>
      </w:pPr>
      <w:r>
        <w:t>routine work</w:t>
      </w:r>
      <w:r>
        <w:tab/>
        <w:t>2(3)</w:t>
      </w:r>
    </w:p>
    <w:p>
      <w:pPr>
        <w:pStyle w:val="DefinedTerms"/>
      </w:pPr>
      <w:r>
        <w:t>Scheme</w:t>
      </w:r>
      <w:r>
        <w:tab/>
        <w:t>2(3)</w:t>
      </w:r>
    </w:p>
    <w:p>
      <w:pPr>
        <w:pStyle w:val="DefinedTerms"/>
      </w:pPr>
      <w:r>
        <w:t>Water Corporation</w:t>
      </w:r>
      <w:r>
        <w:tab/>
        <w:t>2(3)</w:t>
      </w:r>
    </w:p>
    <w:p>
      <w:pPr>
        <w:pStyle w:val="DefinedTerms"/>
      </w:pPr>
      <w:r>
        <w:t>water service</w:t>
      </w:r>
      <w:r>
        <w:tab/>
        <w:t>2(3)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ind w:right="584"/>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064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3086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C6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DAFD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B0A4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1C23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62C2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B296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32FEF0"/>
    <w:lvl w:ilvl="0">
      <w:start w:val="1"/>
      <w:numFmt w:val="decimal"/>
      <w:pStyle w:val="ListNumber"/>
      <w:lvlText w:val="%1."/>
      <w:lvlJc w:val="left"/>
      <w:pPr>
        <w:tabs>
          <w:tab w:val="num" w:pos="360"/>
        </w:tabs>
        <w:ind w:left="360" w:hanging="360"/>
      </w:pPr>
    </w:lvl>
  </w:abstractNum>
  <w:abstractNum w:abstractNumId="9">
    <w:nsid w:val="FFFFFF89"/>
    <w:multiLevelType w:val="singleLevel"/>
    <w:tmpl w:val="9D16CA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77A544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506"/>
    <w:docVar w:name="WAFER_20140120154049" w:val="RemoveTocBookmarks,RemoveUnusedBookmarks,RemoveLanguageTags,UsedStyles,ResetPageSize,UpdateArrangement"/>
    <w:docVar w:name="WAFER_20140120154049_GUID" w:val="25f6924d-89dd-4b2d-8e9e-2b4ff2c4017c"/>
    <w:docVar w:name="WAFER_20140120154518" w:val="RemoveTocBookmarks,RunningHeaders"/>
    <w:docVar w:name="WAFER_20140120154518_GUID" w:val="ad04e977-6032-48fc-a0b1-e3b436b9ca8a"/>
    <w:docVar w:name="WAFER_20150723161841" w:val="ResetPageSize,UpdateArrangement,UpdateNTable"/>
    <w:docVar w:name="WAFER_20150723161841_GUID" w:val="44f9c6d9-1532-4972-bf84-06141e37ec62"/>
    <w:docVar w:name="WAFER_20151117090506" w:val="UpdateStyles,UsedStyles"/>
    <w:docVar w:name="WAFER_20151117090506_GUID" w:val="abc753ef-9648-4dca-80fe-eb01466162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3381</Words>
  <Characters>13055</Characters>
  <Application>Microsoft Office Word</Application>
  <DocSecurity>0</DocSecurity>
  <Lines>395</Lines>
  <Paragraphs>265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Schedule 1 — Form of application</vt:lpstr>
      <vt:lpstr>    Schedule 2 — Fee for application</vt:lpstr>
      <vt:lpstr>    Notes</vt:lpstr>
      <vt:lpstr>    Defined Terms</vt:lpstr>
    </vt:vector>
  </TitlesOfParts>
  <Manager/>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2003 - 01-c0-04</dc:title>
  <dc:subject/>
  <dc:creator/>
  <cp:keywords/>
  <dc:description/>
  <cp:lastModifiedBy>svcMRProcess</cp:lastModifiedBy>
  <cp:revision>4</cp:revision>
  <cp:lastPrinted>2008-10-29T02:42:00Z</cp:lastPrinted>
  <dcterms:created xsi:type="dcterms:W3CDTF">2015-11-17T01:19:00Z</dcterms:created>
  <dcterms:modified xsi:type="dcterms:W3CDTF">2015-11-17T01:19:00Z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4154</vt:i4>
  </property>
  <property fmtid="{D5CDD505-2E9C-101B-9397-08002B2CF9AE}" pid="6" name="ReprintNo">
    <vt:lpwstr>1</vt:lpwstr>
  </property>
  <property fmtid="{D5CDD505-2E9C-101B-9397-08002B2CF9AE}" pid="7" name="AsAtDate">
    <vt:lpwstr>31 Dec 2011</vt:lpwstr>
  </property>
  <property fmtid="{D5CDD505-2E9C-101B-9397-08002B2CF9AE}" pid="8" name="Suffix">
    <vt:lpwstr>01-c0-04</vt:lpwstr>
  </property>
  <property fmtid="{D5CDD505-2E9C-101B-9397-08002B2CF9AE}" pid="9" name="Status">
    <vt:lpwstr>NIF</vt:lpwstr>
  </property>
</Properties>
</file>