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2" w:rsidRDefault="00E45A4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2CEACED" wp14:editId="0DCCD84B">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07332">
            <w:t>Western Australia</w:t>
          </w:r>
        </w:smartTag>
      </w:smartTag>
    </w:p>
    <w:p w:rsidR="00507332" w:rsidRDefault="0050733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B24E6">
        <w:rPr>
          <w:noProof/>
          <w:sz w:val="48"/>
        </w:rPr>
        <w:t>Warehousemen’s Liens Act 1952</w:t>
      </w:r>
      <w:r>
        <w:rPr>
          <w:sz w:val="48"/>
        </w:rPr>
        <w:fldChar w:fldCharType="end"/>
      </w:r>
    </w:p>
    <w:p w:rsidR="00507332" w:rsidRDefault="00507332">
      <w:pPr>
        <w:jc w:val="center"/>
        <w:rPr>
          <w:b/>
        </w:rPr>
        <w:sectPr w:rsidR="0050733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07332" w:rsidRDefault="00507332">
      <w:pPr>
        <w:pStyle w:val="WA"/>
        <w:spacing w:before="120"/>
      </w:pPr>
      <w:smartTag w:uri="urn:schemas-microsoft-com:office:smarttags" w:element="State">
        <w:smartTag w:uri="urn:schemas-microsoft-com:office:smarttags" w:element="place">
          <w:r>
            <w:lastRenderedPageBreak/>
            <w:t>Western Australia</w:t>
          </w:r>
        </w:smartTag>
      </w:smartTag>
    </w:p>
    <w:p w:rsidR="00507332" w:rsidRDefault="00507332">
      <w:pPr>
        <w:pStyle w:val="NameofActRegPage1"/>
      </w:pPr>
      <w:r>
        <w:fldChar w:fldCharType="begin"/>
      </w:r>
      <w:r>
        <w:instrText xml:space="preserve"> STYLEREF "Name Of Act/Reg"</w:instrText>
      </w:r>
      <w:r>
        <w:fldChar w:fldCharType="separate"/>
      </w:r>
      <w:r w:rsidR="00CB24E6">
        <w:rPr>
          <w:noProof/>
        </w:rPr>
        <w:t>Warehousemen’s Liens Act 1952</w:t>
      </w:r>
      <w:r>
        <w:fldChar w:fldCharType="end"/>
      </w:r>
    </w:p>
    <w:p w:rsidR="00507332" w:rsidRDefault="00507332">
      <w:pPr>
        <w:pStyle w:val="Arrangement"/>
      </w:pPr>
      <w:r>
        <w:t>Contents</w:t>
      </w:r>
    </w:p>
    <w:p w:rsidR="00BA15E3" w:rsidRDefault="0050733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A15E3">
        <w:t>1</w:t>
      </w:r>
      <w:r w:rsidR="00BA15E3" w:rsidRPr="00614DB7">
        <w:rPr>
          <w:snapToGrid w:val="0"/>
        </w:rPr>
        <w:t>.</w:t>
      </w:r>
      <w:r w:rsidR="00BA15E3" w:rsidRPr="00614DB7">
        <w:rPr>
          <w:snapToGrid w:val="0"/>
        </w:rPr>
        <w:tab/>
        <w:t>Short title</w:t>
      </w:r>
      <w:r w:rsidR="00BA15E3">
        <w:tab/>
      </w:r>
      <w:r w:rsidR="00BA15E3">
        <w:fldChar w:fldCharType="begin"/>
      </w:r>
      <w:r w:rsidR="00BA15E3">
        <w:instrText xml:space="preserve"> PAGEREF _Toc379274445 \h </w:instrText>
      </w:r>
      <w:r w:rsidR="00BA15E3">
        <w:fldChar w:fldCharType="separate"/>
      </w:r>
      <w:r w:rsidR="00CB24E6">
        <w:t>1</w:t>
      </w:r>
      <w:r w:rsidR="00BA15E3">
        <w:fldChar w:fldCharType="end"/>
      </w:r>
    </w:p>
    <w:p w:rsidR="00BA15E3" w:rsidRDefault="00BA15E3">
      <w:pPr>
        <w:pStyle w:val="TOC8"/>
        <w:rPr>
          <w:rFonts w:asciiTheme="minorHAnsi" w:eastAsiaTheme="minorEastAsia" w:hAnsiTheme="minorHAnsi" w:cstheme="minorBidi"/>
          <w:szCs w:val="22"/>
        </w:rPr>
      </w:pPr>
      <w:r>
        <w:t>2</w:t>
      </w:r>
      <w:r w:rsidRPr="00614DB7">
        <w:rPr>
          <w:snapToGrid w:val="0"/>
        </w:rPr>
        <w:t>.</w:t>
      </w:r>
      <w:r w:rsidRPr="00614DB7">
        <w:rPr>
          <w:snapToGrid w:val="0"/>
        </w:rPr>
        <w:tab/>
        <w:t>Commencement</w:t>
      </w:r>
      <w:r>
        <w:tab/>
      </w:r>
      <w:r>
        <w:fldChar w:fldCharType="begin"/>
      </w:r>
      <w:r>
        <w:instrText xml:space="preserve"> PAGEREF _Toc379274446 \h </w:instrText>
      </w:r>
      <w:r>
        <w:fldChar w:fldCharType="separate"/>
      </w:r>
      <w:r w:rsidR="00CB24E6">
        <w:t>1</w:t>
      </w:r>
      <w:r>
        <w:fldChar w:fldCharType="end"/>
      </w:r>
    </w:p>
    <w:p w:rsidR="00BA15E3" w:rsidRDefault="00BA15E3">
      <w:pPr>
        <w:pStyle w:val="TOC8"/>
        <w:rPr>
          <w:rFonts w:asciiTheme="minorHAnsi" w:eastAsiaTheme="minorEastAsia" w:hAnsiTheme="minorHAnsi" w:cstheme="minorBidi"/>
          <w:szCs w:val="22"/>
        </w:rPr>
      </w:pPr>
      <w:r>
        <w:t>3</w:t>
      </w:r>
      <w:r w:rsidRPr="00614DB7">
        <w:rPr>
          <w:snapToGrid w:val="0"/>
        </w:rPr>
        <w:t>.</w:t>
      </w:r>
      <w:r w:rsidRPr="00614DB7">
        <w:rPr>
          <w:snapToGrid w:val="0"/>
        </w:rPr>
        <w:tab/>
        <w:t>Term used: warehouseman</w:t>
      </w:r>
      <w:r>
        <w:tab/>
      </w:r>
      <w:r>
        <w:fldChar w:fldCharType="begin"/>
      </w:r>
      <w:r>
        <w:instrText xml:space="preserve"> PAGEREF _Toc379274447 \h </w:instrText>
      </w:r>
      <w:r>
        <w:fldChar w:fldCharType="separate"/>
      </w:r>
      <w:r w:rsidR="00CB24E6">
        <w:t>1</w:t>
      </w:r>
      <w:r>
        <w:fldChar w:fldCharType="end"/>
      </w:r>
    </w:p>
    <w:p w:rsidR="00BA15E3" w:rsidRDefault="00BA15E3">
      <w:pPr>
        <w:pStyle w:val="TOC8"/>
        <w:rPr>
          <w:rFonts w:asciiTheme="minorHAnsi" w:eastAsiaTheme="minorEastAsia" w:hAnsiTheme="minorHAnsi" w:cstheme="minorBidi"/>
          <w:szCs w:val="22"/>
        </w:rPr>
      </w:pPr>
      <w:r>
        <w:t>4</w:t>
      </w:r>
      <w:r w:rsidRPr="00614DB7">
        <w:rPr>
          <w:snapToGrid w:val="0"/>
        </w:rPr>
        <w:t>.</w:t>
      </w:r>
      <w:r w:rsidRPr="00614DB7">
        <w:rPr>
          <w:snapToGrid w:val="0"/>
        </w:rPr>
        <w:tab/>
        <w:t>Declaration of warehouseman’s lien</w:t>
      </w:r>
      <w:r>
        <w:tab/>
      </w:r>
      <w:r>
        <w:fldChar w:fldCharType="begin"/>
      </w:r>
      <w:r>
        <w:instrText xml:space="preserve"> PAGEREF _Toc379274448 \h </w:instrText>
      </w:r>
      <w:r>
        <w:fldChar w:fldCharType="separate"/>
      </w:r>
      <w:r w:rsidR="00CB24E6">
        <w:t>1</w:t>
      </w:r>
      <w:r>
        <w:fldChar w:fldCharType="end"/>
      </w:r>
    </w:p>
    <w:p w:rsidR="00BA15E3" w:rsidRDefault="00BA15E3">
      <w:pPr>
        <w:pStyle w:val="TOC8"/>
        <w:rPr>
          <w:rFonts w:asciiTheme="minorHAnsi" w:eastAsiaTheme="minorEastAsia" w:hAnsiTheme="minorHAnsi" w:cstheme="minorBidi"/>
          <w:szCs w:val="22"/>
        </w:rPr>
      </w:pPr>
      <w:r>
        <w:t>5</w:t>
      </w:r>
      <w:r w:rsidRPr="00614DB7">
        <w:rPr>
          <w:snapToGrid w:val="0"/>
        </w:rPr>
        <w:t>.</w:t>
      </w:r>
      <w:r w:rsidRPr="00614DB7">
        <w:rPr>
          <w:snapToGrid w:val="0"/>
        </w:rPr>
        <w:tab/>
        <w:t>Charges covered by lien</w:t>
      </w:r>
      <w:r>
        <w:tab/>
      </w:r>
      <w:r>
        <w:fldChar w:fldCharType="begin"/>
      </w:r>
      <w:r>
        <w:instrText xml:space="preserve"> PAGEREF _Toc379274449 \h </w:instrText>
      </w:r>
      <w:r>
        <w:fldChar w:fldCharType="separate"/>
      </w:r>
      <w:r w:rsidR="00CB24E6">
        <w:t>2</w:t>
      </w:r>
      <w:r>
        <w:fldChar w:fldCharType="end"/>
      </w:r>
    </w:p>
    <w:p w:rsidR="00BA15E3" w:rsidRDefault="00BA15E3">
      <w:pPr>
        <w:pStyle w:val="TOC8"/>
        <w:rPr>
          <w:rFonts w:asciiTheme="minorHAnsi" w:eastAsiaTheme="minorEastAsia" w:hAnsiTheme="minorHAnsi" w:cstheme="minorBidi"/>
          <w:szCs w:val="22"/>
        </w:rPr>
      </w:pPr>
      <w:r>
        <w:t>6</w:t>
      </w:r>
      <w:r w:rsidRPr="00614DB7">
        <w:rPr>
          <w:snapToGrid w:val="0"/>
        </w:rPr>
        <w:t>.</w:t>
      </w:r>
      <w:r w:rsidRPr="00614DB7">
        <w:rPr>
          <w:snapToGrid w:val="0"/>
        </w:rPr>
        <w:tab/>
        <w:t>Warehouseman to give notice of lien to people with interest in goods</w:t>
      </w:r>
      <w:r>
        <w:tab/>
      </w:r>
      <w:r>
        <w:fldChar w:fldCharType="begin"/>
      </w:r>
      <w:r>
        <w:instrText xml:space="preserve"> PAGEREF _Toc379274450 \h </w:instrText>
      </w:r>
      <w:r>
        <w:fldChar w:fldCharType="separate"/>
      </w:r>
      <w:r w:rsidR="00CB24E6">
        <w:t>2</w:t>
      </w:r>
      <w:r>
        <w:fldChar w:fldCharType="end"/>
      </w:r>
    </w:p>
    <w:p w:rsidR="00BA15E3" w:rsidRDefault="00BA15E3">
      <w:pPr>
        <w:pStyle w:val="TOC8"/>
        <w:rPr>
          <w:rFonts w:asciiTheme="minorHAnsi" w:eastAsiaTheme="minorEastAsia" w:hAnsiTheme="minorHAnsi" w:cstheme="minorBidi"/>
          <w:szCs w:val="22"/>
        </w:rPr>
      </w:pPr>
      <w:r>
        <w:t>7</w:t>
      </w:r>
      <w:r w:rsidRPr="00614DB7">
        <w:rPr>
          <w:snapToGrid w:val="0"/>
        </w:rPr>
        <w:t>.</w:t>
      </w:r>
      <w:r w:rsidRPr="00614DB7">
        <w:rPr>
          <w:snapToGrid w:val="0"/>
        </w:rPr>
        <w:tab/>
        <w:t>Power to sell goods</w:t>
      </w:r>
      <w:r>
        <w:tab/>
      </w:r>
      <w:r>
        <w:fldChar w:fldCharType="begin"/>
      </w:r>
      <w:r>
        <w:instrText xml:space="preserve"> PAGEREF _Toc379274451 \h </w:instrText>
      </w:r>
      <w:r>
        <w:fldChar w:fldCharType="separate"/>
      </w:r>
      <w:r w:rsidR="00CB24E6">
        <w:t>3</w:t>
      </w:r>
      <w:r>
        <w:fldChar w:fldCharType="end"/>
      </w:r>
    </w:p>
    <w:p w:rsidR="00BA15E3" w:rsidRDefault="00BA15E3">
      <w:pPr>
        <w:pStyle w:val="TOC8"/>
        <w:rPr>
          <w:rFonts w:asciiTheme="minorHAnsi" w:eastAsiaTheme="minorEastAsia" w:hAnsiTheme="minorHAnsi" w:cstheme="minorBidi"/>
          <w:szCs w:val="22"/>
        </w:rPr>
      </w:pPr>
      <w:r>
        <w:t>8</w:t>
      </w:r>
      <w:r w:rsidRPr="00614DB7">
        <w:rPr>
          <w:snapToGrid w:val="0"/>
        </w:rPr>
        <w:t>.</w:t>
      </w:r>
      <w:r w:rsidRPr="00614DB7">
        <w:rPr>
          <w:snapToGrid w:val="0"/>
        </w:rPr>
        <w:tab/>
        <w:t>Satisfying lien before sale, consequences of</w:t>
      </w:r>
      <w:r>
        <w:tab/>
      </w:r>
      <w:r>
        <w:fldChar w:fldCharType="begin"/>
      </w:r>
      <w:r>
        <w:instrText xml:space="preserve"> PAGEREF _Toc379274452 \h </w:instrText>
      </w:r>
      <w:r>
        <w:fldChar w:fldCharType="separate"/>
      </w:r>
      <w:r w:rsidR="00CB24E6">
        <w:t>5</w:t>
      </w:r>
      <w:r>
        <w:fldChar w:fldCharType="end"/>
      </w:r>
    </w:p>
    <w:p w:rsidR="00BA15E3" w:rsidRDefault="00BA15E3">
      <w:pPr>
        <w:pStyle w:val="TOC8"/>
        <w:rPr>
          <w:rFonts w:asciiTheme="minorHAnsi" w:eastAsiaTheme="minorEastAsia" w:hAnsiTheme="minorHAnsi" w:cstheme="minorBidi"/>
          <w:szCs w:val="22"/>
        </w:rPr>
      </w:pPr>
      <w:r>
        <w:t>9</w:t>
      </w:r>
      <w:r w:rsidRPr="00614DB7">
        <w:rPr>
          <w:snapToGrid w:val="0"/>
        </w:rPr>
        <w:t>.</w:t>
      </w:r>
      <w:r w:rsidRPr="00614DB7">
        <w:rPr>
          <w:snapToGrid w:val="0"/>
        </w:rPr>
        <w:tab/>
        <w:t>Notices, giving of etc.</w:t>
      </w:r>
      <w:r>
        <w:tab/>
      </w:r>
      <w:r>
        <w:fldChar w:fldCharType="begin"/>
      </w:r>
      <w:r>
        <w:instrText xml:space="preserve"> PAGEREF _Toc379274453 \h </w:instrText>
      </w:r>
      <w:r>
        <w:fldChar w:fldCharType="separate"/>
      </w:r>
      <w:r w:rsidR="00CB24E6">
        <w:t>6</w:t>
      </w:r>
      <w:r>
        <w:fldChar w:fldCharType="end"/>
      </w:r>
    </w:p>
    <w:p w:rsidR="00BA15E3" w:rsidRDefault="00BA15E3">
      <w:pPr>
        <w:pStyle w:val="TOC8"/>
        <w:rPr>
          <w:rFonts w:asciiTheme="minorHAnsi" w:eastAsiaTheme="minorEastAsia" w:hAnsiTheme="minorHAnsi" w:cstheme="minorBidi"/>
          <w:szCs w:val="22"/>
        </w:rPr>
      </w:pPr>
      <w:r>
        <w:t>10</w:t>
      </w:r>
      <w:r w:rsidRPr="00614DB7">
        <w:rPr>
          <w:snapToGrid w:val="0"/>
        </w:rPr>
        <w:t>.</w:t>
      </w:r>
      <w:r w:rsidRPr="00614DB7">
        <w:rPr>
          <w:snapToGrid w:val="0"/>
        </w:rPr>
        <w:tab/>
        <w:t>Disposition of proceeds of sale</w:t>
      </w:r>
      <w:r>
        <w:tab/>
      </w:r>
      <w:r>
        <w:fldChar w:fldCharType="begin"/>
      </w:r>
      <w:r>
        <w:instrText xml:space="preserve"> PAGEREF _Toc379274454 \h </w:instrText>
      </w:r>
      <w:r>
        <w:fldChar w:fldCharType="separate"/>
      </w:r>
      <w:r w:rsidR="00CB24E6">
        <w:t>7</w:t>
      </w:r>
      <w:r>
        <w:fldChar w:fldCharType="end"/>
      </w:r>
    </w:p>
    <w:p w:rsidR="00BA15E3" w:rsidRDefault="00BA15E3">
      <w:pPr>
        <w:pStyle w:val="TOC8"/>
        <w:rPr>
          <w:rFonts w:asciiTheme="minorHAnsi" w:eastAsiaTheme="minorEastAsia" w:hAnsiTheme="minorHAnsi" w:cstheme="minorBidi"/>
          <w:szCs w:val="22"/>
        </w:rPr>
      </w:pPr>
      <w:r>
        <w:t>11</w:t>
      </w:r>
      <w:r w:rsidRPr="00614DB7">
        <w:rPr>
          <w:snapToGrid w:val="0"/>
        </w:rPr>
        <w:t>.</w:t>
      </w:r>
      <w:r w:rsidRPr="00614DB7">
        <w:rPr>
          <w:snapToGrid w:val="0"/>
        </w:rPr>
        <w:tab/>
        <w:t>Application of Act</w:t>
      </w:r>
      <w:r>
        <w:tab/>
      </w:r>
      <w:r>
        <w:fldChar w:fldCharType="begin"/>
      </w:r>
      <w:r>
        <w:instrText xml:space="preserve"> PAGEREF _Toc379274455 \h </w:instrText>
      </w:r>
      <w:r>
        <w:fldChar w:fldCharType="separate"/>
      </w:r>
      <w:r w:rsidR="00CB24E6">
        <w:t>8</w:t>
      </w:r>
      <w:r>
        <w:fldChar w:fldCharType="end"/>
      </w:r>
    </w:p>
    <w:p w:rsidR="00BA15E3" w:rsidRDefault="00BA15E3">
      <w:pPr>
        <w:pStyle w:val="TOC8"/>
        <w:rPr>
          <w:rFonts w:asciiTheme="minorHAnsi" w:eastAsiaTheme="minorEastAsia" w:hAnsiTheme="minorHAnsi" w:cstheme="minorBidi"/>
          <w:szCs w:val="22"/>
        </w:rPr>
      </w:pPr>
      <w:r>
        <w:t>12</w:t>
      </w:r>
      <w:r w:rsidRPr="00614DB7">
        <w:rPr>
          <w:snapToGrid w:val="0"/>
        </w:rPr>
        <w:t>.</w:t>
      </w:r>
      <w:r w:rsidRPr="00614DB7">
        <w:rPr>
          <w:snapToGrid w:val="0"/>
        </w:rPr>
        <w:tab/>
        <w:t>Regulations</w:t>
      </w:r>
      <w:r>
        <w:tab/>
      </w:r>
      <w:r>
        <w:fldChar w:fldCharType="begin"/>
      </w:r>
      <w:r>
        <w:instrText xml:space="preserve"> PAGEREF _Toc379274456 \h </w:instrText>
      </w:r>
      <w:r>
        <w:fldChar w:fldCharType="separate"/>
      </w:r>
      <w:r w:rsidR="00CB24E6">
        <w:t>9</w:t>
      </w:r>
      <w:r>
        <w:fldChar w:fldCharType="end"/>
      </w:r>
    </w:p>
    <w:p w:rsidR="00BA15E3" w:rsidRDefault="00BA15E3">
      <w:pPr>
        <w:pStyle w:val="TOC8"/>
        <w:rPr>
          <w:rFonts w:asciiTheme="minorHAnsi" w:eastAsiaTheme="minorEastAsia" w:hAnsiTheme="minorHAnsi" w:cstheme="minorBidi"/>
          <w:szCs w:val="22"/>
        </w:rPr>
      </w:pPr>
      <w:r>
        <w:t>13</w:t>
      </w:r>
      <w:r w:rsidRPr="00614DB7">
        <w:rPr>
          <w:snapToGrid w:val="0"/>
        </w:rPr>
        <w:t>.</w:t>
      </w:r>
      <w:r w:rsidRPr="00614DB7">
        <w:rPr>
          <w:snapToGrid w:val="0"/>
        </w:rPr>
        <w:tab/>
        <w:t>Rules of Court</w:t>
      </w:r>
      <w:r>
        <w:tab/>
      </w:r>
      <w:r>
        <w:fldChar w:fldCharType="begin"/>
      </w:r>
      <w:r>
        <w:instrText xml:space="preserve"> PAGEREF _Toc379274457 \h </w:instrText>
      </w:r>
      <w:r>
        <w:fldChar w:fldCharType="separate"/>
      </w:r>
      <w:r w:rsidR="00CB24E6">
        <w:t>10</w:t>
      </w:r>
      <w:r>
        <w:fldChar w:fldCharType="end"/>
      </w:r>
    </w:p>
    <w:p w:rsidR="00BA15E3" w:rsidRDefault="00BA15E3">
      <w:pPr>
        <w:pStyle w:val="TOC8"/>
        <w:rPr>
          <w:rFonts w:asciiTheme="minorHAnsi" w:eastAsiaTheme="minorEastAsia" w:hAnsiTheme="minorHAnsi" w:cstheme="minorBidi"/>
          <w:szCs w:val="22"/>
        </w:rPr>
      </w:pPr>
      <w:r>
        <w:t>14</w:t>
      </w:r>
      <w:r w:rsidRPr="00614DB7">
        <w:rPr>
          <w:snapToGrid w:val="0"/>
        </w:rPr>
        <w:t>.</w:t>
      </w:r>
      <w:r w:rsidRPr="00614DB7">
        <w:rPr>
          <w:snapToGrid w:val="0"/>
        </w:rPr>
        <w:tab/>
        <w:t>Certain liens, rights etc. not to be affected by Act</w:t>
      </w:r>
      <w:r>
        <w:tab/>
      </w:r>
      <w:r>
        <w:fldChar w:fldCharType="begin"/>
      </w:r>
      <w:r>
        <w:instrText xml:space="preserve"> PAGEREF _Toc379274458 \h </w:instrText>
      </w:r>
      <w:r>
        <w:fldChar w:fldCharType="separate"/>
      </w:r>
      <w:r w:rsidR="00CB24E6">
        <w:t>10</w:t>
      </w:r>
      <w:r>
        <w:fldChar w:fldCharType="end"/>
      </w:r>
    </w:p>
    <w:p w:rsidR="00BA15E3" w:rsidRDefault="00BA15E3">
      <w:pPr>
        <w:pStyle w:val="TOC2"/>
        <w:tabs>
          <w:tab w:val="right" w:leader="dot" w:pos="7086"/>
        </w:tabs>
        <w:rPr>
          <w:rFonts w:asciiTheme="minorHAnsi" w:eastAsiaTheme="minorEastAsia" w:hAnsiTheme="minorHAnsi" w:cstheme="minorBidi"/>
          <w:b w:val="0"/>
          <w:noProof/>
          <w:sz w:val="22"/>
          <w:szCs w:val="22"/>
        </w:rPr>
      </w:pPr>
      <w:r>
        <w:rPr>
          <w:noProof/>
        </w:rPr>
        <w:t>Notes</w:t>
      </w:r>
    </w:p>
    <w:p w:rsidR="00BA15E3" w:rsidRDefault="00BA15E3" w:rsidP="00BA15E3">
      <w:pPr>
        <w:pStyle w:val="TOC8"/>
        <w:rPr>
          <w:rFonts w:asciiTheme="minorHAnsi" w:eastAsiaTheme="minorEastAsia" w:hAnsiTheme="minorHAnsi" w:cstheme="minorBidi"/>
          <w:szCs w:val="22"/>
        </w:rPr>
      </w:pPr>
      <w:r>
        <w:rPr>
          <w:snapToGrid w:val="0"/>
        </w:rPr>
        <w:tab/>
      </w:r>
      <w:r w:rsidRPr="00614DB7">
        <w:rPr>
          <w:snapToGrid w:val="0"/>
        </w:rPr>
        <w:t>Compilation table</w:t>
      </w:r>
      <w:r>
        <w:tab/>
      </w:r>
      <w:r>
        <w:fldChar w:fldCharType="begin"/>
      </w:r>
      <w:r>
        <w:instrText xml:space="preserve"> PAGEREF _Toc379274460 \h </w:instrText>
      </w:r>
      <w:r>
        <w:fldChar w:fldCharType="separate"/>
      </w:r>
      <w:r w:rsidR="00CB24E6">
        <w:t>11</w:t>
      </w:r>
      <w:r>
        <w:fldChar w:fldCharType="end"/>
      </w:r>
    </w:p>
    <w:p w:rsidR="00BA15E3" w:rsidRDefault="00BA15E3">
      <w:pPr>
        <w:pStyle w:val="TOC2"/>
        <w:tabs>
          <w:tab w:val="right" w:leader="dot" w:pos="7086"/>
        </w:tabs>
        <w:rPr>
          <w:rFonts w:asciiTheme="minorHAnsi" w:eastAsiaTheme="minorEastAsia" w:hAnsiTheme="minorHAnsi" w:cstheme="minorBidi"/>
          <w:b w:val="0"/>
          <w:noProof/>
          <w:sz w:val="22"/>
          <w:szCs w:val="22"/>
        </w:rPr>
      </w:pPr>
      <w:r>
        <w:rPr>
          <w:noProof/>
        </w:rPr>
        <w:t>Defined Terms</w:t>
      </w:r>
    </w:p>
    <w:p w:rsidR="00507332" w:rsidRDefault="00507332">
      <w:r>
        <w:fldChar w:fldCharType="end"/>
      </w:r>
    </w:p>
    <w:p w:rsidR="00507332" w:rsidRDefault="0050733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7332" w:rsidRDefault="00507332">
      <w:pPr>
        <w:pStyle w:val="NoteHeading"/>
        <w:sectPr w:rsidR="0050733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07332" w:rsidRDefault="00507332">
      <w:pPr>
        <w:pStyle w:val="WA"/>
        <w:spacing w:before="120"/>
      </w:pPr>
      <w:smartTag w:uri="urn:schemas-microsoft-com:office:smarttags" w:element="State">
        <w:smartTag w:uri="urn:schemas-microsoft-com:office:smarttags" w:element="place">
          <w:r>
            <w:lastRenderedPageBreak/>
            <w:t>Western Australia</w:t>
          </w:r>
        </w:smartTag>
      </w:smartTag>
    </w:p>
    <w:p w:rsidR="00507332" w:rsidRDefault="00507332">
      <w:pPr>
        <w:pStyle w:val="NameofActReg"/>
      </w:pPr>
      <w:r>
        <w:t xml:space="preserve">Warehousemen’s Liens Act 1952 </w:t>
      </w:r>
    </w:p>
    <w:p w:rsidR="00507332" w:rsidRDefault="00507332">
      <w:pPr>
        <w:pStyle w:val="LongTitle"/>
        <w:spacing w:after="480"/>
        <w:rPr>
          <w:snapToGrid w:val="0"/>
        </w:rPr>
      </w:pPr>
      <w:r>
        <w:rPr>
          <w:snapToGrid w:val="0"/>
        </w:rPr>
        <w:t xml:space="preserve">An Act to amend the law relating to the warehousing of goods. </w:t>
      </w:r>
    </w:p>
    <w:p w:rsidR="00507332" w:rsidRDefault="00507332">
      <w:pPr>
        <w:pStyle w:val="Heading5"/>
        <w:rPr>
          <w:snapToGrid w:val="0"/>
        </w:rPr>
      </w:pPr>
      <w:bookmarkStart w:id="1" w:name="_Toc379274445"/>
      <w:r>
        <w:rPr>
          <w:rStyle w:val="CharSectno"/>
        </w:rPr>
        <w:t>1</w:t>
      </w:r>
      <w:r>
        <w:rPr>
          <w:snapToGrid w:val="0"/>
        </w:rPr>
        <w:t>.</w:t>
      </w:r>
      <w:r>
        <w:rPr>
          <w:snapToGrid w:val="0"/>
        </w:rPr>
        <w:tab/>
        <w:t>Short title</w:t>
      </w:r>
      <w:bookmarkEnd w:id="1"/>
      <w:r>
        <w:rPr>
          <w:snapToGrid w:val="0"/>
        </w:rPr>
        <w:t xml:space="preserve"> </w:t>
      </w:r>
    </w:p>
    <w:p w:rsidR="00507332" w:rsidRDefault="00507332">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rsidR="00507332" w:rsidRDefault="00507332">
      <w:pPr>
        <w:pStyle w:val="Heading5"/>
        <w:rPr>
          <w:snapToGrid w:val="0"/>
        </w:rPr>
      </w:pPr>
      <w:bookmarkStart w:id="2" w:name="_Toc379274446"/>
      <w:r>
        <w:rPr>
          <w:rStyle w:val="CharSectno"/>
        </w:rPr>
        <w:t>2</w:t>
      </w:r>
      <w:r>
        <w:rPr>
          <w:snapToGrid w:val="0"/>
        </w:rPr>
        <w:t>.</w:t>
      </w:r>
      <w:r>
        <w:rPr>
          <w:snapToGrid w:val="0"/>
        </w:rPr>
        <w:tab/>
        <w:t>Commencement</w:t>
      </w:r>
      <w:bookmarkEnd w:id="2"/>
      <w:r>
        <w:rPr>
          <w:snapToGrid w:val="0"/>
        </w:rPr>
        <w:t xml:space="preserve"> </w:t>
      </w:r>
    </w:p>
    <w:p w:rsidR="00507332" w:rsidRDefault="00507332">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507332" w:rsidRDefault="00507332">
      <w:pPr>
        <w:pStyle w:val="Heading5"/>
        <w:rPr>
          <w:snapToGrid w:val="0"/>
        </w:rPr>
      </w:pPr>
      <w:bookmarkStart w:id="3" w:name="_Toc379274447"/>
      <w:r>
        <w:rPr>
          <w:rStyle w:val="CharSectno"/>
        </w:rPr>
        <w:t>3</w:t>
      </w:r>
      <w:r>
        <w:rPr>
          <w:snapToGrid w:val="0"/>
        </w:rPr>
        <w:t>.</w:t>
      </w:r>
      <w:r>
        <w:rPr>
          <w:snapToGrid w:val="0"/>
        </w:rPr>
        <w:tab/>
        <w:t>Term used: warehouseman</w:t>
      </w:r>
      <w:bookmarkEnd w:id="3"/>
      <w:r>
        <w:rPr>
          <w:snapToGrid w:val="0"/>
        </w:rPr>
        <w:t xml:space="preserve"> </w:t>
      </w:r>
    </w:p>
    <w:p w:rsidR="00507332" w:rsidRDefault="00507332">
      <w:pPr>
        <w:pStyle w:val="Subsection"/>
        <w:rPr>
          <w:snapToGrid w:val="0"/>
        </w:rPr>
      </w:pPr>
      <w:r>
        <w:rPr>
          <w:snapToGrid w:val="0"/>
        </w:rPr>
        <w:tab/>
      </w:r>
      <w:r>
        <w:rPr>
          <w:snapToGrid w:val="0"/>
        </w:rPr>
        <w:tab/>
        <w:t>In this Act, unless inconsistent with the context or subject matter — </w:t>
      </w:r>
    </w:p>
    <w:p w:rsidR="00507332" w:rsidRDefault="00507332">
      <w:pPr>
        <w:pStyle w:val="Defstart"/>
      </w:pPr>
      <w:r>
        <w:rPr>
          <w:b/>
        </w:rPr>
        <w:tab/>
      </w:r>
      <w:r>
        <w:rPr>
          <w:rStyle w:val="CharDefText"/>
        </w:rPr>
        <w:t>warehouseman</w:t>
      </w:r>
      <w:r>
        <w:t xml:space="preserve"> means a person lawfully engaged in the business of storing goods as a bailee for hire or reward.</w:t>
      </w:r>
    </w:p>
    <w:p w:rsidR="00507332" w:rsidRDefault="00507332">
      <w:pPr>
        <w:pStyle w:val="Heading5"/>
        <w:rPr>
          <w:snapToGrid w:val="0"/>
        </w:rPr>
      </w:pPr>
      <w:bookmarkStart w:id="4" w:name="_Toc379274448"/>
      <w:r>
        <w:rPr>
          <w:rStyle w:val="CharSectno"/>
        </w:rPr>
        <w:t>4</w:t>
      </w:r>
      <w:r>
        <w:rPr>
          <w:snapToGrid w:val="0"/>
        </w:rPr>
        <w:t>.</w:t>
      </w:r>
      <w:r>
        <w:rPr>
          <w:snapToGrid w:val="0"/>
        </w:rPr>
        <w:tab/>
        <w:t>Declaration of warehouseman’s lien</w:t>
      </w:r>
      <w:bookmarkEnd w:id="4"/>
      <w:r>
        <w:rPr>
          <w:snapToGrid w:val="0"/>
        </w:rPr>
        <w:t xml:space="preserve"> </w:t>
      </w:r>
    </w:p>
    <w:p w:rsidR="00507332" w:rsidRDefault="00177E1F">
      <w:pPr>
        <w:pStyle w:val="Subsection"/>
        <w:rPr>
          <w:snapToGrid w:val="0"/>
        </w:rPr>
      </w:pPr>
      <w:r>
        <w:tab/>
        <w:t>(1)</w:t>
      </w:r>
      <w:r>
        <w:tab/>
        <w:t>Subject to</w:t>
      </w:r>
      <w:r w:rsidR="00507332">
        <w:rPr>
          <w:snapToGrid w:val="0"/>
        </w:rPr>
        <w:t xml:space="preserve"> the provisions of section 6, a warehouseman shall have a lien on goods deposited with him </w:t>
      </w:r>
      <w:r>
        <w:t>for storage in priority to all other claims on the goods.</w:t>
      </w:r>
    </w:p>
    <w:p w:rsidR="00177E1F" w:rsidRDefault="00177E1F" w:rsidP="00177E1F">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rsidR="00177E1F" w:rsidRDefault="00177E1F" w:rsidP="00177E1F">
      <w:pPr>
        <w:pStyle w:val="Footnotesection"/>
      </w:pPr>
      <w:r>
        <w:tab/>
        <w:t xml:space="preserve">[Section 4 amended by No. 42 of 2011 s. 27.] </w:t>
      </w:r>
    </w:p>
    <w:p w:rsidR="00507332" w:rsidRDefault="00507332">
      <w:pPr>
        <w:pStyle w:val="Heading5"/>
        <w:rPr>
          <w:snapToGrid w:val="0"/>
        </w:rPr>
      </w:pPr>
      <w:bookmarkStart w:id="5" w:name="_Toc379274449"/>
      <w:r>
        <w:rPr>
          <w:rStyle w:val="CharSectno"/>
        </w:rPr>
        <w:lastRenderedPageBreak/>
        <w:t>5</w:t>
      </w:r>
      <w:r>
        <w:rPr>
          <w:snapToGrid w:val="0"/>
        </w:rPr>
        <w:t>.</w:t>
      </w:r>
      <w:r>
        <w:rPr>
          <w:snapToGrid w:val="0"/>
        </w:rPr>
        <w:tab/>
        <w:t>Charges covered by lien</w:t>
      </w:r>
      <w:bookmarkEnd w:id="5"/>
      <w:r>
        <w:rPr>
          <w:snapToGrid w:val="0"/>
        </w:rPr>
        <w:t xml:space="preserve"> </w:t>
      </w:r>
    </w:p>
    <w:p w:rsidR="00507332" w:rsidRDefault="00507332">
      <w:pPr>
        <w:pStyle w:val="Subsection"/>
        <w:spacing w:before="120"/>
        <w:rPr>
          <w:snapToGrid w:val="0"/>
        </w:rPr>
      </w:pPr>
      <w:r>
        <w:rPr>
          <w:snapToGrid w:val="0"/>
        </w:rPr>
        <w:tab/>
      </w:r>
      <w:r>
        <w:rPr>
          <w:snapToGrid w:val="0"/>
        </w:rPr>
        <w:tab/>
        <w:t>The lien shall be for the amount of the warehouseman’s charges, namely — </w:t>
      </w:r>
    </w:p>
    <w:p w:rsidR="00507332" w:rsidRDefault="00507332">
      <w:pPr>
        <w:pStyle w:val="Indenta"/>
        <w:rPr>
          <w:snapToGrid w:val="0"/>
        </w:rPr>
      </w:pPr>
      <w:r>
        <w:rPr>
          <w:snapToGrid w:val="0"/>
        </w:rPr>
        <w:tab/>
        <w:t>(a)</w:t>
      </w:r>
      <w:r>
        <w:rPr>
          <w:snapToGrid w:val="0"/>
        </w:rPr>
        <w:tab/>
        <w:t>lawful charges for storage and preservation of the goods; and</w:t>
      </w:r>
    </w:p>
    <w:p w:rsidR="00507332" w:rsidRDefault="00507332">
      <w:pPr>
        <w:pStyle w:val="Indenta"/>
        <w:rPr>
          <w:snapToGrid w:val="0"/>
        </w:rPr>
      </w:pPr>
      <w:r>
        <w:rPr>
          <w:snapToGrid w:val="0"/>
        </w:rPr>
        <w:tab/>
        <w:t>(b)</w:t>
      </w:r>
      <w:r>
        <w:rPr>
          <w:snapToGrid w:val="0"/>
        </w:rPr>
        <w:tab/>
        <w:t>lawful claims for insurance, transportation, labour, weighing, packing, coopering, and other expenses in relation to the goods; and</w:t>
      </w:r>
    </w:p>
    <w:p w:rsidR="00507332" w:rsidRDefault="00507332">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rsidR="00507332" w:rsidRDefault="00507332">
      <w:pPr>
        <w:pStyle w:val="Heading5"/>
        <w:rPr>
          <w:snapToGrid w:val="0"/>
        </w:rPr>
      </w:pPr>
      <w:bookmarkStart w:id="6" w:name="_Toc379274450"/>
      <w:r>
        <w:rPr>
          <w:rStyle w:val="CharSectno"/>
        </w:rPr>
        <w:t>6</w:t>
      </w:r>
      <w:r>
        <w:rPr>
          <w:snapToGrid w:val="0"/>
        </w:rPr>
        <w:t>.</w:t>
      </w:r>
      <w:r>
        <w:rPr>
          <w:snapToGrid w:val="0"/>
        </w:rPr>
        <w:tab/>
        <w:t>Warehouseman to give notice of lien to people with interest in goods</w:t>
      </w:r>
      <w:bookmarkEnd w:id="6"/>
    </w:p>
    <w:p w:rsidR="00177E1F" w:rsidRDefault="00177E1F" w:rsidP="00177E1F">
      <w:pPr>
        <w:pStyle w:val="Subsection"/>
      </w:pPr>
      <w:r>
        <w:tab/>
        <w:t>(1)</w:t>
      </w:r>
      <w:r>
        <w:tab/>
        <w:t xml:space="preserve">The warehouseman must, within 3 months after the date of the deposit of goods with the warehouseman, give notice of the lien on the goods to a person if — </w:t>
      </w:r>
    </w:p>
    <w:p w:rsidR="00177E1F" w:rsidRDefault="00177E1F" w:rsidP="00177E1F">
      <w:pPr>
        <w:pStyle w:val="Indenta"/>
      </w:pPr>
      <w:r>
        <w:tab/>
        <w:t>(a)</w:t>
      </w:r>
      <w:r>
        <w:tab/>
        <w:t xml:space="preserve">the goods are of, or greater than, the value prescribed under the </w:t>
      </w:r>
      <w:r>
        <w:rPr>
          <w:i/>
        </w:rPr>
        <w:t>Criminal and Found Property Disposal Act 2006</w:t>
      </w:r>
      <w:r>
        <w:t xml:space="preserve"> section 33(1)(a); and</w:t>
      </w:r>
    </w:p>
    <w:p w:rsidR="00177E1F" w:rsidRDefault="00177E1F" w:rsidP="00177E1F">
      <w:pPr>
        <w:pStyle w:val="Indenta"/>
      </w:pPr>
      <w:r>
        <w:tab/>
        <w:t>(b)</w:t>
      </w:r>
      <w:r>
        <w:tab/>
        <w:t xml:space="preserve">one of the following applies — </w:t>
      </w:r>
    </w:p>
    <w:p w:rsidR="00177E1F" w:rsidRDefault="00177E1F" w:rsidP="00177E1F">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rsidR="00177E1F" w:rsidRDefault="00177E1F" w:rsidP="00177E1F">
      <w:pPr>
        <w:pStyle w:val="Indenti"/>
      </w:pPr>
      <w:r>
        <w:tab/>
        <w:t>(ii)</w:t>
      </w:r>
      <w:r>
        <w:tab/>
        <w:t>the person has an interest in the goods that the warehouseman is aware of at any time before the expiration of 2 months after the deposit of the goods.</w:t>
      </w:r>
    </w:p>
    <w:p w:rsidR="00507332" w:rsidRDefault="00507332">
      <w:pPr>
        <w:pStyle w:val="Subsection"/>
        <w:spacing w:before="180"/>
        <w:rPr>
          <w:snapToGrid w:val="0"/>
        </w:rPr>
      </w:pPr>
      <w:r>
        <w:rPr>
          <w:snapToGrid w:val="0"/>
        </w:rPr>
        <w:tab/>
        <w:t>(2)</w:t>
      </w:r>
      <w:r>
        <w:rPr>
          <w:snapToGrid w:val="0"/>
        </w:rPr>
        <w:tab/>
        <w:t>The notice shall be in the prescribed form and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lastRenderedPageBreak/>
        <w:tab/>
        <w:t>(b)</w:t>
      </w:r>
      <w:r>
        <w:rPr>
          <w:snapToGrid w:val="0"/>
        </w:rPr>
        <w:tab/>
        <w:t>a statement showing the location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 statement that a lien under this Act is claimed by the warehouseman in respect of the goods; and</w:t>
      </w:r>
    </w:p>
    <w:p w:rsidR="00507332" w:rsidRDefault="00507332">
      <w:pPr>
        <w:pStyle w:val="Indenta"/>
        <w:rPr>
          <w:snapToGrid w:val="0"/>
        </w:rPr>
      </w:pPr>
      <w:r>
        <w:rPr>
          <w:snapToGrid w:val="0"/>
        </w:rPr>
        <w:tab/>
        <w:t>(d)</w:t>
      </w:r>
      <w:r>
        <w:rPr>
          <w:snapToGrid w:val="0"/>
        </w:rPr>
        <w:tab/>
        <w:t>such other particulars as are prescribed.</w:t>
      </w:r>
    </w:p>
    <w:p w:rsidR="00507332" w:rsidRDefault="00507332">
      <w:pPr>
        <w:pStyle w:val="Subsection"/>
        <w:spacing w:before="180"/>
        <w:rPr>
          <w:snapToGrid w:val="0"/>
        </w:rPr>
      </w:pPr>
      <w:r>
        <w:rPr>
          <w:snapToGrid w:val="0"/>
        </w:rPr>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rsidR="00177E1F" w:rsidRDefault="00177E1F" w:rsidP="00177E1F">
      <w:pPr>
        <w:pStyle w:val="Footnotesection"/>
      </w:pPr>
      <w:r>
        <w:tab/>
        <w:t xml:space="preserve">[Section 6 amended by No. 42 of 2011 s. 28.] </w:t>
      </w:r>
    </w:p>
    <w:p w:rsidR="00507332" w:rsidRDefault="00507332">
      <w:pPr>
        <w:pStyle w:val="Heading5"/>
        <w:spacing w:before="240"/>
        <w:rPr>
          <w:snapToGrid w:val="0"/>
        </w:rPr>
      </w:pPr>
      <w:bookmarkStart w:id="7" w:name="_Toc379274451"/>
      <w:r>
        <w:rPr>
          <w:rStyle w:val="CharSectno"/>
        </w:rPr>
        <w:t>7</w:t>
      </w:r>
      <w:r>
        <w:rPr>
          <w:snapToGrid w:val="0"/>
        </w:rPr>
        <w:t>.</w:t>
      </w:r>
      <w:r>
        <w:rPr>
          <w:snapToGrid w:val="0"/>
        </w:rPr>
        <w:tab/>
        <w:t>Power to sell goods</w:t>
      </w:r>
      <w:bookmarkEnd w:id="7"/>
      <w:r>
        <w:rPr>
          <w:snapToGrid w:val="0"/>
        </w:rPr>
        <w:t xml:space="preserve"> </w:t>
      </w:r>
    </w:p>
    <w:p w:rsidR="00507332" w:rsidRDefault="00507332">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rsidR="00507332" w:rsidRDefault="00507332">
      <w:pPr>
        <w:pStyle w:val="Subsection"/>
        <w:spacing w:before="180"/>
        <w:rPr>
          <w:snapToGrid w:val="0"/>
        </w:rPr>
      </w:pPr>
      <w:r>
        <w:rPr>
          <w:snapToGrid w:val="0"/>
        </w:rPr>
        <w:tab/>
        <w:t>(2)</w:t>
      </w:r>
      <w:r>
        <w:rPr>
          <w:snapToGrid w:val="0"/>
        </w:rPr>
        <w:tab/>
        <w:t>The warehouseman shall give written notice of his intention to sell — </w:t>
      </w:r>
    </w:p>
    <w:p w:rsidR="00507332" w:rsidRDefault="00507332">
      <w:pPr>
        <w:pStyle w:val="Indenta"/>
        <w:rPr>
          <w:snapToGrid w:val="0"/>
        </w:rPr>
      </w:pPr>
      <w:r>
        <w:rPr>
          <w:snapToGrid w:val="0"/>
        </w:rPr>
        <w:tab/>
        <w:t>(a)</w:t>
      </w:r>
      <w:r>
        <w:rPr>
          <w:snapToGrid w:val="0"/>
        </w:rPr>
        <w:tab/>
        <w:t>to the person liable as debtor for the charges for which the lien exists; and</w:t>
      </w:r>
    </w:p>
    <w:p w:rsidR="00507332" w:rsidRDefault="00507332">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rsidR="00177E1F" w:rsidRDefault="00177E1F" w:rsidP="00177E1F">
      <w:pPr>
        <w:pStyle w:val="Ednotepara"/>
        <w:rPr>
          <w:snapToGrid w:val="0"/>
        </w:rPr>
      </w:pPr>
      <w:r>
        <w:rPr>
          <w:snapToGrid w:val="0"/>
        </w:rPr>
        <w:tab/>
        <w:t>[(c)</w:t>
      </w:r>
      <w:r>
        <w:rPr>
          <w:snapToGrid w:val="0"/>
        </w:rPr>
        <w:tab/>
        <w:t>deleted]</w:t>
      </w:r>
    </w:p>
    <w:p w:rsidR="00507332" w:rsidRDefault="00507332">
      <w:pPr>
        <w:pStyle w:val="Indenta"/>
        <w:rPr>
          <w:snapToGrid w:val="0"/>
        </w:rPr>
      </w:pPr>
      <w:r>
        <w:rPr>
          <w:snapToGrid w:val="0"/>
        </w:rPr>
        <w:tab/>
        <w:t>(d)</w:t>
      </w:r>
      <w:r>
        <w:rPr>
          <w:snapToGrid w:val="0"/>
        </w:rPr>
        <w:tab/>
        <w:t>to any other person of whose interest in the goods the warehouseman has knowledge.</w:t>
      </w:r>
    </w:p>
    <w:p w:rsidR="00507332" w:rsidRDefault="00507332">
      <w:pPr>
        <w:pStyle w:val="Subsection"/>
        <w:spacing w:before="180"/>
        <w:rPr>
          <w:snapToGrid w:val="0"/>
        </w:rPr>
      </w:pPr>
      <w:r>
        <w:rPr>
          <w:snapToGrid w:val="0"/>
        </w:rPr>
        <w:lastRenderedPageBreak/>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The notice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an itemized statement of the warehouseman’s charges showing the sum due at the time of the notice; and</w:t>
      </w:r>
    </w:p>
    <w:p w:rsidR="00507332" w:rsidRDefault="00507332">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rsidR="00507332" w:rsidRDefault="00507332">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rsidR="00507332" w:rsidRDefault="00507332">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rsidR="00507332" w:rsidRDefault="00507332">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rsidR="00507332" w:rsidRDefault="00507332">
      <w:pPr>
        <w:pStyle w:val="Subsection"/>
        <w:spacing w:before="180"/>
        <w:rPr>
          <w:snapToGrid w:val="0"/>
        </w:rPr>
      </w:pPr>
      <w:r>
        <w:rPr>
          <w:snapToGrid w:val="0"/>
        </w:rPr>
        <w:lastRenderedPageBreak/>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rsidR="00507332" w:rsidRDefault="00507332">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rsidR="00507332" w:rsidRDefault="00507332">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rsidR="00507332" w:rsidRDefault="00507332">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rsidR="00507332" w:rsidRDefault="00507332">
      <w:pPr>
        <w:pStyle w:val="Footnotesection"/>
      </w:pPr>
      <w:r>
        <w:tab/>
        <w:t>[Section 7 amended by No. 15 of 1954 s. 2; No. 14 of 1996 s. 4; No. 59 of 2004 s. 141; No. 19 of 2010 s. 51</w:t>
      </w:r>
      <w:r w:rsidR="00177E1F">
        <w:t>; No. 42 of 2011 s. 29</w:t>
      </w:r>
      <w:r>
        <w:t xml:space="preserve">.] </w:t>
      </w:r>
    </w:p>
    <w:p w:rsidR="00507332" w:rsidRDefault="00507332">
      <w:pPr>
        <w:pStyle w:val="Heading5"/>
        <w:spacing w:before="240"/>
        <w:rPr>
          <w:snapToGrid w:val="0"/>
        </w:rPr>
      </w:pPr>
      <w:bookmarkStart w:id="8" w:name="_Toc379274452"/>
      <w:r>
        <w:rPr>
          <w:rStyle w:val="CharSectno"/>
        </w:rPr>
        <w:t>8</w:t>
      </w:r>
      <w:r>
        <w:rPr>
          <w:snapToGrid w:val="0"/>
        </w:rPr>
        <w:t>.</w:t>
      </w:r>
      <w:r>
        <w:rPr>
          <w:snapToGrid w:val="0"/>
        </w:rPr>
        <w:tab/>
        <w:t>Satisfying lien before sale, consequences of</w:t>
      </w:r>
      <w:bookmarkEnd w:id="8"/>
    </w:p>
    <w:p w:rsidR="00507332" w:rsidRDefault="00507332">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rsidR="00507332" w:rsidRDefault="00507332">
      <w:pPr>
        <w:pStyle w:val="Subsection"/>
        <w:rPr>
          <w:snapToGrid w:val="0"/>
        </w:rPr>
      </w:pPr>
      <w:r>
        <w:rPr>
          <w:snapToGrid w:val="0"/>
        </w:rPr>
        <w:lastRenderedPageBreak/>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rsidR="00507332" w:rsidRDefault="00507332">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rsidR="00507332" w:rsidRDefault="00507332">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rsidR="00507332" w:rsidRDefault="00507332">
      <w:pPr>
        <w:pStyle w:val="Footnotesection"/>
      </w:pPr>
      <w:r>
        <w:tab/>
        <w:t>[Section 8 amended by No. 113 of 1965 s. 8(1); No. 19 of 2010 s. 51.]</w:t>
      </w:r>
    </w:p>
    <w:p w:rsidR="00507332" w:rsidRDefault="00507332">
      <w:pPr>
        <w:pStyle w:val="Heading5"/>
        <w:rPr>
          <w:snapToGrid w:val="0"/>
        </w:rPr>
      </w:pPr>
      <w:bookmarkStart w:id="9" w:name="_Toc379274453"/>
      <w:r>
        <w:rPr>
          <w:rStyle w:val="CharSectno"/>
        </w:rPr>
        <w:t>9</w:t>
      </w:r>
      <w:r>
        <w:rPr>
          <w:snapToGrid w:val="0"/>
        </w:rPr>
        <w:t>.</w:t>
      </w:r>
      <w:r>
        <w:rPr>
          <w:snapToGrid w:val="0"/>
        </w:rPr>
        <w:tab/>
        <w:t>Notices, giving of etc.</w:t>
      </w:r>
      <w:bookmarkEnd w:id="9"/>
    </w:p>
    <w:p w:rsidR="00507332" w:rsidRDefault="00507332">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rsidR="00507332" w:rsidRDefault="00507332">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rsidR="00507332" w:rsidRDefault="00507332">
      <w:pPr>
        <w:pStyle w:val="Subsection"/>
        <w:spacing w:before="120"/>
        <w:rPr>
          <w:snapToGrid w:val="0"/>
        </w:rPr>
      </w:pPr>
      <w:r>
        <w:rPr>
          <w:snapToGrid w:val="0"/>
        </w:rPr>
        <w:lastRenderedPageBreak/>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rsidR="00507332" w:rsidRDefault="00507332">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rsidR="00507332" w:rsidRDefault="00507332">
      <w:pPr>
        <w:pStyle w:val="Footnotesection"/>
      </w:pPr>
      <w:r>
        <w:tab/>
        <w:t xml:space="preserve">[Section 9 amended by No. 19 of 2010 s. 51.] </w:t>
      </w:r>
    </w:p>
    <w:p w:rsidR="00507332" w:rsidRDefault="00507332">
      <w:pPr>
        <w:pStyle w:val="Heading5"/>
        <w:spacing w:before="180"/>
        <w:rPr>
          <w:snapToGrid w:val="0"/>
        </w:rPr>
      </w:pPr>
      <w:bookmarkStart w:id="10" w:name="_Toc379274454"/>
      <w:r>
        <w:rPr>
          <w:rStyle w:val="CharSectno"/>
        </w:rPr>
        <w:t>10</w:t>
      </w:r>
      <w:r>
        <w:rPr>
          <w:snapToGrid w:val="0"/>
        </w:rPr>
        <w:t>.</w:t>
      </w:r>
      <w:r>
        <w:rPr>
          <w:snapToGrid w:val="0"/>
        </w:rPr>
        <w:tab/>
        <w:t>Disposition of proceeds of sale</w:t>
      </w:r>
      <w:bookmarkEnd w:id="10"/>
      <w:r>
        <w:rPr>
          <w:snapToGrid w:val="0"/>
        </w:rPr>
        <w:t xml:space="preserve"> </w:t>
      </w:r>
    </w:p>
    <w:p w:rsidR="00507332" w:rsidRDefault="00507332">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rsidR="00507332" w:rsidRDefault="00507332">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rsidR="00507332" w:rsidRDefault="00507332">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rsidR="00507332" w:rsidRDefault="00507332">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rsidR="00507332" w:rsidRDefault="00507332">
      <w:pPr>
        <w:pStyle w:val="Subsection"/>
        <w:spacing w:before="140"/>
        <w:rPr>
          <w:snapToGrid w:val="0"/>
        </w:rPr>
      </w:pPr>
      <w:r>
        <w:rPr>
          <w:snapToGrid w:val="0"/>
        </w:rPr>
        <w:tab/>
        <w:t>(3)</w:t>
      </w:r>
      <w:r>
        <w:rPr>
          <w:snapToGrid w:val="0"/>
        </w:rPr>
        <w:tab/>
        <w:t xml:space="preserve">Where no claim to the surplus is made within 10 days after the sale, the warehouseman shall within 14 days after the sale pay </w:t>
      </w:r>
      <w:r>
        <w:rPr>
          <w:snapToGrid w:val="0"/>
        </w:rPr>
        <w:lastRenderedPageBreak/>
        <w:t>the surplus to the Treasurer who shall credit it to the Consolidated Account.</w:t>
      </w:r>
    </w:p>
    <w:p w:rsidR="00507332" w:rsidRDefault="00507332">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rsidR="00507332" w:rsidRDefault="00507332">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rsidR="00507332" w:rsidRDefault="00507332">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rsidR="00507332" w:rsidRDefault="00507332">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rsidR="00507332" w:rsidRDefault="00507332">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rsidR="00507332" w:rsidRDefault="00507332">
      <w:pPr>
        <w:pStyle w:val="Penstart"/>
        <w:rPr>
          <w:snapToGrid w:val="0"/>
        </w:rPr>
      </w:pPr>
      <w:r>
        <w:rPr>
          <w:snapToGrid w:val="0"/>
        </w:rPr>
        <w:tab/>
        <w:t>Penalty: $4 for every day during which the default continues.</w:t>
      </w:r>
    </w:p>
    <w:p w:rsidR="00507332" w:rsidRDefault="00507332">
      <w:pPr>
        <w:pStyle w:val="Footnotesection"/>
        <w:ind w:left="890" w:hanging="890"/>
      </w:pPr>
      <w:r>
        <w:tab/>
        <w:t xml:space="preserve">[Section 10 amended by No. 113 of 1965 s. 8(1); No. 6 of 1993 s. 16(1); No. 49 of 1996 s. 64; No. 59 of 2004 s. 141; No. 77 of 2006 s. 4; No. 19 of 2010 s. 51.] </w:t>
      </w:r>
    </w:p>
    <w:p w:rsidR="00507332" w:rsidRDefault="00507332">
      <w:pPr>
        <w:pStyle w:val="Heading5"/>
        <w:rPr>
          <w:snapToGrid w:val="0"/>
        </w:rPr>
      </w:pPr>
      <w:bookmarkStart w:id="11" w:name="_Toc379274455"/>
      <w:r>
        <w:rPr>
          <w:rStyle w:val="CharSectno"/>
        </w:rPr>
        <w:t>11</w:t>
      </w:r>
      <w:r>
        <w:rPr>
          <w:snapToGrid w:val="0"/>
        </w:rPr>
        <w:t>.</w:t>
      </w:r>
      <w:r>
        <w:rPr>
          <w:snapToGrid w:val="0"/>
        </w:rPr>
        <w:tab/>
        <w:t>Application of Act</w:t>
      </w:r>
      <w:bookmarkEnd w:id="11"/>
      <w:r>
        <w:rPr>
          <w:snapToGrid w:val="0"/>
        </w:rPr>
        <w:t xml:space="preserve"> </w:t>
      </w:r>
    </w:p>
    <w:p w:rsidR="00507332" w:rsidRDefault="00507332">
      <w:pPr>
        <w:pStyle w:val="Subsection"/>
        <w:rPr>
          <w:snapToGrid w:val="0"/>
        </w:rPr>
      </w:pPr>
      <w:r>
        <w:rPr>
          <w:snapToGrid w:val="0"/>
        </w:rPr>
        <w:tab/>
        <w:t>(1)</w:t>
      </w:r>
      <w:r>
        <w:rPr>
          <w:snapToGrid w:val="0"/>
        </w:rPr>
        <w:tab/>
        <w:t xml:space="preserve">The provisions of this Act apply to cases in which the goods were deposited for storage before as well as to cases in which the goods are deposited after the commencement of this Act, but </w:t>
      </w:r>
      <w:r>
        <w:rPr>
          <w:snapToGrid w:val="0"/>
        </w:rPr>
        <w:lastRenderedPageBreak/>
        <w:t>no notice pursuant to section 7 shall be given before the expiration of 3 months from such commencement.</w:t>
      </w:r>
    </w:p>
    <w:p w:rsidR="00507332" w:rsidRDefault="00507332">
      <w:pPr>
        <w:pStyle w:val="Ednotesubsection"/>
      </w:pPr>
      <w:r>
        <w:tab/>
        <w:t>[(2)</w:t>
      </w:r>
      <w:r>
        <w:tab/>
        <w:t>Omitted under the Reprints Act 1984 s. 7(4)(g).]</w:t>
      </w:r>
    </w:p>
    <w:p w:rsidR="00507332" w:rsidRDefault="00507332">
      <w:pPr>
        <w:pStyle w:val="Heading5"/>
        <w:rPr>
          <w:snapToGrid w:val="0"/>
        </w:rPr>
      </w:pPr>
      <w:bookmarkStart w:id="12" w:name="_Toc379274456"/>
      <w:r>
        <w:rPr>
          <w:rStyle w:val="CharSectno"/>
        </w:rPr>
        <w:t>12</w:t>
      </w:r>
      <w:r>
        <w:rPr>
          <w:snapToGrid w:val="0"/>
        </w:rPr>
        <w:t>.</w:t>
      </w:r>
      <w:r>
        <w:rPr>
          <w:snapToGrid w:val="0"/>
        </w:rPr>
        <w:tab/>
        <w:t>Regulations</w:t>
      </w:r>
      <w:bookmarkEnd w:id="12"/>
      <w:r>
        <w:rPr>
          <w:snapToGrid w:val="0"/>
        </w:rPr>
        <w:t xml:space="preserve"> </w:t>
      </w:r>
    </w:p>
    <w:p w:rsidR="00507332" w:rsidRDefault="00507332">
      <w:pPr>
        <w:pStyle w:val="Subsection"/>
        <w:rPr>
          <w:snapToGrid w:val="0"/>
        </w:rPr>
      </w:pPr>
      <w:r>
        <w:rPr>
          <w:snapToGrid w:val="0"/>
        </w:rPr>
        <w:tab/>
      </w:r>
      <w:r>
        <w:rPr>
          <w:snapToGrid w:val="0"/>
        </w:rPr>
        <w:tab/>
        <w:t>The Governor may make regulations for or with respect to — </w:t>
      </w:r>
    </w:p>
    <w:p w:rsidR="00507332" w:rsidRDefault="00507332">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rsidR="00507332" w:rsidRDefault="00507332">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rsidR="00507332" w:rsidRDefault="00507332">
      <w:pPr>
        <w:pStyle w:val="Indenta"/>
        <w:rPr>
          <w:snapToGrid w:val="0"/>
        </w:rPr>
      </w:pPr>
      <w:r>
        <w:rPr>
          <w:snapToGrid w:val="0"/>
        </w:rPr>
        <w:tab/>
        <w:t>(c)</w:t>
      </w:r>
      <w:r>
        <w:rPr>
          <w:snapToGrid w:val="0"/>
        </w:rPr>
        <w:tab/>
        <w:t>prescribing the form of and the particulars to be contained in notices given by the warehouseman under section 6; and</w:t>
      </w:r>
    </w:p>
    <w:p w:rsidR="00507332" w:rsidRDefault="00507332">
      <w:pPr>
        <w:pStyle w:val="Indenta"/>
        <w:rPr>
          <w:snapToGrid w:val="0"/>
        </w:rPr>
      </w:pPr>
      <w:r>
        <w:rPr>
          <w:snapToGrid w:val="0"/>
        </w:rPr>
        <w:tab/>
        <w:t>(d)</w:t>
      </w:r>
      <w:r>
        <w:rPr>
          <w:snapToGrid w:val="0"/>
        </w:rPr>
        <w:tab/>
        <w:t>prescribing a mode of sale under section 7, other than sale by public auction, in the case of goods of any particular kind; and</w:t>
      </w:r>
    </w:p>
    <w:p w:rsidR="00507332" w:rsidRDefault="00507332">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rsidR="00507332" w:rsidRDefault="00507332">
      <w:pPr>
        <w:pStyle w:val="Indenta"/>
        <w:rPr>
          <w:snapToGrid w:val="0"/>
        </w:rPr>
      </w:pPr>
      <w:r>
        <w:rPr>
          <w:snapToGrid w:val="0"/>
        </w:rPr>
        <w:tab/>
        <w:t>(f)</w:t>
      </w:r>
      <w:r>
        <w:rPr>
          <w:snapToGrid w:val="0"/>
        </w:rPr>
        <w:tab/>
        <w:t>prescribing penalties, not exceeding $20, for breaches of the regulations; and</w:t>
      </w:r>
    </w:p>
    <w:p w:rsidR="00507332" w:rsidRDefault="00507332">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rsidR="00507332" w:rsidRDefault="00507332">
      <w:pPr>
        <w:pStyle w:val="Footnotesection"/>
      </w:pPr>
      <w:r>
        <w:tab/>
        <w:t>[Section 12 amended by No. 113 of 1965 s. 8(1); No. 59 of 2004 s. 141.]</w:t>
      </w:r>
    </w:p>
    <w:p w:rsidR="00507332" w:rsidRDefault="00507332">
      <w:pPr>
        <w:pStyle w:val="Heading5"/>
        <w:rPr>
          <w:snapToGrid w:val="0"/>
        </w:rPr>
      </w:pPr>
      <w:bookmarkStart w:id="13" w:name="_Toc379274457"/>
      <w:r>
        <w:rPr>
          <w:rStyle w:val="CharSectno"/>
        </w:rPr>
        <w:lastRenderedPageBreak/>
        <w:t>13</w:t>
      </w:r>
      <w:r>
        <w:rPr>
          <w:snapToGrid w:val="0"/>
        </w:rPr>
        <w:t>.</w:t>
      </w:r>
      <w:r>
        <w:rPr>
          <w:snapToGrid w:val="0"/>
        </w:rPr>
        <w:tab/>
        <w:t>Rules of Court</w:t>
      </w:r>
      <w:bookmarkEnd w:id="13"/>
      <w:r>
        <w:rPr>
          <w:snapToGrid w:val="0"/>
        </w:rPr>
        <w:t xml:space="preserve"> </w:t>
      </w:r>
    </w:p>
    <w:p w:rsidR="00507332" w:rsidRDefault="00507332">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section 9 and otherwise to regulate proceedings and prescribe fees under those sections and to carry those sections into effect.</w:t>
      </w:r>
    </w:p>
    <w:p w:rsidR="00507332" w:rsidRDefault="00507332">
      <w:pPr>
        <w:pStyle w:val="Footnotesection"/>
      </w:pPr>
      <w:r>
        <w:tab/>
        <w:t>[Section 13 amended by No. 59 of 2004 s. 141.]</w:t>
      </w:r>
    </w:p>
    <w:p w:rsidR="00507332" w:rsidRDefault="00507332">
      <w:pPr>
        <w:pStyle w:val="Heading5"/>
        <w:rPr>
          <w:snapToGrid w:val="0"/>
        </w:rPr>
      </w:pPr>
      <w:bookmarkStart w:id="14" w:name="_Toc379274458"/>
      <w:r>
        <w:rPr>
          <w:rStyle w:val="CharSectno"/>
        </w:rPr>
        <w:t>14</w:t>
      </w:r>
      <w:r>
        <w:rPr>
          <w:snapToGrid w:val="0"/>
        </w:rPr>
        <w:t>.</w:t>
      </w:r>
      <w:r>
        <w:rPr>
          <w:snapToGrid w:val="0"/>
        </w:rPr>
        <w:tab/>
        <w:t>Certain liens, rights etc. not to be affected by Act</w:t>
      </w:r>
      <w:bookmarkEnd w:id="14"/>
      <w:r>
        <w:rPr>
          <w:snapToGrid w:val="0"/>
        </w:rPr>
        <w:t xml:space="preserve"> </w:t>
      </w:r>
    </w:p>
    <w:p w:rsidR="00507332" w:rsidRDefault="00507332">
      <w:pPr>
        <w:pStyle w:val="Subsection"/>
        <w:rPr>
          <w:snapToGrid w:val="0"/>
        </w:rPr>
      </w:pPr>
      <w:r>
        <w:rPr>
          <w:snapToGrid w:val="0"/>
        </w:rPr>
        <w:tab/>
      </w:r>
      <w:r>
        <w:rPr>
          <w:snapToGrid w:val="0"/>
        </w:rPr>
        <w:tab/>
        <w:t>This Act does not affect — </w:t>
      </w:r>
    </w:p>
    <w:p w:rsidR="00507332" w:rsidRDefault="00507332">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rsidR="00507332" w:rsidRDefault="00507332">
      <w:pPr>
        <w:pStyle w:val="Indenta"/>
        <w:rPr>
          <w:snapToGrid w:val="0"/>
        </w:rPr>
      </w:pPr>
      <w:r>
        <w:rPr>
          <w:snapToGrid w:val="0"/>
        </w:rPr>
        <w:tab/>
        <w:t>(b)</w:t>
      </w:r>
      <w:r>
        <w:rPr>
          <w:snapToGrid w:val="0"/>
        </w:rPr>
        <w:tab/>
        <w:t>the enforcement of the lien or the exercise of the power or right.</w:t>
      </w:r>
    </w:p>
    <w:p w:rsidR="00507332" w:rsidRDefault="00E45A43">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rsidR="00507332" w:rsidRDefault="00507332">
      <w:pPr>
        <w:pStyle w:val="Indenta"/>
        <w:rPr>
          <w:snapToGrid w:val="0"/>
        </w:rPr>
      </w:pPr>
    </w:p>
    <w:p w:rsidR="00507332" w:rsidRDefault="00507332">
      <w:pPr>
        <w:sectPr w:rsidR="00507332">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507332" w:rsidRDefault="00507332">
      <w:pPr>
        <w:pStyle w:val="nHeading2"/>
      </w:pPr>
      <w:bookmarkStart w:id="15" w:name="_Toc379274459"/>
      <w:r>
        <w:lastRenderedPageBreak/>
        <w:t>Notes</w:t>
      </w:r>
      <w:bookmarkEnd w:id="15"/>
    </w:p>
    <w:p w:rsidR="00507332" w:rsidRDefault="00507332">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rsidR="00507332" w:rsidRDefault="00507332">
      <w:pPr>
        <w:pStyle w:val="nHeading3"/>
        <w:rPr>
          <w:snapToGrid w:val="0"/>
        </w:rPr>
      </w:pPr>
      <w:bookmarkStart w:id="16" w:name="_Toc379274460"/>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rsidR="00507332" w:rsidTr="00177E1F">
        <w:trPr>
          <w:cantSplit/>
          <w:tblHeader/>
        </w:trPr>
        <w:tc>
          <w:tcPr>
            <w:tcW w:w="2268" w:type="dxa"/>
            <w:tcBorders>
              <w:top w:val="single" w:sz="8" w:space="0" w:color="auto"/>
              <w:bottom w:val="single" w:sz="8" w:space="0" w:color="auto"/>
            </w:tcBorders>
          </w:tcPr>
          <w:p w:rsidR="00507332" w:rsidRDefault="00507332">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Number and year</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Assent</w:t>
            </w:r>
          </w:p>
        </w:tc>
        <w:tc>
          <w:tcPr>
            <w:tcW w:w="2579" w:type="dxa"/>
            <w:tcBorders>
              <w:top w:val="single" w:sz="8" w:space="0" w:color="auto"/>
              <w:bottom w:val="single" w:sz="8" w:space="0" w:color="auto"/>
            </w:tcBorders>
          </w:tcPr>
          <w:p w:rsidR="00507332" w:rsidRDefault="00507332">
            <w:pPr>
              <w:pStyle w:val="nTable"/>
              <w:spacing w:after="40"/>
              <w:rPr>
                <w:b/>
                <w:sz w:val="19"/>
              </w:rPr>
            </w:pPr>
            <w:r>
              <w:rPr>
                <w:b/>
                <w:sz w:val="19"/>
              </w:rPr>
              <w:t>Commencement</w:t>
            </w:r>
          </w:p>
        </w:tc>
      </w:tr>
      <w:tr w:rsidR="00507332" w:rsidTr="00177E1F">
        <w:trPr>
          <w:cantSplit/>
        </w:trPr>
        <w:tc>
          <w:tcPr>
            <w:tcW w:w="2268" w:type="dxa"/>
            <w:tcBorders>
              <w:top w:val="single" w:sz="8" w:space="0" w:color="auto"/>
            </w:tcBorders>
          </w:tcPr>
          <w:p w:rsidR="00507332" w:rsidRDefault="00507332">
            <w:pPr>
              <w:pStyle w:val="nTable"/>
              <w:spacing w:after="40"/>
              <w:ind w:right="113"/>
              <w:rPr>
                <w:sz w:val="19"/>
              </w:rPr>
            </w:pPr>
            <w:r>
              <w:rPr>
                <w:i/>
                <w:sz w:val="19"/>
              </w:rPr>
              <w:t>Warehousemen’s Liens Act 1952</w:t>
            </w:r>
          </w:p>
        </w:tc>
        <w:tc>
          <w:tcPr>
            <w:tcW w:w="1139" w:type="dxa"/>
            <w:tcBorders>
              <w:top w:val="single" w:sz="8" w:space="0" w:color="auto"/>
            </w:tcBorders>
          </w:tcPr>
          <w:p w:rsidR="00507332" w:rsidRDefault="00507332">
            <w:pPr>
              <w:pStyle w:val="nTable"/>
              <w:spacing w:after="40"/>
              <w:rPr>
                <w:sz w:val="19"/>
              </w:rPr>
            </w:pPr>
            <w:r>
              <w:rPr>
                <w:sz w:val="19"/>
              </w:rPr>
              <w:t>26 of 1952 (1 Eliz. II No. 26)</w:t>
            </w:r>
          </w:p>
        </w:tc>
        <w:tc>
          <w:tcPr>
            <w:tcW w:w="1139" w:type="dxa"/>
            <w:tcBorders>
              <w:top w:val="single" w:sz="8" w:space="0" w:color="auto"/>
            </w:tcBorders>
          </w:tcPr>
          <w:p w:rsidR="00507332" w:rsidRDefault="00507332">
            <w:pPr>
              <w:pStyle w:val="nTable"/>
              <w:spacing w:after="40"/>
              <w:rPr>
                <w:sz w:val="19"/>
              </w:rPr>
            </w:pPr>
            <w:r>
              <w:rPr>
                <w:sz w:val="19"/>
              </w:rPr>
              <w:t>28 Nov 1952</w:t>
            </w:r>
          </w:p>
        </w:tc>
        <w:tc>
          <w:tcPr>
            <w:tcW w:w="2579" w:type="dxa"/>
            <w:tcBorders>
              <w:top w:val="single" w:sz="8" w:space="0" w:color="auto"/>
            </w:tcBorders>
          </w:tcPr>
          <w:p w:rsidR="00507332" w:rsidRDefault="00507332">
            <w:pPr>
              <w:pStyle w:val="nTable"/>
              <w:spacing w:after="40"/>
              <w:rPr>
                <w:sz w:val="19"/>
              </w:rPr>
            </w:pPr>
            <w:r>
              <w:rPr>
                <w:sz w:val="19"/>
              </w:rPr>
              <w:t xml:space="preserve">20 Feb 1953 (see s. 2 and </w:t>
            </w:r>
            <w:r>
              <w:rPr>
                <w:i/>
                <w:sz w:val="19"/>
              </w:rPr>
              <w:t>Gazette</w:t>
            </w:r>
            <w:r>
              <w:rPr>
                <w:sz w:val="19"/>
              </w:rPr>
              <w:t xml:space="preserve"> 20 Feb 1953 p. 365)</w:t>
            </w:r>
          </w:p>
        </w:tc>
      </w:tr>
      <w:tr w:rsidR="00507332" w:rsidTr="00177E1F">
        <w:trPr>
          <w:cantSplit/>
        </w:trPr>
        <w:tc>
          <w:tcPr>
            <w:tcW w:w="2268" w:type="dxa"/>
          </w:tcPr>
          <w:p w:rsidR="00507332" w:rsidRDefault="00507332">
            <w:pPr>
              <w:pStyle w:val="nTable"/>
              <w:spacing w:after="40"/>
              <w:ind w:right="113"/>
              <w:rPr>
                <w:sz w:val="19"/>
              </w:rPr>
            </w:pPr>
            <w:r>
              <w:rPr>
                <w:i/>
                <w:sz w:val="19"/>
              </w:rPr>
              <w:t>Warehousemen’s Liens Act Amendment Act 1954</w:t>
            </w:r>
          </w:p>
        </w:tc>
        <w:tc>
          <w:tcPr>
            <w:tcW w:w="1139" w:type="dxa"/>
          </w:tcPr>
          <w:p w:rsidR="00507332" w:rsidRDefault="00C60DB3">
            <w:pPr>
              <w:pStyle w:val="nTable"/>
              <w:spacing w:after="40"/>
              <w:rPr>
                <w:sz w:val="19"/>
              </w:rPr>
            </w:pPr>
            <w:r>
              <w:rPr>
                <w:sz w:val="19"/>
              </w:rPr>
              <w:t>15 of 1954 (</w:t>
            </w:r>
            <w:r w:rsidR="00507332">
              <w:rPr>
                <w:sz w:val="19"/>
              </w:rPr>
              <w:t>3 Eliz. II No. 15)</w:t>
            </w:r>
          </w:p>
        </w:tc>
        <w:tc>
          <w:tcPr>
            <w:tcW w:w="1139" w:type="dxa"/>
          </w:tcPr>
          <w:p w:rsidR="00507332" w:rsidRDefault="00507332">
            <w:pPr>
              <w:pStyle w:val="nTable"/>
              <w:spacing w:after="40"/>
              <w:rPr>
                <w:sz w:val="19"/>
              </w:rPr>
            </w:pPr>
            <w:r>
              <w:rPr>
                <w:sz w:val="19"/>
              </w:rPr>
              <w:t>22 Sep 1954</w:t>
            </w:r>
          </w:p>
        </w:tc>
        <w:tc>
          <w:tcPr>
            <w:tcW w:w="2579" w:type="dxa"/>
          </w:tcPr>
          <w:p w:rsidR="00507332" w:rsidRDefault="00507332">
            <w:pPr>
              <w:pStyle w:val="nTable"/>
              <w:spacing w:after="40"/>
              <w:rPr>
                <w:sz w:val="19"/>
              </w:rPr>
            </w:pPr>
            <w:r>
              <w:rPr>
                <w:sz w:val="19"/>
              </w:rPr>
              <w:t>22 Sep 1954</w:t>
            </w:r>
          </w:p>
        </w:tc>
      </w:tr>
      <w:tr w:rsidR="00507332" w:rsidTr="00177E1F">
        <w:trPr>
          <w:cantSplit/>
        </w:trPr>
        <w:tc>
          <w:tcPr>
            <w:tcW w:w="2268" w:type="dxa"/>
          </w:tcPr>
          <w:p w:rsidR="00507332" w:rsidRDefault="00507332">
            <w:pPr>
              <w:pStyle w:val="nTable"/>
              <w:spacing w:after="40"/>
              <w:ind w:right="113"/>
              <w:rPr>
                <w:sz w:val="19"/>
              </w:rPr>
            </w:pPr>
            <w:r>
              <w:rPr>
                <w:i/>
                <w:sz w:val="19"/>
              </w:rPr>
              <w:t>Decimal Currency Act 1965</w:t>
            </w:r>
          </w:p>
        </w:tc>
        <w:tc>
          <w:tcPr>
            <w:tcW w:w="1139" w:type="dxa"/>
          </w:tcPr>
          <w:p w:rsidR="00507332" w:rsidRDefault="00507332">
            <w:pPr>
              <w:pStyle w:val="nTable"/>
              <w:spacing w:after="40"/>
              <w:rPr>
                <w:sz w:val="19"/>
              </w:rPr>
            </w:pPr>
            <w:r>
              <w:rPr>
                <w:sz w:val="19"/>
              </w:rPr>
              <w:t>113 of 1965</w:t>
            </w:r>
          </w:p>
        </w:tc>
        <w:tc>
          <w:tcPr>
            <w:tcW w:w="1139" w:type="dxa"/>
          </w:tcPr>
          <w:p w:rsidR="00507332" w:rsidRDefault="00507332">
            <w:pPr>
              <w:pStyle w:val="nTable"/>
              <w:spacing w:after="40"/>
              <w:rPr>
                <w:sz w:val="19"/>
              </w:rPr>
            </w:pPr>
            <w:r>
              <w:rPr>
                <w:sz w:val="19"/>
              </w:rPr>
              <w:t>21 Dec 1965</w:t>
            </w:r>
          </w:p>
        </w:tc>
        <w:tc>
          <w:tcPr>
            <w:tcW w:w="2579" w:type="dxa"/>
          </w:tcPr>
          <w:p w:rsidR="00507332" w:rsidRDefault="00507332">
            <w:pPr>
              <w:pStyle w:val="nTable"/>
              <w:spacing w:after="40"/>
              <w:rPr>
                <w:sz w:val="19"/>
              </w:rPr>
            </w:pPr>
            <w:r>
              <w:rPr>
                <w:sz w:val="19"/>
              </w:rPr>
              <w:t>Act other than s. 4-9: 21 Dec 1965 (see s. 2(1));</w:t>
            </w:r>
            <w:r>
              <w:rPr>
                <w:sz w:val="19"/>
              </w:rPr>
              <w:br/>
              <w:t>s. 4</w:t>
            </w:r>
            <w:r>
              <w:rPr>
                <w:sz w:val="19"/>
              </w:rPr>
              <w:noBreakHyphen/>
              <w:t>9: 14 Feb 1966 (see s. 2(2))</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Financial Administration Legislation Amendment Act 1993 </w:t>
            </w:r>
            <w:r>
              <w:rPr>
                <w:sz w:val="19"/>
              </w:rPr>
              <w:t>s. 16(1)</w:t>
            </w:r>
          </w:p>
        </w:tc>
        <w:tc>
          <w:tcPr>
            <w:tcW w:w="1139" w:type="dxa"/>
          </w:tcPr>
          <w:p w:rsidR="00507332" w:rsidRDefault="00507332">
            <w:pPr>
              <w:pStyle w:val="nTable"/>
              <w:spacing w:after="40"/>
              <w:rPr>
                <w:sz w:val="19"/>
              </w:rPr>
            </w:pPr>
            <w:r>
              <w:rPr>
                <w:sz w:val="19"/>
              </w:rPr>
              <w:t>6 of 1993</w:t>
            </w:r>
          </w:p>
        </w:tc>
        <w:tc>
          <w:tcPr>
            <w:tcW w:w="1139" w:type="dxa"/>
          </w:tcPr>
          <w:p w:rsidR="00507332" w:rsidRDefault="00507332">
            <w:pPr>
              <w:pStyle w:val="nTable"/>
              <w:spacing w:after="40"/>
              <w:rPr>
                <w:sz w:val="19"/>
              </w:rPr>
            </w:pPr>
            <w:r>
              <w:rPr>
                <w:sz w:val="19"/>
              </w:rPr>
              <w:t>27 Aug 1993</w:t>
            </w:r>
          </w:p>
        </w:tc>
        <w:tc>
          <w:tcPr>
            <w:tcW w:w="2579" w:type="dxa"/>
          </w:tcPr>
          <w:p w:rsidR="00507332" w:rsidRDefault="00507332">
            <w:pPr>
              <w:pStyle w:val="nTable"/>
              <w:spacing w:after="40"/>
              <w:rPr>
                <w:sz w:val="19"/>
              </w:rPr>
            </w:pPr>
            <w:r>
              <w:rPr>
                <w:sz w:val="19"/>
              </w:rPr>
              <w:t>1 Jul 1993 (see s. 2(1))</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Local Government (Consequential Amendments) Act 1996 </w:t>
            </w:r>
            <w:r>
              <w:rPr>
                <w:sz w:val="19"/>
              </w:rPr>
              <w:t>s. 4</w:t>
            </w:r>
          </w:p>
        </w:tc>
        <w:tc>
          <w:tcPr>
            <w:tcW w:w="1139" w:type="dxa"/>
          </w:tcPr>
          <w:p w:rsidR="00507332" w:rsidRDefault="00507332">
            <w:pPr>
              <w:pStyle w:val="nTable"/>
              <w:spacing w:after="40"/>
              <w:rPr>
                <w:sz w:val="19"/>
              </w:rPr>
            </w:pPr>
            <w:r>
              <w:rPr>
                <w:sz w:val="19"/>
              </w:rPr>
              <w:t>14 of 1996</w:t>
            </w:r>
          </w:p>
        </w:tc>
        <w:tc>
          <w:tcPr>
            <w:tcW w:w="1139" w:type="dxa"/>
          </w:tcPr>
          <w:p w:rsidR="00507332" w:rsidRDefault="00507332">
            <w:pPr>
              <w:pStyle w:val="nTable"/>
              <w:spacing w:after="40"/>
              <w:rPr>
                <w:sz w:val="19"/>
              </w:rPr>
            </w:pPr>
            <w:r>
              <w:rPr>
                <w:sz w:val="19"/>
              </w:rPr>
              <w:t>28 Jun 1996</w:t>
            </w:r>
          </w:p>
        </w:tc>
        <w:tc>
          <w:tcPr>
            <w:tcW w:w="2579" w:type="dxa"/>
          </w:tcPr>
          <w:p w:rsidR="00507332" w:rsidRDefault="00507332">
            <w:pPr>
              <w:pStyle w:val="nTable"/>
              <w:spacing w:after="40"/>
              <w:rPr>
                <w:sz w:val="19"/>
              </w:rPr>
            </w:pPr>
            <w:r>
              <w:rPr>
                <w:sz w:val="19"/>
              </w:rPr>
              <w:t>1 Jul 1996 (see s. 2)</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Financial Legislation Amendment Act 1996 </w:t>
            </w:r>
            <w:r>
              <w:rPr>
                <w:sz w:val="19"/>
              </w:rPr>
              <w:t>s. 64</w:t>
            </w:r>
          </w:p>
        </w:tc>
        <w:tc>
          <w:tcPr>
            <w:tcW w:w="1139" w:type="dxa"/>
          </w:tcPr>
          <w:p w:rsidR="00507332" w:rsidRDefault="00507332">
            <w:pPr>
              <w:pStyle w:val="nTable"/>
              <w:spacing w:after="40"/>
              <w:rPr>
                <w:sz w:val="19"/>
              </w:rPr>
            </w:pPr>
            <w:r>
              <w:rPr>
                <w:sz w:val="19"/>
              </w:rPr>
              <w:t>49 of 1996</w:t>
            </w:r>
          </w:p>
        </w:tc>
        <w:tc>
          <w:tcPr>
            <w:tcW w:w="1139" w:type="dxa"/>
          </w:tcPr>
          <w:p w:rsidR="00507332" w:rsidRDefault="00507332">
            <w:pPr>
              <w:pStyle w:val="nTable"/>
              <w:spacing w:after="40"/>
              <w:rPr>
                <w:sz w:val="19"/>
              </w:rPr>
            </w:pPr>
            <w:r>
              <w:rPr>
                <w:sz w:val="19"/>
              </w:rPr>
              <w:t>25 Oct 1996</w:t>
            </w:r>
          </w:p>
        </w:tc>
        <w:tc>
          <w:tcPr>
            <w:tcW w:w="2579" w:type="dxa"/>
          </w:tcPr>
          <w:p w:rsidR="00507332" w:rsidRDefault="00507332">
            <w:pPr>
              <w:pStyle w:val="nTable"/>
              <w:spacing w:after="40"/>
              <w:rPr>
                <w:sz w:val="19"/>
              </w:rPr>
            </w:pPr>
            <w:r>
              <w:rPr>
                <w:sz w:val="19"/>
              </w:rPr>
              <w:t>25 Oct 1996 (see s. 2(1))</w:t>
            </w:r>
          </w:p>
        </w:tc>
      </w:tr>
      <w:tr w:rsidR="00507332" w:rsidTr="00177E1F">
        <w:trPr>
          <w:cantSplit/>
        </w:trPr>
        <w:tc>
          <w:tcPr>
            <w:tcW w:w="7125" w:type="dxa"/>
            <w:gridSpan w:val="4"/>
          </w:tcPr>
          <w:p w:rsidR="00507332" w:rsidRDefault="00507332">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rsidR="00507332" w:rsidTr="00177E1F">
        <w:trPr>
          <w:cantSplit/>
        </w:trPr>
        <w:tc>
          <w:tcPr>
            <w:tcW w:w="2268" w:type="dxa"/>
          </w:tcPr>
          <w:p w:rsidR="00507332" w:rsidRDefault="00507332">
            <w:pPr>
              <w:pStyle w:val="nTable"/>
              <w:spacing w:after="40"/>
              <w:ind w:right="113"/>
              <w:rPr>
                <w:sz w:val="19"/>
              </w:rPr>
            </w:pPr>
            <w:r>
              <w:rPr>
                <w:i/>
                <w:snapToGrid w:val="0"/>
                <w:sz w:val="19"/>
              </w:rPr>
              <w:t>Courts Legislation Amendment and Repeal Act 2004</w:t>
            </w:r>
            <w:r>
              <w:rPr>
                <w:snapToGrid w:val="0"/>
                <w:sz w:val="19"/>
              </w:rPr>
              <w:t xml:space="preserve"> s. 141</w:t>
            </w:r>
          </w:p>
        </w:tc>
        <w:tc>
          <w:tcPr>
            <w:tcW w:w="1139" w:type="dxa"/>
          </w:tcPr>
          <w:p w:rsidR="00507332" w:rsidRDefault="00507332">
            <w:pPr>
              <w:pStyle w:val="nTable"/>
              <w:spacing w:after="40"/>
              <w:rPr>
                <w:sz w:val="19"/>
              </w:rPr>
            </w:pPr>
            <w:r>
              <w:rPr>
                <w:snapToGrid w:val="0"/>
                <w:sz w:val="19"/>
              </w:rPr>
              <w:t>59 of 2004</w:t>
            </w:r>
          </w:p>
        </w:tc>
        <w:tc>
          <w:tcPr>
            <w:tcW w:w="1139" w:type="dxa"/>
          </w:tcPr>
          <w:p w:rsidR="00507332" w:rsidRDefault="00507332">
            <w:pPr>
              <w:pStyle w:val="nTable"/>
              <w:spacing w:after="40"/>
              <w:rPr>
                <w:sz w:val="19"/>
              </w:rPr>
            </w:pPr>
            <w:r>
              <w:rPr>
                <w:sz w:val="19"/>
              </w:rPr>
              <w:t>23 Nov 2004</w:t>
            </w:r>
          </w:p>
        </w:tc>
        <w:tc>
          <w:tcPr>
            <w:tcW w:w="2579" w:type="dxa"/>
          </w:tcPr>
          <w:p w:rsidR="00507332" w:rsidRDefault="00507332">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507332" w:rsidTr="00177E1F">
        <w:trPr>
          <w:cantSplit/>
        </w:trPr>
        <w:tc>
          <w:tcPr>
            <w:tcW w:w="2268" w:type="dxa"/>
          </w:tcPr>
          <w:p w:rsidR="00507332" w:rsidRDefault="00507332">
            <w:pPr>
              <w:pStyle w:val="nTable"/>
              <w:spacing w:after="40"/>
              <w:ind w:right="113"/>
              <w:rPr>
                <w:i/>
                <w:snapToGrid w:val="0"/>
                <w:sz w:val="19"/>
              </w:rPr>
            </w:pPr>
            <w:r>
              <w:rPr>
                <w:i/>
                <w:sz w:val="19"/>
              </w:rPr>
              <w:t>Financial Legislation Amendment and Repeal Act 2006</w:t>
            </w:r>
            <w:r>
              <w:rPr>
                <w:iCs/>
                <w:sz w:val="19"/>
              </w:rPr>
              <w:t xml:space="preserve"> s. 4</w:t>
            </w:r>
          </w:p>
        </w:tc>
        <w:tc>
          <w:tcPr>
            <w:tcW w:w="1139" w:type="dxa"/>
          </w:tcPr>
          <w:p w:rsidR="00507332" w:rsidRDefault="00507332">
            <w:pPr>
              <w:pStyle w:val="nTable"/>
              <w:spacing w:after="40"/>
              <w:rPr>
                <w:snapToGrid w:val="0"/>
                <w:sz w:val="19"/>
              </w:rPr>
            </w:pPr>
            <w:r>
              <w:rPr>
                <w:sz w:val="19"/>
              </w:rPr>
              <w:t>77 of 2006</w:t>
            </w:r>
          </w:p>
        </w:tc>
        <w:tc>
          <w:tcPr>
            <w:tcW w:w="1139" w:type="dxa"/>
          </w:tcPr>
          <w:p w:rsidR="00507332" w:rsidRDefault="00507332">
            <w:pPr>
              <w:pStyle w:val="nTable"/>
              <w:spacing w:after="40"/>
              <w:rPr>
                <w:sz w:val="19"/>
              </w:rPr>
            </w:pPr>
            <w:r>
              <w:rPr>
                <w:sz w:val="19"/>
              </w:rPr>
              <w:t>21 Dec 2006</w:t>
            </w:r>
          </w:p>
        </w:tc>
        <w:tc>
          <w:tcPr>
            <w:tcW w:w="2579" w:type="dxa"/>
          </w:tcPr>
          <w:p w:rsidR="00507332" w:rsidRDefault="00507332">
            <w:pPr>
              <w:pStyle w:val="nTable"/>
              <w:spacing w:after="40"/>
              <w:rPr>
                <w:snapToGrid w:val="0"/>
                <w:sz w:val="19"/>
              </w:rPr>
            </w:pPr>
            <w:r>
              <w:rPr>
                <w:sz w:val="19"/>
              </w:rPr>
              <w:t xml:space="preserve">1 Feb 2007 (see s. 2(1) and </w:t>
            </w:r>
            <w:r>
              <w:rPr>
                <w:i/>
                <w:iCs/>
                <w:sz w:val="19"/>
              </w:rPr>
              <w:t>Gazette</w:t>
            </w:r>
            <w:r>
              <w:rPr>
                <w:sz w:val="19"/>
              </w:rPr>
              <w:t xml:space="preserve"> 19 Jan 2007 p. 137)</w:t>
            </w:r>
          </w:p>
        </w:tc>
      </w:tr>
      <w:tr w:rsidR="00507332" w:rsidTr="00177E1F">
        <w:trPr>
          <w:cantSplit/>
        </w:trPr>
        <w:tc>
          <w:tcPr>
            <w:tcW w:w="2268" w:type="dxa"/>
          </w:tcPr>
          <w:p w:rsidR="00507332" w:rsidRDefault="00507332">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rsidR="00507332" w:rsidRDefault="00507332">
            <w:pPr>
              <w:pStyle w:val="nTable"/>
              <w:spacing w:after="40"/>
              <w:rPr>
                <w:snapToGrid w:val="0"/>
                <w:sz w:val="19"/>
              </w:rPr>
            </w:pPr>
            <w:r>
              <w:rPr>
                <w:snapToGrid w:val="0"/>
                <w:sz w:val="19"/>
              </w:rPr>
              <w:t>19 of 2010</w:t>
            </w:r>
          </w:p>
        </w:tc>
        <w:tc>
          <w:tcPr>
            <w:tcW w:w="1139" w:type="dxa"/>
          </w:tcPr>
          <w:p w:rsidR="00507332" w:rsidRDefault="00507332">
            <w:pPr>
              <w:pStyle w:val="nTable"/>
              <w:spacing w:after="40"/>
              <w:rPr>
                <w:snapToGrid w:val="0"/>
                <w:sz w:val="19"/>
              </w:rPr>
            </w:pPr>
            <w:r>
              <w:rPr>
                <w:snapToGrid w:val="0"/>
                <w:sz w:val="19"/>
              </w:rPr>
              <w:t>28 Jun 2010</w:t>
            </w:r>
          </w:p>
        </w:tc>
        <w:tc>
          <w:tcPr>
            <w:tcW w:w="2579" w:type="dxa"/>
          </w:tcPr>
          <w:p w:rsidR="00507332" w:rsidRDefault="00507332">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507332" w:rsidTr="00177E1F">
        <w:trPr>
          <w:cantSplit/>
        </w:trPr>
        <w:tc>
          <w:tcPr>
            <w:tcW w:w="7125" w:type="dxa"/>
            <w:gridSpan w:val="4"/>
          </w:tcPr>
          <w:p w:rsidR="00507332" w:rsidRDefault="00507332">
            <w:pPr>
              <w:pStyle w:val="nTable"/>
              <w:spacing w:after="40"/>
              <w:rPr>
                <w:snapToGrid w:val="0"/>
                <w:sz w:val="19"/>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r w:rsidR="00177E1F" w:rsidTr="00177E1F">
        <w:trPr>
          <w:cantSplit/>
        </w:trPr>
        <w:tc>
          <w:tcPr>
            <w:tcW w:w="2268" w:type="dxa"/>
            <w:tcBorders>
              <w:bottom w:val="single" w:sz="4" w:space="0" w:color="auto"/>
            </w:tcBorders>
          </w:tcPr>
          <w:p w:rsidR="00177E1F" w:rsidRDefault="00177E1F" w:rsidP="00485DED">
            <w:pPr>
              <w:pStyle w:val="nTable"/>
              <w:spacing w:after="40"/>
              <w:ind w:right="113"/>
              <w:rPr>
                <w:iCs/>
                <w:snapToGrid w:val="0"/>
                <w:sz w:val="19"/>
              </w:rPr>
            </w:pPr>
            <w:r>
              <w:rPr>
                <w:i/>
                <w:snapToGrid w:val="0"/>
                <w:sz w:val="19"/>
              </w:rPr>
              <w:lastRenderedPageBreak/>
              <w:t>Personal Property Securities (Consequential Repeals and Amendments) Act 2011</w:t>
            </w:r>
            <w:r>
              <w:rPr>
                <w:snapToGrid w:val="0"/>
                <w:sz w:val="19"/>
              </w:rPr>
              <w:t xml:space="preserve"> Pt. 3 Div. 6</w:t>
            </w:r>
          </w:p>
        </w:tc>
        <w:tc>
          <w:tcPr>
            <w:tcW w:w="1139" w:type="dxa"/>
            <w:tcBorders>
              <w:bottom w:val="single" w:sz="4" w:space="0" w:color="auto"/>
            </w:tcBorders>
          </w:tcPr>
          <w:p w:rsidR="00177E1F" w:rsidRDefault="00177E1F" w:rsidP="00485DED">
            <w:pPr>
              <w:pStyle w:val="nTable"/>
              <w:spacing w:after="40"/>
              <w:rPr>
                <w:snapToGrid w:val="0"/>
                <w:sz w:val="19"/>
              </w:rPr>
            </w:pPr>
            <w:r>
              <w:rPr>
                <w:snapToGrid w:val="0"/>
                <w:sz w:val="19"/>
              </w:rPr>
              <w:t>42 of 2011</w:t>
            </w:r>
          </w:p>
        </w:tc>
        <w:tc>
          <w:tcPr>
            <w:tcW w:w="1139" w:type="dxa"/>
            <w:tcBorders>
              <w:bottom w:val="single" w:sz="4" w:space="0" w:color="auto"/>
            </w:tcBorders>
          </w:tcPr>
          <w:p w:rsidR="00177E1F" w:rsidRDefault="00177E1F" w:rsidP="00485DED">
            <w:pPr>
              <w:pStyle w:val="nTable"/>
              <w:spacing w:after="40"/>
              <w:rPr>
                <w:snapToGrid w:val="0"/>
                <w:sz w:val="19"/>
              </w:rPr>
            </w:pPr>
            <w:r>
              <w:rPr>
                <w:sz w:val="19"/>
              </w:rPr>
              <w:t>4 Oct 2011</w:t>
            </w:r>
          </w:p>
        </w:tc>
        <w:tc>
          <w:tcPr>
            <w:tcW w:w="2579" w:type="dxa"/>
            <w:tcBorders>
              <w:bottom w:val="single" w:sz="4" w:space="0" w:color="auto"/>
            </w:tcBorders>
          </w:tcPr>
          <w:p w:rsidR="00177E1F" w:rsidRDefault="00177E1F" w:rsidP="00485DED">
            <w:pPr>
              <w:pStyle w:val="nTable"/>
              <w:spacing w:after="40"/>
              <w:rPr>
                <w:snapToGrid w:val="0"/>
                <w:sz w:val="19"/>
              </w:rPr>
            </w:pPr>
            <w:r>
              <w:rPr>
                <w:snapToGrid w:val="0"/>
                <w:sz w:val="19"/>
              </w:rPr>
              <w:t>30 Jan </w:t>
            </w:r>
            <w:r w:rsidRPr="00B54A7D">
              <w:rPr>
                <w:snapToGrid w:val="0"/>
                <w:sz w:val="19"/>
              </w:rPr>
              <w:t>2012 (see</w:t>
            </w:r>
            <w:r>
              <w:rPr>
                <w:snapToGrid w:val="0"/>
                <w:sz w:val="19"/>
              </w:rPr>
              <w:t> </w:t>
            </w:r>
            <w:r w:rsidRPr="00B54A7D">
              <w:rPr>
                <w:snapToGrid w:val="0"/>
                <w:sz w:val="19"/>
              </w:rPr>
              <w:t xml:space="preserve">s. 2(c) </w:t>
            </w:r>
            <w:r>
              <w:rPr>
                <w:snapToGrid w:val="0"/>
                <w:sz w:val="19"/>
              </w:rPr>
              <w:t>and</w:t>
            </w:r>
            <w:r w:rsidRPr="00B54A7D">
              <w:rPr>
                <w:snapToGrid w:val="0"/>
                <w:sz w:val="19"/>
              </w:rPr>
              <w:t xml:space="preserve"> Cwlth Legislative Instrument No.</w:t>
            </w:r>
            <w:r>
              <w:rPr>
                <w:snapToGrid w:val="0"/>
                <w:sz w:val="19"/>
              </w:rPr>
              <w:t xml:space="preserve"> F2011L02397 cl. 5 registered 21 Nov </w:t>
            </w:r>
            <w:r w:rsidRPr="00B54A7D">
              <w:rPr>
                <w:snapToGrid w:val="0"/>
                <w:sz w:val="19"/>
              </w:rPr>
              <w:t>2011)</w:t>
            </w:r>
          </w:p>
        </w:tc>
      </w:tr>
    </w:tbl>
    <w:p w:rsidR="002A5399" w:rsidRDefault="002A5399">
      <w:pPr>
        <w:pStyle w:val="nSubsection"/>
        <w:spacing w:before="40"/>
        <w:rPr>
          <w:vertAlign w:val="superscript"/>
        </w:rPr>
      </w:pPr>
    </w:p>
    <w:p w:rsidR="00507332" w:rsidRDefault="00507332">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w:t>
      </w:r>
      <w:r w:rsidR="00485DED">
        <w:t>compilation</w:t>
      </w:r>
      <w:r>
        <w:t>.</w:t>
      </w:r>
    </w:p>
    <w:p w:rsidR="002A5399" w:rsidRDefault="002A5399"/>
    <w:p w:rsidR="002A5399" w:rsidRDefault="002A5399">
      <w:pPr>
        <w:sectPr w:rsidR="002A539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07332" w:rsidRDefault="00507332">
      <w:pPr>
        <w:pStyle w:val="nHeading2"/>
        <w:rPr>
          <w:sz w:val="28"/>
        </w:rPr>
      </w:pPr>
      <w:bookmarkStart w:id="17" w:name="_Toc379274461"/>
      <w:r>
        <w:rPr>
          <w:sz w:val="28"/>
        </w:rPr>
        <w:lastRenderedPageBreak/>
        <w:t>Defined Terms</w:t>
      </w:r>
      <w:bookmarkEnd w:id="17"/>
    </w:p>
    <w:p w:rsidR="00507332" w:rsidRDefault="00507332">
      <w:pPr>
        <w:ind w:left="850" w:right="850"/>
        <w:jc w:val="center"/>
        <w:rPr>
          <w:i/>
          <w:sz w:val="18"/>
        </w:rPr>
      </w:pPr>
    </w:p>
    <w:p w:rsidR="00507332" w:rsidRDefault="00507332">
      <w:pPr>
        <w:ind w:left="850" w:right="850"/>
        <w:jc w:val="center"/>
        <w:rPr>
          <w:i/>
          <w:sz w:val="18"/>
        </w:rPr>
      </w:pPr>
      <w:r>
        <w:rPr>
          <w:i/>
          <w:sz w:val="18"/>
        </w:rPr>
        <w:t>[This is a list of terms defined and the provisions where they are defined.  The list is not part of the law.]</w:t>
      </w:r>
    </w:p>
    <w:p w:rsidR="00507332" w:rsidRDefault="00507332">
      <w:pPr>
        <w:pBdr>
          <w:bottom w:val="single" w:sz="4" w:space="1" w:color="auto"/>
        </w:pBdr>
        <w:tabs>
          <w:tab w:val="right" w:pos="7070"/>
        </w:tabs>
        <w:ind w:left="578"/>
        <w:rPr>
          <w:b/>
          <w:sz w:val="20"/>
        </w:rPr>
      </w:pPr>
      <w:r>
        <w:rPr>
          <w:b/>
          <w:sz w:val="20"/>
        </w:rPr>
        <w:t>Defined Term</w:t>
      </w:r>
      <w:r>
        <w:rPr>
          <w:b/>
          <w:sz w:val="20"/>
        </w:rPr>
        <w:tab/>
        <w:t>Provision(s)</w:t>
      </w:r>
    </w:p>
    <w:p w:rsidR="00507332" w:rsidRDefault="00507332">
      <w:pPr>
        <w:pStyle w:val="DefinedTerms"/>
      </w:pPr>
      <w:bookmarkStart w:id="18" w:name="DefinedTerms"/>
      <w:bookmarkEnd w:id="18"/>
      <w:r>
        <w:t>warehouseman</w:t>
      </w:r>
      <w:r>
        <w:tab/>
        <w:t>3</w:t>
      </w:r>
    </w:p>
    <w:p w:rsidR="00507332" w:rsidRDefault="00507332" w:rsidP="00131155"/>
    <w:p w:rsidR="00131155" w:rsidRDefault="00131155" w:rsidP="00131155">
      <w:pPr>
        <w:sectPr w:rsidR="00131155">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07332" w:rsidRDefault="00507332"/>
    <w:sectPr w:rsidR="00507332">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12" w:rsidRDefault="00E32D12">
      <w:r>
        <w:separator/>
      </w:r>
    </w:p>
  </w:endnote>
  <w:endnote w:type="continuationSeparator" w:id="0">
    <w:p w:rsidR="00E32D12" w:rsidRDefault="00E3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p>
  <w:p w:rsidR="00131155" w:rsidRDefault="0013115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r>
  </w:p>
  <w:p w:rsidR="00131155" w:rsidRDefault="0013115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r>
  </w:p>
  <w:p w:rsidR="00131155" w:rsidRDefault="0013115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11E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p>
  <w:p w:rsidR="00131155" w:rsidRDefault="0013115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11E9">
      <w:rPr>
        <w:rStyle w:val="PageNumber"/>
        <w:rFonts w:ascii="Arial" w:hAnsi="Arial" w:cs="Arial"/>
        <w:noProof/>
      </w:rPr>
      <w:t>i</w:t>
    </w:r>
    <w:r>
      <w:rPr>
        <w:rStyle w:val="PageNumber"/>
        <w:rFonts w:ascii="Arial" w:hAnsi="Arial" w:cs="Arial"/>
      </w:rPr>
      <w:fldChar w:fldCharType="end"/>
    </w:r>
  </w:p>
  <w:p w:rsidR="00131155" w:rsidRDefault="0013115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24E6">
      <w:rPr>
        <w:rStyle w:val="PageNumber"/>
        <w:rFonts w:ascii="Arial" w:hAnsi="Arial" w:cs="Arial"/>
        <w:noProof/>
      </w:rPr>
      <w:t>i</w:t>
    </w:r>
    <w:r>
      <w:rPr>
        <w:rStyle w:val="PageNumber"/>
        <w:rFonts w:ascii="Arial" w:hAnsi="Arial" w:cs="Arial"/>
      </w:rPr>
      <w:fldChar w:fldCharType="end"/>
    </w:r>
  </w:p>
  <w:p w:rsidR="00131155" w:rsidRDefault="0013115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24E6">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r>
      <w:rPr>
        <w:rFonts w:ascii="Arial" w:hAnsi="Arial" w:cs="Arial"/>
        <w:sz w:val="20"/>
      </w:rPr>
      <w:t xml:space="preserve"> </w:t>
    </w:r>
  </w:p>
  <w:p w:rsidR="00131155" w:rsidRDefault="0013115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24E6">
      <w:rPr>
        <w:rStyle w:val="CharPageNo"/>
        <w:rFonts w:ascii="Arial" w:hAnsi="Arial"/>
        <w:noProof/>
      </w:rPr>
      <w:t>13</w:t>
    </w:r>
    <w:r>
      <w:rPr>
        <w:rStyle w:val="CharPageNo"/>
        <w:rFonts w:ascii="Arial" w:hAnsi="Arial"/>
      </w:rPr>
      <w:fldChar w:fldCharType="end"/>
    </w:r>
  </w:p>
  <w:p w:rsidR="00131155" w:rsidRDefault="0013115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24E6">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24E6">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24E6">
      <w:rPr>
        <w:rStyle w:val="CharPageNo"/>
        <w:rFonts w:ascii="Arial" w:hAnsi="Arial"/>
        <w:noProof/>
      </w:rPr>
      <w:t>1</w:t>
    </w:r>
    <w:r>
      <w:rPr>
        <w:rStyle w:val="CharPageNo"/>
        <w:rFonts w:ascii="Arial" w:hAnsi="Arial"/>
      </w:rPr>
      <w:fldChar w:fldCharType="end"/>
    </w:r>
  </w:p>
  <w:p w:rsidR="00131155" w:rsidRDefault="0013115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12" w:rsidRDefault="00E32D12">
      <w:r>
        <w:separator/>
      </w:r>
    </w:p>
  </w:footnote>
  <w:footnote w:type="continuationSeparator" w:id="0">
    <w:p w:rsidR="00E32D12" w:rsidRDefault="00E3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6" w:rsidRDefault="00CB24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F611E9">
          <w:pPr>
            <w:pStyle w:val="HeaderActNameLeft"/>
          </w:pPr>
          <w:fldSimple w:instr=" Styleref &quot;Name of Act/Reg&quot; ">
            <w:r w:rsidR="00CB24E6">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pPr>
        </w:p>
      </w:tc>
    </w:tr>
  </w:tbl>
  <w:p w:rsidR="00131155" w:rsidRDefault="001311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F611E9">
          <w:pPr>
            <w:pStyle w:val="HeaderActNameRight"/>
          </w:pPr>
          <w:fldSimple w:instr=" Styleref &quot;Name of Act/Reg&quot; ">
            <w:r w:rsidR="00CB24E6">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pPr>
        </w:p>
      </w:tc>
    </w:tr>
  </w:tbl>
  <w:p w:rsidR="00131155" w:rsidRDefault="001311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F611E9">
          <w:pPr>
            <w:pStyle w:val="HeaderActNameLeft"/>
          </w:pPr>
          <w:fldSimple w:instr=" Styleref &quot;Name of Act/Reg&quot; ">
            <w:r w:rsidR="00CB24E6">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pPr>
          <w:r>
            <w:t>Defined Terms</w:t>
          </w:r>
        </w:p>
      </w:tc>
    </w:tr>
  </w:tbl>
  <w:p w:rsidR="00131155" w:rsidRDefault="001311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F611E9">
          <w:pPr>
            <w:pStyle w:val="HeaderActNameRight"/>
          </w:pPr>
          <w:fldSimple w:instr=" Styleref &quot;Name of Act/Reg&quot; ">
            <w:r w:rsidR="00CB24E6">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pPr>
          <w:r>
            <w:t>Defined Terms</w:t>
          </w:r>
        </w:p>
      </w:tc>
    </w:tr>
  </w:tbl>
  <w:p w:rsidR="00131155" w:rsidRDefault="0013115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partodd"/>
      <w:ind w:left="0" w:firstLine="0"/>
      <w:rPr>
        <w:i/>
      </w:rPr>
    </w:pPr>
    <w:r>
      <w:rPr>
        <w:i/>
      </w:rPr>
      <w:fldChar w:fldCharType="begin"/>
    </w:r>
    <w:r>
      <w:rPr>
        <w:i/>
      </w:rPr>
      <w:instrText xml:space="preserve"> Styleref "Name of Act/Reg" </w:instrText>
    </w:r>
    <w:r>
      <w:rPr>
        <w:i/>
      </w:rPr>
      <w:fldChar w:fldCharType="separate"/>
    </w:r>
    <w:r w:rsidR="00CB24E6">
      <w:rPr>
        <w:i/>
        <w:noProof/>
      </w:rPr>
      <w:t>Warehousemen’s Liens Act 1952</w:t>
    </w:r>
    <w:r>
      <w:rPr>
        <w:i/>
      </w:rPr>
      <w:fldChar w:fldCharType="end"/>
    </w:r>
  </w:p>
  <w:p w:rsidR="00131155" w:rsidRDefault="00131155">
    <w:pPr>
      <w:pStyle w:val="headerpartodd"/>
      <w:ind w:left="0" w:firstLine="0"/>
      <w:rPr>
        <w:b w:val="0"/>
        <w:i/>
      </w:rPr>
    </w:pPr>
  </w:p>
  <w:p w:rsidR="00131155" w:rsidRDefault="00131155">
    <w:pPr>
      <w:pStyle w:val="headerpart"/>
    </w:pPr>
  </w:p>
  <w:p w:rsidR="00131155" w:rsidRDefault="00131155">
    <w:pPr>
      <w:pStyle w:val="headerpart"/>
    </w:pPr>
  </w:p>
  <w:p w:rsidR="00131155" w:rsidRDefault="00131155">
    <w:pPr>
      <w:pBdr>
        <w:bottom w:val="single" w:sz="6" w:space="1" w:color="auto"/>
      </w:pBdr>
      <w:rPr>
        <w:b/>
      </w:rPr>
    </w:pPr>
  </w:p>
  <w:p w:rsidR="00131155" w:rsidRDefault="001311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partodd"/>
      <w:ind w:left="0" w:firstLine="0"/>
      <w:jc w:val="right"/>
      <w:rPr>
        <w:i/>
      </w:rPr>
    </w:pPr>
    <w:r>
      <w:rPr>
        <w:i/>
      </w:rPr>
      <w:fldChar w:fldCharType="begin"/>
    </w:r>
    <w:r>
      <w:rPr>
        <w:i/>
      </w:rPr>
      <w:instrText xml:space="preserve"> Styleref "Name of Act/Reg" </w:instrText>
    </w:r>
    <w:r>
      <w:rPr>
        <w:i/>
      </w:rPr>
      <w:fldChar w:fldCharType="separate"/>
    </w:r>
    <w:r w:rsidR="00CB24E6">
      <w:rPr>
        <w:i/>
        <w:noProof/>
      </w:rPr>
      <w:t>Warehousemen’s Liens Act 1952</w:t>
    </w:r>
    <w:r>
      <w:rPr>
        <w:i/>
      </w:rPr>
      <w:fldChar w:fldCharType="end"/>
    </w:r>
  </w:p>
  <w:p w:rsidR="00131155" w:rsidRDefault="00131155">
    <w:pPr>
      <w:pStyle w:val="headerpartodd"/>
      <w:ind w:left="0" w:firstLine="0"/>
      <w:jc w:val="right"/>
      <w:rPr>
        <w:b w:val="0"/>
        <w:i/>
      </w:rPr>
    </w:pPr>
  </w:p>
  <w:p w:rsidR="00131155" w:rsidRDefault="00131155">
    <w:pPr>
      <w:pStyle w:val="headerpart"/>
      <w:jc w:val="right"/>
    </w:pPr>
  </w:p>
  <w:p w:rsidR="00131155" w:rsidRDefault="00131155">
    <w:pPr>
      <w:pStyle w:val="headerpart"/>
      <w:jc w:val="right"/>
    </w:pPr>
  </w:p>
  <w:p w:rsidR="00131155" w:rsidRDefault="00131155">
    <w:pPr>
      <w:pBdr>
        <w:bottom w:val="single" w:sz="6" w:space="1" w:color="auto"/>
      </w:pBdr>
      <w:jc w:val="right"/>
      <w:rPr>
        <w:b/>
      </w:rPr>
    </w:pPr>
  </w:p>
  <w:p w:rsidR="00131155" w:rsidRDefault="0013115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6" w:rsidRDefault="00CB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E6" w:rsidRDefault="00CB2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F611E9">
          <w:pPr>
            <w:pStyle w:val="HeaderActNameLeft"/>
          </w:pPr>
          <w:fldSimple w:instr=" Styleref &quot;Name of Act/Reg&quot; ">
            <w:r w:rsidR="00CB24E6">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rPr>
              <w:b w:val="0"/>
            </w:rPr>
          </w:pPr>
          <w:r>
            <w:rPr>
              <w:b w:val="0"/>
            </w:rPr>
            <w:t>Contents</w:t>
          </w:r>
        </w:p>
      </w:tc>
    </w:tr>
  </w:tbl>
  <w:p w:rsidR="00131155" w:rsidRDefault="001311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F611E9">
          <w:pPr>
            <w:pStyle w:val="HeaderActNameRight"/>
          </w:pPr>
          <w:fldSimple w:instr=" Styleref &quot;Name of Act/Reg&quot; ">
            <w:r w:rsidR="00CB24E6">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rPr>
              <w:b w:val="0"/>
            </w:rPr>
          </w:pPr>
          <w:r>
            <w:rPr>
              <w:b w:val="0"/>
            </w:rPr>
            <w:t>Contents</w:t>
          </w:r>
        </w:p>
      </w:tc>
    </w:tr>
  </w:tbl>
  <w:p w:rsidR="00131155" w:rsidRDefault="001311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1155">
      <w:trPr>
        <w:cantSplit/>
      </w:trPr>
      <w:tc>
        <w:tcPr>
          <w:tcW w:w="7312" w:type="dxa"/>
          <w:gridSpan w:val="2"/>
        </w:tcPr>
        <w:p w:rsidR="00131155" w:rsidRDefault="00F611E9">
          <w:pPr>
            <w:pStyle w:val="HeaderActNameLeft"/>
          </w:pPr>
          <w:fldSimple w:instr=" Styleref &quot;Name of Act/Reg&quot; ">
            <w:r w:rsidR="00CB24E6">
              <w:rPr>
                <w:noProof/>
              </w:rPr>
              <w:t>Warehousemen’s Liens Act 1952</w:t>
            </w:r>
          </w:fldSimple>
        </w:p>
      </w:tc>
    </w:tr>
    <w:tr w:rsidR="00131155">
      <w:tc>
        <w:tcPr>
          <w:tcW w:w="1305" w:type="dxa"/>
        </w:tcPr>
        <w:p w:rsidR="00131155" w:rsidRDefault="00131155">
          <w:pPr>
            <w:pStyle w:val="HeaderNumberLeft"/>
          </w:pPr>
          <w:r>
            <w:fldChar w:fldCharType="begin"/>
          </w:r>
          <w:r>
            <w:instrText xml:space="preserve"> styleref CharPartNo </w:instrText>
          </w:r>
          <w:r>
            <w:fldChar w:fldCharType="end"/>
          </w:r>
        </w:p>
      </w:tc>
      <w:tc>
        <w:tcPr>
          <w:tcW w:w="6007" w:type="dxa"/>
        </w:tcPr>
        <w:p w:rsidR="00131155" w:rsidRDefault="00131155">
          <w:pPr>
            <w:pStyle w:val="HeaderTextLeft"/>
          </w:pPr>
          <w:r>
            <w:fldChar w:fldCharType="begin"/>
          </w:r>
          <w:r>
            <w:instrText xml:space="preserve"> styleref CharPartText </w:instrText>
          </w:r>
          <w:r>
            <w:fldChar w:fldCharType="end"/>
          </w:r>
        </w:p>
      </w:tc>
    </w:tr>
    <w:tr w:rsidR="00131155">
      <w:tc>
        <w:tcPr>
          <w:tcW w:w="1305" w:type="dxa"/>
        </w:tcPr>
        <w:p w:rsidR="00131155" w:rsidRDefault="00131155">
          <w:pPr>
            <w:pStyle w:val="HeaderNumberLeft"/>
          </w:pPr>
          <w:r>
            <w:fldChar w:fldCharType="begin"/>
          </w:r>
          <w:r>
            <w:instrText xml:space="preserve"> styleref CharDivNo </w:instrText>
          </w:r>
          <w:r>
            <w:fldChar w:fldCharType="end"/>
          </w:r>
        </w:p>
      </w:tc>
      <w:tc>
        <w:tcPr>
          <w:tcW w:w="6007" w:type="dxa"/>
        </w:tcPr>
        <w:p w:rsidR="00131155" w:rsidRDefault="00131155">
          <w:pPr>
            <w:pStyle w:val="HeaderTextLeft"/>
          </w:pPr>
          <w:r>
            <w:fldChar w:fldCharType="begin"/>
          </w:r>
          <w:r>
            <w:instrText xml:space="preserve"> styleref CharDivText </w:instrText>
          </w:r>
          <w:r>
            <w:fldChar w:fldCharType="end"/>
          </w:r>
        </w:p>
      </w:tc>
    </w:tr>
    <w:tr w:rsidR="00131155">
      <w:trPr>
        <w:cantSplit/>
      </w:trPr>
      <w:tc>
        <w:tcPr>
          <w:tcW w:w="7312" w:type="dxa"/>
          <w:gridSpan w:val="2"/>
        </w:tcPr>
        <w:p w:rsidR="00131155" w:rsidRDefault="00131155">
          <w:pPr>
            <w:pStyle w:val="HeaderSectionLeft"/>
          </w:pPr>
          <w:r>
            <w:t xml:space="preserve">s. </w:t>
          </w:r>
          <w:fldSimple w:instr=" styleref CharSectno ">
            <w:r w:rsidR="00CB24E6">
              <w:rPr>
                <w:noProof/>
              </w:rPr>
              <w:t>1</w:t>
            </w:r>
          </w:fldSimple>
        </w:p>
      </w:tc>
    </w:tr>
  </w:tbl>
  <w:p w:rsidR="00131155" w:rsidRDefault="001311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1155">
      <w:trPr>
        <w:cantSplit/>
      </w:trPr>
      <w:tc>
        <w:tcPr>
          <w:tcW w:w="7312" w:type="dxa"/>
          <w:gridSpan w:val="2"/>
        </w:tcPr>
        <w:p w:rsidR="00131155" w:rsidRDefault="00F611E9">
          <w:pPr>
            <w:pStyle w:val="HeaderActNameRight"/>
          </w:pPr>
          <w:fldSimple w:instr=" Styleref &quot;Name of Act/Reg&quot; ">
            <w:r w:rsidR="00CB24E6">
              <w:rPr>
                <w:noProof/>
              </w:rPr>
              <w:t>Warehousemen’s Liens Act 1952</w:t>
            </w:r>
          </w:fldSimple>
        </w:p>
      </w:tc>
    </w:tr>
    <w:tr w:rsidR="00131155">
      <w:tc>
        <w:tcPr>
          <w:tcW w:w="5985" w:type="dxa"/>
        </w:tcPr>
        <w:p w:rsidR="00131155" w:rsidRDefault="00131155">
          <w:pPr>
            <w:pStyle w:val="HeaderTextRight"/>
          </w:pPr>
          <w:r>
            <w:fldChar w:fldCharType="begin"/>
          </w:r>
          <w:r>
            <w:instrText xml:space="preserve"> styleref CharPartText </w:instrText>
          </w:r>
          <w:r>
            <w:fldChar w:fldCharType="end"/>
          </w:r>
        </w:p>
      </w:tc>
      <w:tc>
        <w:tcPr>
          <w:tcW w:w="1327" w:type="dxa"/>
        </w:tcPr>
        <w:p w:rsidR="00131155" w:rsidRDefault="00131155">
          <w:pPr>
            <w:pStyle w:val="HeaderNumberRight"/>
          </w:pPr>
          <w:r>
            <w:fldChar w:fldCharType="begin"/>
          </w:r>
          <w:r>
            <w:instrText xml:space="preserve"> styleref CharPartNo </w:instrText>
          </w:r>
          <w:r>
            <w:fldChar w:fldCharType="end"/>
          </w:r>
        </w:p>
      </w:tc>
    </w:tr>
    <w:tr w:rsidR="00131155">
      <w:tc>
        <w:tcPr>
          <w:tcW w:w="5985" w:type="dxa"/>
        </w:tcPr>
        <w:p w:rsidR="00131155" w:rsidRDefault="00131155">
          <w:pPr>
            <w:pStyle w:val="HeaderTextRight"/>
          </w:pPr>
          <w:r>
            <w:fldChar w:fldCharType="begin"/>
          </w:r>
          <w:r>
            <w:instrText xml:space="preserve"> styleref CharDivText </w:instrText>
          </w:r>
          <w:r>
            <w:fldChar w:fldCharType="end"/>
          </w:r>
        </w:p>
      </w:tc>
      <w:tc>
        <w:tcPr>
          <w:tcW w:w="1327" w:type="dxa"/>
        </w:tcPr>
        <w:p w:rsidR="00131155" w:rsidRDefault="00131155">
          <w:pPr>
            <w:pStyle w:val="HeaderNumberRight"/>
          </w:pPr>
          <w:r>
            <w:fldChar w:fldCharType="begin"/>
          </w:r>
          <w:r>
            <w:instrText xml:space="preserve"> styleref CharDivNo </w:instrText>
          </w:r>
          <w:r>
            <w:fldChar w:fldCharType="end"/>
          </w:r>
        </w:p>
      </w:tc>
    </w:tr>
    <w:tr w:rsidR="00131155">
      <w:trPr>
        <w:cantSplit/>
      </w:trPr>
      <w:tc>
        <w:tcPr>
          <w:tcW w:w="7312" w:type="dxa"/>
          <w:gridSpan w:val="2"/>
        </w:tcPr>
        <w:p w:rsidR="00131155" w:rsidRDefault="00131155">
          <w:pPr>
            <w:pStyle w:val="HeaderSectionRight"/>
          </w:pPr>
          <w:r>
            <w:t xml:space="preserve">s. </w:t>
          </w:r>
          <w:fldSimple w:instr=" styleref CharSectno ">
            <w:r w:rsidR="00CB24E6">
              <w:rPr>
                <w:noProof/>
              </w:rPr>
              <w:t>1</w:t>
            </w:r>
          </w:fldSimple>
        </w:p>
      </w:tc>
    </w:tr>
  </w:tbl>
  <w:p w:rsidR="00131155" w:rsidRDefault="001311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4624"/>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s>
  <w:rsids>
    <w:rsidRoot w:val="00C60DB3"/>
    <w:rsid w:val="00131155"/>
    <w:rsid w:val="00177E1F"/>
    <w:rsid w:val="002106D4"/>
    <w:rsid w:val="0021625A"/>
    <w:rsid w:val="002227AE"/>
    <w:rsid w:val="00242AC4"/>
    <w:rsid w:val="00260B74"/>
    <w:rsid w:val="00285F3B"/>
    <w:rsid w:val="002A5399"/>
    <w:rsid w:val="002D5F67"/>
    <w:rsid w:val="00301993"/>
    <w:rsid w:val="0042535B"/>
    <w:rsid w:val="00484A8B"/>
    <w:rsid w:val="00485DED"/>
    <w:rsid w:val="005059D3"/>
    <w:rsid w:val="00507332"/>
    <w:rsid w:val="008C3762"/>
    <w:rsid w:val="00A23F13"/>
    <w:rsid w:val="00AD17E7"/>
    <w:rsid w:val="00BA15E3"/>
    <w:rsid w:val="00C434F7"/>
    <w:rsid w:val="00C60DB3"/>
    <w:rsid w:val="00CB24E6"/>
    <w:rsid w:val="00D72B48"/>
    <w:rsid w:val="00D8393D"/>
    <w:rsid w:val="00E32D12"/>
    <w:rsid w:val="00E45A43"/>
    <w:rsid w:val="00F61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3367</Words>
  <Characters>15123</Characters>
  <Application>Microsoft Office Word</Application>
  <DocSecurity>0</DocSecurity>
  <Lines>444</Lines>
  <Paragraphs>225</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Company>Ministry of Justice</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1952 - 02-c0-02</dc:title>
  <dc:subject/>
  <dc:creator>Clare Dias</dc:creator>
  <cp:keywords/>
  <cp:lastModifiedBy>svcMRProcess</cp:lastModifiedBy>
  <cp:revision>4</cp:revision>
  <cp:lastPrinted>2010-12-08T05:16:00Z</cp:lastPrinted>
  <dcterms:created xsi:type="dcterms:W3CDTF">2014-02-04T02:59:00Z</dcterms:created>
  <dcterms:modified xsi:type="dcterms:W3CDTF">2014-02-04T02:59:00Z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862</vt:i4>
  </property>
  <property fmtid="{D5CDD505-2E9C-101B-9397-08002B2CF9AE}" pid="6" name="AsAtDate">
    <vt:lpwstr>30 Jan 2012</vt:lpwstr>
  </property>
  <property fmtid="{D5CDD505-2E9C-101B-9397-08002B2CF9AE}" pid="7" name="Suffix">
    <vt:lpwstr>02-c0-02</vt:lpwstr>
  </property>
  <property fmtid="{D5CDD505-2E9C-101B-9397-08002B2CF9AE}" pid="8" name="ReprintedAsAt">
    <vt:filetime>2010-12-02T16:00:00Z</vt:filetime>
  </property>
  <property fmtid="{D5CDD505-2E9C-101B-9397-08002B2CF9AE}" pid="9" name="ReprintNo">
    <vt:lpwstr>2</vt:lpwstr>
  </property>
  <property fmtid="{D5CDD505-2E9C-101B-9397-08002B2CF9AE}" pid="10" name="ThisVersion">
    <vt:lpwstr>02-a0-01</vt:lpwstr>
  </property>
</Properties>
</file>