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Bills of Sale Act 1899</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snapToGrid w:val="0"/>
          <w:sz w:val="22"/>
          <w:szCs w:val="22"/>
        </w:rPr>
        <w:t>Personal Property Securities (Consequential Repeals and Amendments) Act 2011</w:t>
      </w:r>
      <w:r>
        <w:rPr>
          <w:color w:val="000000"/>
          <w:sz w:val="22"/>
          <w:szCs w:val="22"/>
        </w:rPr>
        <w:t xml:space="preserve"> s. 32(1) (No. 42 of 2011) as at 30 Jan 2012 (see s. 2(c) and</w:t>
      </w:r>
      <w:r>
        <w:rPr>
          <w:snapToGrid w:val="0"/>
          <w:sz w:val="22"/>
          <w:szCs w:val="22"/>
        </w:rPr>
        <w:t xml:space="preserve"> Cwlth Legislative Instrument No. F2011L02397 cl. 5 registered 21 Nov 2011)</w:t>
      </w:r>
      <w:r>
        <w:rPr>
          <w:color w:val="000000"/>
          <w:sz w:val="22"/>
          <w:szCs w:val="22"/>
        </w:rPr>
        <w: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Bills of Sale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_Toc425428053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_Toc425428054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w:t>
      </w:r>
      <w:r>
        <w:tab/>
      </w:r>
      <w:r>
        <w:fldChar w:fldCharType="begin"/>
      </w:r>
      <w:r>
        <w:instrText xml:space="preserve"> PAGEREF _Toc425428055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_Toc425428056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IIA — Cessation of registration</w:t>
      </w:r>
    </w:p>
    <w:p>
      <w:pPr>
        <w:pStyle w:val="TOC8"/>
        <w:rPr>
          <w:rFonts w:asciiTheme="minorHAnsi" w:eastAsiaTheme="minorEastAsia" w:hAnsiTheme="minorHAnsi" w:cstheme="minorBidi"/>
          <w:szCs w:val="22"/>
        </w:rPr>
      </w:pPr>
      <w:r>
        <w:t>6A.</w:t>
      </w:r>
      <w:r>
        <w:tab/>
        <w:t>Early cessation of registration function</w:t>
      </w:r>
      <w:r>
        <w:tab/>
      </w:r>
      <w:r>
        <w:fldChar w:fldCharType="begin"/>
      </w:r>
      <w:r>
        <w:instrText xml:space="preserve"> PAGEREF _Toc425428058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Registration</w:t>
      </w:r>
    </w:p>
    <w:p>
      <w:pPr>
        <w:pStyle w:val="TOC8"/>
        <w:rPr>
          <w:rFonts w:asciiTheme="minorHAnsi" w:eastAsiaTheme="minorEastAsia" w:hAnsiTheme="minorHAnsi" w:cstheme="minorBidi"/>
          <w:szCs w:val="22"/>
        </w:rPr>
      </w:pPr>
      <w:r>
        <w:t>6</w:t>
      </w:r>
      <w:r>
        <w:rPr>
          <w:snapToGrid w:val="0"/>
        </w:rPr>
        <w:t>.</w:t>
      </w:r>
      <w:r>
        <w:rPr>
          <w:snapToGrid w:val="0"/>
        </w:rPr>
        <w:tab/>
        <w:t>Bills of sale, content of</w:t>
      </w:r>
      <w:r>
        <w:tab/>
      </w:r>
      <w:r>
        <w:fldChar w:fldCharType="begin"/>
      </w:r>
      <w:r>
        <w:instrText xml:space="preserve"> PAGEREF _Toc425428060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Crops and progeny of stock, assignment of by bill of sale</w:t>
      </w:r>
      <w:r>
        <w:tab/>
      </w:r>
      <w:r>
        <w:fldChar w:fldCharType="begin"/>
      </w:r>
      <w:r>
        <w:instrText xml:space="preserve"> PAGEREF _Toc425428061 \h </w:instrText>
      </w:r>
      <w:r>
        <w:fldChar w:fldCharType="separate"/>
      </w:r>
      <w:r>
        <w:t>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Future or after-acquired chattels etc. subject to bill of sale, when property etc. in passes to grantee</w:t>
      </w:r>
      <w:r>
        <w:tab/>
      </w:r>
      <w:r>
        <w:fldChar w:fldCharType="begin"/>
      </w:r>
      <w:r>
        <w:instrText xml:space="preserve"> PAGEREF _Toc425428062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and registration of bill of sale</w:t>
      </w:r>
      <w:r>
        <w:tab/>
      </w:r>
      <w:r>
        <w:fldChar w:fldCharType="begin"/>
      </w:r>
      <w:r>
        <w:instrText xml:space="preserve"> PAGEREF _Toc425428063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Time for registration</w:t>
      </w:r>
      <w:r>
        <w:tab/>
      </w:r>
      <w:r>
        <w:fldChar w:fldCharType="begin"/>
      </w:r>
      <w:r>
        <w:instrText xml:space="preserve"> PAGEREF _Toc425428064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 to keep register book and indexes</w:t>
      </w:r>
      <w:r>
        <w:tab/>
      </w:r>
      <w:r>
        <w:fldChar w:fldCharType="begin"/>
      </w:r>
      <w:r>
        <w:instrText xml:space="preserve"> PAGEREF _Toc425428065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Judge may extend time for registration and rectify errors in documents</w:t>
      </w:r>
      <w:r>
        <w:tab/>
      </w:r>
      <w:r>
        <w:fldChar w:fldCharType="begin"/>
      </w:r>
      <w:r>
        <w:instrText xml:space="preserve"> PAGEREF _Toc425428066 \h </w:instrText>
      </w:r>
      <w:r>
        <w:fldChar w:fldCharType="separate"/>
      </w:r>
      <w:r>
        <w:t>12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Registrar may extend time for registration or renewal of registration</w:t>
      </w:r>
      <w:r>
        <w:tab/>
      </w:r>
      <w:r>
        <w:fldChar w:fldCharType="begin"/>
      </w:r>
      <w:r>
        <w:instrText xml:space="preserve"> PAGEREF _Toc425428067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Renewal of registration</w:t>
      </w:r>
    </w:p>
    <w:p>
      <w:pPr>
        <w:pStyle w:val="TOC8"/>
        <w:rPr>
          <w:rFonts w:asciiTheme="minorHAnsi" w:eastAsiaTheme="minorEastAsia" w:hAnsiTheme="minorHAnsi" w:cstheme="minorBidi"/>
          <w:szCs w:val="22"/>
        </w:rPr>
      </w:pPr>
      <w:r>
        <w:t>14</w:t>
      </w:r>
      <w:r>
        <w:rPr>
          <w:snapToGrid w:val="0"/>
        </w:rPr>
        <w:t>.</w:t>
      </w:r>
      <w:r>
        <w:rPr>
          <w:snapToGrid w:val="0"/>
        </w:rPr>
        <w:tab/>
        <w:t>Time for renewal</w:t>
      </w:r>
      <w:r>
        <w:tab/>
      </w:r>
      <w:r>
        <w:fldChar w:fldCharType="begin"/>
      </w:r>
      <w:r>
        <w:instrText xml:space="preserve"> PAGEREF _Toc425428069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Non-renewal, effect of</w:t>
      </w:r>
      <w:r>
        <w:tab/>
      </w:r>
      <w:r>
        <w:fldChar w:fldCharType="begin"/>
      </w:r>
      <w:r>
        <w:instrText xml:space="preserve"> PAGEREF _Toc425428070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Mode of renewal</w:t>
      </w:r>
      <w:r>
        <w:tab/>
      </w:r>
      <w:r>
        <w:fldChar w:fldCharType="begin"/>
      </w:r>
      <w:r>
        <w:instrText xml:space="preserve"> PAGEREF _Toc425428071 \h </w:instrText>
      </w:r>
      <w:r>
        <w:fldChar w:fldCharType="separate"/>
      </w:r>
      <w:r>
        <w:t>15</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Affidavit under s. 16 may be made by attorney etc.</w:t>
      </w:r>
      <w:r>
        <w:tab/>
      </w:r>
      <w:r>
        <w:fldChar w:fldCharType="begin"/>
      </w:r>
      <w:r>
        <w:instrText xml:space="preserve"> PAGEREF _Toc425428072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Registration of renewal</w:t>
      </w:r>
      <w:r>
        <w:tab/>
      </w:r>
      <w:r>
        <w:fldChar w:fldCharType="begin"/>
      </w:r>
      <w:r>
        <w:instrText xml:space="preserve"> PAGEREF _Toc425428073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Bills of sale by way of security</w:t>
      </w:r>
    </w:p>
    <w:p>
      <w:pPr>
        <w:pStyle w:val="TOC8"/>
        <w:rPr>
          <w:rFonts w:asciiTheme="minorHAnsi" w:eastAsiaTheme="minorEastAsia" w:hAnsiTheme="minorHAnsi" w:cstheme="minorBidi"/>
          <w:szCs w:val="22"/>
        </w:rPr>
      </w:pPr>
      <w:r>
        <w:t>17A</w:t>
      </w:r>
      <w:r>
        <w:rPr>
          <w:snapToGrid w:val="0"/>
        </w:rPr>
        <w:t>.</w:t>
      </w:r>
      <w:r>
        <w:rPr>
          <w:snapToGrid w:val="0"/>
        </w:rPr>
        <w:tab/>
        <w:t>Term used: bill of sale</w:t>
      </w:r>
      <w:r>
        <w:tab/>
      </w:r>
      <w:r>
        <w:fldChar w:fldCharType="begin"/>
      </w:r>
      <w:r>
        <w:instrText xml:space="preserve"> PAGEREF _Toc425428075 \h </w:instrText>
      </w:r>
      <w:r>
        <w:fldChar w:fldCharType="separate"/>
      </w:r>
      <w:r>
        <w:t>17</w:t>
      </w:r>
      <w:r>
        <w:fldChar w:fldCharType="end"/>
      </w:r>
    </w:p>
    <w:p>
      <w:pPr>
        <w:pStyle w:val="TOC8"/>
        <w:rPr>
          <w:rFonts w:asciiTheme="minorHAnsi" w:eastAsiaTheme="minorEastAsia" w:hAnsiTheme="minorHAnsi" w:cstheme="minorBidi"/>
          <w:szCs w:val="22"/>
        </w:rPr>
      </w:pPr>
      <w:r>
        <w:t>17R</w:t>
      </w:r>
      <w:r>
        <w:rPr>
          <w:snapToGrid w:val="0"/>
        </w:rPr>
        <w:t>.</w:t>
      </w:r>
      <w:r>
        <w:rPr>
          <w:snapToGrid w:val="0"/>
        </w:rPr>
        <w:tab/>
        <w:t>Form of bill of sale (Tenth Sch.)</w:t>
      </w:r>
      <w:r>
        <w:tab/>
      </w:r>
      <w:r>
        <w:fldChar w:fldCharType="begin"/>
      </w:r>
      <w:r>
        <w:instrText xml:space="preserve"> PAGEREF _Toc425428076 \h </w:instrText>
      </w:r>
      <w:r>
        <w:fldChar w:fldCharType="separate"/>
      </w:r>
      <w:r>
        <w:t>17</w:t>
      </w:r>
      <w:r>
        <w:fldChar w:fldCharType="end"/>
      </w:r>
    </w:p>
    <w:p>
      <w:pPr>
        <w:pStyle w:val="TOC8"/>
        <w:rPr>
          <w:rFonts w:asciiTheme="minorHAnsi" w:eastAsiaTheme="minorEastAsia" w:hAnsiTheme="minorHAnsi" w:cstheme="minorBidi"/>
          <w:szCs w:val="22"/>
        </w:rPr>
      </w:pPr>
      <w:r>
        <w:t>17S</w:t>
      </w:r>
      <w:r>
        <w:rPr>
          <w:snapToGrid w:val="0"/>
        </w:rPr>
        <w:t>.</w:t>
      </w:r>
      <w:r>
        <w:rPr>
          <w:snapToGrid w:val="0"/>
        </w:rPr>
        <w:tab/>
        <w:t>Implied covenants (Eleventh, Twelfth Sch.)</w:t>
      </w:r>
      <w:r>
        <w:tab/>
      </w:r>
      <w:r>
        <w:fldChar w:fldCharType="begin"/>
      </w:r>
      <w:r>
        <w:instrText xml:space="preserve"> PAGEREF _Toc425428077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 — Searches and office copies</w:t>
      </w:r>
    </w:p>
    <w:p>
      <w:pPr>
        <w:pStyle w:val="TOC8"/>
        <w:rPr>
          <w:rFonts w:asciiTheme="minorHAnsi" w:eastAsiaTheme="minorEastAsia" w:hAnsiTheme="minorHAnsi" w:cstheme="minorBidi"/>
          <w:szCs w:val="22"/>
        </w:rPr>
      </w:pPr>
      <w:r>
        <w:t>18</w:t>
      </w:r>
      <w:r>
        <w:rPr>
          <w:snapToGrid w:val="0"/>
        </w:rPr>
        <w:t>.</w:t>
      </w:r>
      <w:r>
        <w:rPr>
          <w:snapToGrid w:val="0"/>
        </w:rPr>
        <w:tab/>
        <w:t>Register book etc. may be searched</w:t>
      </w:r>
      <w:r>
        <w:tab/>
      </w:r>
      <w:r>
        <w:fldChar w:fldCharType="begin"/>
      </w:r>
      <w:r>
        <w:instrText xml:space="preserve"> PAGEREF _Toc425428079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Office copy or extract to be given</w:t>
      </w:r>
      <w:r>
        <w:tab/>
      </w:r>
      <w:r>
        <w:fldChar w:fldCharType="begin"/>
      </w:r>
      <w:r>
        <w:instrText xml:space="preserve"> PAGEREF _Toc425428080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Registration to be </w:t>
      </w:r>
      <w:r>
        <w:rPr>
          <w:i/>
          <w:snapToGrid w:val="0"/>
        </w:rPr>
        <w:t>prima facie</w:t>
      </w:r>
      <w:r>
        <w:rPr>
          <w:snapToGrid w:val="0"/>
        </w:rPr>
        <w:t xml:space="preserve"> evidence of due execution etc.</w:t>
      </w:r>
      <w:r>
        <w:tab/>
      </w:r>
      <w:r>
        <w:fldChar w:fldCharType="begin"/>
      </w:r>
      <w:r>
        <w:instrText xml:space="preserve"> PAGEREF _Toc425428081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Entry of satisfaction</w:t>
      </w:r>
    </w:p>
    <w:p>
      <w:pPr>
        <w:pStyle w:val="TOC8"/>
        <w:rPr>
          <w:rFonts w:asciiTheme="minorHAnsi" w:eastAsiaTheme="minorEastAsia" w:hAnsiTheme="minorHAnsi" w:cstheme="minorBidi"/>
          <w:szCs w:val="22"/>
        </w:rPr>
      </w:pPr>
      <w:r>
        <w:t>21</w:t>
      </w:r>
      <w:r>
        <w:rPr>
          <w:snapToGrid w:val="0"/>
        </w:rPr>
        <w:t>.</w:t>
      </w:r>
      <w:r>
        <w:rPr>
          <w:snapToGrid w:val="0"/>
        </w:rPr>
        <w:tab/>
        <w:t>Memorandum of satisfaction may be filed</w:t>
      </w:r>
      <w:r>
        <w:tab/>
      </w:r>
      <w:r>
        <w:fldChar w:fldCharType="begin"/>
      </w:r>
      <w:r>
        <w:instrText xml:space="preserve"> PAGEREF _Toc425428083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Filing of memorandum, effect of</w:t>
      </w:r>
      <w:r>
        <w:tab/>
      </w:r>
      <w:r>
        <w:fldChar w:fldCharType="begin"/>
      </w:r>
      <w:r>
        <w:instrText xml:space="preserve"> PAGEREF _Toc425428084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If grantee absent registrar may receive money</w:t>
      </w:r>
      <w:r>
        <w:tab/>
      </w:r>
      <w:r>
        <w:fldChar w:fldCharType="begin"/>
      </w:r>
      <w:r>
        <w:instrText xml:space="preserve"> PAGEREF _Toc425428085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Judge may order memorandum of satisfaction to be filed</w:t>
      </w:r>
      <w:r>
        <w:tab/>
      </w:r>
      <w:r>
        <w:fldChar w:fldCharType="begin"/>
      </w:r>
      <w:r>
        <w:instrText xml:space="preserve"> PAGEREF _Toc425428086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VII — Effect of registration</w:t>
      </w:r>
    </w:p>
    <w:p>
      <w:pPr>
        <w:pStyle w:val="TOC8"/>
        <w:rPr>
          <w:rFonts w:asciiTheme="minorHAnsi" w:eastAsiaTheme="minorEastAsia" w:hAnsiTheme="minorHAnsi" w:cstheme="minorBidi"/>
          <w:szCs w:val="22"/>
        </w:rPr>
      </w:pPr>
      <w:r>
        <w:t>25</w:t>
      </w:r>
      <w:r>
        <w:rPr>
          <w:snapToGrid w:val="0"/>
        </w:rPr>
        <w:t>.</w:t>
      </w:r>
      <w:r>
        <w:rPr>
          <w:snapToGrid w:val="0"/>
        </w:rPr>
        <w:tab/>
        <w:t>Effect of non</w:t>
      </w:r>
      <w:r>
        <w:rPr>
          <w:snapToGrid w:val="0"/>
        </w:rPr>
        <w:noBreakHyphen/>
        <w:t>compliance with Act or non</w:t>
      </w:r>
      <w:r>
        <w:rPr>
          <w:snapToGrid w:val="0"/>
        </w:rPr>
        <w:noBreakHyphen/>
        <w:t>registration</w:t>
      </w:r>
      <w:r>
        <w:tab/>
      </w:r>
      <w:r>
        <w:fldChar w:fldCharType="begin"/>
      </w:r>
      <w:r>
        <w:instrText xml:space="preserve"> PAGEREF _Toc425428088 \h </w:instrText>
      </w:r>
      <w:r>
        <w:fldChar w:fldCharType="separate"/>
      </w:r>
      <w:r>
        <w:t>23</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Certain errors in bill of sale not to invalidate it</w:t>
      </w:r>
      <w:r>
        <w:tab/>
      </w:r>
      <w:r>
        <w:fldChar w:fldCharType="begin"/>
      </w:r>
      <w:r>
        <w:instrText xml:space="preserve"> PAGEREF _Toc425428089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Application of doctrine of apparent possession</w:t>
      </w:r>
      <w:r>
        <w:tab/>
      </w:r>
      <w:r>
        <w:fldChar w:fldCharType="begin"/>
      </w:r>
      <w:r>
        <w:instrText xml:space="preserve"> PAGEREF _Toc425428090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rPr>
          <w:i/>
          <w:snapToGrid w:val="0"/>
        </w:rPr>
        <w:t>Bona fide</w:t>
      </w:r>
      <w:r>
        <w:rPr>
          <w:snapToGrid w:val="0"/>
        </w:rPr>
        <w:t xml:space="preserve"> purchaser not affected by unregistered bill of sale</w:t>
      </w:r>
      <w:r>
        <w:tab/>
      </w:r>
      <w:r>
        <w:fldChar w:fldCharType="begin"/>
      </w:r>
      <w:r>
        <w:instrText xml:space="preserve"> PAGEREF _Toc425428091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Chattels liable to distress for rates</w:t>
      </w:r>
      <w:r>
        <w:tab/>
      </w:r>
      <w:r>
        <w:fldChar w:fldCharType="begin"/>
      </w:r>
      <w:r>
        <w:instrText xml:space="preserve"> PAGEREF _Toc425428092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30</w:t>
      </w:r>
      <w:r>
        <w:rPr>
          <w:snapToGrid w:val="0"/>
        </w:rPr>
        <w:t>.</w:t>
      </w:r>
      <w:r>
        <w:rPr>
          <w:snapToGrid w:val="0"/>
        </w:rPr>
        <w:tab/>
        <w:t>Bill of sale subject to defeasance etc. not contained in it, effect of</w:t>
      </w:r>
      <w:r>
        <w:tab/>
      </w:r>
      <w:r>
        <w:fldChar w:fldCharType="begin"/>
      </w:r>
      <w:r>
        <w:instrText xml:space="preserve"> PAGEREF _Toc425428094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Bill of sale void against trustee in bankruptcy etc. in some cases</w:t>
      </w:r>
      <w:r>
        <w:tab/>
      </w:r>
      <w:r>
        <w:fldChar w:fldCharType="begin"/>
      </w:r>
      <w:r>
        <w:instrText xml:space="preserve"> PAGEREF _Toc425428095 \h </w:instrText>
      </w:r>
      <w:r>
        <w:fldChar w:fldCharType="separate"/>
      </w:r>
      <w:r>
        <w:t>26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Contemporaneous and subsequent advances</w:t>
      </w:r>
      <w:r>
        <w:tab/>
      </w:r>
      <w:r>
        <w:fldChar w:fldCharType="begin"/>
      </w:r>
      <w:r>
        <w:instrText xml:space="preserve"> PAGEREF _Toc425428096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Bill of sale void against sheriff etc. executing process in some cases</w:t>
      </w:r>
      <w:r>
        <w:tab/>
      </w:r>
      <w:r>
        <w:fldChar w:fldCharType="begin"/>
      </w:r>
      <w:r>
        <w:instrText xml:space="preserve"> PAGEREF _Toc425428097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Bills of sale, date of effect of</w:t>
      </w:r>
      <w:r>
        <w:tab/>
      </w:r>
      <w:r>
        <w:fldChar w:fldCharType="begin"/>
      </w:r>
      <w:r>
        <w:instrText xml:space="preserve"> PAGEREF _Toc425428098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Priority of instruments affecting same chattels</w:t>
      </w:r>
      <w:r>
        <w:tab/>
      </w:r>
      <w:r>
        <w:fldChar w:fldCharType="begin"/>
      </w:r>
      <w:r>
        <w:instrText xml:space="preserve"> PAGEREF _Toc425428099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Avoidance of duplicate bills of sale</w:t>
      </w:r>
      <w:r>
        <w:tab/>
      </w:r>
      <w:r>
        <w:fldChar w:fldCharType="begin"/>
      </w:r>
      <w:r>
        <w:instrText xml:space="preserve"> PAGEREF _Toc425428100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Grantee may bid for and purchase chattels and appoint etc. receiver</w:t>
      </w:r>
      <w:r>
        <w:tab/>
      </w:r>
      <w:r>
        <w:fldChar w:fldCharType="begin"/>
      </w:r>
      <w:r>
        <w:instrText xml:space="preserve"> PAGEREF _Toc425428101 \h </w:instrText>
      </w:r>
      <w:r>
        <w:fldChar w:fldCharType="separate"/>
      </w:r>
      <w:r>
        <w:t>29</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 xml:space="preserve">Protection of </w:t>
      </w:r>
      <w:r>
        <w:rPr>
          <w:i/>
          <w:snapToGrid w:val="0"/>
        </w:rPr>
        <w:t>bona fide</w:t>
      </w:r>
      <w:r>
        <w:rPr>
          <w:snapToGrid w:val="0"/>
        </w:rPr>
        <w:t xml:space="preserve"> purchasers</w:t>
      </w:r>
      <w:r>
        <w:tab/>
      </w:r>
      <w:r>
        <w:fldChar w:fldCharType="begin"/>
      </w:r>
      <w:r>
        <w:instrText xml:space="preserve"> PAGEREF _Toc425428102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IX — Bills of sale of stock</w:t>
      </w:r>
    </w:p>
    <w:p>
      <w:pPr>
        <w:pStyle w:val="TOC8"/>
        <w:rPr>
          <w:rFonts w:asciiTheme="minorHAnsi" w:eastAsiaTheme="minorEastAsia" w:hAnsiTheme="minorHAnsi" w:cstheme="minorBidi"/>
          <w:szCs w:val="22"/>
        </w:rPr>
      </w:pPr>
      <w:r>
        <w:t>37</w:t>
      </w:r>
      <w:r>
        <w:rPr>
          <w:snapToGrid w:val="0"/>
        </w:rPr>
        <w:t>.</w:t>
      </w:r>
      <w:r>
        <w:rPr>
          <w:snapToGrid w:val="0"/>
        </w:rPr>
        <w:tab/>
        <w:t>Stock to be described etc.</w:t>
      </w:r>
      <w:r>
        <w:tab/>
      </w:r>
      <w:r>
        <w:fldChar w:fldCharType="begin"/>
      </w:r>
      <w:r>
        <w:instrText xml:space="preserve"> PAGEREF _Toc425428104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Bill of sale of stock to include progeny</w:t>
      </w:r>
      <w:r>
        <w:tab/>
      </w:r>
      <w:r>
        <w:fldChar w:fldCharType="begin"/>
      </w:r>
      <w:r>
        <w:instrText xml:space="preserve"> PAGEREF _Toc425428105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X — Bill of sale over crops</w:t>
      </w:r>
    </w:p>
    <w:p>
      <w:pPr>
        <w:pStyle w:val="TOC8"/>
        <w:rPr>
          <w:rFonts w:asciiTheme="minorHAnsi" w:eastAsiaTheme="minorEastAsia" w:hAnsiTheme="minorHAnsi" w:cstheme="minorBidi"/>
          <w:szCs w:val="22"/>
        </w:rPr>
      </w:pPr>
      <w:r>
        <w:t>39</w:t>
      </w:r>
      <w:r>
        <w:rPr>
          <w:snapToGrid w:val="0"/>
        </w:rPr>
        <w:t>.</w:t>
      </w:r>
      <w:r>
        <w:rPr>
          <w:snapToGrid w:val="0"/>
        </w:rPr>
        <w:tab/>
        <w:t>Bill of sale may be granted over crops</w:t>
      </w:r>
      <w:r>
        <w:tab/>
      </w:r>
      <w:r>
        <w:fldChar w:fldCharType="begin"/>
      </w:r>
      <w:r>
        <w:instrText xml:space="preserve"> PAGEREF _Toc425428107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Bill of sale cannot be granted over some crops</w:t>
      </w:r>
      <w:r>
        <w:tab/>
      </w:r>
      <w:r>
        <w:fldChar w:fldCharType="begin"/>
      </w:r>
      <w:r>
        <w:instrText xml:space="preserve"> PAGEREF _Toc425428108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Saving of rights of landlord and mortgagee</w:t>
      </w:r>
      <w:r>
        <w:tab/>
      </w:r>
      <w:r>
        <w:fldChar w:fldCharType="begin"/>
      </w:r>
      <w:r>
        <w:instrText xml:space="preserve"> PAGEREF _Toc425428109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XI — Bill of sale over wool</w:t>
      </w:r>
    </w:p>
    <w:p>
      <w:pPr>
        <w:pStyle w:val="TOC8"/>
        <w:rPr>
          <w:rFonts w:asciiTheme="minorHAnsi" w:eastAsiaTheme="minorEastAsia" w:hAnsiTheme="minorHAnsi" w:cstheme="minorBidi"/>
          <w:szCs w:val="22"/>
        </w:rPr>
      </w:pPr>
      <w:r>
        <w:t>42</w:t>
      </w:r>
      <w:r>
        <w:rPr>
          <w:snapToGrid w:val="0"/>
        </w:rPr>
        <w:t>.</w:t>
      </w:r>
      <w:r>
        <w:rPr>
          <w:snapToGrid w:val="0"/>
        </w:rPr>
        <w:tab/>
        <w:t>Bill of sale over wool</w:t>
      </w:r>
      <w:r>
        <w:tab/>
      </w:r>
      <w:r>
        <w:fldChar w:fldCharType="begin"/>
      </w:r>
      <w:r>
        <w:instrText xml:space="preserve"> PAGEREF _Toc425428111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Bill of sale over wool not affected by subsequent sale etc. of stock</w:t>
      </w:r>
      <w:r>
        <w:tab/>
      </w:r>
      <w:r>
        <w:fldChar w:fldCharType="begin"/>
      </w:r>
      <w:r>
        <w:instrText xml:space="preserve"> PAGEREF _Toc425428112 \h </w:instrText>
      </w:r>
      <w:r>
        <w:fldChar w:fldCharType="separate"/>
      </w:r>
      <w:r>
        <w:t>33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Form of bill of sale (Fourth Sch.)</w:t>
      </w:r>
      <w:r>
        <w:tab/>
      </w:r>
      <w:r>
        <w:fldChar w:fldCharType="begin"/>
      </w:r>
      <w:r>
        <w:instrText xml:space="preserve"> PAGEREF _Toc425428113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Bill of sale over wool of mortgaged sheep</w:t>
      </w:r>
      <w:r>
        <w:tab/>
      </w:r>
      <w:r>
        <w:fldChar w:fldCharType="begin"/>
      </w:r>
      <w:r>
        <w:instrText xml:space="preserve"> PAGEREF _Toc425428114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XII — Miscellaneous</w:t>
      </w:r>
    </w:p>
    <w:p>
      <w:pPr>
        <w:pStyle w:val="TOC8"/>
        <w:rPr>
          <w:rFonts w:asciiTheme="minorHAnsi" w:eastAsiaTheme="minorEastAsia" w:hAnsiTheme="minorHAnsi" w:cstheme="minorBidi"/>
          <w:szCs w:val="22"/>
        </w:rPr>
      </w:pPr>
      <w:r>
        <w:t>47</w:t>
      </w:r>
      <w:r>
        <w:rPr>
          <w:snapToGrid w:val="0"/>
        </w:rPr>
        <w:t>.</w:t>
      </w:r>
      <w:r>
        <w:rPr>
          <w:snapToGrid w:val="0"/>
        </w:rPr>
        <w:tab/>
        <w:t>Covenants to be joint and several</w:t>
      </w:r>
      <w:r>
        <w:tab/>
      </w:r>
      <w:r>
        <w:fldChar w:fldCharType="begin"/>
      </w:r>
      <w:r>
        <w:instrText xml:space="preserve"> PAGEREF _Toc425428116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Covenants to bind representatives</w:t>
      </w:r>
      <w:r>
        <w:tab/>
      </w:r>
      <w:r>
        <w:fldChar w:fldCharType="begin"/>
      </w:r>
      <w:r>
        <w:instrText xml:space="preserve"> PAGEREF _Toc425428117 \h </w:instrText>
      </w:r>
      <w:r>
        <w:fldChar w:fldCharType="separate"/>
      </w:r>
      <w:r>
        <w:t>34</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Regulations</w:t>
      </w:r>
      <w:r>
        <w:tab/>
      </w:r>
      <w:r>
        <w:fldChar w:fldCharType="begin"/>
      </w:r>
      <w:r>
        <w:instrText xml:space="preserve"> PAGEREF _Toc425428118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Rules</w:t>
      </w:r>
      <w:r>
        <w:tab/>
      </w:r>
      <w:r>
        <w:fldChar w:fldCharType="begin"/>
      </w:r>
      <w:r>
        <w:instrText xml:space="preserve"> PAGEREF _Toc425428119 \h </w:instrText>
      </w:r>
      <w:r>
        <w:fldChar w:fldCharType="separate"/>
      </w:r>
      <w:r>
        <w:t>35</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r>
      <w:r>
        <w:rPr>
          <w:i/>
          <w:snapToGrid w:val="0"/>
        </w:rPr>
        <w:t>Bills of Sale Act Amendment Act 1925</w:t>
      </w:r>
      <w:r>
        <w:rPr>
          <w:snapToGrid w:val="0"/>
        </w:rPr>
        <w:t xml:space="preserve"> has no retrospective effect</w:t>
      </w:r>
      <w:r>
        <w:tab/>
      </w:r>
      <w:r>
        <w:fldChar w:fldCharType="begin"/>
      </w:r>
      <w:r>
        <w:instrText xml:space="preserve"> PAGEREF _Toc425428120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XIII — Debentures</w:t>
      </w:r>
    </w:p>
    <w:p>
      <w:pPr>
        <w:pStyle w:val="TOC8"/>
        <w:rPr>
          <w:rFonts w:asciiTheme="minorHAnsi" w:eastAsiaTheme="minorEastAsia" w:hAnsiTheme="minorHAnsi" w:cstheme="minorBidi"/>
          <w:szCs w:val="22"/>
        </w:rPr>
      </w:pPr>
      <w:r>
        <w:t>51</w:t>
      </w:r>
      <w:r>
        <w:rPr>
          <w:snapToGrid w:val="0"/>
        </w:rPr>
        <w:t>.</w:t>
      </w:r>
      <w:r>
        <w:rPr>
          <w:snapToGrid w:val="0"/>
        </w:rPr>
        <w:tab/>
        <w:t>Registration of debentures</w:t>
      </w:r>
      <w:r>
        <w:tab/>
      </w:r>
      <w:r>
        <w:fldChar w:fldCharType="begin"/>
      </w:r>
      <w:r>
        <w:instrText xml:space="preserve"> PAGEREF _Toc425428122 \h </w:instrText>
      </w:r>
      <w:r>
        <w:fldChar w:fldCharType="separate"/>
      </w:r>
      <w:r>
        <w:t>36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certain sections to debentures</w:t>
      </w:r>
      <w:r>
        <w:tab/>
      </w:r>
      <w:r>
        <w:fldChar w:fldCharType="begin"/>
      </w:r>
      <w:r>
        <w:instrText xml:space="preserve"> PAGEREF _Toc425428123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When more than one debenture issued</w:t>
      </w:r>
      <w:r>
        <w:tab/>
      </w:r>
      <w:r>
        <w:fldChar w:fldCharType="begin"/>
      </w:r>
      <w:r>
        <w:instrText xml:space="preserve"> PAGEREF _Toc425428124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Register book</w:t>
      </w:r>
    </w:p>
    <w:p>
      <w:pPr>
        <w:pStyle w:val="TOC2"/>
        <w:tabs>
          <w:tab w:val="right" w:leader="dot" w:pos="7077"/>
        </w:tabs>
        <w:rPr>
          <w:rFonts w:asciiTheme="minorHAnsi" w:eastAsiaTheme="minorEastAsia" w:hAnsiTheme="minorHAnsi" w:cstheme="minorBidi"/>
          <w:b w:val="0"/>
          <w:sz w:val="22"/>
          <w:szCs w:val="22"/>
        </w:rPr>
      </w:pPr>
      <w:r>
        <w:t xml:space="preserve">Third Schedule — </w:t>
      </w:r>
      <w:r>
        <w:rPr>
          <w:rFonts w:eastAsia="MS Mincho"/>
        </w:rPr>
        <w:t>Bill of sale over crops</w:t>
      </w:r>
    </w:p>
    <w:p>
      <w:pPr>
        <w:pStyle w:val="TOC2"/>
        <w:tabs>
          <w:tab w:val="right" w:leader="dot" w:pos="7077"/>
        </w:tabs>
        <w:rPr>
          <w:rFonts w:asciiTheme="minorHAnsi" w:eastAsiaTheme="minorEastAsia" w:hAnsiTheme="minorHAnsi" w:cstheme="minorBidi"/>
          <w:b w:val="0"/>
          <w:sz w:val="22"/>
          <w:szCs w:val="22"/>
        </w:rPr>
      </w:pPr>
      <w:r>
        <w:t>Fourth Schedule — Lien on wool</w:t>
      </w:r>
    </w:p>
    <w:p>
      <w:pPr>
        <w:pStyle w:val="TOC2"/>
        <w:tabs>
          <w:tab w:val="right" w:leader="dot" w:pos="7077"/>
        </w:tabs>
        <w:rPr>
          <w:rFonts w:asciiTheme="minorHAnsi" w:eastAsiaTheme="minorEastAsia" w:hAnsiTheme="minorHAnsi" w:cstheme="minorBidi"/>
          <w:b w:val="0"/>
          <w:sz w:val="22"/>
          <w:szCs w:val="22"/>
        </w:rPr>
      </w:pPr>
      <w:r>
        <w:t>Tenth Schedule — Bill of sale by way of security</w:t>
      </w:r>
    </w:p>
    <w:p>
      <w:pPr>
        <w:pStyle w:val="TOC2"/>
        <w:tabs>
          <w:tab w:val="right" w:leader="dot" w:pos="7077"/>
        </w:tabs>
        <w:rPr>
          <w:rFonts w:asciiTheme="minorHAnsi" w:eastAsiaTheme="minorEastAsia" w:hAnsiTheme="minorHAnsi" w:cstheme="minorBidi"/>
          <w:b w:val="0"/>
          <w:sz w:val="22"/>
          <w:szCs w:val="22"/>
        </w:rPr>
      </w:pPr>
      <w:r>
        <w:t>Eleventh Schedule — Covenants to be deemed implied in bills of sale by way of security</w:t>
      </w:r>
    </w:p>
    <w:p>
      <w:pPr>
        <w:pStyle w:val="TOC8"/>
        <w:rPr>
          <w:rFonts w:asciiTheme="minorHAnsi" w:eastAsiaTheme="minorEastAsia" w:hAnsiTheme="minorHAnsi" w:cstheme="minorBidi"/>
          <w:szCs w:val="22"/>
        </w:rPr>
      </w:pPr>
      <w:r>
        <w:t>1</w:t>
      </w:r>
      <w:r>
        <w:rPr>
          <w:snapToGrid w:val="0"/>
        </w:rPr>
        <w:t>.</w:t>
      </w:r>
      <w:r>
        <w:rPr>
          <w:snapToGrid w:val="0"/>
        </w:rPr>
        <w:tab/>
        <w:t>Grantor to pay principal and interest</w:t>
      </w:r>
      <w:r>
        <w:tab/>
      </w:r>
      <w:r>
        <w:fldChar w:fldCharType="begin"/>
      </w:r>
      <w:r>
        <w:instrText xml:space="preserve"> PAGEREF _Toc425428130 \h </w:instrText>
      </w:r>
      <w:r>
        <w:fldChar w:fldCharType="separate"/>
      </w:r>
      <w:r>
        <w:t>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Grantor not to remove chattels</w:t>
      </w:r>
      <w:r>
        <w:tab/>
      </w:r>
      <w:r>
        <w:fldChar w:fldCharType="begin"/>
      </w:r>
      <w:r>
        <w:instrText xml:space="preserve"> PAGEREF _Toc425428131 \h </w:instrText>
      </w:r>
      <w:r>
        <w:fldChar w:fldCharType="separate"/>
      </w:r>
      <w:r>
        <w:t>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Grantor not to suffer goods to be taken in execution</w:t>
      </w:r>
      <w:r>
        <w:tab/>
      </w:r>
      <w:r>
        <w:fldChar w:fldCharType="begin"/>
      </w:r>
      <w:r>
        <w:instrText xml:space="preserve"> PAGEREF _Toc425428132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Grantor to produce receipts for rent etc.</w:t>
      </w:r>
      <w:r>
        <w:tab/>
      </w:r>
      <w:r>
        <w:fldChar w:fldCharType="begin"/>
      </w:r>
      <w:r>
        <w:instrText xml:space="preserve"> PAGEREF _Toc425428133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Grantee may enter and view goods etc.</w:t>
      </w:r>
      <w:r>
        <w:tab/>
      </w:r>
      <w:r>
        <w:fldChar w:fldCharType="begin"/>
      </w:r>
      <w:r>
        <w:instrText xml:space="preserve"> PAGEREF _Toc425428134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Grantee’s power of sale etc. in case of default</w:t>
      </w:r>
      <w:r>
        <w:tab/>
      </w:r>
      <w:r>
        <w:fldChar w:fldCharType="begin"/>
      </w:r>
      <w:r>
        <w:instrText xml:space="preserve"> PAGEREF _Toc425428135 \h </w:instrText>
      </w:r>
      <w:r>
        <w:fldChar w:fldCharType="separate"/>
      </w:r>
      <w:r>
        <w:t>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Grantee may execute documents for purpose of carrying out sale</w:t>
      </w:r>
      <w:r>
        <w:tab/>
      </w:r>
      <w:r>
        <w:fldChar w:fldCharType="begin"/>
      </w:r>
      <w:r>
        <w:instrText xml:space="preserve"> PAGEREF _Toc425428136 \h </w:instrText>
      </w:r>
      <w:r>
        <w:fldChar w:fldCharType="separate"/>
      </w:r>
      <w:r>
        <w:t>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Grantee to apply money from sale in satisfaction of security</w:t>
      </w:r>
      <w:r>
        <w:tab/>
      </w:r>
      <w:r>
        <w:fldChar w:fldCharType="begin"/>
      </w:r>
      <w:r>
        <w:instrText xml:space="preserve"> PAGEREF _Toc425428137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Twelfth Schedule — Covenant to insure</w:t>
      </w:r>
    </w:p>
    <w:p>
      <w:pPr>
        <w:pStyle w:val="TOC2"/>
        <w:tabs>
          <w:tab w:val="right" w:leader="dot" w:pos="7077"/>
        </w:tabs>
        <w:rPr>
          <w:rFonts w:asciiTheme="minorHAnsi" w:eastAsiaTheme="minorEastAsia" w:hAnsiTheme="minorHAnsi" w:cstheme="minorBidi"/>
          <w:b w:val="0"/>
          <w:sz w:val="22"/>
          <w:szCs w:val="22"/>
        </w:rPr>
      </w:pPr>
      <w:r>
        <w:t xml:space="preserve">Fourteenth Schedule — </w:t>
      </w:r>
      <w:r>
        <w:rPr>
          <w:rFonts w:eastAsia="MS Mincho"/>
        </w:rPr>
        <w:t>Attestation of witness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_Toc425428141 \h </w:instrText>
      </w:r>
      <w:r>
        <w:fldChar w:fldCharType="separate"/>
      </w:r>
      <w:r>
        <w:t>49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after="1200"/>
      </w:pPr>
      <w:r>
        <w:t>Western Australia</w:t>
      </w:r>
    </w:p>
    <w:p>
      <w:pPr>
        <w:pStyle w:val="NameofActReg"/>
        <w:spacing w:before="1200"/>
      </w:pPr>
      <w:r>
        <w:t>Bills of Sale Act 1899</w:t>
      </w:r>
    </w:p>
    <w:p>
      <w:pPr>
        <w:pStyle w:val="LongTitle"/>
        <w:spacing w:before="1240"/>
        <w:rPr>
          <w:snapToGrid w:val="0"/>
        </w:rPr>
      </w:pPr>
      <w:r>
        <w:rPr>
          <w:snapToGrid w:val="0"/>
        </w:rPr>
        <w:t>An Act to consolidate and amend the law relating to bills of sale, liens, and bailments.</w:t>
      </w:r>
    </w:p>
    <w:p>
      <w:pPr>
        <w:pStyle w:val="Heading2"/>
      </w:pPr>
      <w:bookmarkStart w:id="3" w:name="_Toc378062238"/>
      <w:bookmarkStart w:id="4" w:name="_Toc425428052"/>
      <w:r>
        <w:rPr>
          <w:rStyle w:val="CharPartNo"/>
        </w:rPr>
        <w:t>Part I</w:t>
      </w:r>
      <w:r>
        <w:rPr>
          <w:rStyle w:val="CharDivNo"/>
        </w:rPr>
        <w:t> </w:t>
      </w:r>
      <w:r>
        <w:t>—</w:t>
      </w:r>
      <w:r>
        <w:rPr>
          <w:rStyle w:val="CharDivText"/>
        </w:rPr>
        <w:t> </w:t>
      </w:r>
      <w:r>
        <w:rPr>
          <w:rStyle w:val="CharPartText"/>
        </w:rPr>
        <w:t>Preliminary</w:t>
      </w:r>
      <w:bookmarkEnd w:id="3"/>
      <w:bookmarkEnd w:id="4"/>
    </w:p>
    <w:p>
      <w:pPr>
        <w:pStyle w:val="Footnoteheading"/>
        <w:spacing w:before="80"/>
        <w:ind w:left="885" w:hanging="885"/>
      </w:pPr>
      <w:r>
        <w:tab/>
        <w:t>[Heading amended by No. 13 of 1906 s. 1A (as amended by No. 40 of 1957 s. 21).]</w:t>
      </w:r>
    </w:p>
    <w:p>
      <w:pPr>
        <w:pStyle w:val="Heading5"/>
        <w:spacing w:before="210"/>
        <w:rPr>
          <w:snapToGrid w:val="0"/>
        </w:rPr>
      </w:pPr>
      <w:bookmarkStart w:id="5" w:name="_Toc378062239"/>
      <w:bookmarkStart w:id="6" w:name="_Toc425428053"/>
      <w:r>
        <w:rPr>
          <w:rStyle w:val="CharSectno"/>
        </w:rPr>
        <w:t>1</w:t>
      </w:r>
      <w:r>
        <w:rPr>
          <w:snapToGrid w:val="0"/>
        </w:rPr>
        <w:t>.</w:t>
      </w:r>
      <w:r>
        <w:rPr>
          <w:snapToGrid w:val="0"/>
        </w:rPr>
        <w:tab/>
        <w:t>Short title</w:t>
      </w:r>
      <w:bookmarkEnd w:id="5"/>
      <w:bookmarkEnd w:id="6"/>
    </w:p>
    <w:p>
      <w:pPr>
        <w:pStyle w:val="Subsection"/>
        <w:spacing w:before="14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210"/>
        <w:rPr>
          <w:snapToGrid w:val="0"/>
        </w:rPr>
      </w:pPr>
      <w:bookmarkStart w:id="7" w:name="_Toc378062240"/>
      <w:bookmarkStart w:id="8" w:name="_Toc425428054"/>
      <w:r>
        <w:rPr>
          <w:rStyle w:val="CharSectno"/>
        </w:rPr>
        <w:t>2</w:t>
      </w:r>
      <w:r>
        <w:rPr>
          <w:snapToGrid w:val="0"/>
        </w:rPr>
        <w:t>.</w:t>
      </w:r>
      <w:r>
        <w:rPr>
          <w:snapToGrid w:val="0"/>
        </w:rPr>
        <w:tab/>
        <w:t>Commencement</w:t>
      </w:r>
      <w:bookmarkEnd w:id="7"/>
      <w:bookmarkEnd w:id="8"/>
    </w:p>
    <w:p>
      <w:pPr>
        <w:pStyle w:val="Subsection"/>
        <w:spacing w:before="140"/>
        <w:rPr>
          <w:snapToGrid w:val="0"/>
        </w:rPr>
      </w:pPr>
      <w:r>
        <w:rPr>
          <w:snapToGrid w:val="0"/>
        </w:rPr>
        <w:tab/>
      </w:r>
      <w:r>
        <w:rPr>
          <w:snapToGrid w:val="0"/>
        </w:rPr>
        <w:tab/>
        <w:t>This Act shall come into force on 1 March 1900.</w:t>
      </w:r>
    </w:p>
    <w:p>
      <w:pPr>
        <w:pStyle w:val="Ednotesection"/>
        <w:spacing w:before="210"/>
      </w:pPr>
      <w:r>
        <w:t>[</w:t>
      </w:r>
      <w:r>
        <w:rPr>
          <w:b/>
        </w:rPr>
        <w:t>2A.</w:t>
      </w:r>
      <w:r>
        <w:tab/>
        <w:t>Deleted by No. 10 of 1998 s. 76.]</w:t>
      </w:r>
    </w:p>
    <w:p>
      <w:pPr>
        <w:pStyle w:val="Heading5"/>
        <w:spacing w:before="210"/>
        <w:rPr>
          <w:snapToGrid w:val="0"/>
        </w:rPr>
      </w:pPr>
      <w:bookmarkStart w:id="9" w:name="_Toc378062241"/>
      <w:bookmarkStart w:id="10" w:name="_Toc425428055"/>
      <w:r>
        <w:rPr>
          <w:rStyle w:val="CharSectno"/>
        </w:rPr>
        <w:t>3</w:t>
      </w:r>
      <w:r>
        <w:rPr>
          <w:snapToGrid w:val="0"/>
        </w:rPr>
        <w:t>.</w:t>
      </w:r>
      <w:r>
        <w:rPr>
          <w:snapToGrid w:val="0"/>
        </w:rPr>
        <w:tab/>
        <w:t>Application of Act</w:t>
      </w:r>
      <w:bookmarkEnd w:id="9"/>
      <w:bookmarkEnd w:id="10"/>
    </w:p>
    <w:p>
      <w:pPr>
        <w:pStyle w:val="Subsection"/>
        <w:spacing w:before="14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Ednotesubsection"/>
        <w:spacing w:before="140"/>
      </w:pPr>
      <w:r>
        <w:tab/>
        <w:t>[(2), (3)</w:t>
      </w:r>
      <w:r>
        <w:tab/>
        <w:t>deleted]</w:t>
      </w:r>
    </w:p>
    <w:p>
      <w:pPr>
        <w:pStyle w:val="Subsection"/>
        <w:spacing w:before="140"/>
      </w:pPr>
      <w:r>
        <w:tab/>
        <w:t>(4)</w:t>
      </w:r>
      <w:r>
        <w:tab/>
        <w:t>This Act does not apply to any bill of sale by a company other than —</w:t>
      </w:r>
    </w:p>
    <w:p>
      <w:pPr>
        <w:pStyle w:val="Indenta"/>
        <w:spacing w:before="60"/>
      </w:pPr>
      <w:r>
        <w:tab/>
        <w:t>(a)</w:t>
      </w:r>
      <w:r>
        <w:tab/>
        <w:t>a bill by way of bailment; or</w:t>
      </w:r>
    </w:p>
    <w:p>
      <w:pPr>
        <w:pStyle w:val="Indenta"/>
        <w:spacing w:before="60"/>
      </w:pPr>
      <w:r>
        <w:tab/>
        <w:t>(b)</w:t>
      </w:r>
      <w:r>
        <w:tab/>
        <w:t>a bill of sale given jointly with another person who is not a company, or other persons of whom at least one is not a company.</w:t>
      </w:r>
    </w:p>
    <w:p>
      <w:pPr>
        <w:pStyle w:val="Subsection"/>
        <w:keepNext/>
        <w:spacing w:before="140"/>
      </w:pPr>
      <w:r>
        <w:tab/>
        <w:t>(5)</w:t>
      </w:r>
      <w:r>
        <w:tab/>
        <w:t>In subsection (4) —</w:t>
      </w:r>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spacing w:before="80"/>
        <w:ind w:left="890" w:hanging="890"/>
      </w:pPr>
      <w:r>
        <w:tab/>
        <w:t>[Section 3 amended by No. 14 of 1963 s. 2; No. 10 of 1982 s. 28; No. 11 of 1984 s. 2; No. 10 of 2001 s. 25; No. 8 of 2009 s. 5.]</w:t>
      </w:r>
    </w:p>
    <w:p>
      <w:pPr>
        <w:pStyle w:val="Ednotesection"/>
      </w:pPr>
      <w:r>
        <w:t>[</w:t>
      </w:r>
      <w:r>
        <w:rPr>
          <w:b/>
        </w:rPr>
        <w:t>4.</w:t>
      </w:r>
      <w:r>
        <w:tab/>
        <w:t>Omitted under the Reprints Act 1984 s. 7(4)(f) and (g).]</w:t>
      </w:r>
    </w:p>
    <w:p>
      <w:pPr>
        <w:pStyle w:val="Heading5"/>
        <w:rPr>
          <w:snapToGrid w:val="0"/>
        </w:rPr>
      </w:pPr>
      <w:bookmarkStart w:id="11" w:name="_Toc378062242"/>
      <w:bookmarkStart w:id="12" w:name="_Toc425428056"/>
      <w:r>
        <w:rPr>
          <w:rStyle w:val="CharSectno"/>
        </w:rPr>
        <w:t>5</w:t>
      </w:r>
      <w:r>
        <w:rPr>
          <w:snapToGrid w:val="0"/>
        </w:rPr>
        <w:t>.</w:t>
      </w:r>
      <w:r>
        <w:rPr>
          <w:snapToGrid w:val="0"/>
        </w:rPr>
        <w:tab/>
        <w:t>Terms used</w:t>
      </w:r>
      <w:bookmarkEnd w:id="11"/>
      <w:bookmarkEnd w:id="12"/>
    </w:p>
    <w:p>
      <w:pPr>
        <w:pStyle w:val="Subsection"/>
        <w:spacing w:before="100"/>
        <w:rPr>
          <w:snapToGrid w:val="0"/>
        </w:rPr>
      </w:pPr>
      <w:r>
        <w:rPr>
          <w:snapToGrid w:val="0"/>
        </w:rPr>
        <w:tab/>
      </w:r>
      <w:r>
        <w:rPr>
          <w:snapToGrid w:val="0"/>
        </w:rPr>
        <w:tab/>
        <w:t>In this Act, and for the purposes thereof, if not inconsistent with the context —</w:t>
      </w:r>
    </w:p>
    <w:p>
      <w:pPr>
        <w:pStyle w:val="Defstart"/>
        <w:spacing w:before="60"/>
      </w:pPr>
      <w:r>
        <w:rPr>
          <w:b/>
        </w:rPr>
        <w:tab/>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r>
        <w:rPr>
          <w:rStyle w:val="CharDefText"/>
        </w:rPr>
        <w:t>bill of sale</w:t>
      </w:r>
      <w:r>
        <w:t xml:space="preserve"> includes any document or agreement whatsoever, whether by deed or by parol, and whether by way of sale, security, gift, or bailment —</w:t>
      </w:r>
    </w:p>
    <w:p>
      <w:pPr>
        <w:pStyle w:val="Defpara"/>
      </w:pPr>
      <w:r>
        <w:tab/>
        <w:t>(a)</w:t>
      </w:r>
      <w:r>
        <w:tab/>
        <w:t>transferring, or intended to transfer, or to be a record or evidence of the transfer of the property in or right to the possession of chattels; or</w:t>
      </w:r>
    </w:p>
    <w:p>
      <w:pPr>
        <w:pStyle w:val="Defpara"/>
      </w:pPr>
      <w:r>
        <w:tab/>
        <w:t>(b)</w:t>
      </w:r>
      <w:r>
        <w:tab/>
        <w:t>by which a right, authority, or licence to the possession of or to seize any chattels, or to any charge or security thereon shall be conferred or reserved;</w:t>
      </w:r>
    </w:p>
    <w:p>
      <w:pPr>
        <w:pStyle w:val="Defstart"/>
      </w:pPr>
      <w:r>
        <w:rPr>
          <w:b/>
        </w:rPr>
        <w:tab/>
      </w:r>
      <w:r>
        <w:rPr>
          <w:rStyle w:val="CharDefText"/>
        </w:rPr>
        <w:t>bill of sale</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indorsement or delivery, the possessor of such document to transfer or receive the goods thereby represented;</w:t>
      </w:r>
    </w:p>
    <w:p>
      <w:pPr>
        <w:pStyle w:val="Defstart"/>
      </w:pPr>
      <w:r>
        <w:rPr>
          <w:b/>
        </w:rPr>
        <w:tab/>
      </w:r>
      <w:r>
        <w:rPr>
          <w:rStyle w:val="CharDefText"/>
        </w:rPr>
        <w:t>bill of sale by way of security</w:t>
      </w:r>
      <w:r>
        <w:t xml:space="preserve"> means a bill of sale to secure the payment of money or the performance of some obligation;</w:t>
      </w:r>
    </w:p>
    <w:p>
      <w:pPr>
        <w:pStyle w:val="Defstart"/>
      </w:pPr>
      <w:r>
        <w:rPr>
          <w:b/>
        </w:rPr>
        <w:tab/>
      </w:r>
      <w:r>
        <w:rPr>
          <w:rStyle w:val="CharDefText"/>
        </w:rPr>
        <w:t>chattels</w:t>
      </w:r>
      <w:r>
        <w:t xml:space="preserve"> means stock and wool or growing crops when separately charged or bailed;</w:t>
      </w:r>
    </w:p>
    <w:p>
      <w:pPr>
        <w:pStyle w:val="Defstart"/>
      </w:pPr>
      <w:r>
        <w:rPr>
          <w:b/>
        </w:rPr>
        <w:tab/>
      </w:r>
      <w:r>
        <w:rPr>
          <w:rStyle w:val="CharDefText"/>
        </w:rPr>
        <w:t>contemporaneous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r>
        <w:rPr>
          <w:rStyle w:val="CharDefText"/>
        </w:rPr>
        <w:t>crops</w:t>
      </w:r>
      <w:r>
        <w:t xml:space="preserve"> means European flax, hemp, wheat, maize, barley, oats, and grass, whether for hay or for grain, and vegetables, cotton, lucerne and clovers, and all tobacco, cereal and root crops and fruit;</w:t>
      </w:r>
    </w:p>
    <w:p>
      <w:pPr>
        <w:pStyle w:val="Defstart"/>
      </w:pPr>
      <w:r>
        <w:rPr>
          <w:b/>
        </w:rPr>
        <w:tab/>
      </w:r>
      <w:r>
        <w:rPr>
          <w:rStyle w:val="CharDefText"/>
        </w:rPr>
        <w:t>debenture</w:t>
      </w:r>
      <w:r>
        <w:t xml:space="preserve"> means a document containing a floating charge over any of the chattels of a company or other corporate body;</w:t>
      </w:r>
    </w:p>
    <w:p>
      <w:pPr>
        <w:pStyle w:val="Defstart"/>
      </w:pPr>
      <w:r>
        <w:rPr>
          <w:b/>
        </w:rPr>
        <w:tab/>
      </w:r>
      <w:r>
        <w:rPr>
          <w:rStyle w:val="CharDefText"/>
        </w:rPr>
        <w:t>grantee</w:t>
      </w:r>
      <w:r>
        <w:t xml:space="preserve"> includes the bailor and lessor of any bill of sale by way of bailment or lease;</w:t>
      </w:r>
    </w:p>
    <w:p>
      <w:pPr>
        <w:pStyle w:val="Defstart"/>
      </w:pPr>
      <w:r>
        <w:rPr>
          <w:b/>
        </w:rPr>
        <w:tab/>
      </w:r>
      <w:r>
        <w:rPr>
          <w:rStyle w:val="CharDefText"/>
        </w:rPr>
        <w:t>grantor</w:t>
      </w:r>
      <w:r>
        <w:t xml:space="preserve"> includes the bailee and lessee of any bill of sale by way of bailment or lease;</w:t>
      </w:r>
    </w:p>
    <w:p>
      <w:pPr>
        <w:pStyle w:val="Defstart"/>
      </w:pPr>
      <w:r>
        <w:rPr>
          <w:b/>
        </w:rPr>
        <w:tab/>
      </w:r>
      <w:r>
        <w:rPr>
          <w:rStyle w:val="CharDefText"/>
        </w:rPr>
        <w:t>hire</w:t>
      </w:r>
      <w:r>
        <w:rPr>
          <w:rStyle w:val="CharDefText"/>
        </w:rPr>
        <w:noBreakHyphen/>
        <w:t>purchase agreement</w:t>
      </w:r>
      <w:r>
        <w:t xml:space="preserve"> means an agreement for the hire of chattels containing, in favour of the hirer (being the person to whom the chattels are let), a right or option to purchase the chattels or any of them;</w:t>
      </w:r>
    </w:p>
    <w:p>
      <w:pPr>
        <w:pStyle w:val="Defstart"/>
      </w:pPr>
      <w:r>
        <w:rPr>
          <w:b/>
        </w:rPr>
        <w:tab/>
      </w:r>
      <w:r>
        <w:rPr>
          <w:rStyle w:val="CharDefText"/>
        </w:rPr>
        <w:t>prescribed</w:t>
      </w:r>
      <w:r>
        <w:t xml:space="preserve"> means prescribed by rules or regulations made under this Act;</w:t>
      </w:r>
    </w:p>
    <w:p>
      <w:pPr>
        <w:pStyle w:val="Defstart"/>
      </w:pPr>
      <w:r>
        <w:rPr>
          <w:b/>
        </w:rPr>
        <w:tab/>
      </w:r>
      <w:r>
        <w:rPr>
          <w:rStyle w:val="CharDefText"/>
        </w:rPr>
        <w:t>registrar</w:t>
      </w:r>
      <w:r>
        <w:t xml:space="preserve"> means any person who may be appointed by the Governor a registrar for the purposes of this Act;</w:t>
      </w:r>
    </w:p>
    <w:p>
      <w:pPr>
        <w:pStyle w:val="Defstart"/>
      </w:pPr>
      <w:r>
        <w:rPr>
          <w:b/>
        </w:rPr>
        <w:tab/>
      </w:r>
      <w:r>
        <w:rPr>
          <w:rStyle w:val="CharDefText"/>
        </w:rPr>
        <w:t>stock</w:t>
      </w:r>
      <w:r>
        <w:t xml:space="preserve"> includes any sheep, cattle, horses, mules, asses, camels, pigs, poultry and all other animals;</w:t>
      </w:r>
    </w:p>
    <w:p>
      <w:pPr>
        <w:pStyle w:val="Defstart"/>
      </w:pPr>
      <w:r>
        <w:rPr>
          <w:b/>
        </w:rPr>
        <w:tab/>
      </w:r>
      <w:r>
        <w:rPr>
          <w:rStyle w:val="CharDefText"/>
        </w:rPr>
        <w:t>wool</w:t>
      </w:r>
      <w:r>
        <w:t xml:space="preserve"> means the hair of any stock.</w:t>
      </w:r>
    </w:p>
    <w:p>
      <w:pPr>
        <w:pStyle w:val="Footnotesection"/>
      </w:pPr>
      <w:r>
        <w:tab/>
        <w:t>[Section 5 amended by No. 24 of 1914 s. 2; No. 9 of 1956 s. 2; No. 40 of 1957 s. 3; No. 33 of 1966 s. 3; No. 49 of 1983 s. 3; No. 102 of 1987 s. 4; No. 19 of 2010 s. 51.]</w:t>
      </w:r>
    </w:p>
    <w:p>
      <w:pPr>
        <w:pStyle w:val="Heading2"/>
      </w:pPr>
      <w:bookmarkStart w:id="13" w:name="_Toc378062243"/>
      <w:bookmarkStart w:id="14" w:name="_Toc425428057"/>
      <w:r>
        <w:rPr>
          <w:rStyle w:val="CharPartNo"/>
        </w:rPr>
        <w:t>Part IIA</w:t>
      </w:r>
      <w:r>
        <w:rPr>
          <w:rStyle w:val="CharDivNo"/>
        </w:rPr>
        <w:t> </w:t>
      </w:r>
      <w:r>
        <w:t>—</w:t>
      </w:r>
      <w:r>
        <w:rPr>
          <w:rStyle w:val="CharDivText"/>
        </w:rPr>
        <w:t> </w:t>
      </w:r>
      <w:r>
        <w:rPr>
          <w:rStyle w:val="CharPartText"/>
        </w:rPr>
        <w:t>Cessation of registration</w:t>
      </w:r>
      <w:bookmarkEnd w:id="13"/>
      <w:bookmarkEnd w:id="14"/>
    </w:p>
    <w:p>
      <w:pPr>
        <w:pStyle w:val="Footnoteheading"/>
        <w:ind w:left="882" w:hanging="882"/>
      </w:pPr>
      <w:r>
        <w:tab/>
        <w:t>[Heading inserted by No. 42 of 2011 s. 31.]</w:t>
      </w:r>
    </w:p>
    <w:p>
      <w:pPr>
        <w:pStyle w:val="Heading5"/>
      </w:pPr>
      <w:bookmarkStart w:id="15" w:name="_Toc378062244"/>
      <w:bookmarkStart w:id="16" w:name="_Toc425428058"/>
      <w:r>
        <w:rPr>
          <w:rStyle w:val="CharSectno"/>
        </w:rPr>
        <w:t>6A</w:t>
      </w:r>
      <w:r>
        <w:t>.</w:t>
      </w:r>
      <w:r>
        <w:tab/>
        <w:t>Early cessation of registration function</w:t>
      </w:r>
      <w:bookmarkEnd w:id="15"/>
      <w:bookmarkEnd w:id="16"/>
    </w:p>
    <w:p>
      <w:pPr>
        <w:pStyle w:val="Subsection"/>
      </w:pPr>
      <w:r>
        <w:tab/>
        <w:t>(1)</w:t>
      </w:r>
      <w:r>
        <w:tab/>
        <w:t xml:space="preserve">In this section — </w:t>
      </w:r>
    </w:p>
    <w:p>
      <w:pPr>
        <w:pStyle w:val="Defstart"/>
      </w:pPr>
      <w:r>
        <w:tab/>
      </w:r>
      <w:r>
        <w:rPr>
          <w:rStyle w:val="CharDefText"/>
        </w:rPr>
        <w:t>migration time</w:t>
      </w:r>
      <w:r>
        <w:t xml:space="preserve"> has the meaning given in the </w:t>
      </w:r>
      <w:r>
        <w:rPr>
          <w:i/>
          <w:iCs/>
        </w:rPr>
        <w:t xml:space="preserve">Personal Property Securities Act 2009 </w:t>
      </w:r>
      <w:r>
        <w:t>(Commonwealth) section 306(1);</w:t>
      </w:r>
    </w:p>
    <w:p>
      <w:pPr>
        <w:pStyle w:val="Defstart"/>
      </w:pPr>
      <w:r>
        <w:tab/>
      </w:r>
      <w:r>
        <w:rPr>
          <w:rStyle w:val="CharDefText"/>
        </w:rPr>
        <w:t>pre</w:t>
      </w:r>
      <w:r>
        <w:rPr>
          <w:rStyle w:val="CharDefText"/>
        </w:rPr>
        <w:noBreakHyphen/>
        <w:t>PPS transition period</w:t>
      </w:r>
      <w:r>
        <w:t xml:space="preserve"> means the period — </w:t>
      </w:r>
    </w:p>
    <w:p>
      <w:pPr>
        <w:pStyle w:val="Defpara"/>
      </w:pPr>
      <w:r>
        <w:tab/>
        <w:t>(a)</w:t>
      </w:r>
      <w:r>
        <w:tab/>
        <w:t>commencing at the migration time or such earlier time as may be prescribed by the regulations; and</w:t>
      </w:r>
    </w:p>
    <w:p>
      <w:pPr>
        <w:pStyle w:val="Defpara"/>
      </w:pPr>
      <w:r>
        <w:tab/>
        <w:t>(b)</w:t>
      </w:r>
      <w:r>
        <w:tab/>
        <w:t>ending at the registration commencement time;</w:t>
      </w:r>
    </w:p>
    <w:p>
      <w:pPr>
        <w:pStyle w:val="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Defstart"/>
      </w:pPr>
      <w:r>
        <w:tab/>
      </w:r>
      <w:r>
        <w:rPr>
          <w:rStyle w:val="CharDefText"/>
        </w:rPr>
        <w:t>registration function</w:t>
      </w:r>
      <w:r>
        <w:t xml:space="preserve"> means any function conferred or imposed on the Registrar under the </w:t>
      </w:r>
      <w:r>
        <w:rPr>
          <w:i/>
          <w:iCs/>
        </w:rPr>
        <w:t>Bills of Sale Act 1899</w:t>
      </w:r>
      <w:r>
        <w:t xml:space="preserve"> relating to the registration of a Bill of Sale.</w:t>
      </w:r>
    </w:p>
    <w:p>
      <w:pPr>
        <w:pStyle w:val="Subsection"/>
      </w:pPr>
      <w:r>
        <w:tab/>
        <w:t>(2)</w:t>
      </w:r>
      <w:r>
        <w:tab/>
        <w:t>The Registrar may refuse to exercise a registration function during the pre</w:t>
      </w:r>
      <w:r>
        <w:noBreakHyphen/>
        <w:t>PPS transitional period.</w:t>
      </w:r>
    </w:p>
    <w:p>
      <w:pPr>
        <w:pStyle w:val="Subsection"/>
      </w:pPr>
      <w:r>
        <w:tab/>
        <w:t>(3)</w:t>
      </w:r>
      <w:r>
        <w:tab/>
        <w:t>Without limiting subsection (2), the Registrar may refuse to exercise a registration function during the pre</w:t>
      </w:r>
      <w:r>
        <w:noBreakHyphen/>
        <w:t>PPS transitional period in relation to a matter that was not finally determined or concluded immediately before the commencement of that period.</w:t>
      </w:r>
    </w:p>
    <w:p>
      <w:pPr>
        <w:pStyle w:val="Footnotesection"/>
      </w:pPr>
      <w:r>
        <w:tab/>
        <w:t>[Section 6A inserted by No. 42 of 2011 s. 31.]</w:t>
      </w:r>
    </w:p>
    <w:p>
      <w:pPr>
        <w:pStyle w:val="Heading2"/>
      </w:pPr>
      <w:bookmarkStart w:id="17" w:name="_Toc378062245"/>
      <w:bookmarkStart w:id="18" w:name="_Toc425428059"/>
      <w:r>
        <w:rPr>
          <w:rStyle w:val="CharPartNo"/>
        </w:rPr>
        <w:t>Part II</w:t>
      </w:r>
      <w:r>
        <w:rPr>
          <w:rStyle w:val="CharDivNo"/>
        </w:rPr>
        <w:t> </w:t>
      </w:r>
      <w:r>
        <w:t>—</w:t>
      </w:r>
      <w:r>
        <w:rPr>
          <w:rStyle w:val="CharDivText"/>
        </w:rPr>
        <w:t> </w:t>
      </w:r>
      <w:r>
        <w:rPr>
          <w:rStyle w:val="CharPartText"/>
        </w:rPr>
        <w:t>Registration</w:t>
      </w:r>
      <w:bookmarkEnd w:id="17"/>
      <w:bookmarkEnd w:id="18"/>
    </w:p>
    <w:p>
      <w:pPr>
        <w:pStyle w:val="Footnoteheading"/>
        <w:ind w:left="882" w:hanging="882"/>
      </w:pPr>
      <w:r>
        <w:tab/>
        <w:t>[Heading amended by No. 13 of 1906 s. 1A (as amended by No. 40 of 1957 s. 21).]</w:t>
      </w:r>
    </w:p>
    <w:p>
      <w:pPr>
        <w:pStyle w:val="Heading5"/>
        <w:spacing w:before="260"/>
        <w:rPr>
          <w:snapToGrid w:val="0"/>
        </w:rPr>
      </w:pPr>
      <w:bookmarkStart w:id="19" w:name="_Toc378062246"/>
      <w:bookmarkStart w:id="20" w:name="_Toc425428060"/>
      <w:r>
        <w:rPr>
          <w:rStyle w:val="CharSectno"/>
        </w:rPr>
        <w:t>6</w:t>
      </w:r>
      <w:r>
        <w:rPr>
          <w:snapToGrid w:val="0"/>
        </w:rPr>
        <w:t>.</w:t>
      </w:r>
      <w:r>
        <w:rPr>
          <w:snapToGrid w:val="0"/>
        </w:rPr>
        <w:tab/>
        <w:t>Bills of sale, content of</w:t>
      </w:r>
      <w:bookmarkEnd w:id="19"/>
      <w:bookmarkEnd w:id="20"/>
    </w:p>
    <w:p>
      <w:pPr>
        <w:pStyle w:val="Subsection"/>
        <w:rPr>
          <w:snapToGrid w:val="0"/>
        </w:rPr>
      </w:pPr>
      <w:r>
        <w:rPr>
          <w:snapToGrid w:val="0"/>
        </w:rPr>
        <w:tab/>
        <w:t>(1)</w:t>
      </w:r>
      <w:r>
        <w:rPr>
          <w:snapToGrid w:val="0"/>
        </w:rPr>
        <w:tab/>
        <w:t>Every bill of sale shall contain the names of the grantor and grantee, their residences or places of business, and their occupations.</w:t>
      </w:r>
    </w:p>
    <w:p>
      <w:pPr>
        <w:pStyle w:val="Subsection"/>
        <w:rPr>
          <w:snapToGrid w:val="0"/>
        </w:rPr>
      </w:pPr>
      <w:r>
        <w:rPr>
          <w:snapToGrid w:val="0"/>
        </w:rPr>
        <w:tab/>
        <w:t>(1A)</w:t>
      </w:r>
      <w:r>
        <w:rPr>
          <w:snapToGrid w:val="0"/>
        </w:rPr>
        <w:tab/>
        <w:t>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Subsection"/>
        <w:rPr>
          <w:snapToGrid w:val="0"/>
        </w:rPr>
      </w:pPr>
      <w:r>
        <w:rPr>
          <w:snapToGrid w:val="0"/>
        </w:rPr>
        <w:tab/>
        <w:t>(2)</w:t>
      </w:r>
      <w:r>
        <w:rPr>
          <w:snapToGrid w:val="0"/>
        </w:rPr>
        <w:tab/>
        <w:t>Every bill of sale shall contain the true consideration, and what portion, if any, is for an antecedent debt.</w:t>
      </w:r>
    </w:p>
    <w:p>
      <w:pPr>
        <w:pStyle w:val="Subsection"/>
        <w:rPr>
          <w:snapToGrid w:val="0"/>
        </w:rPr>
      </w:pPr>
      <w:r>
        <w:rPr>
          <w:snapToGrid w:val="0"/>
        </w:rPr>
        <w:tab/>
        <w:t>(2A)</w:t>
      </w:r>
      <w:r>
        <w:rPr>
          <w:snapToGrid w:val="0"/>
        </w:rPr>
        <w:tab/>
        <w:t>The consideration shall be sufficiently stated, notwithstanding that the costs relative to such bill of sale shall have been deducted from or added to the amount of the expressed consideration.</w:t>
      </w:r>
    </w:p>
    <w:p>
      <w:pPr>
        <w:pStyle w:val="Subsection"/>
        <w:rPr>
          <w:snapToGrid w:val="0"/>
        </w:rPr>
      </w:pPr>
      <w:r>
        <w:rPr>
          <w:snapToGrid w:val="0"/>
        </w:rPr>
        <w:tab/>
        <w:t>(3)</w:t>
      </w:r>
      <w:r>
        <w:rPr>
          <w:snapToGrid w:val="0"/>
        </w:rPr>
        <w:tab/>
        <w:t>Every bill of sale shall contain the place where the chattels therein referred to, other than after acquired property, are usually situated or kept at the time of the granting of such bill of sale.</w:t>
      </w:r>
    </w:p>
    <w:p>
      <w:pPr>
        <w:pStyle w:val="Subsection"/>
        <w:rPr>
          <w:snapToGrid w:val="0"/>
        </w:rPr>
      </w:pPr>
      <w:r>
        <w:rPr>
          <w:snapToGrid w:val="0"/>
        </w:rPr>
        <w:tab/>
        <w:t>(4)</w:t>
      </w:r>
      <w:r>
        <w:rPr>
          <w:snapToGrid w:val="0"/>
        </w:rPr>
        <w:tab/>
        <w:t>Every bill of sale shall contain 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t>(5)</w:t>
      </w:r>
      <w:r>
        <w:rPr>
          <w:snapToGrid w:val="0"/>
        </w:rPr>
        <w:tab/>
        <w:t>It shall be sufficient for the purpose of this section if the bill of sale states that the rate of interest shall be the current bank rate for the time being.</w:t>
      </w:r>
    </w:p>
    <w:p>
      <w:pPr>
        <w:pStyle w:val="Footnotesection"/>
      </w:pPr>
      <w:r>
        <w:tab/>
        <w:t>[Section 6 amended by No. 24 of 1914 s. 3 (as amended by No. 40 of 1957 s. 4 and 21); No. 10 of 2001 s. 26; No. 19 of 2010 s. 51.]</w:t>
      </w:r>
    </w:p>
    <w:p>
      <w:pPr>
        <w:pStyle w:val="Heading5"/>
        <w:rPr>
          <w:snapToGrid w:val="0"/>
        </w:rPr>
      </w:pPr>
      <w:bookmarkStart w:id="21" w:name="_Toc378062247"/>
      <w:bookmarkStart w:id="22" w:name="_Toc425428061"/>
      <w:r>
        <w:rPr>
          <w:rStyle w:val="CharSectno"/>
        </w:rPr>
        <w:t>7</w:t>
      </w:r>
      <w:r>
        <w:rPr>
          <w:snapToGrid w:val="0"/>
        </w:rPr>
        <w:t>.</w:t>
      </w:r>
      <w:r>
        <w:rPr>
          <w:snapToGrid w:val="0"/>
        </w:rPr>
        <w:tab/>
        <w:t>Crops and progeny of stock, assignment of by bill of sale</w:t>
      </w:r>
      <w:bookmarkEnd w:id="21"/>
      <w:bookmarkEnd w:id="22"/>
    </w:p>
    <w:p>
      <w:pPr>
        <w:pStyle w:val="Subsection"/>
        <w:keepNext/>
        <w:keepLines/>
        <w:rPr>
          <w:snapToGrid w:val="0"/>
        </w:rPr>
      </w:pPr>
      <w:r>
        <w:rPr>
          <w:snapToGrid w:val="0"/>
        </w:rPr>
        <w:tab/>
        <w:t>(1)</w:t>
      </w:r>
      <w:r>
        <w:rPr>
          <w:snapToGrid w:val="0"/>
        </w:rPr>
        <w:tab/>
        <w:t>The following classes of property may be assigned by bill of sale, either absolutely or by way of security, and shall be deemed to have been assigned at law as well as in equity —</w:t>
      </w:r>
    </w:p>
    <w:p>
      <w:pPr>
        <w:pStyle w:val="Indenta"/>
        <w:rPr>
          <w:snapToGrid w:val="0"/>
        </w:rPr>
      </w:pPr>
      <w:r>
        <w:rPr>
          <w:snapToGrid w:val="0"/>
        </w:rPr>
        <w:tab/>
        <w:t>(a)</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(b)</w:t>
      </w:r>
      <w:r>
        <w:rPr>
          <w:snapToGrid w:val="0"/>
        </w:rPr>
        <w:tab/>
        <w:t>the progeny coming into existence during the operation of any bill of sale of or which comprises any stock.</w:t>
      </w:r>
    </w:p>
    <w:p>
      <w:pPr>
        <w:pStyle w:val="Subsection"/>
        <w:rPr>
          <w:snapToGrid w:val="0"/>
        </w:rPr>
      </w:pPr>
      <w:r>
        <w:rPr>
          <w:snapToGrid w:val="0"/>
        </w:rPr>
        <w:tab/>
        <w:t>(2)</w:t>
      </w:r>
      <w:r>
        <w:rPr>
          <w:snapToGrid w:val="0"/>
        </w:rPr>
        <w:tab/>
        <w:t>The possession of such mortgaged crops or progeny by the grantor or any person claiming through him shall, to all intents and purposes, be deemed the possession of the grantee.</w:t>
      </w:r>
    </w:p>
    <w:p>
      <w:pPr>
        <w:pStyle w:val="Footnotesection"/>
      </w:pPr>
      <w:r>
        <w:tab/>
        <w:t>[Section 7 amended by No. 17 of 1905 s. 3; No. 24 of 1914 s. 5; No. 19 of 2010 s. 51.]</w:t>
      </w:r>
    </w:p>
    <w:p>
      <w:pPr>
        <w:pStyle w:val="Heading5"/>
        <w:rPr>
          <w:snapToGrid w:val="0"/>
        </w:rPr>
      </w:pPr>
      <w:bookmarkStart w:id="23" w:name="_Toc378062248"/>
      <w:bookmarkStart w:id="24" w:name="_Toc425428062"/>
      <w:r>
        <w:rPr>
          <w:rStyle w:val="CharSectno"/>
        </w:rPr>
        <w:t>7A</w:t>
      </w:r>
      <w:r>
        <w:rPr>
          <w:snapToGrid w:val="0"/>
        </w:rPr>
        <w:t>.</w:t>
      </w:r>
      <w:r>
        <w:rPr>
          <w:snapToGrid w:val="0"/>
        </w:rPr>
        <w:tab/>
        <w:t>Future or after-acquired chattels etc. subject to bill of sale, when property etc. in passes to grantee</w:t>
      </w:r>
      <w:bookmarkEnd w:id="23"/>
      <w:bookmarkEnd w:id="24"/>
    </w:p>
    <w:p>
      <w:pPr>
        <w:pStyle w:val="Subsection"/>
        <w:rPr>
          <w:snapToGrid w:val="0"/>
        </w:rPr>
      </w:pPr>
      <w:r>
        <w:rPr>
          <w:snapToGrid w:val="0"/>
        </w:rPr>
        <w:tab/>
        <w:t>(1)</w:t>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or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t>(2)</w:t>
      </w:r>
      <w:r>
        <w:rPr>
          <w:snapToGrid w:val="0"/>
        </w:rPr>
        <w:tab/>
        <w:t xml:space="preserve">This section shall take effect as if it had been a provision of the </w:t>
      </w:r>
      <w:r>
        <w:rPr>
          <w:i/>
          <w:snapToGrid w:val="0"/>
        </w:rPr>
        <w:t>Bills of Sale Act 1899</w:t>
      </w:r>
      <w:r>
        <w:rPr>
          <w:snapToGrid w:val="0"/>
        </w:rPr>
        <w:t xml:space="preserve"> from the commencement thereof.</w:t>
      </w:r>
    </w:p>
    <w:p>
      <w:pPr>
        <w:pStyle w:val="Footnotesection"/>
      </w:pPr>
      <w:r>
        <w:tab/>
        <w:t>[Section 7A inserted by No. 17 of 1905 s. 2 (as amended by No. 40 of 1957 s. 21); amended by No. 19 of 2010 s. 51.]</w:t>
      </w:r>
    </w:p>
    <w:p>
      <w:pPr>
        <w:pStyle w:val="Heading5"/>
        <w:rPr>
          <w:snapToGrid w:val="0"/>
        </w:rPr>
      </w:pPr>
      <w:bookmarkStart w:id="25" w:name="_Toc378062249"/>
      <w:bookmarkStart w:id="26" w:name="_Toc425428063"/>
      <w:r>
        <w:rPr>
          <w:rStyle w:val="CharSectno"/>
        </w:rPr>
        <w:t>8</w:t>
      </w:r>
      <w:r>
        <w:rPr>
          <w:snapToGrid w:val="0"/>
        </w:rPr>
        <w:t>.</w:t>
      </w:r>
      <w:r>
        <w:rPr>
          <w:snapToGrid w:val="0"/>
        </w:rPr>
        <w:tab/>
        <w:t>Execution and registration of bill of sale</w:t>
      </w:r>
      <w:bookmarkEnd w:id="25"/>
      <w:bookmarkEnd w:id="26"/>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[Section 8 inserted by No. 41 of 1925 s. 2 (as amended by No. 40 of 1957 s. 5 and 21); amended by No. 24 of 2005 s. 63.]</w:t>
      </w:r>
    </w:p>
    <w:p>
      <w:pPr>
        <w:pStyle w:val="Ednotesection"/>
      </w:pPr>
      <w:r>
        <w:t>[</w:t>
      </w:r>
      <w:r>
        <w:rPr>
          <w:b/>
          <w:bCs/>
        </w:rPr>
        <w:t>9.</w:t>
      </w:r>
      <w:r>
        <w:tab/>
        <w:t>Deleted by No. 24 of 2005 s. 63.]</w:t>
      </w:r>
    </w:p>
    <w:p>
      <w:pPr>
        <w:pStyle w:val="Heading5"/>
        <w:rPr>
          <w:snapToGrid w:val="0"/>
        </w:rPr>
      </w:pPr>
      <w:bookmarkStart w:id="27" w:name="_Toc378062250"/>
      <w:bookmarkStart w:id="28" w:name="_Toc425428064"/>
      <w:r>
        <w:rPr>
          <w:rStyle w:val="CharSectno"/>
        </w:rPr>
        <w:t>10</w:t>
      </w:r>
      <w:r>
        <w:rPr>
          <w:snapToGrid w:val="0"/>
        </w:rPr>
        <w:t>.</w:t>
      </w:r>
      <w:r>
        <w:rPr>
          <w:snapToGrid w:val="0"/>
        </w:rPr>
        <w:tab/>
        <w:t>Time for registration</w:t>
      </w:r>
      <w:bookmarkEnd w:id="27"/>
      <w:bookmarkEnd w:id="28"/>
    </w:p>
    <w:p>
      <w:pPr>
        <w:pStyle w:val="Subsection"/>
        <w:rPr>
          <w:snapToGrid w:val="0"/>
        </w:rPr>
      </w:pPr>
      <w:r>
        <w:rPr>
          <w:snapToGrid w:val="0"/>
        </w:rPr>
        <w:tab/>
        <w:t>(1)</w:t>
      </w:r>
      <w:r>
        <w:rPr>
          <w:snapToGrid w:val="0"/>
        </w:rPr>
        <w:tab/>
        <w:t>The periods within which a bill of sale shall be presented for registration shall be such as may be prescribed from time to time, but until rules are made hereunder and subject thereto, such periods shall be —</w:t>
      </w:r>
    </w:p>
    <w:p>
      <w:pPr>
        <w:pStyle w:val="Indenta"/>
        <w:rPr>
          <w:snapToGrid w:val="0"/>
        </w:rPr>
      </w:pPr>
      <w:r>
        <w:rPr>
          <w:snapToGrid w:val="0"/>
        </w:rPr>
        <w:tab/>
        <w:t>(a)</w:t>
      </w:r>
      <w:r>
        <w:rPr>
          <w:snapToGrid w:val="0"/>
        </w:rPr>
        <w:tab/>
        <w:t>10 days from the day of execution, if executed at a place not more than 48 km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(b)</w:t>
      </w:r>
      <w:r>
        <w:rPr>
          <w:snapToGrid w:val="0"/>
        </w:rPr>
        <w:tab/>
        <w:t>14 days from the day of execution, if executed at or within 80 km of the local government district of Albany (Town), Southern Cross, Coolgardie, Kalgoorlie, Menzies, Geraldton, or Cue, or if executed at a place outside such limits, and being more than 48 km distant from the said city, but not more than 321 km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(c)</w:t>
      </w:r>
      <w:r>
        <w:rPr>
          <w:snapToGrid w:val="0"/>
        </w:rPr>
        <w:tab/>
        <w:t>30 days if executed at a place outside the limits aforesaid, and more than 321 km but less than 804 km from the said city;</w:t>
      </w:r>
    </w:p>
    <w:p>
      <w:pPr>
        <w:pStyle w:val="Indenta"/>
        <w:rPr>
          <w:snapToGrid w:val="0"/>
        </w:rPr>
      </w:pPr>
      <w:r>
        <w:rPr>
          <w:snapToGrid w:val="0"/>
        </w:rPr>
        <w:tab/>
        <w:t>(d)</w:t>
      </w:r>
      <w:r>
        <w:rPr>
          <w:snapToGrid w:val="0"/>
        </w:rPr>
        <w:tab/>
        <w:t>60 days from the day on which it was executed, if executed at a place outside the limits aforesaid, and 804 km or more from the said city;</w:t>
      </w:r>
    </w:p>
    <w:p>
      <w:pPr>
        <w:pStyle w:val="Indenta"/>
        <w:rPr>
          <w:snapToGrid w:val="0"/>
        </w:rPr>
      </w:pPr>
      <w:r>
        <w:rPr>
          <w:snapToGrid w:val="0"/>
        </w:rPr>
        <w:tab/>
        <w:t>(e)</w:t>
      </w:r>
      <w:r>
        <w:rPr>
          <w:snapToGrid w:val="0"/>
        </w:rPr>
        <w:tab/>
        <w:t>if executed within the</w:t>
      </w:r>
      <w:r>
        <w:t xml:space="preserve"> local government districts of Wyndham</w:t>
      </w:r>
      <w:r>
        <w:noBreakHyphen/>
        <w:t>East Kimberley or Halls Creek</w:t>
      </w:r>
      <w:r>
        <w:rPr>
          <w:snapToGrid w:val="0"/>
        </w:rPr>
        <w:t xml:space="preserve">, or at any place out of </w:t>
      </w:r>
      <w:smartTag w:uri="urn:schemas-microsoft-com:office:smarttags" w:element="place">
        <w:smartTag w:uri="urn:schemas-microsoft-com:office:smarttags" w:element="State">
          <w:r>
            <w:rPr>
              <w:snapToGrid w:val="0"/>
            </w:rPr>
            <w:t>Western Australia</w:t>
          </w:r>
        </w:smartTag>
      </w:smartTag>
      <w:r>
        <w:rPr>
          <w:snapToGrid w:val="0"/>
        </w:rPr>
        <w:t>,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t>(2)</w:t>
      </w:r>
      <w:r>
        <w:rPr>
          <w:snapToGrid w:val="0"/>
        </w:rPr>
        <w:tab/>
        <w:t>The day on which the instrument is executed shall not be included in the said periods.</w:t>
      </w:r>
    </w:p>
    <w:p>
      <w:pPr>
        <w:pStyle w:val="Subsection"/>
        <w:keepNext/>
        <w:keepLines/>
        <w:rPr>
          <w:snapToGrid w:val="0"/>
        </w:rPr>
      </w:pPr>
      <w:r>
        <w:rPr>
          <w:snapToGrid w:val="0"/>
        </w:rPr>
        <w:tab/>
        <w:t>(3)</w:t>
      </w:r>
      <w:r>
        <w:rPr>
          <w:snapToGrid w:val="0"/>
        </w:rPr>
        <w:tab/>
        <w:t>When the time for presenting a bill of sale expires on a day on which the registrar’s office is closed, the presentation shall be valid if made on the next following day on which such office is open.</w:t>
      </w:r>
    </w:p>
    <w:p>
      <w:pPr>
        <w:pStyle w:val="Footnotesection"/>
        <w:keepLines w:val="0"/>
      </w:pPr>
      <w:r>
        <w:tab/>
        <w:t>[Section 10 amended by No. 40 of 1957 s. 6; No. 40 of 1962 s. 2; No. 94 of 1972 s. 4 (as amended by No. 19 of 1973); No. 14 of 1996 s. 4; No. 59 of 2004 s. 141; No. 19 of 2010 s. 51.]</w:t>
      </w:r>
    </w:p>
    <w:p>
      <w:pPr>
        <w:pStyle w:val="Heading5"/>
        <w:rPr>
          <w:snapToGrid w:val="0"/>
        </w:rPr>
      </w:pPr>
      <w:bookmarkStart w:id="29" w:name="_Toc378062251"/>
      <w:bookmarkStart w:id="30" w:name="_Toc425428065"/>
      <w:r>
        <w:rPr>
          <w:rStyle w:val="CharSectno"/>
        </w:rPr>
        <w:t>11</w:t>
      </w:r>
      <w:r>
        <w:rPr>
          <w:snapToGrid w:val="0"/>
        </w:rPr>
        <w:t>.</w:t>
      </w:r>
      <w:r>
        <w:rPr>
          <w:snapToGrid w:val="0"/>
        </w:rPr>
        <w:tab/>
        <w:t>Registrar to keep register book and indexes</w:t>
      </w:r>
      <w:bookmarkEnd w:id="29"/>
      <w:bookmarkEnd w:id="30"/>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[Section 11 amended by No. 41 of 1925 s. 3; No. 40 of 1957 s. 9.]</w:t>
      </w:r>
    </w:p>
    <w:p>
      <w:pPr>
        <w:pStyle w:val="Ednotesection"/>
      </w:pPr>
      <w:r>
        <w:t>[</w:t>
      </w:r>
      <w:r>
        <w:rPr>
          <w:b/>
        </w:rPr>
        <w:t>12.</w:t>
      </w:r>
      <w:r>
        <w:tab/>
        <w:t>Deleted by No. 24 of 1914 s. 12.]</w:t>
      </w:r>
    </w:p>
    <w:p>
      <w:pPr>
        <w:pStyle w:val="Heading5"/>
        <w:rPr>
          <w:snapToGrid w:val="0"/>
        </w:rPr>
      </w:pPr>
      <w:bookmarkStart w:id="31" w:name="_Toc378062252"/>
      <w:bookmarkStart w:id="32" w:name="_Toc425428066"/>
      <w:r>
        <w:rPr>
          <w:rStyle w:val="CharSectno"/>
        </w:rPr>
        <w:t>13</w:t>
      </w:r>
      <w:r>
        <w:rPr>
          <w:snapToGrid w:val="0"/>
        </w:rPr>
        <w:t>.</w:t>
      </w:r>
      <w:r>
        <w:rPr>
          <w:snapToGrid w:val="0"/>
        </w:rPr>
        <w:tab/>
        <w:t>Judge may extend time for registration and rectify errors in documents</w:t>
      </w:r>
      <w:bookmarkEnd w:id="31"/>
      <w:bookmarkEnd w:id="32"/>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33" w:name="_Toc378062253"/>
      <w:bookmarkStart w:id="34" w:name="_Toc425428067"/>
      <w:r>
        <w:rPr>
          <w:rStyle w:val="CharSectno"/>
        </w:rPr>
        <w:t>13A</w:t>
      </w:r>
      <w:r>
        <w:rPr>
          <w:snapToGrid w:val="0"/>
        </w:rPr>
        <w:t>.</w:t>
      </w:r>
      <w:r>
        <w:rPr>
          <w:snapToGrid w:val="0"/>
        </w:rPr>
        <w:tab/>
        <w:t>Registrar may extend time for registration or renewal of registration</w:t>
      </w:r>
      <w:bookmarkEnd w:id="33"/>
      <w:bookmarkEnd w:id="34"/>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[Section 13A inserted by No. 33 of 1966 s. 4.]</w:t>
      </w:r>
    </w:p>
    <w:p>
      <w:pPr>
        <w:pStyle w:val="Heading2"/>
      </w:pPr>
      <w:bookmarkStart w:id="35" w:name="_Toc378062254"/>
      <w:bookmarkStart w:id="36" w:name="_Toc425428068"/>
      <w:r>
        <w:rPr>
          <w:rStyle w:val="CharPartNo"/>
        </w:rPr>
        <w:t>Part III</w:t>
      </w:r>
      <w:r>
        <w:rPr>
          <w:rStyle w:val="CharDivNo"/>
        </w:rPr>
        <w:t> </w:t>
      </w:r>
      <w:r>
        <w:t>—</w:t>
      </w:r>
      <w:r>
        <w:rPr>
          <w:rStyle w:val="CharDivText"/>
        </w:rPr>
        <w:t> </w:t>
      </w:r>
      <w:r>
        <w:rPr>
          <w:rStyle w:val="CharPartText"/>
        </w:rPr>
        <w:t>Renewal of registration</w:t>
      </w:r>
      <w:bookmarkEnd w:id="35"/>
      <w:bookmarkEnd w:id="36"/>
    </w:p>
    <w:p>
      <w:pPr>
        <w:pStyle w:val="Footnoteheading"/>
        <w:ind w:left="882" w:hanging="882"/>
      </w:pPr>
      <w:r>
        <w:tab/>
        <w:t>[Heading amended by No. 13 of 1906 s. 1A (as amended by No. 40 of 1957 s. 21).]</w:t>
      </w:r>
    </w:p>
    <w:p>
      <w:pPr>
        <w:pStyle w:val="Heading5"/>
        <w:rPr>
          <w:snapToGrid w:val="0"/>
        </w:rPr>
      </w:pPr>
      <w:bookmarkStart w:id="37" w:name="_Toc378062255"/>
      <w:bookmarkStart w:id="38" w:name="_Toc425428069"/>
      <w:r>
        <w:rPr>
          <w:rStyle w:val="CharSectno"/>
        </w:rPr>
        <w:t>14</w:t>
      </w:r>
      <w:r>
        <w:rPr>
          <w:snapToGrid w:val="0"/>
        </w:rPr>
        <w:t>.</w:t>
      </w:r>
      <w:r>
        <w:rPr>
          <w:snapToGrid w:val="0"/>
        </w:rPr>
        <w:tab/>
        <w:t>Time for renewal</w:t>
      </w:r>
      <w:bookmarkEnd w:id="37"/>
      <w:bookmarkEnd w:id="38"/>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deleted]</w:t>
      </w:r>
    </w:p>
    <w:p>
      <w:pPr>
        <w:pStyle w:val="Footnotesection"/>
      </w:pPr>
      <w:r>
        <w:tab/>
        <w:t>[Section 14 amended by No. 40 of 1957 s. 10.]</w:t>
      </w:r>
    </w:p>
    <w:p>
      <w:pPr>
        <w:pStyle w:val="Heading5"/>
        <w:rPr>
          <w:snapToGrid w:val="0"/>
        </w:rPr>
      </w:pPr>
      <w:bookmarkStart w:id="39" w:name="_Toc378062256"/>
      <w:bookmarkStart w:id="40" w:name="_Toc425428070"/>
      <w:r>
        <w:rPr>
          <w:rStyle w:val="CharSectno"/>
        </w:rPr>
        <w:t>15</w:t>
      </w:r>
      <w:r>
        <w:rPr>
          <w:snapToGrid w:val="0"/>
        </w:rPr>
        <w:t>.</w:t>
      </w:r>
      <w:r>
        <w:rPr>
          <w:snapToGrid w:val="0"/>
        </w:rPr>
        <w:tab/>
        <w:t>Non-renewal, effect of</w:t>
      </w:r>
      <w:bookmarkEnd w:id="39"/>
      <w:bookmarkEnd w:id="40"/>
    </w:p>
    <w:p>
      <w:pPr>
        <w:pStyle w:val="Subsection"/>
        <w:rPr>
          <w:snapToGrid w:val="0"/>
        </w:rPr>
      </w:pPr>
      <w:r>
        <w:rPr>
          <w:snapToGrid w:val="0"/>
        </w:rPr>
        <w:tab/>
      </w:r>
      <w:r>
        <w:rPr>
          <w:snapToGrid w:val="0"/>
        </w:rPr>
        <w:tab/>
        <w:t>If not so renewed such registration shall cease to be of any effect at the expiration of any period of 3 years during which a renewal has not been made as hereby required.</w:t>
      </w:r>
    </w:p>
    <w:p>
      <w:pPr>
        <w:pStyle w:val="Footnotesection"/>
      </w:pPr>
      <w:r>
        <w:tab/>
        <w:t>[Section 15 amended by No. 40 of 1957 s. 11.]</w:t>
      </w:r>
    </w:p>
    <w:p>
      <w:pPr>
        <w:pStyle w:val="Heading5"/>
        <w:rPr>
          <w:snapToGrid w:val="0"/>
        </w:rPr>
      </w:pPr>
      <w:bookmarkStart w:id="41" w:name="_Toc378062257"/>
      <w:bookmarkStart w:id="42" w:name="_Toc425428071"/>
      <w:r>
        <w:rPr>
          <w:rStyle w:val="CharSectno"/>
        </w:rPr>
        <w:t>16</w:t>
      </w:r>
      <w:r>
        <w:rPr>
          <w:snapToGrid w:val="0"/>
        </w:rPr>
        <w:t>.</w:t>
      </w:r>
      <w:r>
        <w:rPr>
          <w:snapToGrid w:val="0"/>
        </w:rPr>
        <w:tab/>
        <w:t>Mode of renewal</w:t>
      </w:r>
      <w:bookmarkEnd w:id="41"/>
      <w:bookmarkEnd w:id="42"/>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43" w:name="_Toc378062258"/>
      <w:bookmarkStart w:id="44" w:name="_Toc425428072"/>
      <w:r>
        <w:rPr>
          <w:rStyle w:val="CharSectno"/>
        </w:rPr>
        <w:t>16A</w:t>
      </w:r>
      <w:r>
        <w:rPr>
          <w:snapToGrid w:val="0"/>
        </w:rPr>
        <w:t>.</w:t>
      </w:r>
      <w:r>
        <w:rPr>
          <w:snapToGrid w:val="0"/>
        </w:rPr>
        <w:tab/>
        <w:t>Affidavit under s. 16 may be made by attorney etc.</w:t>
      </w:r>
      <w:bookmarkEnd w:id="43"/>
      <w:bookmarkEnd w:id="44"/>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[Section 16A inserted by No. 13 of 1906 s. 15 (as amended by No. 40 of 1957 s. 21).]</w:t>
      </w:r>
    </w:p>
    <w:p>
      <w:pPr>
        <w:pStyle w:val="Heading5"/>
        <w:rPr>
          <w:snapToGrid w:val="0"/>
        </w:rPr>
      </w:pPr>
      <w:bookmarkStart w:id="45" w:name="_Toc378062259"/>
      <w:bookmarkStart w:id="46" w:name="_Toc425428073"/>
      <w:r>
        <w:rPr>
          <w:rStyle w:val="CharSectno"/>
        </w:rPr>
        <w:t>17</w:t>
      </w:r>
      <w:r>
        <w:rPr>
          <w:snapToGrid w:val="0"/>
        </w:rPr>
        <w:t>.</w:t>
      </w:r>
      <w:r>
        <w:rPr>
          <w:snapToGrid w:val="0"/>
        </w:rPr>
        <w:tab/>
        <w:t>Registration of renewal</w:t>
      </w:r>
      <w:bookmarkEnd w:id="45"/>
      <w:bookmarkEnd w:id="46"/>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[Section 17 amended by No. 41 of 1925 s. 4 (as amended by No. 40 of 1957 s. 21).]</w:t>
      </w:r>
    </w:p>
    <w:p>
      <w:pPr>
        <w:pStyle w:val="Heading2"/>
      </w:pPr>
      <w:bookmarkStart w:id="47" w:name="_Toc378062260"/>
      <w:bookmarkStart w:id="48" w:name="_Toc425428074"/>
      <w:r>
        <w:rPr>
          <w:rStyle w:val="CharPartNo"/>
        </w:rPr>
        <w:t>Part IV</w:t>
      </w:r>
      <w:r>
        <w:rPr>
          <w:rStyle w:val="CharDivNo"/>
        </w:rPr>
        <w:t> </w:t>
      </w:r>
      <w:r>
        <w:t>—</w:t>
      </w:r>
      <w:r>
        <w:rPr>
          <w:rStyle w:val="CharDivText"/>
        </w:rPr>
        <w:t> </w:t>
      </w:r>
      <w:r>
        <w:rPr>
          <w:rStyle w:val="CharPartText"/>
        </w:rPr>
        <w:t>Bills of sale by way of security</w:t>
      </w:r>
      <w:bookmarkEnd w:id="47"/>
      <w:bookmarkEnd w:id="48"/>
    </w:p>
    <w:p>
      <w:pPr>
        <w:pStyle w:val="Footnoteheading"/>
        <w:ind w:left="882" w:hanging="882"/>
      </w:pPr>
      <w:r>
        <w:tab/>
        <w:t>[Heading inserted by No. 13 of 1906 s. 1A (as amended by No. 40 of 1957 s. 21).]</w:t>
      </w:r>
    </w:p>
    <w:p>
      <w:pPr>
        <w:pStyle w:val="Heading5"/>
        <w:rPr>
          <w:snapToGrid w:val="0"/>
        </w:rPr>
      </w:pPr>
      <w:bookmarkStart w:id="49" w:name="_Toc378062261"/>
      <w:bookmarkStart w:id="50" w:name="_Toc425428075"/>
      <w:r>
        <w:rPr>
          <w:rStyle w:val="CharSectno"/>
        </w:rPr>
        <w:t>17A</w:t>
      </w:r>
      <w:r>
        <w:rPr>
          <w:snapToGrid w:val="0"/>
        </w:rPr>
        <w:t>.</w:t>
      </w:r>
      <w:r>
        <w:rPr>
          <w:snapToGrid w:val="0"/>
        </w:rPr>
        <w:tab/>
        <w:t>Term used: bill of sale</w:t>
      </w:r>
      <w:bookmarkEnd w:id="49"/>
      <w:bookmarkEnd w:id="50"/>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[Section 17A inserted by No. 13 of 1906 s. 2 (as amended by No. 40 of 1957 s. 7 and 21).]</w:t>
      </w:r>
    </w:p>
    <w:p>
      <w:pPr>
        <w:pStyle w:val="Ednotesection"/>
      </w:pPr>
      <w:r>
        <w:t>[</w:t>
      </w:r>
      <w:r>
        <w:rPr>
          <w:b/>
        </w:rPr>
        <w:t>17B</w:t>
      </w:r>
      <w:r>
        <w:rPr>
          <w:b/>
        </w:rPr>
        <w:noBreakHyphen/>
        <w:t>17Q</w:t>
      </w:r>
      <w:r>
        <w:rPr>
          <w:b/>
          <w:bCs/>
        </w:rPr>
        <w:t>.</w:t>
      </w:r>
      <w:r>
        <w:tab/>
        <w:t>Deleted by No. 20 of 1986 s. 4.]</w:t>
      </w:r>
    </w:p>
    <w:p>
      <w:pPr>
        <w:pStyle w:val="Heading5"/>
        <w:rPr>
          <w:snapToGrid w:val="0"/>
        </w:rPr>
      </w:pPr>
      <w:bookmarkStart w:id="51" w:name="_Toc378062262"/>
      <w:bookmarkStart w:id="52" w:name="_Toc425428076"/>
      <w:r>
        <w:rPr>
          <w:rStyle w:val="CharSectno"/>
        </w:rPr>
        <w:t>17R</w:t>
      </w:r>
      <w:r>
        <w:rPr>
          <w:snapToGrid w:val="0"/>
        </w:rPr>
        <w:t>.</w:t>
      </w:r>
      <w:r>
        <w:rPr>
          <w:snapToGrid w:val="0"/>
        </w:rPr>
        <w:tab/>
        <w:t>Form of bill of sale (Tenth Sch.)</w:t>
      </w:r>
      <w:bookmarkEnd w:id="51"/>
      <w:bookmarkEnd w:id="52"/>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[Section 17R inserted by No. 24 of 1914 s. 10 (as amended by No. 40 of 1957 s. 21).]</w:t>
      </w:r>
    </w:p>
    <w:p>
      <w:pPr>
        <w:pStyle w:val="Heading5"/>
        <w:rPr>
          <w:snapToGrid w:val="0"/>
        </w:rPr>
      </w:pPr>
      <w:bookmarkStart w:id="53" w:name="_Toc378062263"/>
      <w:bookmarkStart w:id="54" w:name="_Toc425428077"/>
      <w:r>
        <w:rPr>
          <w:rStyle w:val="CharSectno"/>
        </w:rPr>
        <w:t>17S</w:t>
      </w:r>
      <w:r>
        <w:rPr>
          <w:snapToGrid w:val="0"/>
        </w:rPr>
        <w:t>.</w:t>
      </w:r>
      <w:r>
        <w:rPr>
          <w:snapToGrid w:val="0"/>
        </w:rPr>
        <w:tab/>
        <w:t>Implied covenants (Eleventh, Twelfth Sch.)</w:t>
      </w:r>
      <w:bookmarkEnd w:id="53"/>
      <w:bookmarkEnd w:id="54"/>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iCs/>
        </w:rPr>
        <w:t>National Credit Code</w:t>
      </w:r>
      <w:r>
        <w:t xml:space="preserve"> (Commonwealth) </w:t>
      </w:r>
      <w:r>
        <w:rPr>
          <w:snapToGrid w:val="0"/>
        </w:rPr>
        <w:t>in relation to any bill of sale that is a mortgage to which that Code applies.</w:t>
      </w:r>
    </w:p>
    <w:p>
      <w:pPr>
        <w:pStyle w:val="Footnotesection"/>
      </w:pPr>
      <w:r>
        <w:tab/>
        <w:t>[Section 17S inserted by No. 24 of 1914 s. 11 (as amended by No. 40 of 1957 s. 21); amended by No. 102 of 1984 s. 3; No. 30 of 1996 s. 13; No. 14 of 2010 s. 8.]</w:t>
      </w:r>
    </w:p>
    <w:p>
      <w:pPr>
        <w:pStyle w:val="Heading2"/>
      </w:pPr>
      <w:bookmarkStart w:id="55" w:name="_Toc378062264"/>
      <w:bookmarkStart w:id="56" w:name="_Toc425428078"/>
      <w:r>
        <w:rPr>
          <w:rStyle w:val="CharPartNo"/>
        </w:rPr>
        <w:t>Part V</w:t>
      </w:r>
      <w:r>
        <w:rPr>
          <w:rStyle w:val="CharDivNo"/>
        </w:rPr>
        <w:t> </w:t>
      </w:r>
      <w:r>
        <w:t>—</w:t>
      </w:r>
      <w:r>
        <w:rPr>
          <w:rStyle w:val="CharDivText"/>
        </w:rPr>
        <w:t> </w:t>
      </w:r>
      <w:r>
        <w:rPr>
          <w:rStyle w:val="CharPartText"/>
        </w:rPr>
        <w:t>Searches and office copies</w:t>
      </w:r>
      <w:bookmarkEnd w:id="55"/>
      <w:bookmarkEnd w:id="56"/>
    </w:p>
    <w:p>
      <w:pPr>
        <w:pStyle w:val="Footnoteheading"/>
        <w:ind w:left="882" w:hanging="882"/>
      </w:pPr>
      <w:r>
        <w:tab/>
        <w:t>[Heading amended by No. 13 of 1906 s. 1A (as amended by No. 40 of 1957 s. 21).]</w:t>
      </w:r>
    </w:p>
    <w:p>
      <w:pPr>
        <w:pStyle w:val="Heading5"/>
        <w:rPr>
          <w:snapToGrid w:val="0"/>
        </w:rPr>
      </w:pPr>
      <w:bookmarkStart w:id="57" w:name="_Toc378062265"/>
      <w:bookmarkStart w:id="58" w:name="_Toc425428079"/>
      <w:r>
        <w:rPr>
          <w:rStyle w:val="CharSectno"/>
        </w:rPr>
        <w:t>18</w:t>
      </w:r>
      <w:r>
        <w:rPr>
          <w:snapToGrid w:val="0"/>
        </w:rPr>
        <w:t>.</w:t>
      </w:r>
      <w:r>
        <w:rPr>
          <w:snapToGrid w:val="0"/>
        </w:rPr>
        <w:tab/>
        <w:t>Register book etc. may be searched</w:t>
      </w:r>
      <w:bookmarkEnd w:id="57"/>
      <w:bookmarkEnd w:id="58"/>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[Section 18 amended by No. 41 of 1925 s. 5; No. 52 of 1957 s. 2; No. 113 of 1965 s. 8; No. 74 of 1981 s. 6; No. 49 of 1983 s. 6.]</w:t>
      </w:r>
    </w:p>
    <w:p>
      <w:pPr>
        <w:pStyle w:val="Heading5"/>
        <w:rPr>
          <w:snapToGrid w:val="0"/>
        </w:rPr>
      </w:pPr>
      <w:bookmarkStart w:id="59" w:name="_Toc378062266"/>
      <w:bookmarkStart w:id="60" w:name="_Toc425428080"/>
      <w:r>
        <w:rPr>
          <w:rStyle w:val="CharSectno"/>
        </w:rPr>
        <w:t>19</w:t>
      </w:r>
      <w:r>
        <w:rPr>
          <w:snapToGrid w:val="0"/>
        </w:rPr>
        <w:t>.</w:t>
      </w:r>
      <w:r>
        <w:rPr>
          <w:snapToGrid w:val="0"/>
        </w:rPr>
        <w:tab/>
        <w:t>Office copy or extract to be given</w:t>
      </w:r>
      <w:bookmarkEnd w:id="59"/>
      <w:bookmarkEnd w:id="60"/>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[Section 19 inserted by No. 52 of 1957 s. 2; amended by No. 113 of 1965 s. 8; No. 74 of 1981 s. 6; No. 49 of 1983 s. 7.]</w:t>
      </w:r>
    </w:p>
    <w:p>
      <w:pPr>
        <w:pStyle w:val="Heading5"/>
        <w:rPr>
          <w:snapToGrid w:val="0"/>
        </w:rPr>
      </w:pPr>
      <w:bookmarkStart w:id="61" w:name="_Toc378062267"/>
      <w:bookmarkStart w:id="62" w:name="_Toc425428081"/>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61"/>
      <w:bookmarkEnd w:id="62"/>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[Section 20 amended by No. 41 of 1925 s. 6.]</w:t>
      </w:r>
    </w:p>
    <w:p>
      <w:pPr>
        <w:pStyle w:val="Heading2"/>
      </w:pPr>
      <w:bookmarkStart w:id="63" w:name="_Toc378062268"/>
      <w:bookmarkStart w:id="64" w:name="_Toc425428082"/>
      <w:r>
        <w:rPr>
          <w:rStyle w:val="CharPartNo"/>
        </w:rPr>
        <w:t>Part VI</w:t>
      </w:r>
      <w:r>
        <w:rPr>
          <w:rStyle w:val="CharDivNo"/>
        </w:rPr>
        <w:t> </w:t>
      </w:r>
      <w:r>
        <w:t>—</w:t>
      </w:r>
      <w:r>
        <w:rPr>
          <w:rStyle w:val="CharDivText"/>
        </w:rPr>
        <w:t> </w:t>
      </w:r>
      <w:r>
        <w:rPr>
          <w:rStyle w:val="CharPartText"/>
        </w:rPr>
        <w:t>Entry of satisfaction</w:t>
      </w:r>
      <w:bookmarkEnd w:id="63"/>
      <w:bookmarkEnd w:id="64"/>
    </w:p>
    <w:p>
      <w:pPr>
        <w:pStyle w:val="Footnoteheading"/>
        <w:ind w:left="882" w:hanging="882"/>
      </w:pPr>
      <w:r>
        <w:tab/>
        <w:t>[Heading amended by No. 13 of 1906 s. 1A (as amended by No. 40 of 1957 s. 21).]</w:t>
      </w:r>
    </w:p>
    <w:p>
      <w:pPr>
        <w:pStyle w:val="Heading5"/>
        <w:rPr>
          <w:snapToGrid w:val="0"/>
        </w:rPr>
      </w:pPr>
      <w:bookmarkStart w:id="65" w:name="_Toc378062269"/>
      <w:bookmarkStart w:id="66" w:name="_Toc425428083"/>
      <w:r>
        <w:rPr>
          <w:rStyle w:val="CharSectno"/>
        </w:rPr>
        <w:t>21</w:t>
      </w:r>
      <w:r>
        <w:rPr>
          <w:snapToGrid w:val="0"/>
        </w:rPr>
        <w:t>.</w:t>
      </w:r>
      <w:r>
        <w:rPr>
          <w:snapToGrid w:val="0"/>
        </w:rPr>
        <w:tab/>
        <w:t>Memorandum of satisfaction may be filed</w:t>
      </w:r>
      <w:bookmarkEnd w:id="65"/>
      <w:bookmarkEnd w:id="66"/>
    </w:p>
    <w:p>
      <w:pPr>
        <w:pStyle w:val="Subsection"/>
        <w:keepNext/>
        <w:keepLines/>
        <w:rPr>
          <w:snapToGrid w:val="0"/>
        </w:rPr>
      </w:pPr>
      <w:r>
        <w:rPr>
          <w:snapToGrid w:val="0"/>
        </w:rPr>
        <w:tab/>
        <w:t>(1)</w:t>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w:t>
      </w:r>
    </w:p>
    <w:p>
      <w:pPr>
        <w:pStyle w:val="Subsection"/>
        <w:rPr>
          <w:snapToGrid w:val="0"/>
        </w:rPr>
      </w:pPr>
      <w:r>
        <w:rPr>
          <w:snapToGrid w:val="0"/>
        </w:rPr>
        <w:tab/>
        <w:t>(2)</w:t>
      </w:r>
      <w:r>
        <w:rPr>
          <w:snapToGrid w:val="0"/>
        </w:rPr>
        <w:tab/>
        <w:t>The execution of such memorandum shall be verified by the affidavit of the attesting witness thereto.</w:t>
      </w:r>
    </w:p>
    <w:p>
      <w:pPr>
        <w:pStyle w:val="Subsection"/>
        <w:rPr>
          <w:snapToGrid w:val="0"/>
        </w:rPr>
      </w:pPr>
      <w:r>
        <w:rPr>
          <w:snapToGrid w:val="0"/>
        </w:rPr>
        <w:tab/>
        <w:t>(3)</w:t>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[Section 21 amended by No. 40 of 1957 s. 12; No. 52 of 1957 s. 2; No. 113 of 1965 s. 8; No. 74 of 1981 s. 8; No. 49 of 1983 s. 8; No. 19 of 2010 s. 51.]</w:t>
      </w:r>
    </w:p>
    <w:p>
      <w:pPr>
        <w:pStyle w:val="Heading5"/>
        <w:rPr>
          <w:snapToGrid w:val="0"/>
        </w:rPr>
      </w:pPr>
      <w:bookmarkStart w:id="67" w:name="_Toc378062270"/>
      <w:bookmarkStart w:id="68" w:name="_Toc425428084"/>
      <w:r>
        <w:rPr>
          <w:rStyle w:val="CharSectno"/>
        </w:rPr>
        <w:t>22</w:t>
      </w:r>
      <w:r>
        <w:rPr>
          <w:snapToGrid w:val="0"/>
        </w:rPr>
        <w:t>.</w:t>
      </w:r>
      <w:r>
        <w:rPr>
          <w:snapToGrid w:val="0"/>
        </w:rPr>
        <w:tab/>
        <w:t>Filing of memorandum, effect of</w:t>
      </w:r>
      <w:bookmarkEnd w:id="67"/>
      <w:bookmarkEnd w:id="68"/>
    </w:p>
    <w:p>
      <w:pPr>
        <w:pStyle w:val="Subsection"/>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[Section 22 amended by No. 40 of 1957 s. 13.]</w:t>
      </w:r>
    </w:p>
    <w:p>
      <w:pPr>
        <w:pStyle w:val="Heading5"/>
        <w:rPr>
          <w:snapToGrid w:val="0"/>
        </w:rPr>
      </w:pPr>
      <w:bookmarkStart w:id="69" w:name="_Toc378062271"/>
      <w:bookmarkStart w:id="70" w:name="_Toc425428085"/>
      <w:r>
        <w:rPr>
          <w:rStyle w:val="CharSectno"/>
        </w:rPr>
        <w:t>23</w:t>
      </w:r>
      <w:r>
        <w:rPr>
          <w:snapToGrid w:val="0"/>
        </w:rPr>
        <w:t>.</w:t>
      </w:r>
      <w:r>
        <w:rPr>
          <w:snapToGrid w:val="0"/>
        </w:rPr>
        <w:tab/>
        <w:t>If grantee absent registrar may receive money</w:t>
      </w:r>
      <w:bookmarkEnd w:id="69"/>
      <w:bookmarkEnd w:id="70"/>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71" w:name="_Toc378062272"/>
      <w:bookmarkStart w:id="72" w:name="_Toc425428086"/>
      <w:r>
        <w:rPr>
          <w:rStyle w:val="CharSectno"/>
        </w:rPr>
        <w:t>24</w:t>
      </w:r>
      <w:r>
        <w:rPr>
          <w:snapToGrid w:val="0"/>
        </w:rPr>
        <w:t>.</w:t>
      </w:r>
      <w:r>
        <w:rPr>
          <w:snapToGrid w:val="0"/>
        </w:rPr>
        <w:tab/>
        <w:t>Judge may order memorandum of satisfaction to be filed</w:t>
      </w:r>
      <w:bookmarkEnd w:id="71"/>
      <w:bookmarkEnd w:id="72"/>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73" w:name="_Toc378062273"/>
      <w:bookmarkStart w:id="74" w:name="_Toc425428087"/>
      <w:r>
        <w:rPr>
          <w:rStyle w:val="CharPartNo"/>
        </w:rPr>
        <w:t>Part VII</w:t>
      </w:r>
      <w:r>
        <w:rPr>
          <w:rStyle w:val="CharDivNo"/>
        </w:rPr>
        <w:t> </w:t>
      </w:r>
      <w:r>
        <w:t>—</w:t>
      </w:r>
      <w:r>
        <w:rPr>
          <w:rStyle w:val="CharDivText"/>
        </w:rPr>
        <w:t> </w:t>
      </w:r>
      <w:r>
        <w:rPr>
          <w:rStyle w:val="CharPartText"/>
        </w:rPr>
        <w:t>Effect of registration</w:t>
      </w:r>
      <w:bookmarkEnd w:id="73"/>
      <w:bookmarkEnd w:id="74"/>
    </w:p>
    <w:p>
      <w:pPr>
        <w:pStyle w:val="Footnoteheading"/>
        <w:ind w:left="882" w:hanging="882"/>
      </w:pPr>
      <w:r>
        <w:tab/>
        <w:t>[Heading amended by No. 13 of 1906 s. 1A (as amended by No. 40 of 1957 s. 21).]</w:t>
      </w:r>
    </w:p>
    <w:p>
      <w:pPr>
        <w:pStyle w:val="Heading5"/>
        <w:rPr>
          <w:snapToGrid w:val="0"/>
        </w:rPr>
      </w:pPr>
      <w:bookmarkStart w:id="75" w:name="_Toc378062274"/>
      <w:bookmarkStart w:id="76" w:name="_Toc425428088"/>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75"/>
      <w:bookmarkEnd w:id="76"/>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 xml:space="preserve">the assignee or trustee acting under </w:t>
      </w:r>
      <w:r>
        <w:t>a personal insolvency agreement,</w:t>
      </w:r>
    </w:p>
    <w:p>
      <w:pPr>
        <w:pStyle w:val="Subsection"/>
        <w:rPr>
          <w:snapToGrid w:val="0"/>
        </w:rPr>
      </w:pPr>
      <w:r>
        <w:rPr>
          <w:snapToGrid w:val="0"/>
        </w:rPr>
        <w:tab/>
      </w:r>
      <w:r>
        <w:rPr>
          <w:snapToGrid w:val="0"/>
        </w:rPr>
        <w:tab/>
        <w:t xml:space="preserve">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w:t>
      </w:r>
      <w:r>
        <w:t xml:space="preserve">the personal insolvency agreement, </w:t>
      </w:r>
      <w:r>
        <w:rPr>
          <w:snapToGrid w:val="0"/>
        </w:rPr>
        <w:t>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[Section 25 inserted by No. 41 of 1925 s. 7; amended by No. 18 of 2009 s. 12(2).]</w:t>
      </w:r>
    </w:p>
    <w:p>
      <w:pPr>
        <w:pStyle w:val="Heading5"/>
        <w:rPr>
          <w:snapToGrid w:val="0"/>
        </w:rPr>
      </w:pPr>
      <w:bookmarkStart w:id="77" w:name="_Toc378062275"/>
      <w:bookmarkStart w:id="78" w:name="_Toc425428089"/>
      <w:r>
        <w:rPr>
          <w:rStyle w:val="CharSectno"/>
        </w:rPr>
        <w:t>25A</w:t>
      </w:r>
      <w:r>
        <w:rPr>
          <w:snapToGrid w:val="0"/>
        </w:rPr>
        <w:t>.</w:t>
      </w:r>
      <w:r>
        <w:rPr>
          <w:snapToGrid w:val="0"/>
        </w:rPr>
        <w:tab/>
        <w:t>Certain errors in bill of sale not to invalidate it</w:t>
      </w:r>
      <w:bookmarkEnd w:id="77"/>
      <w:bookmarkEnd w:id="78"/>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[Section 25A inserted by No. 13 of 1906 s. 14 (as amended by No. 40 of 1957 s. 8 and 21).]</w:t>
      </w:r>
    </w:p>
    <w:p>
      <w:pPr>
        <w:pStyle w:val="Heading5"/>
        <w:rPr>
          <w:snapToGrid w:val="0"/>
        </w:rPr>
      </w:pPr>
      <w:bookmarkStart w:id="79" w:name="_Toc378062276"/>
      <w:bookmarkStart w:id="80" w:name="_Toc425428090"/>
      <w:r>
        <w:rPr>
          <w:rStyle w:val="CharSectno"/>
        </w:rPr>
        <w:t>26</w:t>
      </w:r>
      <w:r>
        <w:rPr>
          <w:snapToGrid w:val="0"/>
        </w:rPr>
        <w:t>.</w:t>
      </w:r>
      <w:r>
        <w:rPr>
          <w:snapToGrid w:val="0"/>
        </w:rPr>
        <w:tab/>
        <w:t>Application of doctrine of apparent possession</w:t>
      </w:r>
      <w:bookmarkEnd w:id="79"/>
      <w:bookmarkEnd w:id="80"/>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81" w:name="_Toc378062277"/>
      <w:bookmarkStart w:id="82" w:name="_Toc425428091"/>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81"/>
      <w:bookmarkEnd w:id="82"/>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83" w:name="_Toc378062278"/>
      <w:bookmarkStart w:id="84" w:name="_Toc425428092"/>
      <w:r>
        <w:rPr>
          <w:rStyle w:val="CharSectno"/>
        </w:rPr>
        <w:t>28</w:t>
      </w:r>
      <w:r>
        <w:rPr>
          <w:snapToGrid w:val="0"/>
        </w:rPr>
        <w:t>.</w:t>
      </w:r>
      <w:r>
        <w:rPr>
          <w:snapToGrid w:val="0"/>
        </w:rPr>
        <w:tab/>
        <w:t>Chattels liable to distress for rates</w:t>
      </w:r>
      <w:bookmarkEnd w:id="83"/>
      <w:bookmarkEnd w:id="84"/>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Deleted by No. 40 of 1957 s. 14.]</w:t>
      </w:r>
    </w:p>
    <w:p>
      <w:pPr>
        <w:pStyle w:val="Ednotesection"/>
      </w:pPr>
      <w:r>
        <w:t>[</w:t>
      </w:r>
      <w:r>
        <w:rPr>
          <w:b/>
        </w:rPr>
        <w:t>29A.</w:t>
      </w:r>
      <w:r>
        <w:tab/>
        <w:t>Deleted by No. 102 of 1987 s. 5.]</w:t>
      </w:r>
    </w:p>
    <w:p>
      <w:pPr>
        <w:pStyle w:val="Heading2"/>
      </w:pPr>
      <w:bookmarkStart w:id="85" w:name="_Toc378062279"/>
      <w:bookmarkStart w:id="86" w:name="_Toc425428093"/>
      <w:r>
        <w:rPr>
          <w:rStyle w:val="CharPartNo"/>
        </w:rPr>
        <w:t>Part VIII</w:t>
      </w:r>
      <w:r>
        <w:rPr>
          <w:rStyle w:val="CharDivNo"/>
        </w:rPr>
        <w:t> </w:t>
      </w:r>
      <w:r>
        <w:t>—</w:t>
      </w:r>
      <w:r>
        <w:rPr>
          <w:rStyle w:val="CharDivText"/>
        </w:rPr>
        <w:t> </w:t>
      </w:r>
      <w:r>
        <w:rPr>
          <w:rStyle w:val="CharPartText"/>
        </w:rPr>
        <w:t>General</w:t>
      </w:r>
      <w:bookmarkEnd w:id="85"/>
      <w:bookmarkEnd w:id="86"/>
    </w:p>
    <w:p>
      <w:pPr>
        <w:pStyle w:val="Footnoteheading"/>
        <w:ind w:left="882" w:hanging="882"/>
      </w:pPr>
      <w:r>
        <w:tab/>
        <w:t>[Heading amended by No. 13 of 1906 s. 1A (as amended by No. 40 of 1957 s. 21).]</w:t>
      </w:r>
    </w:p>
    <w:p>
      <w:pPr>
        <w:pStyle w:val="Heading5"/>
        <w:rPr>
          <w:snapToGrid w:val="0"/>
        </w:rPr>
      </w:pPr>
      <w:bookmarkStart w:id="87" w:name="_Toc378062280"/>
      <w:bookmarkStart w:id="88" w:name="_Toc425428094"/>
      <w:r>
        <w:rPr>
          <w:rStyle w:val="CharSectno"/>
        </w:rPr>
        <w:t>30</w:t>
      </w:r>
      <w:r>
        <w:rPr>
          <w:snapToGrid w:val="0"/>
        </w:rPr>
        <w:t>.</w:t>
      </w:r>
      <w:r>
        <w:rPr>
          <w:snapToGrid w:val="0"/>
        </w:rPr>
        <w:tab/>
        <w:t>Bill of sale subject to defeasance etc. not contained in it, effect of</w:t>
      </w:r>
      <w:bookmarkEnd w:id="87"/>
      <w:bookmarkEnd w:id="88"/>
    </w:p>
    <w:p>
      <w:pPr>
        <w:pStyle w:val="Subsection"/>
        <w:rPr>
          <w:snapToGrid w:val="0"/>
        </w:rPr>
      </w:pPr>
      <w:r>
        <w:rPr>
          <w:snapToGrid w:val="0"/>
        </w:rPr>
        <w:tab/>
        <w:t>(1)</w:t>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t>(2)</w:t>
      </w:r>
      <w:r>
        <w:rPr>
          <w:snapToGrid w:val="0"/>
        </w:rPr>
        <w:tab/>
        <w:t>Despite subsection (1),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t>(3)</w:t>
      </w:r>
      <w:r>
        <w:rPr>
          <w:snapToGrid w:val="0"/>
        </w:rPr>
        <w:tab/>
        <w:t>This section shall not apply to any bill of exchange or promissory note comprising the amount secured or any part thereof.</w:t>
      </w:r>
    </w:p>
    <w:p>
      <w:pPr>
        <w:pStyle w:val="Footnotesection"/>
      </w:pPr>
      <w:r>
        <w:tab/>
        <w:t>[Section 30 amended by No. 19 of 2010 s. 51.]</w:t>
      </w:r>
    </w:p>
    <w:p>
      <w:pPr>
        <w:pStyle w:val="Heading5"/>
        <w:rPr>
          <w:snapToGrid w:val="0"/>
        </w:rPr>
      </w:pPr>
      <w:bookmarkStart w:id="89" w:name="_Toc378062281"/>
      <w:bookmarkStart w:id="90" w:name="_Toc425428095"/>
      <w:r>
        <w:rPr>
          <w:rStyle w:val="CharSectno"/>
        </w:rPr>
        <w:t>31</w:t>
      </w:r>
      <w:r>
        <w:rPr>
          <w:snapToGrid w:val="0"/>
        </w:rPr>
        <w:t>.</w:t>
      </w:r>
      <w:r>
        <w:rPr>
          <w:snapToGrid w:val="0"/>
        </w:rPr>
        <w:tab/>
        <w:t>Bill of sale void against trustee in bankruptcy etc. in some cases</w:t>
      </w:r>
      <w:bookmarkEnd w:id="89"/>
      <w:bookmarkEnd w:id="90"/>
    </w:p>
    <w:p>
      <w:pPr>
        <w:pStyle w:val="Subsection"/>
        <w:rPr>
          <w:snapToGrid w:val="0"/>
        </w:rPr>
      </w:pPr>
      <w:r>
        <w:rPr>
          <w:snapToGrid w:val="0"/>
        </w:rPr>
        <w:tab/>
        <w:t>(1)</w:t>
      </w:r>
      <w:r>
        <w:rPr>
          <w:snapToGrid w:val="0"/>
        </w:rPr>
        <w:tab/>
        <w:t xml:space="preserve">Every bill of sale given absolutely or by way of security shall be fraudulent and void as against the trustee in bankruptcy or under </w:t>
      </w:r>
      <w:r>
        <w:t xml:space="preserve">a personal insolvency agreement, </w:t>
      </w:r>
      <w:r>
        <w:rPr>
          <w:snapToGrid w:val="0"/>
        </w:rPr>
        <w:t xml:space="preserve">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w:t>
      </w:r>
      <w:r>
        <w:t>personal insolvency agreement</w:t>
      </w:r>
      <w:r>
        <w:rPr>
          <w:snapToGrid w:val="0"/>
        </w:rPr>
        <w:t xml:space="preserve">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w:t>
      </w:r>
    </w:p>
    <w:p>
      <w:pPr>
        <w:pStyle w:val="Subsection"/>
        <w:rPr>
          <w:snapToGrid w:val="0"/>
        </w:rPr>
      </w:pPr>
      <w:r>
        <w:rPr>
          <w:snapToGrid w:val="0"/>
        </w:rPr>
        <w:tab/>
        <w:t>(2)</w:t>
      </w:r>
      <w:r>
        <w:rPr>
          <w:snapToGrid w:val="0"/>
        </w:rPr>
        <w:tab/>
        <w:t>This section shall not apply to any agreement for the hire, with or without the right of purchase, of chattels.</w:t>
      </w:r>
    </w:p>
    <w:p>
      <w:pPr>
        <w:pStyle w:val="Footnotesection"/>
      </w:pPr>
      <w:r>
        <w:tab/>
        <w:t>[Section 31 amended by No. 24 of 1914 s. 6; No. 18 of 2009 s. 12(3); No. 19 of 2010 s. 51.]</w:t>
      </w:r>
    </w:p>
    <w:p>
      <w:pPr>
        <w:pStyle w:val="Heading5"/>
        <w:rPr>
          <w:snapToGrid w:val="0"/>
        </w:rPr>
      </w:pPr>
      <w:bookmarkStart w:id="91" w:name="_Toc378062282"/>
      <w:bookmarkStart w:id="92" w:name="_Toc425428096"/>
      <w:r>
        <w:rPr>
          <w:rStyle w:val="CharSectno"/>
        </w:rPr>
        <w:t>31A</w:t>
      </w:r>
      <w:r>
        <w:rPr>
          <w:snapToGrid w:val="0"/>
        </w:rPr>
        <w:t>.</w:t>
      </w:r>
      <w:r>
        <w:rPr>
          <w:snapToGrid w:val="0"/>
        </w:rPr>
        <w:tab/>
        <w:t>Contemporaneous and subsequent advances</w:t>
      </w:r>
      <w:bookmarkEnd w:id="91"/>
      <w:bookmarkEnd w:id="92"/>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[Section 31A inserted by No. 24 of 1914 s. 4 (as amended by No. 40 of 1957 s. 21).]</w:t>
      </w:r>
    </w:p>
    <w:p>
      <w:pPr>
        <w:pStyle w:val="Heading5"/>
        <w:rPr>
          <w:snapToGrid w:val="0"/>
        </w:rPr>
      </w:pPr>
      <w:bookmarkStart w:id="93" w:name="_Toc378062283"/>
      <w:bookmarkStart w:id="94" w:name="_Toc425428097"/>
      <w:r>
        <w:rPr>
          <w:rStyle w:val="CharSectno"/>
        </w:rPr>
        <w:t>32</w:t>
      </w:r>
      <w:r>
        <w:rPr>
          <w:snapToGrid w:val="0"/>
        </w:rPr>
        <w:t>.</w:t>
      </w:r>
      <w:r>
        <w:rPr>
          <w:snapToGrid w:val="0"/>
        </w:rPr>
        <w:tab/>
        <w:t>Bill of sale void against sheriff etc. executing process in some cases</w:t>
      </w:r>
      <w:bookmarkEnd w:id="93"/>
      <w:bookmarkEnd w:id="94"/>
    </w:p>
    <w:p>
      <w:pPr>
        <w:pStyle w:val="Subsection"/>
        <w:rPr>
          <w:snapToGrid w:val="0"/>
          <w:spacing w:val="-2"/>
        </w:rPr>
      </w:pPr>
      <w:r>
        <w:rPr>
          <w:snapToGrid w:val="0"/>
        </w:rPr>
        <w:tab/>
      </w:r>
      <w:r>
        <w:rPr>
          <w:snapToGrid w:val="0"/>
        </w:rPr>
        <w:tab/>
      </w:r>
      <w:r>
        <w:rPr>
          <w:snapToGrid w:val="0"/>
          <w:spacing w:val="-2"/>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[Section 32 amended by No. 40 of 1957 s. 15.]</w:t>
      </w:r>
    </w:p>
    <w:p>
      <w:pPr>
        <w:pStyle w:val="Heading5"/>
        <w:spacing w:before="180"/>
        <w:rPr>
          <w:snapToGrid w:val="0"/>
        </w:rPr>
      </w:pPr>
      <w:bookmarkStart w:id="95" w:name="_Toc378062284"/>
      <w:bookmarkStart w:id="96" w:name="_Toc425428098"/>
      <w:r>
        <w:rPr>
          <w:rStyle w:val="CharSectno"/>
        </w:rPr>
        <w:t>33</w:t>
      </w:r>
      <w:r>
        <w:rPr>
          <w:snapToGrid w:val="0"/>
        </w:rPr>
        <w:t>.</w:t>
      </w:r>
      <w:r>
        <w:rPr>
          <w:snapToGrid w:val="0"/>
        </w:rPr>
        <w:tab/>
        <w:t>Bills of sale, date of effect of</w:t>
      </w:r>
      <w:bookmarkEnd w:id="95"/>
      <w:bookmarkEnd w:id="96"/>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80"/>
        <w:rPr>
          <w:snapToGrid w:val="0"/>
        </w:rPr>
      </w:pPr>
      <w:bookmarkStart w:id="97" w:name="_Toc378062285"/>
      <w:bookmarkStart w:id="98" w:name="_Toc425428099"/>
      <w:r>
        <w:rPr>
          <w:rStyle w:val="CharSectno"/>
        </w:rPr>
        <w:t>34</w:t>
      </w:r>
      <w:r>
        <w:rPr>
          <w:snapToGrid w:val="0"/>
        </w:rPr>
        <w:t>.</w:t>
      </w:r>
      <w:r>
        <w:rPr>
          <w:snapToGrid w:val="0"/>
        </w:rPr>
        <w:tab/>
        <w:t>Priority of instruments affecting same chattels</w:t>
      </w:r>
      <w:bookmarkEnd w:id="97"/>
      <w:bookmarkEnd w:id="98"/>
    </w:p>
    <w:p>
      <w:pPr>
        <w:pStyle w:val="Subsection"/>
        <w:keepNext/>
        <w:keepLines/>
        <w:rPr>
          <w:snapToGrid w:val="0"/>
        </w:rPr>
      </w:pPr>
      <w:r>
        <w:rPr>
          <w:snapToGrid w:val="0"/>
        </w:rPr>
        <w:tab/>
        <w:t>(1)</w:t>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w:t>
      </w:r>
    </w:p>
    <w:p>
      <w:pPr>
        <w:pStyle w:val="Subsection"/>
        <w:rPr>
          <w:snapToGrid w:val="0"/>
        </w:rPr>
      </w:pPr>
      <w:r>
        <w:rPr>
          <w:snapToGrid w:val="0"/>
        </w:rPr>
        <w:tab/>
        <w:t>(2)</w:t>
      </w:r>
      <w:r>
        <w:rPr>
          <w:snapToGrid w:val="0"/>
        </w:rPr>
        <w:tab/>
        <w:t>Despite subsection (1), any such prior bill of sale shall not be affected if presented for registration within the time or extended time limited by this Act.</w:t>
      </w:r>
    </w:p>
    <w:p>
      <w:pPr>
        <w:pStyle w:val="Footnotesection"/>
      </w:pPr>
      <w:r>
        <w:tab/>
        <w:t>[Section 34 amended by No. 19 of 2010 s. 51.]</w:t>
      </w:r>
    </w:p>
    <w:p>
      <w:pPr>
        <w:pStyle w:val="Heading5"/>
        <w:spacing w:before="180"/>
        <w:rPr>
          <w:snapToGrid w:val="0"/>
        </w:rPr>
      </w:pPr>
      <w:bookmarkStart w:id="99" w:name="_Toc378062286"/>
      <w:bookmarkStart w:id="100" w:name="_Toc425428100"/>
      <w:r>
        <w:rPr>
          <w:rStyle w:val="CharSectno"/>
        </w:rPr>
        <w:t>35</w:t>
      </w:r>
      <w:r>
        <w:rPr>
          <w:snapToGrid w:val="0"/>
        </w:rPr>
        <w:t>.</w:t>
      </w:r>
      <w:r>
        <w:rPr>
          <w:snapToGrid w:val="0"/>
        </w:rPr>
        <w:tab/>
        <w:t>Avoidance of duplicate bills of sale</w:t>
      </w:r>
      <w:bookmarkEnd w:id="99"/>
      <w:bookmarkEnd w:id="100"/>
    </w:p>
    <w:p>
      <w:pPr>
        <w:pStyle w:val="Subsection"/>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spacing w:before="60"/>
        <w:ind w:left="890" w:hanging="890"/>
      </w:pPr>
      <w:r>
        <w:tab/>
        <w:t>[Section 35 amended by No. 40 of 1957 s. 16.]</w:t>
      </w:r>
    </w:p>
    <w:p>
      <w:pPr>
        <w:pStyle w:val="Ednotesection"/>
        <w:ind w:left="890" w:hanging="890"/>
      </w:pPr>
      <w:r>
        <w:t>[</w:t>
      </w:r>
      <w:r>
        <w:rPr>
          <w:b/>
        </w:rPr>
        <w:t>35A.</w:t>
      </w:r>
      <w:r>
        <w:tab/>
        <w:t>Deleted by No. 49 of 1983 s. 9.]</w:t>
      </w:r>
    </w:p>
    <w:p>
      <w:pPr>
        <w:pStyle w:val="Heading5"/>
        <w:keepNext w:val="0"/>
        <w:keepLines w:val="0"/>
        <w:rPr>
          <w:snapToGrid w:val="0"/>
        </w:rPr>
      </w:pPr>
      <w:bookmarkStart w:id="101" w:name="_Toc378062287"/>
      <w:bookmarkStart w:id="102" w:name="_Toc425428101"/>
      <w:r>
        <w:rPr>
          <w:rStyle w:val="CharSectno"/>
        </w:rPr>
        <w:t>36</w:t>
      </w:r>
      <w:r>
        <w:rPr>
          <w:snapToGrid w:val="0"/>
        </w:rPr>
        <w:t>.</w:t>
      </w:r>
      <w:r>
        <w:rPr>
          <w:snapToGrid w:val="0"/>
        </w:rPr>
        <w:tab/>
        <w:t>Grantee may bid for and purchase chattels and appoint etc. receiver</w:t>
      </w:r>
      <w:bookmarkEnd w:id="101"/>
      <w:bookmarkEnd w:id="102"/>
    </w:p>
    <w:p>
      <w:pPr>
        <w:pStyle w:val="Subsection"/>
        <w:rPr>
          <w:snapToGrid w:val="0"/>
        </w:rPr>
      </w:pPr>
      <w:r>
        <w:rPr>
          <w:snapToGrid w:val="0"/>
        </w:rPr>
        <w:tab/>
        <w:t>(1)</w:t>
      </w:r>
      <w:r>
        <w:rPr>
          <w:snapToGrid w:val="0"/>
        </w:rPr>
        <w:tab/>
        <w:t>Notwithstanding any rule of law or equity to the contrary, the grantee of any bill of sale by way of security may at any time after he has demanded payment of the moneys or performance of the conditions secured by such bill of sale —</w:t>
      </w:r>
    </w:p>
    <w:p>
      <w:pPr>
        <w:pStyle w:val="Indenta"/>
        <w:rPr>
          <w:snapToGrid w:val="0"/>
        </w:rPr>
      </w:pPr>
      <w:r>
        <w:rPr>
          <w:snapToGrid w:val="0"/>
        </w:rPr>
        <w:tab/>
        <w:t>(a)</w:t>
      </w:r>
      <w:r>
        <w:rPr>
          <w:snapToGrid w:val="0"/>
        </w:rPr>
        <w:tab/>
        <w:t>bid for and purchase the whole or any part or parts of the chattels comprised in such bill of sale at any public auction thereof held under the power of sale contained or implied in such bill of sale; and</w:t>
      </w:r>
    </w:p>
    <w:p>
      <w:pPr>
        <w:pStyle w:val="Indenta"/>
        <w:rPr>
          <w:snapToGrid w:val="0"/>
        </w:rPr>
      </w:pPr>
      <w:r>
        <w:rPr>
          <w:snapToGrid w:val="0"/>
        </w:rPr>
        <w:tab/>
        <w:t>(b)</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t>(2)</w:t>
      </w:r>
      <w:r>
        <w:rPr>
          <w:snapToGrid w:val="0"/>
        </w:rPr>
        <w:tab/>
        <w:t>The remuneration of such receiver and his costs and expenses shall be paid by the grantor, and shall be a first charge upon the chattels comprised in the bill of sale.</w:t>
      </w:r>
    </w:p>
    <w:p>
      <w:pPr>
        <w:pStyle w:val="Footnotesection"/>
      </w:pPr>
      <w:r>
        <w:tab/>
        <w:t>[Section 36 amended by No. 19 of 2010 s. 51.]</w:t>
      </w:r>
    </w:p>
    <w:p>
      <w:pPr>
        <w:pStyle w:val="Heading5"/>
        <w:rPr>
          <w:snapToGrid w:val="0"/>
        </w:rPr>
      </w:pPr>
      <w:bookmarkStart w:id="103" w:name="_Toc378062288"/>
      <w:bookmarkStart w:id="104" w:name="_Toc425428102"/>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103"/>
      <w:bookmarkEnd w:id="104"/>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[Section 36A inserted by No. 41 of 1925 s. 8.]</w:t>
      </w:r>
    </w:p>
    <w:p>
      <w:pPr>
        <w:pStyle w:val="Heading2"/>
      </w:pPr>
      <w:bookmarkStart w:id="105" w:name="_Toc378062289"/>
      <w:bookmarkStart w:id="106" w:name="_Toc425428103"/>
      <w:r>
        <w:rPr>
          <w:rStyle w:val="CharPartNo"/>
        </w:rPr>
        <w:t>Part IX</w:t>
      </w:r>
      <w:r>
        <w:rPr>
          <w:rStyle w:val="CharDivNo"/>
        </w:rPr>
        <w:t> </w:t>
      </w:r>
      <w:r>
        <w:t>—</w:t>
      </w:r>
      <w:r>
        <w:rPr>
          <w:rStyle w:val="CharDivText"/>
        </w:rPr>
        <w:t> </w:t>
      </w:r>
      <w:r>
        <w:rPr>
          <w:rStyle w:val="CharPartText"/>
        </w:rPr>
        <w:t>Bills of sale of stock</w:t>
      </w:r>
      <w:bookmarkEnd w:id="105"/>
      <w:bookmarkEnd w:id="106"/>
    </w:p>
    <w:p>
      <w:pPr>
        <w:pStyle w:val="Footnoteheading"/>
        <w:ind w:left="882" w:hanging="882"/>
      </w:pPr>
      <w:r>
        <w:tab/>
        <w:t>[Heading amended by No. 13 of 1906 s. 1A (as amended by No. 40 of 1957 s. 21).]</w:t>
      </w:r>
    </w:p>
    <w:p>
      <w:pPr>
        <w:pStyle w:val="Heading5"/>
        <w:rPr>
          <w:snapToGrid w:val="0"/>
        </w:rPr>
      </w:pPr>
      <w:bookmarkStart w:id="107" w:name="_Toc378062290"/>
      <w:bookmarkStart w:id="108" w:name="_Toc425428104"/>
      <w:r>
        <w:rPr>
          <w:rStyle w:val="CharSectno"/>
        </w:rPr>
        <w:t>37</w:t>
      </w:r>
      <w:r>
        <w:rPr>
          <w:snapToGrid w:val="0"/>
        </w:rPr>
        <w:t>.</w:t>
      </w:r>
      <w:r>
        <w:rPr>
          <w:snapToGrid w:val="0"/>
        </w:rPr>
        <w:tab/>
        <w:t>Stock to be described etc.</w:t>
      </w:r>
      <w:bookmarkEnd w:id="107"/>
      <w:bookmarkEnd w:id="108"/>
    </w:p>
    <w:p>
      <w:pPr>
        <w:pStyle w:val="Subsection"/>
        <w:rPr>
          <w:snapToGrid w:val="0"/>
        </w:rPr>
      </w:pPr>
      <w:r>
        <w:rPr>
          <w:snapToGrid w:val="0"/>
        </w:rPr>
        <w:tab/>
        <w:t>(1)</w:t>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w:t>
      </w:r>
    </w:p>
    <w:p>
      <w:pPr>
        <w:pStyle w:val="Subsection"/>
        <w:rPr>
          <w:snapToGrid w:val="0"/>
        </w:rPr>
      </w:pPr>
      <w:r>
        <w:rPr>
          <w:snapToGrid w:val="0"/>
        </w:rPr>
        <w:tab/>
        <w:t>(2)</w:t>
      </w:r>
      <w:r>
        <w:rPr>
          <w:snapToGrid w:val="0"/>
        </w:rPr>
        <w:tab/>
        <w:t>Despite subsection (1), in any bill of sale over stock on any station or farm such stock shall be sufficiently identified by reference to the places where the same are usually depasturing.</w:t>
      </w:r>
    </w:p>
    <w:p>
      <w:pPr>
        <w:pStyle w:val="Footnotesection"/>
      </w:pPr>
      <w:r>
        <w:tab/>
        <w:t>[Section 37 amended by No. 19 of 2010 s. 51.]</w:t>
      </w:r>
    </w:p>
    <w:p>
      <w:pPr>
        <w:pStyle w:val="Heading5"/>
        <w:rPr>
          <w:snapToGrid w:val="0"/>
        </w:rPr>
      </w:pPr>
      <w:bookmarkStart w:id="109" w:name="_Toc378062291"/>
      <w:bookmarkStart w:id="110" w:name="_Toc425428105"/>
      <w:r>
        <w:rPr>
          <w:rStyle w:val="CharSectno"/>
        </w:rPr>
        <w:t>38</w:t>
      </w:r>
      <w:r>
        <w:rPr>
          <w:snapToGrid w:val="0"/>
        </w:rPr>
        <w:t>.</w:t>
      </w:r>
      <w:r>
        <w:rPr>
          <w:snapToGrid w:val="0"/>
        </w:rPr>
        <w:tab/>
        <w:t>Bill of sale of stock to include progeny</w:t>
      </w:r>
      <w:bookmarkEnd w:id="109"/>
      <w:bookmarkEnd w:id="110"/>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111" w:name="_Toc378062292"/>
      <w:bookmarkStart w:id="112" w:name="_Toc425428106"/>
      <w:r>
        <w:rPr>
          <w:rStyle w:val="CharPartNo"/>
        </w:rPr>
        <w:t>Part X</w:t>
      </w:r>
      <w:r>
        <w:rPr>
          <w:rStyle w:val="CharDivNo"/>
        </w:rPr>
        <w:t> </w:t>
      </w:r>
      <w:r>
        <w:t>—</w:t>
      </w:r>
      <w:r>
        <w:rPr>
          <w:rStyle w:val="CharDivText"/>
        </w:rPr>
        <w:t> </w:t>
      </w:r>
      <w:r>
        <w:rPr>
          <w:rStyle w:val="CharPartText"/>
        </w:rPr>
        <w:t>Bill of sale over crops</w:t>
      </w:r>
      <w:bookmarkEnd w:id="111"/>
      <w:bookmarkEnd w:id="112"/>
    </w:p>
    <w:p>
      <w:pPr>
        <w:pStyle w:val="Footnoteheading"/>
        <w:ind w:left="882" w:hanging="882"/>
      </w:pPr>
      <w:r>
        <w:tab/>
        <w:t>[Heading amended by No. 13 of 1906 s. 1A (as amended by No. 40 of 1957 s. 21).]</w:t>
      </w:r>
    </w:p>
    <w:p>
      <w:pPr>
        <w:pStyle w:val="Heading5"/>
        <w:rPr>
          <w:snapToGrid w:val="0"/>
        </w:rPr>
      </w:pPr>
      <w:bookmarkStart w:id="113" w:name="_Toc378062293"/>
      <w:bookmarkStart w:id="114" w:name="_Toc425428107"/>
      <w:r>
        <w:rPr>
          <w:rStyle w:val="CharSectno"/>
        </w:rPr>
        <w:t>39</w:t>
      </w:r>
      <w:r>
        <w:rPr>
          <w:snapToGrid w:val="0"/>
        </w:rPr>
        <w:t>.</w:t>
      </w:r>
      <w:r>
        <w:rPr>
          <w:snapToGrid w:val="0"/>
        </w:rPr>
        <w:tab/>
        <w:t>Bill of sale may be granted over crops</w:t>
      </w:r>
      <w:bookmarkEnd w:id="113"/>
      <w:bookmarkEnd w:id="114"/>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[Section 39 amended by No. 24 of 1914 s. 7.]</w:t>
      </w:r>
    </w:p>
    <w:p>
      <w:pPr>
        <w:pStyle w:val="Heading5"/>
        <w:rPr>
          <w:snapToGrid w:val="0"/>
        </w:rPr>
      </w:pPr>
      <w:bookmarkStart w:id="115" w:name="_Toc378062294"/>
      <w:bookmarkStart w:id="116" w:name="_Toc425428108"/>
      <w:r>
        <w:rPr>
          <w:rStyle w:val="CharSectno"/>
        </w:rPr>
        <w:t>40</w:t>
      </w:r>
      <w:r>
        <w:rPr>
          <w:snapToGrid w:val="0"/>
        </w:rPr>
        <w:t>.</w:t>
      </w:r>
      <w:r>
        <w:rPr>
          <w:snapToGrid w:val="0"/>
        </w:rPr>
        <w:tab/>
        <w:t>Bill of sale cannot be granted over some crops</w:t>
      </w:r>
      <w:bookmarkEnd w:id="115"/>
      <w:bookmarkEnd w:id="116"/>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one year from the date of the execution of such bill of sale.</w:t>
      </w:r>
    </w:p>
    <w:p>
      <w:pPr>
        <w:pStyle w:val="Heading5"/>
        <w:rPr>
          <w:snapToGrid w:val="0"/>
        </w:rPr>
      </w:pPr>
      <w:bookmarkStart w:id="117" w:name="_Toc378062295"/>
      <w:bookmarkStart w:id="118" w:name="_Toc425428109"/>
      <w:r>
        <w:rPr>
          <w:rStyle w:val="CharSectno"/>
        </w:rPr>
        <w:t>41</w:t>
      </w:r>
      <w:r>
        <w:rPr>
          <w:snapToGrid w:val="0"/>
        </w:rPr>
        <w:t>.</w:t>
      </w:r>
      <w:r>
        <w:rPr>
          <w:snapToGrid w:val="0"/>
        </w:rPr>
        <w:tab/>
        <w:t>Saving of rights of landlord and mortgagee</w:t>
      </w:r>
      <w:bookmarkEnd w:id="117"/>
      <w:bookmarkEnd w:id="118"/>
    </w:p>
    <w:p>
      <w:pPr>
        <w:pStyle w:val="Subsection"/>
        <w:rPr>
          <w:snapToGrid w:val="0"/>
        </w:rPr>
      </w:pPr>
      <w:r>
        <w:rPr>
          <w:snapToGrid w:val="0"/>
        </w:rPr>
        <w:tab/>
        <w:t>(1)</w:t>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w:t>
      </w:r>
    </w:p>
    <w:p>
      <w:pPr>
        <w:pStyle w:val="Subsection"/>
        <w:rPr>
          <w:snapToGrid w:val="0"/>
        </w:rPr>
      </w:pPr>
      <w:r>
        <w:rPr>
          <w:snapToGrid w:val="0"/>
        </w:rPr>
        <w:tab/>
        <w:t>(2)</w:t>
      </w:r>
      <w:r>
        <w:rPr>
          <w:snapToGrid w:val="0"/>
        </w:rPr>
        <w:tab/>
        <w:t>No such bill of sale, if duly registered, shall be prejudicially affected by any subsequent sale, lease, mortgage, or other encumbrance of or upon the land described or referred to in such bill of sale, or in the schedule thereto.</w:t>
      </w:r>
    </w:p>
    <w:p>
      <w:pPr>
        <w:pStyle w:val="Footnotesection"/>
      </w:pPr>
      <w:r>
        <w:tab/>
        <w:t>[Section 41 amended by No. 19 of 2010 s. 51.]</w:t>
      </w:r>
    </w:p>
    <w:p>
      <w:pPr>
        <w:pStyle w:val="Heading2"/>
      </w:pPr>
      <w:bookmarkStart w:id="119" w:name="_Toc378062296"/>
      <w:bookmarkStart w:id="120" w:name="_Toc425428110"/>
      <w:r>
        <w:rPr>
          <w:rStyle w:val="CharPartNo"/>
        </w:rPr>
        <w:t>Part XI</w:t>
      </w:r>
      <w:r>
        <w:rPr>
          <w:rStyle w:val="CharDivNo"/>
        </w:rPr>
        <w:t> </w:t>
      </w:r>
      <w:r>
        <w:t>—</w:t>
      </w:r>
      <w:r>
        <w:rPr>
          <w:rStyle w:val="CharDivText"/>
        </w:rPr>
        <w:t> </w:t>
      </w:r>
      <w:r>
        <w:rPr>
          <w:rStyle w:val="CharPartText"/>
        </w:rPr>
        <w:t>Bill of sale over wool</w:t>
      </w:r>
      <w:bookmarkEnd w:id="119"/>
      <w:bookmarkEnd w:id="120"/>
    </w:p>
    <w:p>
      <w:pPr>
        <w:pStyle w:val="Footnoteheading"/>
        <w:ind w:left="882" w:hanging="882"/>
      </w:pPr>
      <w:r>
        <w:tab/>
        <w:t>[Heading amended by No. 13 of 1906 s. 1A (as amended by No. 40 of 1957 s. 21).]</w:t>
      </w:r>
    </w:p>
    <w:p>
      <w:pPr>
        <w:pStyle w:val="Heading5"/>
        <w:rPr>
          <w:snapToGrid w:val="0"/>
        </w:rPr>
      </w:pPr>
      <w:bookmarkStart w:id="121" w:name="_Toc378062297"/>
      <w:bookmarkStart w:id="122" w:name="_Toc425428111"/>
      <w:r>
        <w:rPr>
          <w:rStyle w:val="CharSectno"/>
        </w:rPr>
        <w:t>42</w:t>
      </w:r>
      <w:r>
        <w:rPr>
          <w:snapToGrid w:val="0"/>
        </w:rPr>
        <w:t>.</w:t>
      </w:r>
      <w:r>
        <w:rPr>
          <w:snapToGrid w:val="0"/>
        </w:rPr>
        <w:tab/>
        <w:t>Bill of sale over wool</w:t>
      </w:r>
      <w:bookmarkEnd w:id="121"/>
      <w:bookmarkEnd w:id="122"/>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[Section 42 amended by No. 102 of 1987 s. 6.]</w:t>
      </w:r>
    </w:p>
    <w:p>
      <w:pPr>
        <w:pStyle w:val="Heading5"/>
        <w:rPr>
          <w:snapToGrid w:val="0"/>
        </w:rPr>
      </w:pPr>
      <w:bookmarkStart w:id="123" w:name="_Toc378062298"/>
      <w:bookmarkStart w:id="124" w:name="_Toc425428112"/>
      <w:r>
        <w:rPr>
          <w:rStyle w:val="CharSectno"/>
        </w:rPr>
        <w:t>43</w:t>
      </w:r>
      <w:r>
        <w:rPr>
          <w:snapToGrid w:val="0"/>
        </w:rPr>
        <w:t>.</w:t>
      </w:r>
      <w:r>
        <w:rPr>
          <w:snapToGrid w:val="0"/>
        </w:rPr>
        <w:tab/>
        <w:t>Bill of sale over wool not affected by subsequent sale etc. of stock</w:t>
      </w:r>
      <w:bookmarkEnd w:id="123"/>
      <w:bookmarkEnd w:id="124"/>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[Section 43 amended by No. 102 of 1987 s. 6.]</w:t>
      </w:r>
    </w:p>
    <w:p>
      <w:pPr>
        <w:pStyle w:val="Heading5"/>
        <w:rPr>
          <w:snapToGrid w:val="0"/>
        </w:rPr>
      </w:pPr>
      <w:bookmarkStart w:id="125" w:name="_Toc378062299"/>
      <w:bookmarkStart w:id="126" w:name="_Toc425428113"/>
      <w:r>
        <w:rPr>
          <w:rStyle w:val="CharSectno"/>
        </w:rPr>
        <w:t>44</w:t>
      </w:r>
      <w:r>
        <w:rPr>
          <w:snapToGrid w:val="0"/>
        </w:rPr>
        <w:t>.</w:t>
      </w:r>
      <w:r>
        <w:rPr>
          <w:snapToGrid w:val="0"/>
        </w:rPr>
        <w:tab/>
        <w:t>Form of bill of sale (Fourth Sch.)</w:t>
      </w:r>
      <w:bookmarkEnd w:id="125"/>
      <w:bookmarkEnd w:id="126"/>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127" w:name="_Toc378062300"/>
      <w:bookmarkStart w:id="128" w:name="_Toc425428114"/>
      <w:r>
        <w:rPr>
          <w:rStyle w:val="CharSectno"/>
        </w:rPr>
        <w:t>45</w:t>
      </w:r>
      <w:r>
        <w:rPr>
          <w:snapToGrid w:val="0"/>
        </w:rPr>
        <w:t>.</w:t>
      </w:r>
      <w:r>
        <w:rPr>
          <w:snapToGrid w:val="0"/>
        </w:rPr>
        <w:tab/>
        <w:t>Bill of sale over wool of mortgaged sheep</w:t>
      </w:r>
      <w:bookmarkEnd w:id="127"/>
      <w:bookmarkEnd w:id="128"/>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129" w:name="_Toc378062301"/>
      <w:bookmarkStart w:id="130" w:name="_Toc425428115"/>
      <w:r>
        <w:rPr>
          <w:rStyle w:val="CharPartNo"/>
        </w:rPr>
        <w:t>Part XII</w:t>
      </w:r>
      <w:r>
        <w:rPr>
          <w:rStyle w:val="CharDivNo"/>
        </w:rPr>
        <w:t> </w:t>
      </w:r>
      <w:r>
        <w:t>—</w:t>
      </w:r>
      <w:r>
        <w:rPr>
          <w:rStyle w:val="CharDivText"/>
        </w:rPr>
        <w:t> </w:t>
      </w:r>
      <w:r>
        <w:rPr>
          <w:rStyle w:val="CharPartText"/>
        </w:rPr>
        <w:t>Miscellaneous</w:t>
      </w:r>
      <w:bookmarkEnd w:id="129"/>
      <w:bookmarkEnd w:id="130"/>
    </w:p>
    <w:p>
      <w:pPr>
        <w:pStyle w:val="Footnoteheading"/>
        <w:spacing w:before="100"/>
        <w:ind w:left="885" w:hanging="885"/>
      </w:pPr>
      <w:r>
        <w:tab/>
        <w:t>[Heading amended by No. 13 of 1906 s. 1A (as amended by No. 40 of 1957 s. 21).]</w:t>
      </w:r>
    </w:p>
    <w:p>
      <w:pPr>
        <w:pStyle w:val="Ednotesection"/>
        <w:spacing w:before="200"/>
      </w:pPr>
      <w:r>
        <w:t>[</w:t>
      </w:r>
      <w:r>
        <w:rPr>
          <w:b/>
        </w:rPr>
        <w:t>46.</w:t>
      </w:r>
      <w:r>
        <w:tab/>
        <w:t>Deleted by No. 24 of 1914 s. 8.]</w:t>
      </w:r>
    </w:p>
    <w:p>
      <w:pPr>
        <w:pStyle w:val="Heading5"/>
        <w:spacing w:before="200"/>
        <w:rPr>
          <w:snapToGrid w:val="0"/>
        </w:rPr>
      </w:pPr>
      <w:bookmarkStart w:id="131" w:name="_Toc378062302"/>
      <w:bookmarkStart w:id="132" w:name="_Toc425428116"/>
      <w:r>
        <w:rPr>
          <w:rStyle w:val="CharSectno"/>
        </w:rPr>
        <w:t>47</w:t>
      </w:r>
      <w:r>
        <w:rPr>
          <w:snapToGrid w:val="0"/>
        </w:rPr>
        <w:t>.</w:t>
      </w:r>
      <w:r>
        <w:rPr>
          <w:snapToGrid w:val="0"/>
        </w:rPr>
        <w:tab/>
        <w:t>Covenants to be joint and several</w:t>
      </w:r>
      <w:bookmarkEnd w:id="131"/>
      <w:bookmarkEnd w:id="132"/>
    </w:p>
    <w:p>
      <w:pPr>
        <w:pStyle w:val="Subsection"/>
        <w:spacing w:before="140"/>
        <w:rPr>
          <w:snapToGrid w:val="0"/>
        </w:rPr>
      </w:pPr>
      <w:r>
        <w:rPr>
          <w:snapToGrid w:val="0"/>
        </w:rPr>
        <w:tab/>
      </w:r>
      <w:r>
        <w:rPr>
          <w:snapToGrid w:val="0"/>
        </w:rPr>
        <w:tab/>
        <w:t>Whenever there is more than one grantor or more than one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spacing w:before="200"/>
        <w:rPr>
          <w:snapToGrid w:val="0"/>
        </w:rPr>
      </w:pPr>
      <w:bookmarkStart w:id="133" w:name="_Toc378062303"/>
      <w:bookmarkStart w:id="134" w:name="_Toc425428117"/>
      <w:r>
        <w:rPr>
          <w:rStyle w:val="CharSectno"/>
        </w:rPr>
        <w:t>48</w:t>
      </w:r>
      <w:r>
        <w:rPr>
          <w:snapToGrid w:val="0"/>
        </w:rPr>
        <w:t>.</w:t>
      </w:r>
      <w:r>
        <w:rPr>
          <w:snapToGrid w:val="0"/>
        </w:rPr>
        <w:tab/>
        <w:t>Covenants to bind representatives</w:t>
      </w:r>
      <w:bookmarkEnd w:id="133"/>
      <w:bookmarkEnd w:id="134"/>
    </w:p>
    <w:p>
      <w:pPr>
        <w:pStyle w:val="Subsection"/>
        <w:spacing w:before="140"/>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135" w:name="_Toc378062304"/>
      <w:bookmarkStart w:id="136" w:name="_Toc425428118"/>
      <w:r>
        <w:rPr>
          <w:rStyle w:val="CharSectno"/>
        </w:rPr>
        <w:t>48A</w:t>
      </w:r>
      <w:r>
        <w:rPr>
          <w:snapToGrid w:val="0"/>
        </w:rPr>
        <w:t>.</w:t>
      </w:r>
      <w:r>
        <w:rPr>
          <w:snapToGrid w:val="0"/>
        </w:rPr>
        <w:tab/>
        <w:t>Regulations</w:t>
      </w:r>
      <w:bookmarkEnd w:id="135"/>
      <w:bookmarkEnd w:id="136"/>
    </w:p>
    <w:p>
      <w:pPr>
        <w:pStyle w:val="Subsection"/>
        <w:spacing w:before="140"/>
        <w:rPr>
          <w:snapToGrid w:val="0"/>
        </w:rPr>
      </w:pPr>
      <w:r>
        <w:rPr>
          <w:snapToGrid w:val="0"/>
        </w:rPr>
        <w:tab/>
      </w:r>
      <w:r>
        <w:rPr>
          <w:snapToGrid w:val="0"/>
        </w:rPr>
        <w:tab/>
        <w:t>The Governor may make regulations prescribing the fees to be paid —</w:t>
      </w:r>
    </w:p>
    <w:p>
      <w:pPr>
        <w:pStyle w:val="Indenta"/>
        <w:spacing w:before="60"/>
        <w:rPr>
          <w:snapToGrid w:val="0"/>
        </w:rPr>
      </w:pPr>
      <w:r>
        <w:rPr>
          <w:snapToGrid w:val="0"/>
        </w:rPr>
        <w:tab/>
        <w:t>(a)</w:t>
      </w:r>
      <w:r>
        <w:rPr>
          <w:snapToGrid w:val="0"/>
        </w:rPr>
        <w:tab/>
        <w:t>in respect of any applications made under this Act; and</w:t>
      </w:r>
    </w:p>
    <w:p>
      <w:pPr>
        <w:pStyle w:val="Indenta"/>
        <w:spacing w:before="60"/>
        <w:rPr>
          <w:snapToGrid w:val="0"/>
        </w:rPr>
      </w:pPr>
      <w:r>
        <w:rPr>
          <w:snapToGrid w:val="0"/>
        </w:rPr>
        <w:tab/>
        <w:t>(b)</w:t>
      </w:r>
      <w:r>
        <w:rPr>
          <w:snapToGrid w:val="0"/>
        </w:rPr>
        <w:tab/>
        <w:t>for registration or for the renewal of registration made under this Act; and</w:t>
      </w:r>
    </w:p>
    <w:p>
      <w:pPr>
        <w:pStyle w:val="Indenta"/>
        <w:keepNext/>
        <w:spacing w:before="60"/>
        <w:rPr>
          <w:snapToGrid w:val="0"/>
        </w:rPr>
      </w:pPr>
      <w:r>
        <w:rPr>
          <w:snapToGrid w:val="0"/>
        </w:rPr>
        <w:tab/>
        <w:t>(c)</w:t>
      </w:r>
      <w:r>
        <w:rPr>
          <w:snapToGrid w:val="0"/>
        </w:rPr>
        <w:tab/>
        <w:t>for any service, function or procedure provided or contemplated by this Act,</w:t>
      </w:r>
    </w:p>
    <w:p>
      <w:pPr>
        <w:pStyle w:val="Subsection"/>
        <w:spacing w:before="120"/>
        <w:rPr>
          <w:snapToGrid w:val="0"/>
        </w:rPr>
      </w:pPr>
      <w:r>
        <w:rPr>
          <w:snapToGrid w:val="0"/>
        </w:rPr>
        <w:tab/>
      </w:r>
      <w:r>
        <w:rPr>
          <w:snapToGrid w:val="0"/>
        </w:rPr>
        <w:tab/>
        <w:t>and providing for the payment and recovery of such fees.</w:t>
      </w:r>
    </w:p>
    <w:p>
      <w:pPr>
        <w:pStyle w:val="Footnotesection"/>
        <w:spacing w:before="100"/>
        <w:ind w:left="890" w:hanging="890"/>
      </w:pPr>
      <w:r>
        <w:tab/>
        <w:t>[Section 48A inserted by No. 49 of 1983 s. 10.]</w:t>
      </w:r>
    </w:p>
    <w:p>
      <w:pPr>
        <w:pStyle w:val="Ednotesection"/>
      </w:pPr>
      <w:r>
        <w:t>[</w:t>
      </w:r>
      <w:r>
        <w:rPr>
          <w:b/>
        </w:rPr>
        <w:t>49.</w:t>
      </w:r>
      <w:r>
        <w:tab/>
        <w:t>Deleted by 1 and 2 Edw. VII., No. 14 (1902).]</w:t>
      </w:r>
    </w:p>
    <w:p>
      <w:pPr>
        <w:pStyle w:val="Heading5"/>
        <w:rPr>
          <w:snapToGrid w:val="0"/>
        </w:rPr>
      </w:pPr>
      <w:bookmarkStart w:id="137" w:name="_Toc378062305"/>
      <w:bookmarkStart w:id="138" w:name="_Toc425428119"/>
      <w:r>
        <w:rPr>
          <w:rStyle w:val="CharSectno"/>
        </w:rPr>
        <w:t>50</w:t>
      </w:r>
      <w:r>
        <w:rPr>
          <w:snapToGrid w:val="0"/>
        </w:rPr>
        <w:t>.</w:t>
      </w:r>
      <w:r>
        <w:rPr>
          <w:snapToGrid w:val="0"/>
        </w:rPr>
        <w:tab/>
        <w:t>Rules</w:t>
      </w:r>
      <w:bookmarkEnd w:id="137"/>
      <w:bookmarkEnd w:id="138"/>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139" w:name="_Toc378062306"/>
      <w:bookmarkStart w:id="140" w:name="_Toc425428120"/>
      <w:r>
        <w:rPr>
          <w:rStyle w:val="CharSectno"/>
        </w:rPr>
        <w:t>50A</w:t>
      </w:r>
      <w:r>
        <w:rPr>
          <w:snapToGrid w:val="0"/>
        </w:rPr>
        <w:t>.</w:t>
      </w:r>
      <w:r>
        <w:rPr>
          <w:snapToGrid w:val="0"/>
        </w:rPr>
        <w:tab/>
      </w:r>
      <w:r>
        <w:rPr>
          <w:i/>
          <w:snapToGrid w:val="0"/>
        </w:rPr>
        <w:t>Bills of Sale Act Amendment Act 1925</w:t>
      </w:r>
      <w:r>
        <w:rPr>
          <w:snapToGrid w:val="0"/>
        </w:rPr>
        <w:t xml:space="preserve"> has no retrospective effect</w:t>
      </w:r>
      <w:bookmarkEnd w:id="139"/>
      <w:bookmarkEnd w:id="140"/>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[Section 50A inserted by No. 41 of 1925 s. 10 (as amended by No. 40 of 1957 s. 21).]</w:t>
      </w:r>
    </w:p>
    <w:p>
      <w:pPr>
        <w:pStyle w:val="Heading2"/>
      </w:pPr>
      <w:bookmarkStart w:id="141" w:name="_Toc378062307"/>
      <w:bookmarkStart w:id="142" w:name="_Toc425428121"/>
      <w:r>
        <w:rPr>
          <w:rStyle w:val="CharPartNo"/>
        </w:rPr>
        <w:t>Part XIII</w:t>
      </w:r>
      <w:r>
        <w:rPr>
          <w:rStyle w:val="CharDivNo"/>
        </w:rPr>
        <w:t> </w:t>
      </w:r>
      <w:r>
        <w:t>—</w:t>
      </w:r>
      <w:r>
        <w:rPr>
          <w:rStyle w:val="CharDivText"/>
        </w:rPr>
        <w:t> </w:t>
      </w:r>
      <w:r>
        <w:rPr>
          <w:rStyle w:val="CharPartText"/>
        </w:rPr>
        <w:t>Debentures</w:t>
      </w:r>
      <w:bookmarkEnd w:id="141"/>
      <w:bookmarkEnd w:id="142"/>
    </w:p>
    <w:p>
      <w:pPr>
        <w:pStyle w:val="Footnoteheading"/>
        <w:ind w:left="882" w:hanging="882"/>
      </w:pPr>
      <w:r>
        <w:tab/>
        <w:t>[Heading amended by No. 13 of 1906 s. 1A (as amended by No. 40 of 1957 s. 21).]</w:t>
      </w:r>
    </w:p>
    <w:p>
      <w:pPr>
        <w:pStyle w:val="Heading5"/>
        <w:rPr>
          <w:snapToGrid w:val="0"/>
        </w:rPr>
      </w:pPr>
      <w:bookmarkStart w:id="143" w:name="_Toc378062308"/>
      <w:bookmarkStart w:id="144" w:name="_Toc425428122"/>
      <w:r>
        <w:rPr>
          <w:rStyle w:val="CharSectno"/>
        </w:rPr>
        <w:t>51</w:t>
      </w:r>
      <w:r>
        <w:rPr>
          <w:snapToGrid w:val="0"/>
        </w:rPr>
        <w:t>.</w:t>
      </w:r>
      <w:r>
        <w:rPr>
          <w:snapToGrid w:val="0"/>
        </w:rPr>
        <w:tab/>
        <w:t>Registration of debentures</w:t>
      </w:r>
      <w:bookmarkEnd w:id="143"/>
      <w:bookmarkEnd w:id="144"/>
    </w:p>
    <w:p>
      <w:pPr>
        <w:pStyle w:val="Subsection"/>
        <w:rPr>
          <w:snapToGrid w:val="0"/>
        </w:rPr>
      </w:pPr>
      <w:r>
        <w:rPr>
          <w:snapToGrid w:val="0"/>
        </w:rPr>
        <w:tab/>
        <w:t>(1A)</w:t>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manner set out in subsections (1), (2) and (3).</w:t>
      </w:r>
    </w:p>
    <w:p>
      <w:pPr>
        <w:pStyle w:val="Subsection"/>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Subsection"/>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t>(3)</w:t>
      </w:r>
      <w:r>
        <w:rPr>
          <w:snapToGrid w:val="0"/>
        </w:rPr>
        <w:tab/>
        <w:t>The renewal of registration of any one debenture of a series shall be deemed a renewal of all the debentures of such series.</w:t>
      </w:r>
    </w:p>
    <w:p>
      <w:pPr>
        <w:pStyle w:val="Footnotesection"/>
      </w:pPr>
      <w:r>
        <w:tab/>
        <w:t>[Section 51 amended by No. 40 of 1957 s. 17; No. 10 of 1982 s. 28; No. 10 of 2001 s. 27; No. 19 of 2010 s. 51.]</w:t>
      </w:r>
    </w:p>
    <w:p>
      <w:pPr>
        <w:pStyle w:val="Heading5"/>
        <w:spacing w:before="260"/>
        <w:rPr>
          <w:snapToGrid w:val="0"/>
        </w:rPr>
      </w:pPr>
      <w:bookmarkStart w:id="145" w:name="_Toc378062309"/>
      <w:bookmarkStart w:id="146" w:name="_Toc425428123"/>
      <w:r>
        <w:rPr>
          <w:rStyle w:val="CharSectno"/>
        </w:rPr>
        <w:t>52</w:t>
      </w:r>
      <w:r>
        <w:rPr>
          <w:snapToGrid w:val="0"/>
        </w:rPr>
        <w:t>.</w:t>
      </w:r>
      <w:r>
        <w:rPr>
          <w:snapToGrid w:val="0"/>
        </w:rPr>
        <w:tab/>
        <w:t>Application of certain sections to debentures</w:t>
      </w:r>
      <w:bookmarkEnd w:id="145"/>
      <w:bookmarkEnd w:id="146"/>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[Section 52 amended by No. 40 of 1957 s. 18.]</w:t>
      </w:r>
    </w:p>
    <w:p>
      <w:pPr>
        <w:pStyle w:val="Heading5"/>
        <w:spacing w:before="260"/>
        <w:rPr>
          <w:snapToGrid w:val="0"/>
        </w:rPr>
      </w:pPr>
      <w:bookmarkStart w:id="147" w:name="_Toc378062310"/>
      <w:bookmarkStart w:id="148" w:name="_Toc425428124"/>
      <w:r>
        <w:rPr>
          <w:rStyle w:val="CharSectno"/>
        </w:rPr>
        <w:t>53</w:t>
      </w:r>
      <w:r>
        <w:rPr>
          <w:snapToGrid w:val="0"/>
        </w:rPr>
        <w:t>.</w:t>
      </w:r>
      <w:r>
        <w:rPr>
          <w:snapToGrid w:val="0"/>
        </w:rPr>
        <w:tab/>
        <w:t>When more than one debenture issued</w:t>
      </w:r>
      <w:bookmarkEnd w:id="147"/>
      <w:bookmarkEnd w:id="148"/>
    </w:p>
    <w:p>
      <w:pPr>
        <w:pStyle w:val="Subsection"/>
        <w:rPr>
          <w:snapToGrid w:val="0"/>
        </w:rPr>
      </w:pPr>
      <w:r>
        <w:rPr>
          <w:snapToGrid w:val="0"/>
        </w:rPr>
        <w:tab/>
        <w:t>(1)</w:t>
      </w:r>
      <w:r>
        <w:rPr>
          <w:snapToGrid w:val="0"/>
        </w:rPr>
        <w:tab/>
        <w:t>If more than one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w:t>
      </w:r>
    </w:p>
    <w:p>
      <w:pPr>
        <w:pStyle w:val="Subsection"/>
        <w:rPr>
          <w:snapToGrid w:val="0"/>
        </w:rPr>
      </w:pPr>
      <w:r>
        <w:rPr>
          <w:snapToGrid w:val="0"/>
        </w:rPr>
        <w:tab/>
        <w:t>(2)</w:t>
      </w:r>
      <w:r>
        <w:rPr>
          <w:snapToGrid w:val="0"/>
        </w:rPr>
        <w:tab/>
        <w:t>Despite subsection (1), no debenture of any such series shall be protected or be deemed registered unless the same is actually issued and taken up or allotted within 6 weeks from the compliance with the provisions of section 51, or within such extended time as next hereinafter mentioned.</w:t>
      </w:r>
    </w:p>
    <w:p>
      <w:pPr>
        <w:pStyle w:val="Subsection"/>
        <w:rPr>
          <w:snapToGrid w:val="0"/>
        </w:rPr>
      </w:pPr>
      <w:r>
        <w:tab/>
        <w:t>(3)</w:t>
      </w:r>
      <w:r>
        <w:tab/>
        <w:t>A judge</w:t>
      </w:r>
      <w:r>
        <w:rPr>
          <w:snapToGrid w:val="0"/>
        </w:rPr>
        <w:t xml:space="preserve"> of the Supreme Court shall have power to extend the time for issuing, taking up, or allotting any such debenture on such terms and conditions as he may think fit.</w:t>
      </w:r>
    </w:p>
    <w:p>
      <w:pPr>
        <w:pStyle w:val="Footnotesection"/>
      </w:pPr>
      <w:r>
        <w:tab/>
        <w:t>[Section 53 amended by No. 24 of 1914 s. 9; No. 40 of 1957 s. 19; No. 19 of 2010 s. 51.]</w:t>
      </w:r>
    </w:p>
    <w:p>
      <w:pPr>
        <w:pStyle w:val="Ednotesection"/>
      </w:pPr>
      <w:r>
        <w:t>[</w:t>
      </w:r>
      <w:r>
        <w:rPr>
          <w:b/>
        </w:rPr>
        <w:t>54.</w:t>
      </w:r>
      <w:r>
        <w:tab/>
        <w:t>Deleted by No. 102 of 1987 s. 7.]</w:t>
      </w:r>
    </w:p>
    <w:p>
      <w:pPr>
        <w:pStyle w:val="yEdnoteschedule"/>
      </w:pPr>
      <w:r>
        <w:t>[First Schedule omitted under the Reprints Act 1984 s. 7(4)(f).]</w:t>
      </w:r>
    </w:p>
    <w:p>
      <w:p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49" w:name="_Toc378062311"/>
      <w:bookmarkStart w:id="150" w:name="_Toc425428125"/>
      <w:r>
        <w:rPr>
          <w:rStyle w:val="CharSchNo"/>
        </w:rPr>
        <w:t>Second Schedule</w:t>
      </w:r>
      <w:r>
        <w:t xml:space="preserve"> — </w:t>
      </w:r>
      <w:r>
        <w:rPr>
          <w:rStyle w:val="CharSchText"/>
        </w:rPr>
        <w:t>Register book</w:t>
      </w:r>
      <w:bookmarkEnd w:id="149"/>
      <w:bookmarkEnd w:id="150"/>
    </w:p>
    <w:p>
      <w:pPr>
        <w:pStyle w:val="yShoulderClause"/>
        <w:rPr>
          <w:snapToGrid w:val="0"/>
        </w:rPr>
      </w:pPr>
      <w:r>
        <w:rPr>
          <w:snapToGrid w:val="0"/>
        </w:rPr>
        <w:t>[s. 11]</w:t>
      </w:r>
    </w:p>
    <w:p>
      <w:pPr>
        <w:pStyle w:val="yFootnoteheading"/>
        <w:spacing w:after="80"/>
        <w:rPr>
          <w:b/>
          <w:snapToGrid w:val="0"/>
        </w:rPr>
      </w:pPr>
      <w:r>
        <w:tab/>
        <w:t>[Heading amended by No. 19 of 2010 s. 4.]</w:t>
      </w:r>
    </w:p>
    <w:tbl>
      <w:tblPr>
        <w:tblW w:w="7350"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44"/>
        <w:gridCol w:w="574"/>
        <w:gridCol w:w="588"/>
        <w:gridCol w:w="786"/>
        <w:gridCol w:w="402"/>
        <w:gridCol w:w="727"/>
        <w:gridCol w:w="528"/>
        <w:gridCol w:w="561"/>
        <w:gridCol w:w="561"/>
      </w:tblGrid>
      <w:tr>
        <w:trPr>
          <w:cantSplit/>
          <w:jc w:val="center"/>
        </w:trPr>
        <w:tc>
          <w:tcPr>
            <w:tcW w:w="402" w:type="dxa"/>
            <w:vMerge w:val="restart"/>
            <w:tcBorders>
              <w:left w:val="nil"/>
            </w:tcBorders>
            <w:vAlign w:val="center"/>
          </w:tcPr>
          <w:p>
            <w:pPr>
              <w:pStyle w:val="yTableNAm"/>
              <w:jc w:val="center"/>
              <w:rPr>
                <w:snapToGrid w:val="0"/>
                <w:sz w:val="12"/>
              </w:rPr>
            </w:pPr>
            <w:r>
              <w:rPr>
                <w:snapToGrid w:val="0"/>
                <w:sz w:val="12"/>
              </w:rPr>
              <w:t>No.</w:t>
            </w:r>
          </w:p>
        </w:tc>
        <w:tc>
          <w:tcPr>
            <w:tcW w:w="1677" w:type="dxa"/>
            <w:gridSpan w:val="3"/>
            <w:vAlign w:val="center"/>
          </w:tcPr>
          <w:p>
            <w:pPr>
              <w:pStyle w:val="yTableNAm"/>
              <w:spacing w:before="60" w:after="60"/>
              <w:jc w:val="center"/>
              <w:rPr>
                <w:snapToGrid w:val="0"/>
                <w:sz w:val="12"/>
              </w:rPr>
            </w:pPr>
            <w:r>
              <w:rPr>
                <w:snapToGrid w:val="0"/>
                <w:sz w:val="12"/>
              </w:rPr>
              <w:t>By whom given, or against whom process issued</w:t>
            </w:r>
          </w:p>
        </w:tc>
        <w:tc>
          <w:tcPr>
            <w:tcW w:w="1706" w:type="dxa"/>
            <w:gridSpan w:val="3"/>
            <w:vAlign w:val="center"/>
          </w:tcPr>
          <w:p>
            <w:pPr>
              <w:pStyle w:val="yTableNAm"/>
              <w:spacing w:before="60" w:after="60"/>
              <w:jc w:val="center"/>
              <w:rPr>
                <w:snapToGrid w:val="0"/>
                <w:sz w:val="12"/>
              </w:rPr>
            </w:pPr>
            <w:r>
              <w:rPr>
                <w:snapToGrid w:val="0"/>
                <w:sz w:val="12"/>
              </w:rPr>
              <w:t>To whom given</w:t>
            </w:r>
          </w:p>
        </w:tc>
        <w:tc>
          <w:tcPr>
            <w:tcW w:w="786" w:type="dxa"/>
            <w:vMerge w:val="restart"/>
            <w:vAlign w:val="center"/>
          </w:tcPr>
          <w:p>
            <w:pPr>
              <w:pStyle w:val="yTableNAm"/>
              <w:spacing w:before="0"/>
              <w:jc w:val="center"/>
              <w:rPr>
                <w:snapToGrid w:val="0"/>
                <w:sz w:val="12"/>
              </w:rPr>
            </w:pPr>
            <w:r>
              <w:rPr>
                <w:snapToGrid w:val="0"/>
                <w:sz w:val="12"/>
              </w:rPr>
              <w:t>Nature and Date of Instrument</w:t>
            </w:r>
          </w:p>
        </w:tc>
        <w:tc>
          <w:tcPr>
            <w:tcW w:w="402" w:type="dxa"/>
            <w:vMerge w:val="restart"/>
            <w:textDirection w:val="btLr"/>
            <w:vAlign w:val="center"/>
          </w:tcPr>
          <w:p>
            <w:pPr>
              <w:pStyle w:val="yTableNAm"/>
              <w:spacing w:before="60"/>
              <w:rPr>
                <w:snapToGrid w:val="0"/>
                <w:sz w:val="12"/>
              </w:rPr>
            </w:pPr>
            <w:r>
              <w:rPr>
                <w:snapToGrid w:val="0"/>
                <w:sz w:val="12"/>
              </w:rPr>
              <w:t>Consideration</w:t>
            </w:r>
          </w:p>
        </w:tc>
        <w:tc>
          <w:tcPr>
            <w:tcW w:w="727" w:type="dxa"/>
            <w:vMerge w:val="restart"/>
            <w:textDirection w:val="btLr"/>
            <w:vAlign w:val="center"/>
          </w:tcPr>
          <w:p>
            <w:pPr>
              <w:pStyle w:val="yTableNAm"/>
              <w:spacing w:before="60"/>
              <w:rPr>
                <w:snapToGrid w:val="0"/>
                <w:sz w:val="12"/>
              </w:rPr>
            </w:pPr>
            <w:r>
              <w:rPr>
                <w:snapToGrid w:val="0"/>
                <w:sz w:val="12"/>
              </w:rPr>
              <w:t>Date of lodging notice of intention to register</w:t>
            </w:r>
          </w:p>
        </w:tc>
        <w:tc>
          <w:tcPr>
            <w:tcW w:w="528" w:type="dxa"/>
            <w:vMerge w:val="restart"/>
            <w:textDirection w:val="btLr"/>
          </w:tcPr>
          <w:p>
            <w:pPr>
              <w:pStyle w:val="yTableNAm"/>
              <w:spacing w:before="0"/>
              <w:rPr>
                <w:snapToGrid w:val="0"/>
                <w:sz w:val="12"/>
              </w:rPr>
            </w:pPr>
            <w:r>
              <w:rPr>
                <w:snapToGrid w:val="0"/>
                <w:sz w:val="12"/>
              </w:rPr>
              <w:t>Date of Registration.</w:t>
            </w:r>
          </w:p>
        </w:tc>
        <w:tc>
          <w:tcPr>
            <w:tcW w:w="561" w:type="dxa"/>
            <w:vMerge w:val="restart"/>
            <w:textDirection w:val="btLr"/>
          </w:tcPr>
          <w:p>
            <w:pPr>
              <w:pStyle w:val="yTableNAm"/>
              <w:spacing w:before="60"/>
              <w:rPr>
                <w:snapToGrid w:val="0"/>
                <w:sz w:val="12"/>
              </w:rPr>
            </w:pPr>
            <w:r>
              <w:rPr>
                <w:snapToGrid w:val="0"/>
                <w:sz w:val="12"/>
              </w:rPr>
              <w:t>Date of Renewal</w:t>
            </w:r>
          </w:p>
        </w:tc>
        <w:tc>
          <w:tcPr>
            <w:tcW w:w="561" w:type="dxa"/>
            <w:vMerge w:val="restart"/>
            <w:textDirection w:val="btLr"/>
          </w:tcPr>
          <w:p>
            <w:pPr>
              <w:pStyle w:val="yTableNAm"/>
              <w:spacing w:before="60"/>
              <w:rPr>
                <w:snapToGrid w:val="0"/>
                <w:sz w:val="12"/>
              </w:rPr>
            </w:pPr>
            <w:r>
              <w:rPr>
                <w:snapToGrid w:val="0"/>
                <w:sz w:val="12"/>
              </w:rPr>
              <w:t>Satisfaction entered</w:t>
            </w:r>
          </w:p>
        </w:tc>
      </w:tr>
      <w:tr>
        <w:trPr>
          <w:cantSplit/>
          <w:trHeight w:val="487"/>
          <w:jc w:val="center"/>
        </w:trPr>
        <w:tc>
          <w:tcPr>
            <w:tcW w:w="402" w:type="dxa"/>
            <w:vMerge/>
            <w:tcBorders>
              <w:left w:val="nil"/>
            </w:tcBorders>
            <w:vAlign w:val="center"/>
          </w:tcPr>
          <w:p>
            <w:pPr>
              <w:pStyle w:val="yTableNAm"/>
              <w:rPr>
                <w:snapToGrid w:val="0"/>
                <w:sz w:val="12"/>
              </w:rPr>
            </w:pPr>
          </w:p>
        </w:tc>
        <w:tc>
          <w:tcPr>
            <w:tcW w:w="559" w:type="dxa"/>
            <w:vAlign w:val="center"/>
          </w:tcPr>
          <w:p>
            <w:pPr>
              <w:pStyle w:val="yTableNAm"/>
              <w:spacing w:before="60" w:after="60"/>
              <w:jc w:val="center"/>
              <w:rPr>
                <w:snapToGrid w:val="0"/>
                <w:sz w:val="12"/>
              </w:rPr>
            </w:pPr>
            <w:r>
              <w:rPr>
                <w:snapToGrid w:val="0"/>
                <w:sz w:val="12"/>
              </w:rPr>
              <w:t>Name</w:t>
            </w:r>
          </w:p>
        </w:tc>
        <w:tc>
          <w:tcPr>
            <w:tcW w:w="559" w:type="dxa"/>
            <w:vAlign w:val="center"/>
          </w:tcPr>
          <w:p>
            <w:pPr>
              <w:pStyle w:val="yTableNAm"/>
              <w:spacing w:before="60" w:after="60"/>
              <w:jc w:val="center"/>
              <w:rPr>
                <w:snapToGrid w:val="0"/>
                <w:sz w:val="12"/>
              </w:rPr>
            </w:pPr>
            <w:r>
              <w:rPr>
                <w:snapToGrid w:val="0"/>
                <w:sz w:val="12"/>
              </w:rPr>
              <w:t>Resi-dence</w:t>
            </w:r>
          </w:p>
        </w:tc>
        <w:tc>
          <w:tcPr>
            <w:tcW w:w="559" w:type="dxa"/>
            <w:vAlign w:val="center"/>
          </w:tcPr>
          <w:p>
            <w:pPr>
              <w:pStyle w:val="yTableNAm"/>
              <w:spacing w:before="60" w:after="60"/>
              <w:jc w:val="center"/>
              <w:rPr>
                <w:snapToGrid w:val="0"/>
                <w:sz w:val="12"/>
              </w:rPr>
            </w:pPr>
            <w:r>
              <w:rPr>
                <w:snapToGrid w:val="0"/>
                <w:sz w:val="12"/>
              </w:rPr>
              <w:t>Occu-pation</w:t>
            </w:r>
          </w:p>
        </w:tc>
        <w:tc>
          <w:tcPr>
            <w:tcW w:w="544" w:type="dxa"/>
            <w:vAlign w:val="center"/>
          </w:tcPr>
          <w:p>
            <w:pPr>
              <w:pStyle w:val="yTableNAm"/>
              <w:spacing w:before="60" w:after="60"/>
              <w:jc w:val="center"/>
              <w:rPr>
                <w:snapToGrid w:val="0"/>
                <w:sz w:val="12"/>
              </w:rPr>
            </w:pPr>
            <w:r>
              <w:rPr>
                <w:snapToGrid w:val="0"/>
                <w:sz w:val="12"/>
              </w:rPr>
              <w:t>Name</w:t>
            </w:r>
          </w:p>
        </w:tc>
        <w:tc>
          <w:tcPr>
            <w:tcW w:w="574" w:type="dxa"/>
            <w:vAlign w:val="center"/>
          </w:tcPr>
          <w:p>
            <w:pPr>
              <w:pStyle w:val="yTableNAm"/>
              <w:spacing w:before="60" w:after="60"/>
              <w:jc w:val="center"/>
              <w:rPr>
                <w:snapToGrid w:val="0"/>
                <w:sz w:val="12"/>
              </w:rPr>
            </w:pPr>
            <w:r>
              <w:rPr>
                <w:snapToGrid w:val="0"/>
                <w:sz w:val="12"/>
              </w:rPr>
              <w:t>Resi-dence</w:t>
            </w:r>
          </w:p>
        </w:tc>
        <w:tc>
          <w:tcPr>
            <w:tcW w:w="588" w:type="dxa"/>
            <w:vAlign w:val="center"/>
          </w:tcPr>
          <w:p>
            <w:pPr>
              <w:pStyle w:val="yTableNAm"/>
              <w:spacing w:before="60" w:after="60"/>
              <w:jc w:val="center"/>
              <w:rPr>
                <w:snapToGrid w:val="0"/>
                <w:sz w:val="12"/>
              </w:rPr>
            </w:pPr>
            <w:r>
              <w:rPr>
                <w:snapToGrid w:val="0"/>
                <w:sz w:val="12"/>
              </w:rPr>
              <w:t>Occu-pation</w:t>
            </w:r>
          </w:p>
        </w:tc>
        <w:tc>
          <w:tcPr>
            <w:tcW w:w="786" w:type="dxa"/>
            <w:vMerge/>
          </w:tcPr>
          <w:p>
            <w:pPr>
              <w:pStyle w:val="yTableNAm"/>
              <w:rPr>
                <w:snapToGrid w:val="0"/>
                <w:sz w:val="12"/>
              </w:rPr>
            </w:pPr>
          </w:p>
        </w:tc>
        <w:tc>
          <w:tcPr>
            <w:tcW w:w="402" w:type="dxa"/>
            <w:vMerge/>
          </w:tcPr>
          <w:p>
            <w:pPr>
              <w:pStyle w:val="yTableNAm"/>
              <w:rPr>
                <w:snapToGrid w:val="0"/>
                <w:sz w:val="12"/>
              </w:rPr>
            </w:pPr>
          </w:p>
        </w:tc>
        <w:tc>
          <w:tcPr>
            <w:tcW w:w="727" w:type="dxa"/>
            <w:vMerge/>
          </w:tcPr>
          <w:p>
            <w:pPr>
              <w:pStyle w:val="yTableNAm"/>
              <w:rPr>
                <w:snapToGrid w:val="0"/>
                <w:sz w:val="12"/>
              </w:rPr>
            </w:pPr>
          </w:p>
        </w:tc>
        <w:tc>
          <w:tcPr>
            <w:tcW w:w="528" w:type="dxa"/>
            <w:vMerge/>
          </w:tcPr>
          <w:p>
            <w:pPr>
              <w:pStyle w:val="yTableNAm"/>
              <w:rPr>
                <w:snapToGrid w:val="0"/>
                <w:sz w:val="12"/>
              </w:rPr>
            </w:pPr>
          </w:p>
        </w:tc>
        <w:tc>
          <w:tcPr>
            <w:tcW w:w="561" w:type="dxa"/>
            <w:vMerge/>
          </w:tcPr>
          <w:p>
            <w:pPr>
              <w:pStyle w:val="yTableNAm"/>
              <w:rPr>
                <w:snapToGrid w:val="0"/>
                <w:sz w:val="12"/>
              </w:rPr>
            </w:pPr>
          </w:p>
        </w:tc>
        <w:tc>
          <w:tcPr>
            <w:tcW w:w="561" w:type="dxa"/>
            <w:vMerge/>
          </w:tcPr>
          <w:p>
            <w:pPr>
              <w:pStyle w:val="yTableNAm"/>
              <w:rPr>
                <w:snapToGrid w:val="0"/>
                <w:sz w:val="12"/>
              </w:rPr>
            </w:pPr>
          </w:p>
        </w:tc>
      </w:tr>
      <w:tr>
        <w:trPr>
          <w:cantSplit/>
          <w:trHeight w:val="223"/>
          <w:jc w:val="center"/>
        </w:trPr>
        <w:tc>
          <w:tcPr>
            <w:tcW w:w="402" w:type="dxa"/>
            <w:tcBorders>
              <w:left w:val="nil"/>
            </w:tcBorders>
          </w:tcPr>
          <w:p>
            <w:pPr>
              <w:pStyle w:val="yTableNAm"/>
              <w:rPr>
                <w:snapToGrid w:val="0"/>
                <w:sz w:val="12"/>
              </w:rPr>
            </w:pPr>
          </w:p>
          <w:p>
            <w:pPr>
              <w:pStyle w:val="yTableNAm"/>
              <w:rPr>
                <w:snapToGrid w:val="0"/>
                <w:sz w:val="12"/>
              </w:rPr>
            </w:pPr>
          </w:p>
          <w:p>
            <w:pPr>
              <w:pStyle w:val="yTableNAm"/>
              <w:rPr>
                <w:snapToGrid w:val="0"/>
                <w:sz w:val="12"/>
              </w:rPr>
            </w:pPr>
          </w:p>
          <w:p>
            <w:pPr>
              <w:pStyle w:val="yTableNAm"/>
              <w:rPr>
                <w:snapToGrid w:val="0"/>
                <w:sz w:val="12"/>
              </w:rPr>
            </w:pPr>
          </w:p>
        </w:tc>
        <w:tc>
          <w:tcPr>
            <w:tcW w:w="559" w:type="dxa"/>
          </w:tcPr>
          <w:p>
            <w:pPr>
              <w:pStyle w:val="yTableNAm"/>
              <w:rPr>
                <w:snapToGrid w:val="0"/>
                <w:sz w:val="12"/>
              </w:rPr>
            </w:pPr>
          </w:p>
        </w:tc>
        <w:tc>
          <w:tcPr>
            <w:tcW w:w="559" w:type="dxa"/>
          </w:tcPr>
          <w:p>
            <w:pPr>
              <w:pStyle w:val="yTableNAm"/>
              <w:rPr>
                <w:snapToGrid w:val="0"/>
                <w:sz w:val="12"/>
              </w:rPr>
            </w:pPr>
          </w:p>
        </w:tc>
        <w:tc>
          <w:tcPr>
            <w:tcW w:w="559" w:type="dxa"/>
          </w:tcPr>
          <w:p>
            <w:pPr>
              <w:pStyle w:val="yTableNAm"/>
              <w:rPr>
                <w:snapToGrid w:val="0"/>
                <w:sz w:val="12"/>
              </w:rPr>
            </w:pPr>
          </w:p>
        </w:tc>
        <w:tc>
          <w:tcPr>
            <w:tcW w:w="544" w:type="dxa"/>
          </w:tcPr>
          <w:p>
            <w:pPr>
              <w:pStyle w:val="yTableNAm"/>
              <w:rPr>
                <w:snapToGrid w:val="0"/>
                <w:sz w:val="12"/>
              </w:rPr>
            </w:pPr>
          </w:p>
        </w:tc>
        <w:tc>
          <w:tcPr>
            <w:tcW w:w="574" w:type="dxa"/>
          </w:tcPr>
          <w:p>
            <w:pPr>
              <w:pStyle w:val="yTableNAm"/>
              <w:rPr>
                <w:snapToGrid w:val="0"/>
                <w:sz w:val="12"/>
              </w:rPr>
            </w:pPr>
          </w:p>
        </w:tc>
        <w:tc>
          <w:tcPr>
            <w:tcW w:w="588" w:type="dxa"/>
          </w:tcPr>
          <w:p>
            <w:pPr>
              <w:pStyle w:val="yTableNAm"/>
              <w:rPr>
                <w:snapToGrid w:val="0"/>
                <w:sz w:val="12"/>
              </w:rPr>
            </w:pPr>
          </w:p>
        </w:tc>
        <w:tc>
          <w:tcPr>
            <w:tcW w:w="786" w:type="dxa"/>
          </w:tcPr>
          <w:p>
            <w:pPr>
              <w:pStyle w:val="yTableNAm"/>
              <w:rPr>
                <w:snapToGrid w:val="0"/>
                <w:sz w:val="12"/>
              </w:rPr>
            </w:pPr>
          </w:p>
        </w:tc>
        <w:tc>
          <w:tcPr>
            <w:tcW w:w="402" w:type="dxa"/>
          </w:tcPr>
          <w:p>
            <w:pPr>
              <w:pStyle w:val="yTableNAm"/>
              <w:rPr>
                <w:snapToGrid w:val="0"/>
                <w:sz w:val="12"/>
              </w:rPr>
            </w:pPr>
          </w:p>
        </w:tc>
        <w:tc>
          <w:tcPr>
            <w:tcW w:w="727" w:type="dxa"/>
          </w:tcPr>
          <w:p>
            <w:pPr>
              <w:pStyle w:val="yTableNAm"/>
              <w:rPr>
                <w:snapToGrid w:val="0"/>
                <w:sz w:val="12"/>
              </w:rPr>
            </w:pPr>
          </w:p>
        </w:tc>
        <w:tc>
          <w:tcPr>
            <w:tcW w:w="528" w:type="dxa"/>
          </w:tcPr>
          <w:p>
            <w:pPr>
              <w:pStyle w:val="yTableNAm"/>
              <w:rPr>
                <w:snapToGrid w:val="0"/>
                <w:sz w:val="12"/>
              </w:rPr>
            </w:pPr>
          </w:p>
        </w:tc>
        <w:tc>
          <w:tcPr>
            <w:tcW w:w="561" w:type="dxa"/>
          </w:tcPr>
          <w:p>
            <w:pPr>
              <w:pStyle w:val="yTableNAm"/>
              <w:rPr>
                <w:snapToGrid w:val="0"/>
                <w:sz w:val="12"/>
              </w:rPr>
            </w:pPr>
          </w:p>
        </w:tc>
        <w:tc>
          <w:tcPr>
            <w:tcW w:w="561" w:type="dxa"/>
          </w:tcPr>
          <w:p>
            <w:pPr>
              <w:pStyle w:val="yTableNAm"/>
              <w:rPr>
                <w:snapToGrid w:val="0"/>
                <w:sz w:val="12"/>
              </w:rPr>
            </w:pPr>
          </w:p>
        </w:tc>
      </w:tr>
    </w:tbl>
    <w:p>
      <w:pPr>
        <w:pStyle w:val="yScheduleHeading"/>
      </w:pPr>
      <w:bookmarkStart w:id="151" w:name="_Toc378062312"/>
      <w:bookmarkStart w:id="152" w:name="_Toc425428126"/>
      <w:r>
        <w:rPr>
          <w:rStyle w:val="CharSchNo"/>
        </w:rPr>
        <w:t>Third Schedule</w:t>
      </w:r>
      <w:r>
        <w:t xml:space="preserve"> — </w:t>
      </w:r>
      <w:r>
        <w:rPr>
          <w:rStyle w:val="CharSchText"/>
          <w:rFonts w:eastAsia="MS Mincho"/>
        </w:rPr>
        <w:t>Bill of sale over crops</w:t>
      </w:r>
      <w:bookmarkEnd w:id="151"/>
      <w:bookmarkEnd w:id="152"/>
    </w:p>
    <w:p>
      <w:pPr>
        <w:pStyle w:val="yShoulderClause"/>
        <w:rPr>
          <w:snapToGrid w:val="0"/>
        </w:rPr>
      </w:pPr>
      <w:r>
        <w:rPr>
          <w:snapToGrid w:val="0"/>
        </w:rPr>
        <w:t>[s. 39]</w:t>
      </w:r>
    </w:p>
    <w:p>
      <w:pPr>
        <w:pStyle w:val="yFootnotesection"/>
      </w:pPr>
      <w:r>
        <w:tab/>
        <w:t>[Heading amended by No. 19 of 2010 s. 4.]</w:t>
      </w:r>
    </w:p>
    <w:p>
      <w:pPr>
        <w:pStyle w:val="ySubsection"/>
        <w:rPr>
          <w:snapToGrid w:val="0"/>
        </w:rPr>
      </w:pPr>
      <w:r>
        <w:rPr>
          <w:snapToGrid w:val="0"/>
        </w:rPr>
        <w:tab/>
      </w:r>
      <w:r>
        <w:rPr>
          <w:snapToGrid w:val="0"/>
        </w:rPr>
        <w:tab/>
        <w:t>The following form of bill of sale under section 39 may be used: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w:t>
      </w:r>
    </w:p>
    <w:p>
      <w:pPr>
        <w:pStyle w:val="yFootnotesection"/>
        <w:spacing w:before="360"/>
      </w:pPr>
      <w:r>
        <w:tab/>
        <w:t>[Third Schedule amended by No. 24 of 1914 s. 16.]</w:t>
      </w:r>
    </w:p>
    <w:p>
      <w:pPr>
        <w:pStyle w:val="yScheduleHeading"/>
      </w:pPr>
      <w:bookmarkStart w:id="153" w:name="_Toc378062313"/>
      <w:bookmarkStart w:id="154" w:name="_Toc425428127"/>
      <w:r>
        <w:rPr>
          <w:rStyle w:val="CharSchNo"/>
        </w:rPr>
        <w:t>Fourth Schedule</w:t>
      </w:r>
      <w:r>
        <w:t xml:space="preserve"> — </w:t>
      </w:r>
      <w:r>
        <w:rPr>
          <w:rStyle w:val="CharSchText"/>
        </w:rPr>
        <w:t>Lien on wool</w:t>
      </w:r>
      <w:bookmarkEnd w:id="153"/>
      <w:bookmarkEnd w:id="154"/>
    </w:p>
    <w:p>
      <w:pPr>
        <w:pStyle w:val="yShoulderClause"/>
        <w:rPr>
          <w:snapToGrid w:val="0"/>
        </w:rPr>
      </w:pPr>
      <w:r>
        <w:rPr>
          <w:snapToGrid w:val="0"/>
        </w:rPr>
        <w:t>[s. 44]</w:t>
      </w:r>
    </w:p>
    <w:p>
      <w:pPr>
        <w:pStyle w:val="yFootnotesection"/>
      </w:pPr>
      <w:r>
        <w:tab/>
        <w:t>[Heading amended by No. 19 of 2010 s. 4.]</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deleted by No. 20 of </w:t>
      </w:r>
      <w:r>
        <w:rPr>
          <w:rStyle w:val="CharSchNo"/>
        </w:rPr>
        <w:t>19</w:t>
      </w:r>
      <w:r>
        <w:t>86 s. 5.]</w:t>
      </w:r>
    </w:p>
    <w:p>
      <w:pPr>
        <w:pStyle w:val="yScheduleHeading"/>
      </w:pPr>
      <w:bookmarkStart w:id="155" w:name="_Toc378062314"/>
      <w:bookmarkStart w:id="156" w:name="_Toc425428128"/>
      <w:r>
        <w:rPr>
          <w:rStyle w:val="CharSchNo"/>
        </w:rPr>
        <w:t>Tenth Schedule</w:t>
      </w:r>
      <w:r>
        <w:t xml:space="preserve"> — </w:t>
      </w:r>
      <w:r>
        <w:rPr>
          <w:rStyle w:val="CharSchText"/>
        </w:rPr>
        <w:t>Bill of sale by way of security</w:t>
      </w:r>
      <w:bookmarkEnd w:id="155"/>
      <w:bookmarkEnd w:id="156"/>
    </w:p>
    <w:p>
      <w:pPr>
        <w:pStyle w:val="yShoulderClause"/>
        <w:rPr>
          <w:snapToGrid w:val="0"/>
        </w:rPr>
      </w:pPr>
      <w:r>
        <w:rPr>
          <w:snapToGrid w:val="0"/>
        </w:rPr>
        <w:t>[s. 17R]</w:t>
      </w:r>
    </w:p>
    <w:p>
      <w:pPr>
        <w:pStyle w:val="yFootnotesection"/>
      </w:pPr>
      <w:r>
        <w:tab/>
        <w:t>[Heading inserted by No. 24 of 1914 s. 10 (as amended by No. 40 of 1957 s. 21); amended by No. 19 of 2010 s. 4.]</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NAm"/>
              <w:spacing w:before="0"/>
              <w:rPr>
                <w:snapToGrid w:val="0"/>
              </w:rPr>
            </w:pPr>
            <w:r>
              <w:rPr>
                <w:snapToGrid w:val="0"/>
              </w:rPr>
              <w:t>Signed, sealed, and delivered</w:t>
            </w:r>
          </w:p>
          <w:p>
            <w:pPr>
              <w:pStyle w:val="yTableNAm"/>
              <w:spacing w:before="0"/>
              <w:rPr>
                <w:snapToGrid w:val="0"/>
              </w:rPr>
            </w:pPr>
            <w:r>
              <w:rPr>
                <w:snapToGrid w:val="0"/>
              </w:rPr>
              <w:tab/>
              <w:t>by the said</w:t>
            </w:r>
          </w:p>
          <w:p>
            <w:pPr>
              <w:pStyle w:val="yTableNAm"/>
              <w:spacing w:before="0"/>
              <w:rPr>
                <w:snapToGrid w:val="0"/>
              </w:rPr>
            </w:pPr>
            <w:r>
              <w:rPr>
                <w:snapToGrid w:val="0"/>
              </w:rPr>
              <w:tab/>
              <w:t>in the presence of</w:t>
            </w:r>
          </w:p>
        </w:tc>
        <w:tc>
          <w:tcPr>
            <w:tcW w:w="3518" w:type="dxa"/>
          </w:tcPr>
          <w:p>
            <w:pPr>
              <w:pStyle w:val="yTableNAm"/>
              <w:spacing w:before="0"/>
              <w:rPr>
                <w:snapToGrid w:val="0"/>
              </w:rPr>
            </w:pPr>
            <w:r>
              <w:object w:dxaOrig="195"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5.75pt" o:ole="" fillcolor="window">
                  <v:imagedata r:id="rId26" o:title=""/>
                </v:shape>
                <o:OLEObject Type="Embed" ProgID="Word.Picture.8" ShapeID="_x0000_i1025" DrawAspect="Content" ObjectID="_1643146778" r:id="rId27"/>
              </w:object>
            </w:r>
          </w:p>
        </w:tc>
      </w:tr>
    </w:tbl>
    <w:p>
      <w:pPr>
        <w:pStyle w:val="yFootnotesection"/>
      </w:pPr>
      <w:r>
        <w:tab/>
        <w:t>[Tenth Schedule inserted by No. 24 of 1914 s. 10 (as amended by No. 40 of 1957 s. 21); amended by No. 113 of 1965 s. 8; No. 57 of 1997 s. 23.]</w:t>
      </w:r>
    </w:p>
    <w:p>
      <w:pPr>
        <w:pStyle w:val="yScheduleHeading"/>
        <w:rPr>
          <w:rStyle w:val="CharSchNo"/>
        </w:r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158" w:name="_Toc378062315"/>
      <w:bookmarkStart w:id="159" w:name="_Toc425428129"/>
      <w:r>
        <w:rPr>
          <w:rStyle w:val="CharSchNo"/>
        </w:rPr>
        <w:t>Eleventh Schedule</w:t>
      </w:r>
      <w:r>
        <w:t xml:space="preserve"> — </w:t>
      </w:r>
      <w:r>
        <w:rPr>
          <w:rStyle w:val="CharSchText"/>
        </w:rPr>
        <w:t>Covenants to be deemed implied in bills of sale by way of security</w:t>
      </w:r>
      <w:bookmarkEnd w:id="158"/>
      <w:bookmarkEnd w:id="159"/>
    </w:p>
    <w:p>
      <w:pPr>
        <w:pStyle w:val="yShoulderClause"/>
        <w:rPr>
          <w:snapToGrid w:val="0"/>
        </w:rPr>
      </w:pPr>
      <w:r>
        <w:rPr>
          <w:snapToGrid w:val="0"/>
        </w:rPr>
        <w:t>[s. 17S]</w:t>
      </w:r>
    </w:p>
    <w:p>
      <w:pPr>
        <w:pStyle w:val="yFootnotesection"/>
      </w:pPr>
      <w:r>
        <w:tab/>
        <w:t>[Heading inserted by No. 24 of 1914 s. 11 (as amended by No. 40 of 1957 s. 21); amended by No. 19 of 2010 s. 4.]</w:t>
      </w:r>
    </w:p>
    <w:p>
      <w:pPr>
        <w:pStyle w:val="yHeading5"/>
        <w:outlineLvl w:val="9"/>
        <w:rPr>
          <w:snapToGrid w:val="0"/>
        </w:rPr>
      </w:pPr>
      <w:bookmarkStart w:id="160" w:name="_Toc378062316"/>
      <w:bookmarkStart w:id="161" w:name="_Toc425428130"/>
      <w:r>
        <w:rPr>
          <w:rStyle w:val="CharSClsNo"/>
        </w:rPr>
        <w:t>1</w:t>
      </w:r>
      <w:r>
        <w:rPr>
          <w:snapToGrid w:val="0"/>
        </w:rPr>
        <w:t>.</w:t>
      </w:r>
      <w:r>
        <w:rPr>
          <w:snapToGrid w:val="0"/>
        </w:rPr>
        <w:tab/>
        <w:t>Grantor to pay principal and interest</w:t>
      </w:r>
      <w:bookmarkEnd w:id="160"/>
      <w:bookmarkEnd w:id="161"/>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Footnotesection"/>
      </w:pPr>
      <w:r>
        <w:tab/>
        <w:t>[Clause 1 inserted by No. 24 of 1914 s. 11.]</w:t>
      </w:r>
    </w:p>
    <w:p>
      <w:pPr>
        <w:pStyle w:val="yHeading5"/>
        <w:outlineLvl w:val="9"/>
        <w:rPr>
          <w:snapToGrid w:val="0"/>
        </w:rPr>
      </w:pPr>
      <w:bookmarkStart w:id="162" w:name="_Toc378062317"/>
      <w:bookmarkStart w:id="163" w:name="_Toc425428131"/>
      <w:r>
        <w:rPr>
          <w:rStyle w:val="CharSClsNo"/>
        </w:rPr>
        <w:t>2</w:t>
      </w:r>
      <w:r>
        <w:rPr>
          <w:snapToGrid w:val="0"/>
        </w:rPr>
        <w:t>.</w:t>
      </w:r>
      <w:r>
        <w:rPr>
          <w:snapToGrid w:val="0"/>
        </w:rPr>
        <w:tab/>
        <w:t>Grantor not to remove chattels</w:t>
      </w:r>
      <w:bookmarkEnd w:id="162"/>
      <w:bookmarkEnd w:id="163"/>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Footnotesection"/>
      </w:pPr>
      <w:r>
        <w:tab/>
        <w:t>[Clause 2 inserted by No. 24 of 1914 s. 11.]</w:t>
      </w:r>
    </w:p>
    <w:p>
      <w:pPr>
        <w:pStyle w:val="yHeading5"/>
        <w:outlineLvl w:val="9"/>
        <w:rPr>
          <w:snapToGrid w:val="0"/>
        </w:rPr>
      </w:pPr>
      <w:bookmarkStart w:id="164" w:name="_Toc378062318"/>
      <w:bookmarkStart w:id="165" w:name="_Toc425428132"/>
      <w:r>
        <w:rPr>
          <w:rStyle w:val="CharSClsNo"/>
        </w:rPr>
        <w:t>3</w:t>
      </w:r>
      <w:r>
        <w:rPr>
          <w:snapToGrid w:val="0"/>
        </w:rPr>
        <w:t>.</w:t>
      </w:r>
      <w:r>
        <w:rPr>
          <w:snapToGrid w:val="0"/>
        </w:rPr>
        <w:tab/>
        <w:t>Grantor not to suffer goods to be taken in execution</w:t>
      </w:r>
      <w:bookmarkEnd w:id="164"/>
      <w:bookmarkEnd w:id="165"/>
    </w:p>
    <w:p>
      <w:pPr>
        <w:pStyle w:val="ySubsection"/>
      </w:pPr>
      <w:r>
        <w:rPr>
          <w:snapToGrid w:val="0"/>
        </w:rPr>
        <w:tab/>
      </w:r>
      <w:r>
        <w:rPr>
          <w:snapToGrid w:val="0"/>
        </w:rPr>
        <w:tab/>
        <w:t xml:space="preserve">That the grantor will not suffer the chattels comprised in such bill of sale to be distrained for any rent, rates, or taxes, nor suffer any execution to be levied against his goods or chattels, nor become bankrupt, call a meeting of his creditors, or </w:t>
      </w:r>
      <w:r>
        <w:t>enter into a personal insolvency agreement.</w:t>
      </w:r>
    </w:p>
    <w:p>
      <w:pPr>
        <w:pStyle w:val="yFootnotesection"/>
      </w:pPr>
      <w:r>
        <w:tab/>
        <w:t>[Clause 3 inserted by No. 24 of 1914 s. 11; amended by No. 18 of 2009 s. 12(4).]</w:t>
      </w:r>
    </w:p>
    <w:p>
      <w:pPr>
        <w:pStyle w:val="yHeading5"/>
        <w:outlineLvl w:val="9"/>
        <w:rPr>
          <w:snapToGrid w:val="0"/>
        </w:rPr>
      </w:pPr>
      <w:bookmarkStart w:id="166" w:name="_Toc378062319"/>
      <w:bookmarkStart w:id="167" w:name="_Toc425428133"/>
      <w:r>
        <w:rPr>
          <w:rStyle w:val="CharSClsNo"/>
        </w:rPr>
        <w:t>4</w:t>
      </w:r>
      <w:r>
        <w:rPr>
          <w:snapToGrid w:val="0"/>
        </w:rPr>
        <w:t>.</w:t>
      </w:r>
      <w:r>
        <w:rPr>
          <w:snapToGrid w:val="0"/>
        </w:rPr>
        <w:tab/>
        <w:t>Grantor to produce receipts for rent etc.</w:t>
      </w:r>
      <w:bookmarkEnd w:id="166"/>
      <w:bookmarkEnd w:id="167"/>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Footnotesection"/>
      </w:pPr>
      <w:r>
        <w:tab/>
        <w:t>[Clause 4 inserted by No. 24 of 1914 s. 11.]</w:t>
      </w:r>
    </w:p>
    <w:p>
      <w:pPr>
        <w:pStyle w:val="yHeading5"/>
        <w:outlineLvl w:val="9"/>
        <w:rPr>
          <w:snapToGrid w:val="0"/>
        </w:rPr>
      </w:pPr>
      <w:bookmarkStart w:id="168" w:name="_Toc378062320"/>
      <w:bookmarkStart w:id="169" w:name="_Toc425428134"/>
      <w:r>
        <w:rPr>
          <w:rStyle w:val="CharSClsNo"/>
        </w:rPr>
        <w:t>5</w:t>
      </w:r>
      <w:r>
        <w:rPr>
          <w:snapToGrid w:val="0"/>
        </w:rPr>
        <w:t>.</w:t>
      </w:r>
      <w:r>
        <w:rPr>
          <w:snapToGrid w:val="0"/>
        </w:rPr>
        <w:tab/>
        <w:t>Grantee may enter and view goods etc.</w:t>
      </w:r>
      <w:bookmarkEnd w:id="168"/>
      <w:bookmarkEnd w:id="169"/>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Footnotesection"/>
      </w:pPr>
      <w:r>
        <w:tab/>
        <w:t>[Clause 5 inserted by No. 24 of 1914 s. 11.]</w:t>
      </w:r>
    </w:p>
    <w:p>
      <w:pPr>
        <w:pStyle w:val="yHeading5"/>
        <w:outlineLvl w:val="9"/>
        <w:rPr>
          <w:snapToGrid w:val="0"/>
        </w:rPr>
      </w:pPr>
      <w:bookmarkStart w:id="170" w:name="_Toc378062321"/>
      <w:bookmarkStart w:id="171" w:name="_Toc425428135"/>
      <w:r>
        <w:rPr>
          <w:rStyle w:val="CharSClsNo"/>
        </w:rPr>
        <w:t>6</w:t>
      </w:r>
      <w:r>
        <w:rPr>
          <w:snapToGrid w:val="0"/>
        </w:rPr>
        <w:t>.</w:t>
      </w:r>
      <w:r>
        <w:rPr>
          <w:snapToGrid w:val="0"/>
        </w:rPr>
        <w:tab/>
        <w:t>Grantee’s power of sale etc. in case of default</w:t>
      </w:r>
      <w:bookmarkEnd w:id="170"/>
      <w:bookmarkEnd w:id="171"/>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Footnotesection"/>
      </w:pPr>
      <w:r>
        <w:tab/>
        <w:t>[Clause 6 inserted by No. 24 of 1914 s. 11.]</w:t>
      </w:r>
    </w:p>
    <w:p>
      <w:pPr>
        <w:pStyle w:val="yHeading5"/>
        <w:outlineLvl w:val="9"/>
        <w:rPr>
          <w:snapToGrid w:val="0"/>
        </w:rPr>
      </w:pPr>
      <w:bookmarkStart w:id="172" w:name="_Toc378062322"/>
      <w:bookmarkStart w:id="173" w:name="_Toc425428136"/>
      <w:r>
        <w:rPr>
          <w:rStyle w:val="CharSClsNo"/>
        </w:rPr>
        <w:t>7</w:t>
      </w:r>
      <w:r>
        <w:rPr>
          <w:snapToGrid w:val="0"/>
        </w:rPr>
        <w:t>.</w:t>
      </w:r>
      <w:r>
        <w:rPr>
          <w:snapToGrid w:val="0"/>
        </w:rPr>
        <w:tab/>
        <w:t>Grantee may execute documents for purpose of carrying out sale</w:t>
      </w:r>
      <w:bookmarkEnd w:id="172"/>
      <w:bookmarkEnd w:id="173"/>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Footnotesection"/>
      </w:pPr>
      <w:r>
        <w:tab/>
        <w:t>[Clause 7 inserted by No. 24 of 1914 s. 11.]</w:t>
      </w:r>
    </w:p>
    <w:p>
      <w:pPr>
        <w:pStyle w:val="yHeading5"/>
        <w:outlineLvl w:val="9"/>
        <w:rPr>
          <w:snapToGrid w:val="0"/>
        </w:rPr>
      </w:pPr>
      <w:bookmarkStart w:id="174" w:name="_Toc378062323"/>
      <w:bookmarkStart w:id="175" w:name="_Toc425428137"/>
      <w:r>
        <w:rPr>
          <w:rStyle w:val="CharSClsNo"/>
        </w:rPr>
        <w:t>8</w:t>
      </w:r>
      <w:r>
        <w:rPr>
          <w:snapToGrid w:val="0"/>
        </w:rPr>
        <w:t>.</w:t>
      </w:r>
      <w:r>
        <w:rPr>
          <w:snapToGrid w:val="0"/>
        </w:rPr>
        <w:tab/>
        <w:t>Grantee to apply money from sale in satisfaction of security</w:t>
      </w:r>
      <w:bookmarkEnd w:id="174"/>
      <w:bookmarkEnd w:id="175"/>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pPr>
      <w:r>
        <w:tab/>
        <w:t>[Clause 8 inserted by No. 24 of 1914 s. 11.]</w:t>
      </w:r>
    </w:p>
    <w:p>
      <w:pPr>
        <w:pStyle w:val="yFootnotesection"/>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176" w:name="_Toc378062324"/>
      <w:bookmarkStart w:id="177" w:name="_Toc425428138"/>
      <w:r>
        <w:rPr>
          <w:rStyle w:val="CharSchNo"/>
        </w:rPr>
        <w:t>Twelfth Schedule</w:t>
      </w:r>
      <w:r>
        <w:t xml:space="preserve"> — </w:t>
      </w:r>
      <w:r>
        <w:rPr>
          <w:rStyle w:val="CharSchText"/>
        </w:rPr>
        <w:t>Covenant to insure</w:t>
      </w:r>
      <w:bookmarkEnd w:id="176"/>
      <w:bookmarkEnd w:id="177"/>
    </w:p>
    <w:p>
      <w:pPr>
        <w:pStyle w:val="yShoulderClause"/>
        <w:rPr>
          <w:snapToGrid w:val="0"/>
        </w:rPr>
      </w:pPr>
      <w:r>
        <w:rPr>
          <w:snapToGrid w:val="0"/>
        </w:rPr>
        <w:t>[s. 17S]</w:t>
      </w:r>
    </w:p>
    <w:p>
      <w:pPr>
        <w:pStyle w:val="yFootnotesection"/>
      </w:pPr>
      <w:r>
        <w:tab/>
        <w:t>[Heading inserted by No. 24 of 1914 s. 11 (as amended by No. 40 of 1957 s. 21); amended by No. 19 of 2010 s. 4.]</w:t>
      </w:r>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[Twelfth Schedule inserted by No. 24 of 1914 s. 11 (as amended by No. 40 of 1957 s. 21).]</w:t>
      </w:r>
    </w:p>
    <w:p>
      <w:pPr>
        <w:pStyle w:val="yEdnoteschedule"/>
      </w:pPr>
      <w:r>
        <w:t>[Thirteenth Schedule deleted by No. 49 of 1983 s. 11.]</w:t>
      </w:r>
    </w:p>
    <w:p>
      <w:pPr>
        <w:pStyle w:val="yScheduleHeading"/>
        <w:rPr>
          <w:rFonts w:eastAsia="MS Mincho"/>
        </w:rPr>
      </w:pPr>
      <w:bookmarkStart w:id="178" w:name="_Toc378062325"/>
      <w:bookmarkStart w:id="179" w:name="_Toc425428139"/>
      <w:r>
        <w:rPr>
          <w:rStyle w:val="CharSchNo"/>
        </w:rPr>
        <w:t>Fourteenth Schedule</w:t>
      </w:r>
      <w:r>
        <w:t xml:space="preserve"> — </w:t>
      </w:r>
      <w:r>
        <w:rPr>
          <w:rStyle w:val="CharSchText"/>
          <w:rFonts w:eastAsia="MS Mincho"/>
        </w:rPr>
        <w:t>Attestation of witness</w:t>
      </w:r>
      <w:bookmarkEnd w:id="178"/>
      <w:bookmarkEnd w:id="179"/>
    </w:p>
    <w:p>
      <w:pPr>
        <w:pStyle w:val="yShoulderClause"/>
        <w:rPr>
          <w:rStyle w:val="CharSchText"/>
        </w:rPr>
      </w:pPr>
      <w:r>
        <w:t>[s. 8(1)]</w:t>
      </w:r>
    </w:p>
    <w:p>
      <w:pPr>
        <w:pStyle w:val="yFootnotesection"/>
      </w:pPr>
      <w:r>
        <w:tab/>
        <w:t>[Heading amended by No. 19 of 2010 s. 4.]</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[Fourteenth Schedule inserted by No. 41 of 1925 s. 11 (as amended by No. 40 of 1957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pPr>
      <w:bookmarkStart w:id="180" w:name="_Toc378062326"/>
      <w:bookmarkStart w:id="181" w:name="_Toc425428140"/>
      <w:r>
        <w:t>Notes</w:t>
      </w:r>
      <w:bookmarkEnd w:id="180"/>
      <w:bookmarkEnd w:id="181"/>
    </w:p>
    <w:p>
      <w:pPr>
        <w:pStyle w:val="nSubsection"/>
        <w:rPr>
          <w:snapToGrid w:val="0"/>
        </w:rPr>
      </w:pPr>
      <w:r>
        <w:rPr>
          <w:snapToGrid w:val="0"/>
          <w:vertAlign w:val="superscript"/>
        </w:rPr>
        <w:t>1</w:t>
      </w:r>
      <w:r>
        <w:rPr>
          <w:snapToGrid w:val="0"/>
        </w:rPr>
        <w:tab/>
        <w:t xml:space="preserve">This reprint is a compilation as at 18 March 2011 of the </w:t>
      </w:r>
      <w:r>
        <w:rPr>
          <w:i/>
          <w:noProof/>
          <w:snapToGrid w:val="0"/>
        </w:rPr>
        <w:t>Bills of Sale Act 1899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2" w:name="_Toc378062327"/>
      <w:bookmarkStart w:id="183" w:name="_Toc425428141"/>
      <w:r>
        <w:rPr>
          <w:snapToGrid w:val="0"/>
        </w:rPr>
        <w:t>Compilation table</w:t>
      </w:r>
      <w:bookmarkEnd w:id="182"/>
      <w:bookmarkEnd w:id="18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pPr>
            <w:r>
              <w:rPr>
                <w:i/>
              </w:rPr>
              <w:t>Bills of Sale Act 1899</w:t>
            </w:r>
          </w:p>
        </w:tc>
        <w:tc>
          <w:tcPr>
            <w:tcW w:w="1134" w:type="dxa"/>
          </w:tcPr>
          <w:p>
            <w:pPr>
              <w:pStyle w:val="nTable"/>
              <w:spacing w:after="40"/>
            </w:pPr>
            <w:r>
              <w:t>1899</w:t>
            </w:r>
            <w:r>
              <w:br/>
              <w:t>(63 Vict. No. 45)</w:t>
            </w:r>
          </w:p>
        </w:tc>
        <w:tc>
          <w:tcPr>
            <w:tcW w:w="1134" w:type="dxa"/>
          </w:tcPr>
          <w:p>
            <w:pPr>
              <w:pStyle w:val="nTable"/>
              <w:spacing w:after="40"/>
            </w:pPr>
            <w:r>
              <w:t>16 Dec 1899</w:t>
            </w:r>
          </w:p>
        </w:tc>
        <w:tc>
          <w:tcPr>
            <w:tcW w:w="2551" w:type="dxa"/>
          </w:tcPr>
          <w:p>
            <w:pPr>
              <w:pStyle w:val="nTable"/>
              <w:spacing w:after="40"/>
            </w:pPr>
            <w:r>
              <w:t>1 Mar 1900 (see s. 2)</w:t>
            </w:r>
          </w:p>
        </w:tc>
      </w:tr>
      <w:tr>
        <w:trPr>
          <w:cantSplit/>
        </w:trPr>
        <w:tc>
          <w:tcPr>
            <w:tcW w:w="2268" w:type="dxa"/>
          </w:tcPr>
          <w:p>
            <w:pPr>
              <w:pStyle w:val="nTable"/>
              <w:spacing w:after="40"/>
            </w:pPr>
            <w:r>
              <w:rPr>
                <w:i/>
              </w:rPr>
              <w:t>Bills of Sale Act Amendment Act 1900</w:t>
            </w:r>
          </w:p>
        </w:tc>
        <w:tc>
          <w:tcPr>
            <w:tcW w:w="1134" w:type="dxa"/>
          </w:tcPr>
          <w:p>
            <w:pPr>
              <w:pStyle w:val="nTable"/>
              <w:spacing w:after="40"/>
            </w:pPr>
            <w:r>
              <w:t>1900</w:t>
            </w:r>
            <w:r>
              <w:br/>
              <w:t>(64 Vict. No. 28)</w:t>
            </w:r>
          </w:p>
        </w:tc>
        <w:tc>
          <w:tcPr>
            <w:tcW w:w="1134" w:type="dxa"/>
          </w:tcPr>
          <w:p>
            <w:pPr>
              <w:pStyle w:val="nTable"/>
              <w:spacing w:after="40"/>
            </w:pPr>
            <w:r>
              <w:t>5 Dec 1900</w:t>
            </w:r>
          </w:p>
        </w:tc>
        <w:tc>
          <w:tcPr>
            <w:tcW w:w="2551" w:type="dxa"/>
          </w:tcPr>
          <w:p>
            <w:pPr>
              <w:pStyle w:val="nTable"/>
              <w:spacing w:after="40"/>
            </w:pPr>
            <w:r>
              <w:t>5 Dec 1900</w:t>
            </w:r>
          </w:p>
        </w:tc>
      </w:tr>
      <w:tr>
        <w:trPr>
          <w:cantSplit/>
        </w:trPr>
        <w:tc>
          <w:tcPr>
            <w:tcW w:w="2268" w:type="dxa"/>
          </w:tcPr>
          <w:p>
            <w:pPr>
              <w:pStyle w:val="nTable"/>
              <w:spacing w:after="40"/>
            </w:pPr>
            <w:r>
              <w:rPr>
                <w:i/>
              </w:rPr>
              <w:t>Criminal Code Act 1902</w:t>
            </w:r>
            <w:r>
              <w:t xml:space="preserve"> s. 3(2)</w:t>
            </w:r>
          </w:p>
        </w:tc>
        <w:tc>
          <w:tcPr>
            <w:tcW w:w="1134" w:type="dxa"/>
          </w:tcPr>
          <w:p>
            <w:pPr>
              <w:pStyle w:val="nTable"/>
              <w:spacing w:after="40"/>
            </w:pPr>
            <w:r>
              <w:t>1902</w:t>
            </w:r>
            <w:r>
              <w:br/>
              <w:t>(1 and 2 Edw. VII No. 14)</w:t>
            </w:r>
          </w:p>
        </w:tc>
        <w:tc>
          <w:tcPr>
            <w:tcW w:w="1134" w:type="dxa"/>
          </w:tcPr>
          <w:p>
            <w:pPr>
              <w:pStyle w:val="nTable"/>
              <w:spacing w:after="40"/>
            </w:pPr>
            <w:r>
              <w:t>19 Feb 1902</w:t>
            </w:r>
          </w:p>
        </w:tc>
        <w:tc>
          <w:tcPr>
            <w:tcW w:w="2551" w:type="dxa"/>
          </w:tcPr>
          <w:p>
            <w:pPr>
              <w:pStyle w:val="nTable"/>
              <w:spacing w:after="40"/>
            </w:pPr>
            <w:r>
              <w:t>19 Feb 1902</w:t>
            </w:r>
          </w:p>
        </w:tc>
      </w:tr>
      <w:tr>
        <w:trPr>
          <w:cantSplit/>
        </w:trPr>
        <w:tc>
          <w:tcPr>
            <w:tcW w:w="2268" w:type="dxa"/>
          </w:tcPr>
          <w:p>
            <w:pPr>
              <w:pStyle w:val="nTable"/>
              <w:spacing w:after="40"/>
            </w:pPr>
            <w:r>
              <w:rPr>
                <w:i/>
              </w:rPr>
              <w:t>Bills of Sale Amendment Act 1905</w:t>
            </w:r>
          </w:p>
        </w:tc>
        <w:tc>
          <w:tcPr>
            <w:tcW w:w="1134" w:type="dxa"/>
          </w:tcPr>
          <w:p>
            <w:pPr>
              <w:pStyle w:val="nTable"/>
              <w:spacing w:after="40"/>
            </w:pPr>
            <w:r>
              <w:t>17 of 1905</w:t>
            </w:r>
            <w:r>
              <w:br/>
              <w:t>(5 Edw. VII No. 17)</w:t>
            </w:r>
            <w:r>
              <w:br/>
              <w:t xml:space="preserve">(as amended by No. 40 </w:t>
            </w:r>
            <w:r>
              <w:br/>
              <w:t>of 1957 s. 21(1))</w:t>
            </w:r>
          </w:p>
        </w:tc>
        <w:tc>
          <w:tcPr>
            <w:tcW w:w="1134" w:type="dxa"/>
          </w:tcPr>
          <w:p>
            <w:pPr>
              <w:pStyle w:val="nTable"/>
              <w:spacing w:after="40"/>
            </w:pPr>
            <w:r>
              <w:t>23 Dec 1905</w:t>
            </w:r>
          </w:p>
        </w:tc>
        <w:tc>
          <w:tcPr>
            <w:tcW w:w="2551" w:type="dxa"/>
          </w:tcPr>
          <w:p>
            <w:pPr>
              <w:pStyle w:val="nTable"/>
              <w:spacing w:after="40"/>
            </w:pPr>
            <w:r>
              <w:t>23 Dec 1905</w:t>
            </w:r>
          </w:p>
        </w:tc>
      </w:tr>
      <w:tr>
        <w:tc>
          <w:tcPr>
            <w:tcW w:w="2268" w:type="dxa"/>
          </w:tcPr>
          <w:p>
            <w:pPr>
              <w:pStyle w:val="nTable"/>
              <w:spacing w:after="40"/>
            </w:pPr>
            <w:r>
              <w:rPr>
                <w:i/>
              </w:rPr>
              <w:t>Bills of Sale Amendment Act 1906</w:t>
            </w:r>
          </w:p>
        </w:tc>
        <w:tc>
          <w:tcPr>
            <w:tcW w:w="1134" w:type="dxa"/>
          </w:tcPr>
          <w:p>
            <w:pPr>
              <w:pStyle w:val="nTable"/>
              <w:spacing w:after="40"/>
            </w:pPr>
            <w:r>
              <w:t>13 of 1906</w:t>
            </w:r>
            <w:r>
              <w:br/>
              <w:t>(6 Edw. VII No. 13)</w:t>
            </w:r>
            <w:r>
              <w:br/>
              <w:t>(as amended by No. 24 of 1909 s. 2;</w:t>
            </w:r>
            <w:r>
              <w:br/>
              <w:t>No. 24 of 1914 s. 12, 14, 15 and 17;</w:t>
            </w:r>
            <w:r>
              <w:br/>
              <w:t xml:space="preserve">No. 41 of 1925 s. 12; </w:t>
            </w:r>
            <w:r>
              <w:br/>
              <w:t xml:space="preserve">No. 42 of 1932 s. 2 (as amended by No. 40 of 1957 s. 21(1)); No. 40 of 1957 s. 7, 8 and 21(1); </w:t>
            </w:r>
            <w:r>
              <w:br/>
              <w:t>No. 52 of 1957 s. 2)</w:t>
            </w:r>
          </w:p>
        </w:tc>
        <w:tc>
          <w:tcPr>
            <w:tcW w:w="1134" w:type="dxa"/>
          </w:tcPr>
          <w:p>
            <w:pPr>
              <w:pStyle w:val="nTable"/>
              <w:spacing w:after="40"/>
            </w:pPr>
            <w:r>
              <w:t>28 Nov 1906</w:t>
            </w:r>
          </w:p>
        </w:tc>
        <w:tc>
          <w:tcPr>
            <w:tcW w:w="2551" w:type="dxa"/>
          </w:tcPr>
          <w:p>
            <w:pPr>
              <w:pStyle w:val="nTable"/>
              <w:spacing w:after="40"/>
            </w:pPr>
            <w:r>
              <w:t>28 Nov 1906</w:t>
            </w:r>
          </w:p>
        </w:tc>
      </w:tr>
      <w:tr>
        <w:trPr>
          <w:cantSplit/>
        </w:trPr>
        <w:tc>
          <w:tcPr>
            <w:tcW w:w="2268" w:type="dxa"/>
          </w:tcPr>
          <w:p>
            <w:pPr>
              <w:pStyle w:val="nTable"/>
              <w:keepNext/>
              <w:spacing w:after="40"/>
            </w:pPr>
            <w:r>
              <w:rPr>
                <w:i/>
              </w:rPr>
              <w:t>Bills of Sale Act Amendment Act 1912</w:t>
            </w:r>
          </w:p>
        </w:tc>
        <w:tc>
          <w:tcPr>
            <w:tcW w:w="1134" w:type="dxa"/>
          </w:tcPr>
          <w:p>
            <w:pPr>
              <w:pStyle w:val="nTable"/>
              <w:spacing w:after="40"/>
            </w:pPr>
            <w:r>
              <w:t>40 of 1912</w:t>
            </w:r>
            <w:r>
              <w:br/>
              <w:t>(3 Geo. V No. 21)</w:t>
            </w:r>
            <w:r>
              <w:br/>
              <w:t>(as amended by No. 40 of 1957 s. 21(1))</w:t>
            </w:r>
          </w:p>
        </w:tc>
        <w:tc>
          <w:tcPr>
            <w:tcW w:w="1134" w:type="dxa"/>
          </w:tcPr>
          <w:p>
            <w:pPr>
              <w:pStyle w:val="nTable"/>
              <w:spacing w:after="40"/>
            </w:pPr>
            <w:r>
              <w:t>5 Nov 1912</w:t>
            </w:r>
          </w:p>
        </w:tc>
        <w:tc>
          <w:tcPr>
            <w:tcW w:w="2551" w:type="dxa"/>
          </w:tcPr>
          <w:p>
            <w:pPr>
              <w:pStyle w:val="nTable"/>
              <w:spacing w:after="40"/>
            </w:pPr>
            <w:r>
              <w:t>5 Nov 1912</w:t>
            </w:r>
          </w:p>
        </w:tc>
      </w:tr>
      <w:tr>
        <w:trPr>
          <w:cantSplit/>
        </w:trPr>
        <w:tc>
          <w:tcPr>
            <w:tcW w:w="2268" w:type="dxa"/>
          </w:tcPr>
          <w:p>
            <w:pPr>
              <w:pStyle w:val="nTable"/>
              <w:spacing w:after="40"/>
            </w:pPr>
            <w:r>
              <w:rPr>
                <w:i/>
              </w:rPr>
              <w:t>Bills of Sale Act Amendment Act 1914</w:t>
            </w:r>
          </w:p>
        </w:tc>
        <w:tc>
          <w:tcPr>
            <w:tcW w:w="1134" w:type="dxa"/>
          </w:tcPr>
          <w:p>
            <w:pPr>
              <w:pStyle w:val="nTable"/>
              <w:spacing w:after="40"/>
            </w:pPr>
            <w:r>
              <w:t>24 of 1914</w:t>
            </w:r>
            <w:r>
              <w:br/>
              <w:t>(5 Geo. V No. 24)</w:t>
            </w:r>
            <w:r>
              <w:br/>
              <w:t>(as amended by No. 40 of 1957 s. 21(1); No. 52 of 1957 s. 2)</w:t>
            </w:r>
          </w:p>
        </w:tc>
        <w:tc>
          <w:tcPr>
            <w:tcW w:w="1134" w:type="dxa"/>
          </w:tcPr>
          <w:p>
            <w:pPr>
              <w:pStyle w:val="nTable"/>
              <w:spacing w:after="40"/>
            </w:pPr>
            <w:r>
              <w:t>22 Sep 1914</w:t>
            </w:r>
          </w:p>
        </w:tc>
        <w:tc>
          <w:tcPr>
            <w:tcW w:w="2551" w:type="dxa"/>
          </w:tcPr>
          <w:p>
            <w:pPr>
              <w:pStyle w:val="nTable"/>
              <w:spacing w:after="40"/>
            </w:pPr>
            <w:r>
              <w:t>22 Sep 1914</w:t>
            </w:r>
          </w:p>
        </w:tc>
      </w:tr>
      <w:tr>
        <w:trPr>
          <w:cantSplit/>
        </w:trPr>
        <w:tc>
          <w:tcPr>
            <w:tcW w:w="2268" w:type="dxa"/>
          </w:tcPr>
          <w:p>
            <w:pPr>
              <w:pStyle w:val="nTable"/>
              <w:spacing w:after="40"/>
            </w:pPr>
            <w:r>
              <w:rPr>
                <w:i/>
              </w:rPr>
              <w:t>Bills of Sale Act Amendment Act 1925</w:t>
            </w:r>
          </w:p>
        </w:tc>
        <w:tc>
          <w:tcPr>
            <w:tcW w:w="1134" w:type="dxa"/>
          </w:tcPr>
          <w:p>
            <w:pPr>
              <w:pStyle w:val="nTable"/>
              <w:spacing w:after="40"/>
            </w:pPr>
            <w:r>
              <w:t>41 of 1925</w:t>
            </w:r>
            <w:r>
              <w:br/>
              <w:t>(16 Geo. V No. 41)</w:t>
            </w:r>
            <w:r>
              <w:br/>
              <w:t>(as amended by No. 40 of 1957 s. 21(1))</w:t>
            </w:r>
          </w:p>
        </w:tc>
        <w:tc>
          <w:tcPr>
            <w:tcW w:w="1134" w:type="dxa"/>
          </w:tcPr>
          <w:p>
            <w:pPr>
              <w:pStyle w:val="nTable"/>
              <w:spacing w:after="40"/>
            </w:pPr>
            <w:r>
              <w:t>31 Dec 1925</w:t>
            </w:r>
          </w:p>
        </w:tc>
        <w:tc>
          <w:tcPr>
            <w:tcW w:w="2551" w:type="dxa"/>
          </w:tcPr>
          <w:p>
            <w:pPr>
              <w:pStyle w:val="nTable"/>
              <w:spacing w:after="40"/>
            </w:pPr>
            <w:r>
              <w:t>31 Dec 1925</w:t>
            </w:r>
          </w:p>
        </w:tc>
      </w:tr>
      <w:tr>
        <w:trPr>
          <w:cantSplit/>
        </w:trPr>
        <w:tc>
          <w:tcPr>
            <w:tcW w:w="7087" w:type="dxa"/>
            <w:gridSpan w:val="4"/>
          </w:tcPr>
          <w:p>
            <w:pPr>
              <w:pStyle w:val="nTable"/>
              <w:spacing w:after="40"/>
            </w:pPr>
            <w:r>
              <w:rPr>
                <w:b/>
              </w:rPr>
              <w:t xml:space="preserve">Reprint of the </w:t>
            </w:r>
            <w:r>
              <w:rPr>
                <w:b/>
                <w:i/>
              </w:rPr>
              <w:t>Bills of Sale Act 1899</w:t>
            </w:r>
            <w:r>
              <w:rPr>
                <w:b/>
              </w:rPr>
              <w:t xml:space="preserve"> in Appendix to Session 1925 </w:t>
            </w:r>
            <w:r>
              <w:t>(includes amendments listed above)</w:t>
            </w:r>
          </w:p>
        </w:tc>
      </w:tr>
      <w:tr>
        <w:trPr>
          <w:cantSplit/>
        </w:trPr>
        <w:tc>
          <w:tcPr>
            <w:tcW w:w="2268" w:type="dxa"/>
          </w:tcPr>
          <w:p>
            <w:pPr>
              <w:pStyle w:val="nTable"/>
              <w:spacing w:after="40"/>
            </w:pPr>
            <w:r>
              <w:rPr>
                <w:i/>
              </w:rPr>
              <w:t>Bills of Sale Act Amendment Act 1927</w:t>
            </w:r>
          </w:p>
        </w:tc>
        <w:tc>
          <w:tcPr>
            <w:tcW w:w="1134" w:type="dxa"/>
          </w:tcPr>
          <w:p>
            <w:pPr>
              <w:pStyle w:val="nTable"/>
              <w:spacing w:after="40"/>
            </w:pPr>
            <w:r>
              <w:t>8 of 1927</w:t>
            </w:r>
            <w:r>
              <w:br/>
              <w:t>(18 Geo. V No. 8)</w:t>
            </w:r>
          </w:p>
        </w:tc>
        <w:tc>
          <w:tcPr>
            <w:tcW w:w="1134" w:type="dxa"/>
          </w:tcPr>
          <w:p>
            <w:pPr>
              <w:pStyle w:val="nTable"/>
              <w:spacing w:after="40"/>
            </w:pPr>
            <w:r>
              <w:t>29 Oct 1927</w:t>
            </w:r>
          </w:p>
        </w:tc>
        <w:tc>
          <w:tcPr>
            <w:tcW w:w="2551" w:type="dxa"/>
          </w:tcPr>
          <w:p>
            <w:pPr>
              <w:pStyle w:val="nTable"/>
              <w:spacing w:after="40"/>
            </w:pPr>
            <w:r>
              <w:t>29 Oct 1927</w:t>
            </w:r>
          </w:p>
        </w:tc>
      </w:tr>
      <w:tr>
        <w:trPr>
          <w:cantSplit/>
        </w:trPr>
        <w:tc>
          <w:tcPr>
            <w:tcW w:w="2268" w:type="dxa"/>
          </w:tcPr>
          <w:p>
            <w:pPr>
              <w:pStyle w:val="nTable"/>
              <w:spacing w:after="40"/>
            </w:pPr>
            <w:r>
              <w:rPr>
                <w:i/>
              </w:rPr>
              <w:t>Bills of Sale Act Amendment Act 1940</w:t>
            </w:r>
          </w:p>
        </w:tc>
        <w:tc>
          <w:tcPr>
            <w:tcW w:w="1134" w:type="dxa"/>
          </w:tcPr>
          <w:p>
            <w:pPr>
              <w:pStyle w:val="nTable"/>
              <w:spacing w:after="40"/>
            </w:pPr>
            <w:r>
              <w:t>52 of 1940</w:t>
            </w:r>
            <w:r>
              <w:br/>
              <w:t>(4 and 5</w:t>
            </w:r>
            <w:r>
              <w:br/>
              <w:t>Geo. VI No. 52)</w:t>
            </w:r>
          </w:p>
        </w:tc>
        <w:tc>
          <w:tcPr>
            <w:tcW w:w="1134" w:type="dxa"/>
          </w:tcPr>
          <w:p>
            <w:pPr>
              <w:pStyle w:val="nTable"/>
              <w:spacing w:after="40"/>
            </w:pPr>
            <w:r>
              <w:t>30 Dec 1940</w:t>
            </w:r>
          </w:p>
        </w:tc>
        <w:tc>
          <w:tcPr>
            <w:tcW w:w="2551" w:type="dxa"/>
          </w:tcPr>
          <w:p>
            <w:pPr>
              <w:pStyle w:val="nTable"/>
              <w:spacing w:after="40"/>
            </w:pPr>
            <w:r>
              <w:t>30 Dec 1940</w:t>
            </w:r>
          </w:p>
        </w:tc>
      </w:tr>
      <w:tr>
        <w:trPr>
          <w:cantSplit/>
        </w:trPr>
        <w:tc>
          <w:tcPr>
            <w:tcW w:w="2268" w:type="dxa"/>
          </w:tcPr>
          <w:p>
            <w:pPr>
              <w:pStyle w:val="nTable"/>
              <w:spacing w:after="40"/>
            </w:pPr>
            <w:r>
              <w:rPr>
                <w:i/>
              </w:rPr>
              <w:t>Bills of Sale Act Amendment Act 1956</w:t>
            </w:r>
          </w:p>
        </w:tc>
        <w:tc>
          <w:tcPr>
            <w:tcW w:w="1134" w:type="dxa"/>
          </w:tcPr>
          <w:p>
            <w:pPr>
              <w:pStyle w:val="nTable"/>
              <w:spacing w:after="40"/>
            </w:pPr>
            <w:r>
              <w:t>9 of 1956</w:t>
            </w:r>
            <w:r>
              <w:br/>
              <w:t>(5 Eliz. II No. 9)</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pPr>
            <w:r>
              <w:rPr>
                <w:i/>
              </w:rPr>
              <w:t>Bills of Sale Act Amendment and Revision Act 1957</w:t>
            </w:r>
          </w:p>
        </w:tc>
        <w:tc>
          <w:tcPr>
            <w:tcW w:w="1134" w:type="dxa"/>
          </w:tcPr>
          <w:p>
            <w:pPr>
              <w:pStyle w:val="nTable"/>
              <w:spacing w:after="40"/>
            </w:pPr>
            <w:r>
              <w:t>40 of 1957</w:t>
            </w:r>
            <w:r>
              <w:br/>
              <w:t>(6 Eliz. II No. 40)</w:t>
            </w:r>
          </w:p>
        </w:tc>
        <w:tc>
          <w:tcPr>
            <w:tcW w:w="1134" w:type="dxa"/>
          </w:tcPr>
          <w:p>
            <w:pPr>
              <w:pStyle w:val="nTable"/>
              <w:spacing w:after="40"/>
            </w:pPr>
            <w:r>
              <w:t>22 Nov 1957</w:t>
            </w:r>
          </w:p>
        </w:tc>
        <w:tc>
          <w:tcPr>
            <w:tcW w:w="2551" w:type="dxa"/>
          </w:tcPr>
          <w:p>
            <w:pPr>
              <w:pStyle w:val="nTable"/>
              <w:spacing w:after="40"/>
            </w:pPr>
            <w:r>
              <w:t xml:space="preserve">1 Jul 1958 (see s. 1(2) and </w:t>
            </w:r>
            <w:r>
              <w:rPr>
                <w:i/>
              </w:rPr>
              <w:t>Gazette</w:t>
            </w:r>
            <w:r>
              <w:t xml:space="preserve"> 16 May 1958 p. 989)</w:t>
            </w:r>
          </w:p>
        </w:tc>
      </w:tr>
      <w:tr>
        <w:trPr>
          <w:cantSplit/>
        </w:trPr>
        <w:tc>
          <w:tcPr>
            <w:tcW w:w="2268" w:type="dxa"/>
          </w:tcPr>
          <w:p>
            <w:pPr>
              <w:pStyle w:val="nTable"/>
              <w:spacing w:after="40"/>
            </w:pPr>
            <w:r>
              <w:rPr>
                <w:i/>
              </w:rPr>
              <w:t>Bills of Sale Act Amendment Act 1957</w:t>
            </w:r>
          </w:p>
        </w:tc>
        <w:tc>
          <w:tcPr>
            <w:tcW w:w="1134" w:type="dxa"/>
          </w:tcPr>
          <w:p>
            <w:pPr>
              <w:pStyle w:val="nTable"/>
              <w:spacing w:after="40"/>
            </w:pPr>
            <w:r>
              <w:t>52 of 1957</w:t>
            </w:r>
            <w:r>
              <w:br/>
              <w:t>(6 Eliz. II No. 52)</w:t>
            </w:r>
          </w:p>
        </w:tc>
        <w:tc>
          <w:tcPr>
            <w:tcW w:w="1134" w:type="dxa"/>
          </w:tcPr>
          <w:p>
            <w:pPr>
              <w:pStyle w:val="nTable"/>
              <w:spacing w:after="40"/>
            </w:pPr>
            <w:r>
              <w:t>9 Dec 1957</w:t>
            </w:r>
          </w:p>
        </w:tc>
        <w:tc>
          <w:tcPr>
            <w:tcW w:w="2551" w:type="dxa"/>
          </w:tcPr>
          <w:p>
            <w:pPr>
              <w:pStyle w:val="nTable"/>
              <w:spacing w:after="40"/>
            </w:pPr>
            <w:r>
              <w:t>9 Dec 1957</w:t>
            </w:r>
          </w:p>
        </w:tc>
      </w:tr>
      <w:tr>
        <w:trPr>
          <w:cantSplit/>
        </w:trPr>
        <w:tc>
          <w:tcPr>
            <w:tcW w:w="7087" w:type="dxa"/>
            <w:gridSpan w:val="4"/>
          </w:tcPr>
          <w:p>
            <w:pPr>
              <w:pStyle w:val="nTable"/>
              <w:spacing w:after="40"/>
            </w:pPr>
            <w:r>
              <w:rPr>
                <w:b/>
              </w:rPr>
              <w:t xml:space="preserve">Reprint of the </w:t>
            </w:r>
            <w:r>
              <w:rPr>
                <w:b/>
                <w:i/>
              </w:rPr>
              <w:t>Bills of Sale Act 1899</w:t>
            </w:r>
            <w:r>
              <w:rPr>
                <w:b/>
              </w:rPr>
              <w:t xml:space="preserve"> approved 12 May 1958 in Volume 12 of Reprinted Acts </w:t>
            </w:r>
            <w:r>
              <w:t>(includes amendments listed above)</w:t>
            </w:r>
          </w:p>
        </w:tc>
      </w:tr>
      <w:tr>
        <w:trPr>
          <w:cantSplit/>
        </w:trPr>
        <w:tc>
          <w:tcPr>
            <w:tcW w:w="2268" w:type="dxa"/>
          </w:tcPr>
          <w:p>
            <w:pPr>
              <w:pStyle w:val="nTable"/>
              <w:spacing w:after="40"/>
            </w:pPr>
            <w:r>
              <w:rPr>
                <w:i/>
              </w:rPr>
              <w:t>Bills of Sale Act Amendment Act 1962</w:t>
            </w:r>
          </w:p>
        </w:tc>
        <w:tc>
          <w:tcPr>
            <w:tcW w:w="1134" w:type="dxa"/>
          </w:tcPr>
          <w:p>
            <w:pPr>
              <w:pStyle w:val="nTable"/>
              <w:spacing w:after="40"/>
            </w:pPr>
            <w:r>
              <w:t>40 of 1962</w:t>
            </w:r>
            <w:r>
              <w:br/>
              <w:t>(11 Eliz. II No. 40)</w:t>
            </w:r>
          </w:p>
        </w:tc>
        <w:tc>
          <w:tcPr>
            <w:tcW w:w="1134" w:type="dxa"/>
          </w:tcPr>
          <w:p>
            <w:pPr>
              <w:pStyle w:val="nTable"/>
              <w:spacing w:after="40"/>
            </w:pPr>
            <w:r>
              <w:t>29 Oct 1962</w:t>
            </w:r>
          </w:p>
        </w:tc>
        <w:tc>
          <w:tcPr>
            <w:tcW w:w="2551" w:type="dxa"/>
          </w:tcPr>
          <w:p>
            <w:pPr>
              <w:pStyle w:val="nTable"/>
              <w:spacing w:after="40"/>
            </w:pPr>
            <w:r>
              <w:t>29 Oct 1962</w:t>
            </w:r>
          </w:p>
        </w:tc>
      </w:tr>
      <w:tr>
        <w:trPr>
          <w:cantSplit/>
        </w:trPr>
        <w:tc>
          <w:tcPr>
            <w:tcW w:w="2268" w:type="dxa"/>
          </w:tcPr>
          <w:p>
            <w:pPr>
              <w:pStyle w:val="nTable"/>
              <w:spacing w:after="40"/>
            </w:pPr>
            <w:r>
              <w:rPr>
                <w:i/>
              </w:rPr>
              <w:t>Bills of Sale Act Amendment Act 1963</w:t>
            </w:r>
          </w:p>
        </w:tc>
        <w:tc>
          <w:tcPr>
            <w:tcW w:w="1134" w:type="dxa"/>
          </w:tcPr>
          <w:p>
            <w:pPr>
              <w:pStyle w:val="nTable"/>
              <w:spacing w:after="40"/>
            </w:pPr>
            <w:r>
              <w:t>14 of 1963</w:t>
            </w:r>
            <w:r>
              <w:br/>
              <w:t>(12 Eliz. II No. 14)</w:t>
            </w:r>
          </w:p>
        </w:tc>
        <w:tc>
          <w:tcPr>
            <w:tcW w:w="1134" w:type="dxa"/>
          </w:tcPr>
          <w:p>
            <w:pPr>
              <w:pStyle w:val="nTable"/>
              <w:spacing w:after="40"/>
            </w:pPr>
            <w:r>
              <w:t>5 Nov 1963</w:t>
            </w:r>
          </w:p>
        </w:tc>
        <w:tc>
          <w:tcPr>
            <w:tcW w:w="2551" w:type="dxa"/>
          </w:tcPr>
          <w:p>
            <w:pPr>
              <w:pStyle w:val="nTable"/>
              <w:spacing w:after="40"/>
            </w:pPr>
            <w:r>
              <w:t>5 Nov 1963</w:t>
            </w:r>
          </w:p>
        </w:tc>
      </w:tr>
      <w:tr>
        <w:trPr>
          <w:cantSplit/>
        </w:trP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pPr>
            <w:r>
              <w:rPr>
                <w:i/>
              </w:rPr>
              <w:t>Bills of Sale Act Amendment Act 1966</w:t>
            </w:r>
          </w:p>
        </w:tc>
        <w:tc>
          <w:tcPr>
            <w:tcW w:w="1134" w:type="dxa"/>
          </w:tcPr>
          <w:p>
            <w:pPr>
              <w:pStyle w:val="nTable"/>
              <w:keepNext/>
              <w:spacing w:after="40"/>
            </w:pPr>
            <w:r>
              <w:t>33 of 1966</w:t>
            </w:r>
          </w:p>
        </w:tc>
        <w:tc>
          <w:tcPr>
            <w:tcW w:w="1134" w:type="dxa"/>
          </w:tcPr>
          <w:p>
            <w:pPr>
              <w:pStyle w:val="nTable"/>
              <w:spacing w:after="40"/>
            </w:pPr>
            <w:r>
              <w:t>31 Oct 1966</w:t>
            </w:r>
          </w:p>
        </w:tc>
        <w:tc>
          <w:tcPr>
            <w:tcW w:w="2551" w:type="dxa"/>
          </w:tcPr>
          <w:p>
            <w:pPr>
              <w:pStyle w:val="nTable"/>
              <w:spacing w:after="40"/>
            </w:pPr>
            <w:r>
              <w:t xml:space="preserve">16 Dec 1966 (see s. 2 and </w:t>
            </w:r>
            <w:r>
              <w:rPr>
                <w:i/>
              </w:rPr>
              <w:t>Gazette</w:t>
            </w:r>
            <w:r>
              <w:t xml:space="preserve"> 16 Dec 1966 p. 3315)</w:t>
            </w:r>
          </w:p>
        </w:tc>
      </w:tr>
      <w:tr>
        <w:trPr>
          <w:cantSplit/>
        </w:trPr>
        <w:tc>
          <w:tcPr>
            <w:tcW w:w="7087" w:type="dxa"/>
            <w:gridSpan w:val="4"/>
          </w:tcPr>
          <w:p>
            <w:pPr>
              <w:pStyle w:val="nTable"/>
              <w:spacing w:after="40"/>
            </w:pPr>
            <w:r>
              <w:rPr>
                <w:b/>
              </w:rPr>
              <w:t xml:space="preserve">Reprint of the </w:t>
            </w:r>
            <w:r>
              <w:rPr>
                <w:b/>
                <w:i/>
              </w:rPr>
              <w:t>Bills of Sale Act 1899</w:t>
            </w:r>
            <w:r>
              <w:rPr>
                <w:b/>
              </w:rPr>
              <w:t xml:space="preserve"> approved 7 Apr 1971 </w:t>
            </w:r>
            <w:r>
              <w:t>(includes amendments listed above)</w:t>
            </w:r>
          </w:p>
        </w:tc>
      </w:tr>
      <w:tr>
        <w:trPr>
          <w:cantSplit/>
        </w:trPr>
        <w:tc>
          <w:tcPr>
            <w:tcW w:w="2268" w:type="dxa"/>
          </w:tcPr>
          <w:p>
            <w:pPr>
              <w:pStyle w:val="nTable"/>
              <w:spacing w:after="40"/>
            </w:pPr>
            <w:r>
              <w:rPr>
                <w:i/>
              </w:rPr>
              <w:t>Bills of Sale Act Amendment Act 1971</w:t>
            </w:r>
          </w:p>
        </w:tc>
        <w:tc>
          <w:tcPr>
            <w:tcW w:w="1134" w:type="dxa"/>
          </w:tcPr>
          <w:p>
            <w:pPr>
              <w:pStyle w:val="nTable"/>
              <w:spacing w:after="40"/>
            </w:pPr>
            <w:r>
              <w:t>32 of 1971</w:t>
            </w:r>
          </w:p>
        </w:tc>
        <w:tc>
          <w:tcPr>
            <w:tcW w:w="1134" w:type="dxa"/>
          </w:tcPr>
          <w:p>
            <w:pPr>
              <w:pStyle w:val="nTable"/>
              <w:spacing w:after="40"/>
            </w:pPr>
            <w:r>
              <w:t>6 Dec 1971</w:t>
            </w:r>
          </w:p>
        </w:tc>
        <w:tc>
          <w:tcPr>
            <w:tcW w:w="2551" w:type="dxa"/>
          </w:tcPr>
          <w:p>
            <w:pPr>
              <w:pStyle w:val="nTable"/>
              <w:spacing w:after="40"/>
            </w:pPr>
            <w:r>
              <w:t xml:space="preserve">1 Jan 1972 (see s. 2 and </w:t>
            </w:r>
            <w:r>
              <w:rPr>
                <w:i/>
              </w:rPr>
              <w:t>Gazette</w:t>
            </w:r>
            <w:r>
              <w:t xml:space="preserve"> 17 Dec 1971 p. 5251)</w:t>
            </w:r>
          </w:p>
        </w:tc>
      </w:tr>
      <w:tr>
        <w:trPr>
          <w:cantSplit/>
        </w:trPr>
        <w:tc>
          <w:tcPr>
            <w:tcW w:w="2268" w:type="dxa"/>
          </w:tcPr>
          <w:p>
            <w:pPr>
              <w:pStyle w:val="nTable"/>
              <w:spacing w:after="40"/>
            </w:pPr>
            <w:r>
              <w:rPr>
                <w:i/>
              </w:rPr>
              <w:t>Metric Conversion Act 1972</w:t>
            </w:r>
          </w:p>
        </w:tc>
        <w:tc>
          <w:tcPr>
            <w:tcW w:w="1134" w:type="dxa"/>
          </w:tcPr>
          <w:p>
            <w:pPr>
              <w:pStyle w:val="nTable"/>
              <w:spacing w:after="40"/>
            </w:pPr>
            <w:r>
              <w:t>94 of 1972</w:t>
            </w:r>
          </w:p>
        </w:tc>
        <w:tc>
          <w:tcPr>
            <w:tcW w:w="1134" w:type="dxa"/>
          </w:tcPr>
          <w:p>
            <w:pPr>
              <w:pStyle w:val="nTable"/>
              <w:spacing w:after="40"/>
            </w:pPr>
            <w:r>
              <w:t>4 Dec 1972</w:t>
            </w:r>
          </w:p>
        </w:tc>
        <w:tc>
          <w:tcPr>
            <w:tcW w:w="2551" w:type="dxa"/>
          </w:tcPr>
          <w:p>
            <w:pPr>
              <w:pStyle w:val="nTable"/>
              <w:spacing w:after="40"/>
            </w:pPr>
            <w:r>
              <w:t xml:space="preserve">Relevant amendments (see Second Sch. </w:t>
            </w:r>
            <w:r>
              <w:rPr>
                <w:vertAlign w:val="superscript"/>
              </w:rPr>
              <w:t>2</w:t>
            </w:r>
            <w:r>
              <w:t xml:space="preserve">) took effect on 1 Jan 1974 (see s. 4(2) and </w:t>
            </w:r>
            <w:r>
              <w:rPr>
                <w:i/>
              </w:rPr>
              <w:t>Gazette</w:t>
            </w:r>
            <w:r>
              <w:t xml:space="preserve"> 2 Nov 1973 p. 4108)</w:t>
            </w:r>
          </w:p>
        </w:tc>
      </w:tr>
      <w:tr>
        <w:trPr>
          <w:cantSplit/>
        </w:trPr>
        <w:tc>
          <w:tcPr>
            <w:tcW w:w="2268" w:type="dxa"/>
          </w:tcPr>
          <w:p>
            <w:pPr>
              <w:pStyle w:val="nTable"/>
              <w:spacing w:after="40"/>
            </w:pPr>
            <w:r>
              <w:rPr>
                <w:i/>
              </w:rPr>
              <w:t>Bills of Sale Amendment Act 1981</w:t>
            </w:r>
          </w:p>
        </w:tc>
        <w:tc>
          <w:tcPr>
            <w:tcW w:w="1134" w:type="dxa"/>
          </w:tcPr>
          <w:p>
            <w:pPr>
              <w:pStyle w:val="nTable"/>
              <w:spacing w:after="40"/>
            </w:pPr>
            <w:r>
              <w:t>74 of 1981</w:t>
            </w:r>
          </w:p>
        </w:tc>
        <w:tc>
          <w:tcPr>
            <w:tcW w:w="1134" w:type="dxa"/>
          </w:tcPr>
          <w:p>
            <w:pPr>
              <w:pStyle w:val="nTable"/>
              <w:spacing w:after="40"/>
            </w:pPr>
            <w:r>
              <w:t>30 Oct 1981</w:t>
            </w:r>
          </w:p>
        </w:tc>
        <w:tc>
          <w:tcPr>
            <w:tcW w:w="2551" w:type="dxa"/>
          </w:tcPr>
          <w:p>
            <w:pPr>
              <w:pStyle w:val="nTable"/>
              <w:spacing w:after="40"/>
            </w:pPr>
            <w:r>
              <w:t>27 Nov 1981 (see s. 2)</w:t>
            </w:r>
          </w:p>
        </w:tc>
      </w:tr>
      <w:tr>
        <w:trPr>
          <w:cantSplit/>
        </w:trPr>
        <w:tc>
          <w:tcPr>
            <w:tcW w:w="2268" w:type="dxa"/>
          </w:tcPr>
          <w:p>
            <w:pPr>
              <w:pStyle w:val="nTable"/>
              <w:spacing w:after="40"/>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Bills of Sale Amendment Act 1983</w:t>
            </w:r>
          </w:p>
        </w:tc>
        <w:tc>
          <w:tcPr>
            <w:tcW w:w="1134" w:type="dxa"/>
          </w:tcPr>
          <w:p>
            <w:pPr>
              <w:pStyle w:val="nTable"/>
              <w:spacing w:after="40"/>
            </w:pPr>
            <w:r>
              <w:t>49 of 1983</w:t>
            </w:r>
          </w:p>
        </w:tc>
        <w:tc>
          <w:tcPr>
            <w:tcW w:w="1134" w:type="dxa"/>
          </w:tcPr>
          <w:p>
            <w:pPr>
              <w:pStyle w:val="nTable"/>
              <w:spacing w:after="40"/>
            </w:pPr>
            <w:r>
              <w:t>5 Dec 1983</w:t>
            </w:r>
          </w:p>
        </w:tc>
        <w:tc>
          <w:tcPr>
            <w:tcW w:w="2551" w:type="dxa"/>
          </w:tcPr>
          <w:p>
            <w:pPr>
              <w:pStyle w:val="nTable"/>
              <w:spacing w:after="40"/>
            </w:pPr>
            <w:r>
              <w:t xml:space="preserve">1 Mar 1984 (see s. 2 and </w:t>
            </w:r>
            <w:r>
              <w:rPr>
                <w:i/>
              </w:rPr>
              <w:t>Gazette</w:t>
            </w:r>
            <w:r>
              <w:t xml:space="preserve"> 20 Jan 1984 p. 120)</w:t>
            </w:r>
          </w:p>
        </w:tc>
      </w:tr>
      <w:tr>
        <w:trPr>
          <w:cantSplit/>
        </w:trPr>
        <w:tc>
          <w:tcPr>
            <w:tcW w:w="2268" w:type="dxa"/>
          </w:tcPr>
          <w:p>
            <w:pPr>
              <w:pStyle w:val="nTable"/>
              <w:spacing w:after="40"/>
            </w:pPr>
            <w:r>
              <w:rPr>
                <w:i/>
              </w:rPr>
              <w:t>Bills of Sale Amendment Act 1984</w:t>
            </w:r>
          </w:p>
        </w:tc>
        <w:tc>
          <w:tcPr>
            <w:tcW w:w="1134" w:type="dxa"/>
          </w:tcPr>
          <w:p>
            <w:pPr>
              <w:pStyle w:val="nTable"/>
              <w:spacing w:after="40"/>
            </w:pPr>
            <w:r>
              <w:t>11 of 1984</w:t>
            </w:r>
          </w:p>
        </w:tc>
        <w:tc>
          <w:tcPr>
            <w:tcW w:w="1134" w:type="dxa"/>
          </w:tcPr>
          <w:p>
            <w:pPr>
              <w:pStyle w:val="nTable"/>
              <w:spacing w:after="40"/>
            </w:pPr>
            <w:r>
              <w:t>31 May 1984</w:t>
            </w:r>
          </w:p>
        </w:tc>
        <w:tc>
          <w:tcPr>
            <w:tcW w:w="2551" w:type="dxa"/>
          </w:tcPr>
          <w:p>
            <w:pPr>
              <w:pStyle w:val="nTable"/>
              <w:spacing w:after="40"/>
            </w:pPr>
            <w:r>
              <w:t>31 May 1984</w:t>
            </w:r>
          </w:p>
        </w:tc>
      </w:tr>
      <w:tr>
        <w:trPr>
          <w:cantSplit/>
        </w:trPr>
        <w:tc>
          <w:tcPr>
            <w:tcW w:w="2268" w:type="dxa"/>
          </w:tcPr>
          <w:p>
            <w:pPr>
              <w:pStyle w:val="nTable"/>
              <w:spacing w:after="40"/>
            </w:pPr>
            <w:r>
              <w:rPr>
                <w:i/>
              </w:rPr>
              <w:t>Acts Amendment and Repeal (Credit) Act 1984</w:t>
            </w:r>
            <w:r>
              <w:t xml:space="preserve"> Pt. II</w:t>
            </w:r>
          </w:p>
        </w:tc>
        <w:tc>
          <w:tcPr>
            <w:tcW w:w="1134" w:type="dxa"/>
          </w:tcPr>
          <w:p>
            <w:pPr>
              <w:pStyle w:val="nTable"/>
              <w:spacing w:after="40"/>
            </w:pPr>
            <w:r>
              <w:t>102 of 1984</w:t>
            </w:r>
          </w:p>
        </w:tc>
        <w:tc>
          <w:tcPr>
            <w:tcW w:w="1134"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 xml:space="preserve">Bills of </w:t>
            </w:r>
            <w:smartTag w:uri="urn:schemas-microsoft-com:office:smarttags" w:element="place">
              <w:smartTag w:uri="urn:schemas-microsoft-com:office:smarttags" w:element="City">
                <w:r>
                  <w:rPr>
                    <w:i/>
                  </w:rPr>
                  <w:t>Sale</w:t>
                </w:r>
              </w:smartTag>
            </w:smartTag>
            <w:r>
              <w:rPr>
                <w:i/>
              </w:rPr>
              <w:t xml:space="preserve"> Amendment Act 1986</w:t>
            </w:r>
            <w:r>
              <w:t xml:space="preserve"> </w:t>
            </w:r>
            <w:r>
              <w:rPr>
                <w:vertAlign w:val="superscript"/>
              </w:rPr>
              <w:t>3</w:t>
            </w:r>
          </w:p>
        </w:tc>
        <w:tc>
          <w:tcPr>
            <w:tcW w:w="1134" w:type="dxa"/>
          </w:tcPr>
          <w:p>
            <w:pPr>
              <w:pStyle w:val="nTable"/>
              <w:spacing w:after="40"/>
            </w:pPr>
            <w:r>
              <w:t>20 of 1986</w:t>
            </w:r>
          </w:p>
        </w:tc>
        <w:tc>
          <w:tcPr>
            <w:tcW w:w="1134" w:type="dxa"/>
          </w:tcPr>
          <w:p>
            <w:pPr>
              <w:pStyle w:val="nTable"/>
              <w:spacing w:after="40"/>
            </w:pPr>
            <w:r>
              <w:t>25 Jul 1986</w:t>
            </w:r>
          </w:p>
        </w:tc>
        <w:tc>
          <w:tcPr>
            <w:tcW w:w="2551" w:type="dxa"/>
          </w:tcPr>
          <w:p>
            <w:pPr>
              <w:pStyle w:val="nTable"/>
              <w:spacing w:after="40"/>
            </w:pPr>
            <w:r>
              <w:t xml:space="preserve">18 Aug 1986 (see s. 2 and </w:t>
            </w:r>
            <w:r>
              <w:rPr>
                <w:i/>
              </w:rPr>
              <w:t>Gazette</w:t>
            </w:r>
            <w:r>
              <w:t xml:space="preserve"> 15 Aug 1986 p. 2925)</w:t>
            </w:r>
          </w:p>
        </w:tc>
      </w:tr>
      <w:tr>
        <w:trPr>
          <w:cantSplit/>
        </w:trPr>
        <w:tc>
          <w:tcPr>
            <w:tcW w:w="2268" w:type="dxa"/>
          </w:tcPr>
          <w:p>
            <w:pPr>
              <w:pStyle w:val="nTable"/>
              <w:spacing w:after="40"/>
            </w:pPr>
            <w:r>
              <w:rPr>
                <w:i/>
              </w:rPr>
              <w:t xml:space="preserve">Bills of </w:t>
            </w:r>
            <w:smartTag w:uri="urn:schemas-microsoft-com:office:smarttags" w:element="place">
              <w:smartTag w:uri="urn:schemas-microsoft-com:office:smarttags" w:element="City">
                <w:r>
                  <w:rPr>
                    <w:i/>
                  </w:rPr>
                  <w:t>Sale</w:t>
                </w:r>
              </w:smartTag>
            </w:smartTag>
            <w:r>
              <w:rPr>
                <w:i/>
              </w:rPr>
              <w:t xml:space="preserve"> Amendment Act 1987</w:t>
            </w:r>
            <w:r>
              <w:t xml:space="preserve"> </w:t>
            </w:r>
            <w:r>
              <w:rPr>
                <w:vertAlign w:val="superscript"/>
              </w:rPr>
              <w:t>4</w:t>
            </w:r>
          </w:p>
        </w:tc>
        <w:tc>
          <w:tcPr>
            <w:tcW w:w="1134" w:type="dxa"/>
          </w:tcPr>
          <w:p>
            <w:pPr>
              <w:pStyle w:val="nTable"/>
              <w:spacing w:after="40"/>
            </w:pPr>
            <w:r>
              <w:t>102 of 1987</w:t>
            </w:r>
          </w:p>
        </w:tc>
        <w:tc>
          <w:tcPr>
            <w:tcW w:w="1134" w:type="dxa"/>
          </w:tcPr>
          <w:p>
            <w:pPr>
              <w:pStyle w:val="nTable"/>
              <w:spacing w:after="40"/>
            </w:pPr>
            <w:r>
              <w:t>16 Dec 1987</w:t>
            </w:r>
          </w:p>
        </w:tc>
        <w:tc>
          <w:tcPr>
            <w:tcW w:w="2551" w:type="dxa"/>
          </w:tcPr>
          <w:p>
            <w:pPr>
              <w:pStyle w:val="nTable"/>
              <w:spacing w:after="40"/>
            </w:pPr>
            <w:r>
              <w:t xml:space="preserve">14 Nov 1988 (see s. 2 and </w:t>
            </w:r>
            <w:r>
              <w:rPr>
                <w:i/>
              </w:rPr>
              <w:t>Gazette</w:t>
            </w:r>
            <w:r>
              <w:t xml:space="preserve"> 5 Aug 1988 p. 2583)</w:t>
            </w:r>
          </w:p>
        </w:tc>
      </w:tr>
      <w:tr>
        <w:trPr>
          <w:cantSplit/>
        </w:trPr>
        <w:tc>
          <w:tcPr>
            <w:tcW w:w="7087" w:type="dxa"/>
            <w:gridSpan w:val="4"/>
          </w:tcPr>
          <w:p>
            <w:pPr>
              <w:pStyle w:val="nTable"/>
              <w:spacing w:after="40"/>
            </w:pPr>
            <w:r>
              <w:rPr>
                <w:b/>
              </w:rPr>
              <w:t xml:space="preserve">Reprint of the </w:t>
            </w:r>
            <w:r>
              <w:rPr>
                <w:b/>
                <w:i/>
              </w:rPr>
              <w:t>Bills of Sale Act 1899</w:t>
            </w:r>
            <w:r>
              <w:rPr>
                <w:b/>
              </w:rPr>
              <w:t xml:space="preserve"> as at 12 Feb 1996 </w:t>
            </w:r>
            <w:r>
              <w:t>(includes amendments listed above)</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4"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Statutes (Repeals and Minor Amendments) Act 1997</w:t>
            </w:r>
            <w:r>
              <w:t xml:space="preserve"> s. 23</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rPr>
                <w:i/>
              </w:rPr>
            </w:pPr>
            <w:r>
              <w:rPr>
                <w:i/>
              </w:rPr>
              <w:t xml:space="preserve">Corporations (Consequential Amendments) Act 2001 </w:t>
            </w:r>
            <w:r>
              <w:t>Pt. 8</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of the </w:t>
            </w:r>
            <w:r>
              <w:rPr>
                <w:b/>
                <w:i/>
              </w:rPr>
              <w:t>Bills of Sale Act 1899</w:t>
            </w:r>
            <w:r>
              <w:rPr>
                <w:b/>
              </w:rPr>
              <w:t xml:space="preserve"> as at 24 Aug 2001</w:t>
            </w:r>
            <w:r>
              <w:rPr>
                <w:bCs/>
              </w:rPr>
              <w:t xml:space="preserve">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rPr>
                <w:i/>
              </w:rPr>
            </w:pPr>
            <w:r>
              <w:rPr>
                <w:i/>
              </w:rPr>
              <w:t>Oaths, Affidavits and Statutory Declarations (Consequential Provisions) Act 2005</w:t>
            </w:r>
            <w:r>
              <w:rPr>
                <w:iCs/>
              </w:rP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iCs/>
              </w:rPr>
              <w:t>Gazette</w:t>
            </w:r>
            <w:r>
              <w:t xml:space="preserve"> 23 Dec 2005 p. 6244)</w:t>
            </w:r>
          </w:p>
        </w:tc>
      </w:tr>
      <w:tr>
        <w:trPr>
          <w:cantSplit/>
        </w:trPr>
        <w:tc>
          <w:tcPr>
            <w:tcW w:w="2268" w:type="dxa"/>
          </w:tcPr>
          <w:p>
            <w:pPr>
              <w:pStyle w:val="nTable"/>
              <w:spacing w:after="40"/>
              <w:rPr>
                <w:iCs/>
              </w:rPr>
            </w:pPr>
            <w:r>
              <w:rPr>
                <w:i/>
              </w:rPr>
              <w:t>Statutes (Repeals and Miscellaneous Amendments) Act 2009</w:t>
            </w:r>
            <w:r>
              <w:rPr>
                <w:iCs/>
              </w:rPr>
              <w:t xml:space="preserve"> s. 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12 </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Credit (Commonwealth Powers) (Transitional and Consequential Provisions) Act 2010</w:t>
            </w:r>
            <w:r>
              <w:rPr>
                <w:iCs/>
                <w:snapToGrid w:val="0"/>
              </w:rPr>
              <w:t xml:space="preserve"> s. 8</w:t>
            </w:r>
          </w:p>
        </w:tc>
        <w:tc>
          <w:tcPr>
            <w:tcW w:w="1134" w:type="dxa"/>
          </w:tcPr>
          <w:p>
            <w:pPr>
              <w:pStyle w:val="nTable"/>
              <w:spacing w:after="40"/>
            </w:pPr>
            <w:r>
              <w:t>14 of 2010</w:t>
            </w:r>
          </w:p>
        </w:tc>
        <w:tc>
          <w:tcPr>
            <w:tcW w:w="1134" w:type="dxa"/>
          </w:tcPr>
          <w:p>
            <w:pPr>
              <w:pStyle w:val="nTable"/>
              <w:spacing w:after="40"/>
            </w:pPr>
            <w:r>
              <w:t>25 Jun 2010</w:t>
            </w:r>
          </w:p>
        </w:tc>
        <w:tc>
          <w:tcPr>
            <w:tcW w:w="2551" w:type="dxa"/>
          </w:tcPr>
          <w:p>
            <w:pPr>
              <w:pStyle w:val="nTable"/>
              <w:spacing w:after="40"/>
            </w:pPr>
            <w:r>
              <w:t xml:space="preserve">1 Jul 2010 (see s. 2(b) and </w:t>
            </w:r>
            <w:r>
              <w:rPr>
                <w:i/>
                <w:iCs/>
              </w:rPr>
              <w:t xml:space="preserve">Gazette </w:t>
            </w:r>
            <w:r>
              <w:t>30 Jun 2010 p. 3185)</w:t>
            </w:r>
          </w:p>
        </w:tc>
      </w:tr>
      <w:tr>
        <w:trPr>
          <w:cantSplit/>
        </w:trPr>
        <w:tc>
          <w:tcPr>
            <w:tcW w:w="2268" w:type="dxa"/>
          </w:tcPr>
          <w:p>
            <w:pPr>
              <w:pStyle w:val="nTable"/>
              <w:spacing w:after="40"/>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Pr>
          <w:p>
            <w:pPr>
              <w:pStyle w:val="nTable"/>
              <w:spacing w:after="40"/>
              <w:rPr>
                <w:snapToGrid w:val="0"/>
              </w:rPr>
            </w:pPr>
            <w:r>
              <w:rPr>
                <w:b/>
              </w:rPr>
              <w:t xml:space="preserve">Reprint 6: The </w:t>
            </w:r>
            <w:r>
              <w:rPr>
                <w:b/>
                <w:i/>
              </w:rPr>
              <w:t>Bills of Sale Act 1899</w:t>
            </w:r>
            <w:r>
              <w:rPr>
                <w:b/>
              </w:rPr>
              <w:t xml:space="preserve"> as at 18 Mar 2011</w:t>
            </w:r>
            <w:r>
              <w:rPr>
                <w:bCs/>
              </w:rPr>
              <w:t xml:space="preserve"> </w:t>
            </w:r>
            <w:r>
              <w:t>(includes amendments listed above)</w:t>
            </w:r>
          </w:p>
        </w:tc>
      </w:tr>
      <w:tr>
        <w:trPr>
          <w:cantSplit/>
        </w:trPr>
        <w:tc>
          <w:tcPr>
            <w:tcW w:w="2268" w:type="dxa"/>
          </w:tcPr>
          <w:p>
            <w:pPr>
              <w:pStyle w:val="nTable"/>
              <w:spacing w:after="40"/>
              <w:rPr>
                <w:iCs/>
                <w:snapToGrid w:val="0"/>
              </w:rPr>
            </w:pPr>
            <w:r>
              <w:rPr>
                <w:i/>
                <w:snapToGrid w:val="0"/>
              </w:rPr>
              <w:t>Personal Property Securities (Consequential Repeals and Amendments) Act 2011</w:t>
            </w:r>
            <w:r>
              <w:rPr>
                <w:snapToGrid w:val="0"/>
              </w:rPr>
              <w:t xml:space="preserve"> s. 31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rPr>
                <w:snapToGrid w:val="0"/>
              </w:rPr>
              <w:t>4 Oct 2011</w:t>
            </w:r>
          </w:p>
        </w:tc>
        <w:tc>
          <w:tcPr>
            <w:tcW w:w="2551" w:type="dxa"/>
          </w:tcPr>
          <w:p>
            <w:pPr>
              <w:pStyle w:val="nTable"/>
              <w:spacing w:after="40"/>
              <w:rPr>
                <w:snapToGrid w:val="0"/>
              </w:rPr>
            </w:pPr>
            <w:r>
              <w:rPr>
                <w:snapToGrid w:val="0"/>
              </w:rPr>
              <w:t>5 Oct 2011 (see s. 2(b))</w:t>
            </w:r>
          </w:p>
        </w:tc>
      </w:tr>
      <w:tr>
        <w:trPr>
          <w:cantSplit/>
        </w:trPr>
        <w:tc>
          <w:tcPr>
            <w:tcW w:w="7087" w:type="dxa"/>
            <w:gridSpan w:val="4"/>
            <w:tcBorders>
              <w:bottom w:val="single" w:sz="4" w:space="0" w:color="auto"/>
            </w:tcBorders>
          </w:tcPr>
          <w:p>
            <w:pPr>
              <w:pStyle w:val="nTable"/>
              <w:rPr>
                <w:b/>
                <w:bCs/>
                <w:snapToGrid w:val="0"/>
                <w:color w:val="FF0000"/>
              </w:rPr>
            </w:pPr>
            <w:r>
              <w:rPr>
                <w:b/>
                <w:bCs/>
                <w:snapToGrid w:val="0"/>
                <w:color w:val="FF0000"/>
              </w:rPr>
              <w:t xml:space="preserve">This Act was repealed by the </w:t>
            </w:r>
            <w:r>
              <w:rPr>
                <w:b/>
                <w:i/>
                <w:snapToGrid w:val="0"/>
                <w:color w:val="FF0000"/>
              </w:rPr>
              <w:t>Personal Property Securities (Consequential Repeals and Amendments) Act 2011</w:t>
            </w:r>
            <w:r>
              <w:rPr>
                <w:b/>
                <w:color w:val="FF0000"/>
              </w:rPr>
              <w:t xml:space="preserve"> s. 32(1) (No. 42 of 2011) as at 30 Jan 2012 (see s. 2(c) and</w:t>
            </w:r>
            <w:r>
              <w:rPr>
                <w:b/>
                <w:snapToGrid w:val="0"/>
                <w:color w:val="FF0000"/>
              </w:rPr>
              <w:t xml:space="preserve"> Cwlth Legislative Instrument No. F2011L02397 cl. 5 registered 21 Nov 2011)</w:t>
            </w:r>
          </w:p>
        </w:tc>
      </w:tr>
    </w:tbl>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BlankOpen"/>
        <w:rPr>
          <w:snapToGrid w:val="0"/>
        </w:rPr>
      </w:pP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i/>
          <w:snapToGrid w:val="0"/>
        </w:rPr>
        <w:t>bill of sale</w:t>
      </w:r>
      <w:r>
        <w:rPr>
          <w:snapToGrid w:val="0"/>
        </w:rPr>
        <w:t xml:space="preserve"> has the meaning given to that term in section 17A of the principal Act.</w:t>
      </w:r>
    </w:p>
    <w:p>
      <w:pPr>
        <w:pStyle w:val="BlankClose"/>
        <w:rPr>
          <w:snapToGrid w:val="0"/>
        </w:rPr>
      </w:pP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w:t>
      </w:r>
    </w:p>
    <w:p>
      <w:pPr>
        <w:pStyle w:val="BlankOpen"/>
        <w:rPr>
          <w:snapToGrid w:val="0"/>
        </w:rPr>
      </w:pP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BlankClose"/>
        <w:rPr>
          <w:snapToGrid w:val="0"/>
        </w:rPr>
      </w:pPr>
    </w:p>
    <w:p/>
    <w:p>
      <w:pPr>
        <w:jc w:val="both"/>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apparent possession</w:t>
      </w:r>
      <w:r>
        <w:tab/>
        <w:t>5</w:t>
      </w:r>
    </w:p>
    <w:p>
      <w:pPr>
        <w:pStyle w:val="DefinedTerms"/>
      </w:pPr>
      <w:r>
        <w:t>bill of sale</w:t>
      </w:r>
      <w:r>
        <w:tab/>
        <w:t>5, 5, 17A</w:t>
      </w:r>
    </w:p>
    <w:p>
      <w:pPr>
        <w:pStyle w:val="DefinedTerms"/>
      </w:pPr>
      <w:r>
        <w:t>bill of sale by way of security</w:t>
      </w:r>
      <w:r>
        <w:tab/>
        <w:t>5</w:t>
      </w:r>
    </w:p>
    <w:p>
      <w:pPr>
        <w:pStyle w:val="DefinedTerms"/>
      </w:pPr>
      <w:r>
        <w:t>chattels</w:t>
      </w:r>
      <w:r>
        <w:tab/>
        <w:t>5</w:t>
      </w:r>
    </w:p>
    <w:p>
      <w:pPr>
        <w:pStyle w:val="DefinedTerms"/>
      </w:pPr>
      <w:r>
        <w:t>company</w:t>
      </w:r>
      <w:r>
        <w:tab/>
        <w:t>3(5)</w:t>
      </w:r>
    </w:p>
    <w:p>
      <w:pPr>
        <w:pStyle w:val="DefinedTerms"/>
      </w:pPr>
      <w:r>
        <w:t>contemporaneous advance</w:t>
      </w:r>
      <w:r>
        <w:tab/>
        <w:t>5</w:t>
      </w:r>
    </w:p>
    <w:p>
      <w:pPr>
        <w:pStyle w:val="DefinedTerms"/>
      </w:pPr>
      <w:r>
        <w:t>crops</w:t>
      </w:r>
      <w:r>
        <w:tab/>
        <w:t>5</w:t>
      </w:r>
    </w:p>
    <w:p>
      <w:pPr>
        <w:pStyle w:val="DefinedTerms"/>
      </w:pPr>
      <w:r>
        <w:t>debenture</w:t>
      </w:r>
      <w:r>
        <w:tab/>
        <w:t>5</w:t>
      </w:r>
    </w:p>
    <w:p>
      <w:pPr>
        <w:pStyle w:val="DefinedTerms"/>
      </w:pPr>
      <w:r>
        <w:t>grantee</w:t>
      </w:r>
      <w:r>
        <w:tab/>
        <w:t>5</w:t>
      </w:r>
    </w:p>
    <w:p>
      <w:pPr>
        <w:pStyle w:val="DefinedTerms"/>
      </w:pPr>
      <w:r>
        <w:t>grantor</w:t>
      </w:r>
      <w:r>
        <w:tab/>
        <w:t>5</w:t>
      </w:r>
    </w:p>
    <w:p>
      <w:pPr>
        <w:pStyle w:val="DefinedTerms"/>
      </w:pPr>
      <w:r>
        <w:t>hire</w:t>
      </w:r>
      <w:r>
        <w:noBreakHyphen/>
        <w:t>purchase agreement</w:t>
      </w:r>
      <w:r>
        <w:tab/>
        <w:t>5</w:t>
      </w:r>
    </w:p>
    <w:p>
      <w:pPr>
        <w:pStyle w:val="DefinedTerms"/>
      </w:pPr>
      <w:r>
        <w:t>migration time</w:t>
      </w:r>
      <w:r>
        <w:tab/>
        <w:t>6A(1)</w:t>
      </w:r>
    </w:p>
    <w:p>
      <w:pPr>
        <w:pStyle w:val="DefinedTerms"/>
      </w:pPr>
      <w:r>
        <w:t>pre</w:t>
      </w:r>
      <w:r>
        <w:noBreakHyphen/>
        <w:t>PPS transition period</w:t>
      </w:r>
      <w:r>
        <w:tab/>
        <w:t>6A(1)</w:t>
      </w:r>
    </w:p>
    <w:p>
      <w:pPr>
        <w:pStyle w:val="DefinedTerms"/>
      </w:pPr>
      <w:r>
        <w:t>prescribed</w:t>
      </w:r>
      <w:r>
        <w:tab/>
        <w:t>5</w:t>
      </w:r>
    </w:p>
    <w:p>
      <w:pPr>
        <w:pStyle w:val="DefinedTerms"/>
      </w:pPr>
      <w:r>
        <w:t>registrar</w:t>
      </w:r>
      <w:r>
        <w:tab/>
        <w:t>5</w:t>
      </w:r>
    </w:p>
    <w:p>
      <w:pPr>
        <w:pStyle w:val="DefinedTerms"/>
      </w:pPr>
      <w:r>
        <w:t>registration commencement time</w:t>
      </w:r>
      <w:r>
        <w:tab/>
        <w:t>6A(1)</w:t>
      </w:r>
    </w:p>
    <w:p>
      <w:pPr>
        <w:pStyle w:val="DefinedTerms"/>
      </w:pPr>
      <w:r>
        <w:t>registration function</w:t>
      </w:r>
      <w:r>
        <w:tab/>
        <w:t>6A(1)</w:t>
      </w:r>
    </w:p>
    <w:p>
      <w:pPr>
        <w:pStyle w:val="DefinedTerms"/>
      </w:pPr>
      <w:r>
        <w:t>stock</w:t>
      </w:r>
      <w:r>
        <w:tab/>
        <w:t>5</w:t>
      </w:r>
    </w:p>
    <w:p>
      <w:pPr>
        <w:pStyle w:val="DefinedTerms"/>
      </w:pPr>
      <w:r>
        <w:t>wool</w:t>
      </w:r>
      <w:r>
        <w:tab/>
        <w:t>5</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Bills of Sale Act 1899</w:t>
          </w:r>
          <w:r>
            <w:rPr>
              <w:b/>
              <w:i/>
            </w:rPr>
            <w:fldChar w:fldCharType="end"/>
          </w:r>
        </w:p>
      </w:tc>
    </w:tr>
    <w:tr>
      <w:tc>
        <w:tcPr>
          <w:tcW w:w="2352" w:type="dxa"/>
        </w:tcPr>
        <w:p>
          <w:pPr>
            <w:pStyle w:val="Header"/>
            <w:spacing w:before="40"/>
          </w:pPr>
          <w:r>
            <w:rPr>
              <w:b/>
            </w:rPr>
            <w:fldChar w:fldCharType="begin"/>
          </w:r>
          <w:r>
            <w:rPr>
              <w:b/>
            </w:rPr>
            <w:instrText>styleref CharSchno</w:instrText>
          </w:r>
          <w:r>
            <w:rPr>
              <w:b/>
            </w:rPr>
            <w:fldChar w:fldCharType="end"/>
          </w:r>
        </w:p>
      </w:tc>
      <w:tc>
        <w:tcPr>
          <w:tcW w:w="4911" w:type="dxa"/>
        </w:tcPr>
        <w:p>
          <w:pPr>
            <w:pStyle w:val="Header"/>
            <w:spacing w:before="40"/>
          </w:pPr>
          <w:r>
            <w:fldChar w:fldCharType="begin"/>
          </w:r>
          <w:r>
            <w:instrText xml:space="preserve"> styleref CharSchText </w:instrText>
          </w:r>
          <w:r>
            <w:fldChar w:fldCharType="end"/>
          </w:r>
        </w:p>
      </w:tc>
    </w:tr>
    <w:tr>
      <w:tc>
        <w:tcPr>
          <w:tcW w:w="2352" w:type="dxa"/>
        </w:tcPr>
        <w:p>
          <w:pPr>
            <w:pStyle w:val="Header"/>
            <w:spacing w:before="40"/>
          </w:pPr>
        </w:p>
      </w:tc>
      <w:tc>
        <w:tcPr>
          <w:tcW w:w="4911" w:type="dxa"/>
        </w:tcPr>
        <w:p>
          <w:pPr>
            <w:pStyle w:val="Header"/>
            <w:spacing w:before="40"/>
          </w:pPr>
        </w:p>
      </w:tc>
    </w:tr>
    <w:tr>
      <w:tc>
        <w:tcPr>
          <w:tcW w:w="2352" w:type="dxa"/>
        </w:tcPr>
        <w:p>
          <w:pPr>
            <w:pStyle w:val="Header"/>
            <w:spacing w:before="40"/>
          </w:pPr>
        </w:p>
      </w:tc>
      <w:tc>
        <w:tcPr>
          <w:tcW w:w="491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c>
        <w:tcPr>
          <w:tcW w:w="4992" w:type="dxa"/>
        </w:tcPr>
        <w:p>
          <w:pPr>
            <w:pStyle w:val="Header"/>
            <w:spacing w:before="40"/>
            <w:jc w:val="right"/>
          </w:pPr>
          <w:r>
            <w:tab/>
          </w: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bookmarkStart w:id="157" w:name="Schedule"/>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Bills of Sale Act 1899</w:t>
          </w:r>
          <w:r>
            <w:rPr>
              <w:b/>
              <w:i/>
            </w:rPr>
            <w:fldChar w:fldCharType="end"/>
          </w:r>
        </w:p>
      </w:tc>
    </w:tr>
    <w:tr>
      <w:tc>
        <w:tcPr>
          <w:tcW w:w="2352" w:type="dxa"/>
        </w:tcPr>
        <w:p>
          <w:pPr>
            <w:pStyle w:val="Header"/>
            <w:spacing w:before="40"/>
          </w:pPr>
          <w:r>
            <w:rPr>
              <w:b/>
            </w:rPr>
            <w:fldChar w:fldCharType="begin"/>
          </w:r>
          <w:r>
            <w:rPr>
              <w:b/>
            </w:rPr>
            <w:instrText>styleref CharSchno</w:instrText>
          </w:r>
          <w:r>
            <w:rPr>
              <w:b/>
            </w:rPr>
            <w:fldChar w:fldCharType="end"/>
          </w:r>
        </w:p>
      </w:tc>
      <w:tc>
        <w:tcPr>
          <w:tcW w:w="4911" w:type="dxa"/>
        </w:tcPr>
        <w:p>
          <w:pPr>
            <w:pStyle w:val="Header"/>
            <w:spacing w:before="40"/>
          </w:pPr>
          <w:r>
            <w:fldChar w:fldCharType="begin"/>
          </w:r>
          <w:r>
            <w:instrText xml:space="preserve"> styleref CharSchText </w:instrText>
          </w:r>
          <w:r>
            <w:fldChar w:fldCharType="separate"/>
          </w:r>
          <w:r>
            <w:t>Bill of sale by way of security</w:t>
          </w:r>
          <w:r>
            <w:fldChar w:fldCharType="end"/>
          </w:r>
        </w:p>
      </w:tc>
    </w:tr>
    <w:tr>
      <w:tc>
        <w:tcPr>
          <w:tcW w:w="2352" w:type="dxa"/>
        </w:tcPr>
        <w:p>
          <w:pPr>
            <w:pStyle w:val="Header"/>
            <w:spacing w:before="40"/>
          </w:pPr>
        </w:p>
      </w:tc>
      <w:tc>
        <w:tcPr>
          <w:tcW w:w="4911" w:type="dxa"/>
        </w:tcPr>
        <w:p>
          <w:pPr>
            <w:pStyle w:val="Header"/>
            <w:spacing w:before="40"/>
          </w:pPr>
        </w:p>
      </w:tc>
    </w:tr>
    <w:tr>
      <w:tc>
        <w:tcPr>
          <w:tcW w:w="235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491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separate"/>
          </w:r>
          <w:r>
            <w:t>Bill of sale by way of security</w: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c>
        <w:tcPr>
          <w:tcW w:w="4992" w:type="dxa"/>
        </w:tcPr>
        <w:p>
          <w:pPr>
            <w:pStyle w:val="Header"/>
            <w:spacing w:before="40"/>
            <w:jc w:val="right"/>
          </w:pPr>
          <w:r>
            <w:tab/>
          </w: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Bills of Sale Act 1899</w:t>
          </w:r>
          <w:r>
            <w:rPr>
              <w:b/>
              <w:i/>
            </w:rPr>
            <w:fldChar w:fldCharType="end"/>
          </w:r>
        </w:p>
      </w:tc>
    </w:tr>
    <w:tr>
      <w:tc>
        <w:tcPr>
          <w:tcW w:w="2352" w:type="dxa"/>
        </w:tcPr>
        <w:p>
          <w:pPr>
            <w:pStyle w:val="Header"/>
            <w:spacing w:before="40"/>
          </w:pPr>
          <w:r>
            <w:rPr>
              <w:b/>
            </w:rPr>
            <w:fldChar w:fldCharType="begin"/>
          </w:r>
          <w:r>
            <w:rPr>
              <w:b/>
            </w:rPr>
            <w:instrText xml:space="preserve"> styleref CharSchno </w:instrText>
          </w:r>
          <w:r>
            <w:rPr>
              <w:b/>
            </w:rPr>
            <w:fldChar w:fldCharType="separate"/>
          </w:r>
          <w:r>
            <w:rPr>
              <w:b/>
            </w:rPr>
            <w:t>Eleventh Schedule</w:t>
          </w:r>
          <w:r>
            <w:rPr>
              <w:b/>
            </w:rPr>
            <w:fldChar w:fldCharType="end"/>
          </w:r>
        </w:p>
      </w:tc>
      <w:tc>
        <w:tcPr>
          <w:tcW w:w="4911" w:type="dxa"/>
        </w:tcPr>
        <w:p>
          <w:pPr>
            <w:pStyle w:val="Header"/>
            <w:spacing w:before="40"/>
          </w:pPr>
          <w:r>
            <w:fldChar w:fldCharType="begin"/>
          </w:r>
          <w:r>
            <w:instrText xml:space="preserve"> styleref CharSchText </w:instrText>
          </w:r>
          <w:r>
            <w:fldChar w:fldCharType="separate"/>
          </w:r>
          <w:r>
            <w:t>Covenants to be deemed implied in bills of sale by way of security</w:t>
          </w:r>
          <w:r>
            <w:fldChar w:fldCharType="end"/>
          </w:r>
        </w:p>
      </w:tc>
    </w:tr>
    <w:tr>
      <w:tc>
        <w:tcPr>
          <w:tcW w:w="2352" w:type="dxa"/>
        </w:tcPr>
        <w:p>
          <w:pPr>
            <w:pStyle w:val="Header"/>
            <w:spacing w:before="40"/>
          </w:pPr>
        </w:p>
      </w:tc>
      <w:tc>
        <w:tcPr>
          <w:tcW w:w="4911" w:type="dxa"/>
        </w:tcPr>
        <w:p>
          <w:pPr>
            <w:pStyle w:val="Header"/>
            <w:spacing w:before="40"/>
          </w:pPr>
        </w:p>
      </w:tc>
    </w:tr>
    <w:tr>
      <w:tc>
        <w:tcPr>
          <w:tcW w:w="2352" w:type="dxa"/>
        </w:tcPr>
        <w:p>
          <w:pPr>
            <w:pStyle w:val="Header"/>
            <w:spacing w:before="40"/>
          </w:pPr>
        </w:p>
      </w:tc>
      <w:tc>
        <w:tcPr>
          <w:tcW w:w="491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separate"/>
          </w:r>
          <w:r>
            <w:t>Covenants to be deemed implied in bills of sale by way of security</w:t>
          </w:r>
          <w:r>
            <w:fldChar w:fldCharType="end"/>
          </w:r>
        </w:p>
      </w:tc>
      <w:tc>
        <w:tcPr>
          <w:tcW w:w="227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Eleventh Schedule</w:t>
          </w:r>
          <w:r>
            <w:rPr>
              <w:b/>
            </w:rPr>
            <w:fldChar w:fldCharType="end"/>
          </w:r>
        </w:p>
      </w:tc>
    </w:tr>
    <w:tr>
      <w:tc>
        <w:tcPr>
          <w:tcW w:w="4992" w:type="dxa"/>
        </w:tcPr>
        <w:p>
          <w:pPr>
            <w:pStyle w:val="Header"/>
            <w:spacing w:before="40"/>
            <w:jc w:val="right"/>
          </w:pPr>
          <w:r>
            <w:tab/>
          </w: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5" w:name="DefinedTerms"/>
    <w:bookmarkEnd w:id="18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 w:name="Coversheet"/>
    <w:bookmarkEnd w:id="1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Registration</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Sale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Registration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BA28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7059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8AD6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7242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0CA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2C67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809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FC1A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A8DC32"/>
    <w:lvl w:ilvl="0">
      <w:start w:val="1"/>
      <w:numFmt w:val="decimal"/>
      <w:pStyle w:val="ListNumber"/>
      <w:lvlText w:val="%1."/>
      <w:lvlJc w:val="left"/>
      <w:pPr>
        <w:tabs>
          <w:tab w:val="num" w:pos="360"/>
        </w:tabs>
        <w:ind w:left="360" w:hanging="360"/>
      </w:pPr>
    </w:lvl>
  </w:abstractNum>
  <w:abstractNum w:abstractNumId="9">
    <w:nsid w:val="FFFFFF89"/>
    <w:multiLevelType w:val="singleLevel"/>
    <w:tmpl w:val="F544F5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4AD6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751"/>
    <w:docVar w:name="WAFER_20140121092943" w:val="RemoveTocBookmarks,RemoveUnusedBookmarks,RemoveLanguageTags,UsedStyles,ResetPageSize,UpdateArrangement"/>
    <w:docVar w:name="WAFER_20140121092943_GUID" w:val="e30c9f8e-2ef6-448b-9b7e-93ddfce64b9f"/>
    <w:docVar w:name="WAFER_20140121100341" w:val="RemoveTocBookmarks,RunningHeaders"/>
    <w:docVar w:name="WAFER_20140121100341_GUID" w:val="800a35cf-6087-4a7c-b371-7354043fb273"/>
    <w:docVar w:name="WAFER_20150723151205" w:val="ResetPageSize,UpdateArrangement,UpdateNTable"/>
    <w:docVar w:name="WAFER_20150723151205_GUID" w:val="6c859b52-314d-493e-ba79-37ac1223ff7e"/>
    <w:docVar w:name="WAFER_20151116101945" w:val="UpdateStyles,UsedStyles"/>
    <w:docVar w:name="WAFER_20151116101945_GUID" w:val="21630cd7-eee7-4a55-9a20-2c46645ee785"/>
    <w:docVar w:name="WAFER_20151130160751" w:val="RemoveTrackChanges"/>
    <w:docVar w:name="WAFER_20151130160751_GUID" w:val="918ec78f-b301-4a77-8772-79918a1abd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3.png"/><Relationship Id="rId38" Type="http://schemas.openxmlformats.org/officeDocument/2006/relationships/header" Target="header19.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13941</Words>
  <Characters>65214</Characters>
  <Application>Microsoft Office Word</Application>
  <DocSecurity>0</DocSecurity>
  <Lines>1976</Lines>
  <Paragraphs>860</Paragraphs>
  <ScaleCrop>false</ScaleCrop>
  <HeadingPairs>
    <vt:vector size="2" baseType="variant">
      <vt:variant>
        <vt:lpstr>Title</vt:lpstr>
      </vt:variant>
      <vt:variant>
        <vt:i4>1</vt:i4>
      </vt:variant>
    </vt:vector>
  </HeadingPairs>
  <TitlesOfParts>
    <vt:vector size="1" baseType="lpstr">
      <vt:lpstr>Bills of Sale Act 1899</vt:lpstr>
    </vt:vector>
  </TitlesOfParts>
  <Manager/>
  <Company/>
  <LinksUpToDate>false</LinksUpToDate>
  <CharactersWithSpaces>78295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1899 - 06-c0-05</dc:title>
  <dc:subject/>
  <dc:creator/>
  <cp:keywords/>
  <dc:description/>
  <cp:lastModifiedBy>svcMRProcess</cp:lastModifiedBy>
  <cp:revision>4</cp:revision>
  <cp:lastPrinted>2011-03-18T03:08:00Z</cp:lastPrinted>
  <dcterms:created xsi:type="dcterms:W3CDTF">2020-02-13T16:53:00Z</dcterms:created>
  <dcterms:modified xsi:type="dcterms:W3CDTF">2020-02-13T16:53:00Z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74</vt:i4>
  </property>
  <property fmtid="{D5CDD505-2E9C-101B-9397-08002B2CF9AE}" pid="6" name="ReprintNo">
    <vt:lpwstr>6</vt:lpwstr>
  </property>
  <property fmtid="{D5CDD505-2E9C-101B-9397-08002B2CF9AE}" pid="7" name="ReprintedAsAt">
    <vt:filetime>2011-03-17T16:00:00Z</vt:filetime>
  </property>
  <property fmtid="{D5CDD505-2E9C-101B-9397-08002B2CF9AE}" pid="8" name="AsAtDate">
    <vt:lpwstr>30 Jan 2012</vt:lpwstr>
  </property>
  <property fmtid="{D5CDD505-2E9C-101B-9397-08002B2CF9AE}" pid="9" name="Suffix">
    <vt:lpwstr>06-c0-05</vt:lpwstr>
  </property>
  <property fmtid="{D5CDD505-2E9C-101B-9397-08002B2CF9AE}" pid="10" name="Status">
    <vt:lpwstr>NIF</vt:lpwstr>
  </property>
</Properties>
</file>