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Energy Coordination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_Toc416788123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_Toc416788124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_Toc416788125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Coordinator of Energy</w:t>
      </w:r>
    </w:p>
    <w:p>
      <w:pPr>
        <w:pStyle w:val="TOC8"/>
        <w:rPr>
          <w:rFonts w:asciiTheme="minorHAnsi" w:eastAsiaTheme="minorEastAsia" w:hAnsiTheme="minorHAnsi" w:cstheme="minorBidi"/>
          <w:szCs w:val="22"/>
        </w:rPr>
      </w:pPr>
      <w:r>
        <w:t>4</w:t>
      </w:r>
      <w:r>
        <w:rPr>
          <w:snapToGrid w:val="0"/>
        </w:rPr>
        <w:t>.</w:t>
      </w:r>
      <w:r>
        <w:rPr>
          <w:snapToGrid w:val="0"/>
        </w:rPr>
        <w:tab/>
      </w:r>
      <w:r>
        <w:t>Coordinator</w:t>
      </w:r>
      <w:r>
        <w:rPr>
          <w:snapToGrid w:val="0"/>
        </w:rPr>
        <w:t xml:space="preserve"> of Energy</w:t>
      </w:r>
      <w:r>
        <w:tab/>
      </w:r>
      <w:r>
        <w:fldChar w:fldCharType="begin"/>
      </w:r>
      <w:r>
        <w:instrText xml:space="preserve"> PAGEREF _Toc416788127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t>Coordinator’s</w:t>
      </w:r>
      <w:r>
        <w:rPr>
          <w:snapToGrid w:val="0"/>
        </w:rPr>
        <w:t xml:space="preserve"> functions</w:t>
      </w:r>
      <w:r>
        <w:tab/>
      </w:r>
      <w:r>
        <w:fldChar w:fldCharType="begin"/>
      </w:r>
      <w:r>
        <w:instrText xml:space="preserve"> PAGEREF _Toc416788128 \h </w:instrText>
      </w:r>
      <w:r>
        <w:fldChar w:fldCharType="separate"/>
      </w:r>
      <w:r>
        <w:t>6</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r>
      <w:r>
        <w:t>Staff for Coordinator</w:t>
      </w:r>
      <w:r>
        <w:tab/>
      </w:r>
      <w:r>
        <w:fldChar w:fldCharType="begin"/>
      </w:r>
      <w:r>
        <w:instrText xml:space="preserve"> PAGEREF _Toc416788129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r>
      <w:r>
        <w:t>Delegation</w:t>
      </w:r>
      <w:r>
        <w:rPr>
          <w:snapToGrid w:val="0"/>
        </w:rPr>
        <w:t xml:space="preserve"> by Coordinator</w:t>
      </w:r>
      <w:r>
        <w:tab/>
      </w:r>
      <w:r>
        <w:fldChar w:fldCharType="begin"/>
      </w:r>
      <w:r>
        <w:instrText xml:space="preserve"> PAGEREF _Toc416788130 \h </w:instrText>
      </w:r>
      <w:r>
        <w:fldChar w:fldCharType="separate"/>
      </w:r>
      <w:r>
        <w:t>7</w:t>
      </w:r>
      <w:r>
        <w:fldChar w:fldCharType="end"/>
      </w:r>
    </w:p>
    <w:p>
      <w:pPr>
        <w:pStyle w:val="TOC8"/>
        <w:rPr>
          <w:rFonts w:asciiTheme="minorHAnsi" w:eastAsiaTheme="minorEastAsia" w:hAnsiTheme="minorHAnsi" w:cstheme="minorBidi"/>
          <w:szCs w:val="22"/>
        </w:rPr>
      </w:pPr>
      <w:r>
        <w:t>4D</w:t>
      </w:r>
      <w:r>
        <w:rPr>
          <w:snapToGrid w:val="0"/>
        </w:rPr>
        <w:t>.</w:t>
      </w:r>
      <w:r>
        <w:rPr>
          <w:snapToGrid w:val="0"/>
        </w:rPr>
        <w:tab/>
      </w:r>
      <w:r>
        <w:t>Minister</w:t>
      </w:r>
      <w:r>
        <w:rPr>
          <w:snapToGrid w:val="0"/>
        </w:rPr>
        <w:t xml:space="preserve"> may give directions to Coordinator</w:t>
      </w:r>
      <w:r>
        <w:tab/>
      </w:r>
      <w:r>
        <w:fldChar w:fldCharType="begin"/>
      </w:r>
      <w:r>
        <w:instrText xml:space="preserve"> PAGEREF _Toc416788131 \h </w:instrText>
      </w:r>
      <w:r>
        <w:fldChar w:fldCharType="separate"/>
      </w:r>
      <w:r>
        <w:t>8</w:t>
      </w:r>
      <w:r>
        <w:fldChar w:fldCharType="end"/>
      </w:r>
    </w:p>
    <w:p>
      <w:pPr>
        <w:pStyle w:val="TOC8"/>
        <w:rPr>
          <w:rFonts w:asciiTheme="minorHAnsi" w:eastAsiaTheme="minorEastAsia" w:hAnsiTheme="minorHAnsi" w:cstheme="minorBidi"/>
          <w:szCs w:val="22"/>
        </w:rPr>
      </w:pPr>
      <w:r>
        <w:t>4E</w:t>
      </w:r>
      <w:r>
        <w:rPr>
          <w:snapToGrid w:val="0"/>
        </w:rPr>
        <w:t>.</w:t>
      </w:r>
      <w:r>
        <w:rPr>
          <w:snapToGrid w:val="0"/>
        </w:rPr>
        <w:tab/>
      </w:r>
      <w:r>
        <w:t>Minister</w:t>
      </w:r>
      <w:r>
        <w:rPr>
          <w:snapToGrid w:val="0"/>
        </w:rPr>
        <w:t xml:space="preserve"> to have access to information from Coordinator</w:t>
      </w:r>
      <w:r>
        <w:tab/>
      </w:r>
      <w:r>
        <w:fldChar w:fldCharType="begin"/>
      </w:r>
      <w:r>
        <w:instrText xml:space="preserve"> PAGEREF _Toc416788132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Director of Energy Safety</w:t>
      </w:r>
    </w:p>
    <w:p>
      <w:pPr>
        <w:pStyle w:val="TOC8"/>
        <w:rPr>
          <w:rFonts w:asciiTheme="minorHAnsi" w:eastAsiaTheme="minorEastAsia" w:hAnsiTheme="minorHAnsi" w:cstheme="minorBidi"/>
          <w:szCs w:val="22"/>
        </w:rPr>
      </w:pPr>
      <w:r>
        <w:t>5</w:t>
      </w:r>
      <w:r>
        <w:rPr>
          <w:snapToGrid w:val="0"/>
        </w:rPr>
        <w:t>.</w:t>
      </w:r>
      <w:r>
        <w:rPr>
          <w:snapToGrid w:val="0"/>
        </w:rPr>
        <w:tab/>
        <w:t>Director of Energy Safety</w:t>
      </w:r>
      <w:r>
        <w:tab/>
      </w:r>
      <w:r>
        <w:fldChar w:fldCharType="begin"/>
      </w:r>
      <w:r>
        <w:instrText xml:space="preserve"> PAGEREF _Toc416788134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Director’s functions</w:t>
      </w:r>
      <w:r>
        <w:tab/>
      </w:r>
      <w:r>
        <w:fldChar w:fldCharType="begin"/>
      </w:r>
      <w:r>
        <w:instrText xml:space="preserve"> PAGEREF _Toc416788135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Staff for Director</w:t>
      </w:r>
      <w:r>
        <w:tab/>
      </w:r>
      <w:r>
        <w:fldChar w:fldCharType="begin"/>
      </w:r>
      <w:r>
        <w:instrText xml:space="preserve"> PAGEREF _Toc416788136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Director</w:t>
      </w:r>
      <w:r>
        <w:tab/>
      </w:r>
      <w:r>
        <w:fldChar w:fldCharType="begin"/>
      </w:r>
      <w:r>
        <w:instrText xml:space="preserve"> PAGEREF _Toc416788137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Minister may give directions to Director</w:t>
      </w:r>
      <w:r>
        <w:tab/>
      </w:r>
      <w:r>
        <w:fldChar w:fldCharType="begin"/>
      </w:r>
      <w:r>
        <w:instrText xml:space="preserve"> PAGEREF _Toc416788138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to have access to information from Director</w:t>
      </w:r>
      <w:r>
        <w:tab/>
      </w:r>
      <w:r>
        <w:fldChar w:fldCharType="begin"/>
      </w:r>
      <w:r>
        <w:instrText xml:space="preserve"> PAGEREF _Toc416788139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2A — Licensing of gas supply</w:t>
      </w:r>
    </w:p>
    <w:p>
      <w:pPr>
        <w:pStyle w:val="TOC4"/>
        <w:tabs>
          <w:tab w:val="right" w:leader="dot" w:pos="7077"/>
        </w:tabs>
        <w:rPr>
          <w:rFonts w:asciiTheme="minorHAnsi" w:eastAsiaTheme="minorEastAsia" w:hAnsiTheme="minorHAnsi" w:cstheme="minorBidi"/>
          <w:b w:val="0"/>
          <w:szCs w:val="22"/>
        </w:rPr>
      </w:pPr>
      <w:r>
        <w:t>Division 1A — Role of Economic Regulation Authority</w:t>
      </w:r>
    </w:p>
    <w:p>
      <w:pPr>
        <w:pStyle w:val="TOC8"/>
        <w:rPr>
          <w:rFonts w:asciiTheme="minorHAnsi" w:eastAsiaTheme="minorEastAsia" w:hAnsiTheme="minorHAnsi" w:cstheme="minorBidi"/>
          <w:szCs w:val="22"/>
        </w:rPr>
      </w:pPr>
      <w:r>
        <w:t>11AA.</w:t>
      </w:r>
      <w:r>
        <w:tab/>
        <w:t>Functions of Authority</w:t>
      </w:r>
      <w:r>
        <w:tab/>
      </w:r>
      <w:r>
        <w:fldChar w:fldCharType="begin"/>
      </w:r>
      <w:r>
        <w:instrText xml:space="preserve"> PAGEREF _Toc416788142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1 — Supply areas</w:t>
      </w:r>
    </w:p>
    <w:p>
      <w:pPr>
        <w:pStyle w:val="TOC8"/>
        <w:rPr>
          <w:rFonts w:asciiTheme="minorHAnsi" w:eastAsiaTheme="minorEastAsia" w:hAnsiTheme="minorHAnsi" w:cstheme="minorBidi"/>
          <w:szCs w:val="22"/>
        </w:rPr>
      </w:pPr>
      <w:r>
        <w:t>11A.</w:t>
      </w:r>
      <w:r>
        <w:tab/>
        <w:t>Constitution of supply areas</w:t>
      </w:r>
      <w:r>
        <w:tab/>
      </w:r>
      <w:r>
        <w:fldChar w:fldCharType="begin"/>
      </w:r>
      <w:r>
        <w:instrText xml:space="preserve"> PAGEREF _Toc416788144 \h </w:instrText>
      </w:r>
      <w:r>
        <w:fldChar w:fldCharType="separate"/>
      </w:r>
      <w:r>
        <w:t>13</w:t>
      </w:r>
      <w:r>
        <w:fldChar w:fldCharType="end"/>
      </w:r>
    </w:p>
    <w:p>
      <w:pPr>
        <w:pStyle w:val="TOC8"/>
        <w:rPr>
          <w:rFonts w:asciiTheme="minorHAnsi" w:eastAsiaTheme="minorEastAsia" w:hAnsiTheme="minorHAnsi" w:cstheme="minorBidi"/>
          <w:szCs w:val="22"/>
        </w:rPr>
      </w:pPr>
      <w:r>
        <w:t>11B.</w:t>
      </w:r>
      <w:r>
        <w:tab/>
        <w:t>Areas need not be continuous</w:t>
      </w:r>
      <w:r>
        <w:tab/>
      </w:r>
      <w:r>
        <w:fldChar w:fldCharType="begin"/>
      </w:r>
      <w:r>
        <w:instrText xml:space="preserve"> PAGEREF _Toc416788145 \h </w:instrText>
      </w:r>
      <w:r>
        <w:fldChar w:fldCharType="separate"/>
      </w:r>
      <w:r>
        <w:t>14</w:t>
      </w:r>
      <w:r>
        <w:fldChar w:fldCharType="end"/>
      </w:r>
    </w:p>
    <w:p>
      <w:pPr>
        <w:pStyle w:val="TOC8"/>
        <w:rPr>
          <w:rFonts w:asciiTheme="minorHAnsi" w:eastAsiaTheme="minorEastAsia" w:hAnsiTheme="minorHAnsi" w:cstheme="minorBidi"/>
          <w:szCs w:val="22"/>
        </w:rPr>
      </w:pPr>
      <w:r>
        <w:t>11C.</w:t>
      </w:r>
      <w:r>
        <w:tab/>
        <w:t>Consultation</w:t>
      </w:r>
      <w:r>
        <w:tab/>
      </w:r>
      <w:r>
        <w:fldChar w:fldCharType="begin"/>
      </w:r>
      <w:r>
        <w:instrText xml:space="preserve"> PAGEREF _Toc416788146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Licence classification and area of operation</w:t>
      </w:r>
    </w:p>
    <w:p>
      <w:pPr>
        <w:pStyle w:val="TOC8"/>
        <w:rPr>
          <w:rFonts w:asciiTheme="minorHAnsi" w:eastAsiaTheme="minorEastAsia" w:hAnsiTheme="minorHAnsi" w:cstheme="minorBidi"/>
          <w:szCs w:val="22"/>
        </w:rPr>
      </w:pPr>
      <w:r>
        <w:t>11D.</w:t>
      </w:r>
      <w:r>
        <w:tab/>
        <w:t>Classification of licences</w:t>
      </w:r>
      <w:r>
        <w:tab/>
      </w:r>
      <w:r>
        <w:fldChar w:fldCharType="begin"/>
      </w:r>
      <w:r>
        <w:instrText xml:space="preserve"> PAGEREF _Toc416788148 \h </w:instrText>
      </w:r>
      <w:r>
        <w:fldChar w:fldCharType="separate"/>
      </w:r>
      <w:r>
        <w:t>14</w:t>
      </w:r>
      <w:r>
        <w:fldChar w:fldCharType="end"/>
      </w:r>
    </w:p>
    <w:p>
      <w:pPr>
        <w:pStyle w:val="TOC8"/>
        <w:rPr>
          <w:rFonts w:asciiTheme="minorHAnsi" w:eastAsiaTheme="minorEastAsia" w:hAnsiTheme="minorHAnsi" w:cstheme="minorBidi"/>
          <w:szCs w:val="22"/>
        </w:rPr>
      </w:pPr>
      <w:r>
        <w:t>11E.</w:t>
      </w:r>
      <w:r>
        <w:tab/>
        <w:t>Area to which licence applies</w:t>
      </w:r>
      <w:r>
        <w:tab/>
      </w:r>
      <w:r>
        <w:fldChar w:fldCharType="begin"/>
      </w:r>
      <w:r>
        <w:instrText xml:space="preserve"> PAGEREF _Toc416788149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Licensing requirements</w:t>
      </w:r>
    </w:p>
    <w:p>
      <w:pPr>
        <w:pStyle w:val="TOC8"/>
        <w:rPr>
          <w:rFonts w:asciiTheme="minorHAnsi" w:eastAsiaTheme="minorEastAsia" w:hAnsiTheme="minorHAnsi" w:cstheme="minorBidi"/>
          <w:szCs w:val="22"/>
        </w:rPr>
      </w:pPr>
      <w:r>
        <w:t>11F.</w:t>
      </w:r>
      <w:r>
        <w:tab/>
        <w:t>Licensing extends to statutory providers</w:t>
      </w:r>
      <w:r>
        <w:tab/>
      </w:r>
      <w:r>
        <w:fldChar w:fldCharType="begin"/>
      </w:r>
      <w:r>
        <w:instrText xml:space="preserve"> PAGEREF _Toc416788151 \h </w:instrText>
      </w:r>
      <w:r>
        <w:fldChar w:fldCharType="separate"/>
      </w:r>
      <w:r>
        <w:t>15</w:t>
      </w:r>
      <w:r>
        <w:fldChar w:fldCharType="end"/>
      </w:r>
    </w:p>
    <w:p>
      <w:pPr>
        <w:pStyle w:val="TOC8"/>
        <w:rPr>
          <w:rFonts w:asciiTheme="minorHAnsi" w:eastAsiaTheme="minorEastAsia" w:hAnsiTheme="minorHAnsi" w:cstheme="minorBidi"/>
          <w:szCs w:val="22"/>
        </w:rPr>
      </w:pPr>
      <w:r>
        <w:t>11G.</w:t>
      </w:r>
      <w:r>
        <w:tab/>
        <w:t>Requirement for licence</w:t>
      </w:r>
      <w:r>
        <w:tab/>
      </w:r>
      <w:r>
        <w:fldChar w:fldCharType="begin"/>
      </w:r>
      <w:r>
        <w:instrText xml:space="preserve"> PAGEREF _Toc416788152 \h </w:instrText>
      </w:r>
      <w:r>
        <w:fldChar w:fldCharType="separate"/>
      </w:r>
      <w:r>
        <w:t>15</w:t>
      </w:r>
      <w:r>
        <w:fldChar w:fldCharType="end"/>
      </w:r>
    </w:p>
    <w:p>
      <w:pPr>
        <w:pStyle w:val="TOC8"/>
        <w:rPr>
          <w:rFonts w:asciiTheme="minorHAnsi" w:eastAsiaTheme="minorEastAsia" w:hAnsiTheme="minorHAnsi" w:cstheme="minorBidi"/>
          <w:szCs w:val="22"/>
        </w:rPr>
      </w:pPr>
      <w:r>
        <w:t>11H.</w:t>
      </w:r>
      <w:r>
        <w:tab/>
        <w:t>Power to exempt</w:t>
      </w:r>
      <w:r>
        <w:tab/>
      </w:r>
      <w:r>
        <w:fldChar w:fldCharType="begin"/>
      </w:r>
      <w:r>
        <w:instrText xml:space="preserve"> PAGEREF _Toc416788153 \h </w:instrText>
      </w:r>
      <w:r>
        <w:fldChar w:fldCharType="separate"/>
      </w:r>
      <w:r>
        <w:t>16</w:t>
      </w:r>
      <w:r>
        <w:fldChar w:fldCharType="end"/>
      </w:r>
    </w:p>
    <w:p>
      <w:pPr>
        <w:pStyle w:val="TOC8"/>
        <w:rPr>
          <w:rFonts w:asciiTheme="minorHAnsi" w:eastAsiaTheme="minorEastAsia" w:hAnsiTheme="minorHAnsi" w:cstheme="minorBidi"/>
          <w:szCs w:val="22"/>
        </w:rPr>
      </w:pPr>
      <w:r>
        <w:t>11I.</w:t>
      </w:r>
      <w:r>
        <w:tab/>
        <w:t>Transitional provision</w:t>
      </w:r>
      <w:r>
        <w:tab/>
      </w:r>
      <w:r>
        <w:fldChar w:fldCharType="begin"/>
      </w:r>
      <w:r>
        <w:instrText xml:space="preserve"> PAGEREF _Toc416788154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Licence application, grant, etc.</w:t>
      </w:r>
    </w:p>
    <w:p>
      <w:pPr>
        <w:pStyle w:val="TOC8"/>
        <w:rPr>
          <w:rFonts w:asciiTheme="minorHAnsi" w:eastAsiaTheme="minorEastAsia" w:hAnsiTheme="minorHAnsi" w:cstheme="minorBidi"/>
          <w:szCs w:val="22"/>
        </w:rPr>
      </w:pPr>
      <w:r>
        <w:t>11K.</w:t>
      </w:r>
      <w:r>
        <w:tab/>
        <w:t>Authority to consider public interest</w:t>
      </w:r>
      <w:r>
        <w:tab/>
      </w:r>
      <w:r>
        <w:fldChar w:fldCharType="begin"/>
      </w:r>
      <w:r>
        <w:instrText xml:space="preserve"> PAGEREF _Toc416788156 \h </w:instrText>
      </w:r>
      <w:r>
        <w:fldChar w:fldCharType="separate"/>
      </w:r>
      <w:r>
        <w:t>18</w:t>
      </w:r>
      <w:r>
        <w:fldChar w:fldCharType="end"/>
      </w:r>
    </w:p>
    <w:p>
      <w:pPr>
        <w:pStyle w:val="TOC8"/>
        <w:rPr>
          <w:rFonts w:asciiTheme="minorHAnsi" w:eastAsiaTheme="minorEastAsia" w:hAnsiTheme="minorHAnsi" w:cstheme="minorBidi"/>
          <w:szCs w:val="22"/>
        </w:rPr>
      </w:pPr>
      <w:r>
        <w:t>11L.</w:t>
      </w:r>
      <w:r>
        <w:tab/>
        <w:t>Application for licence</w:t>
      </w:r>
      <w:r>
        <w:tab/>
      </w:r>
      <w:r>
        <w:fldChar w:fldCharType="begin"/>
      </w:r>
      <w:r>
        <w:instrText xml:space="preserve"> PAGEREF _Toc416788157 \h </w:instrText>
      </w:r>
      <w:r>
        <w:fldChar w:fldCharType="separate"/>
      </w:r>
      <w:r>
        <w:t>18</w:t>
      </w:r>
      <w:r>
        <w:fldChar w:fldCharType="end"/>
      </w:r>
    </w:p>
    <w:p>
      <w:pPr>
        <w:pStyle w:val="TOC8"/>
        <w:rPr>
          <w:rFonts w:asciiTheme="minorHAnsi" w:eastAsiaTheme="minorEastAsia" w:hAnsiTheme="minorHAnsi" w:cstheme="minorBidi"/>
          <w:szCs w:val="22"/>
        </w:rPr>
      </w:pPr>
      <w:r>
        <w:t>11M.</w:t>
      </w:r>
      <w:r>
        <w:tab/>
        <w:t>Terms and conditions of licence</w:t>
      </w:r>
      <w:r>
        <w:tab/>
      </w:r>
      <w:r>
        <w:fldChar w:fldCharType="begin"/>
      </w:r>
      <w:r>
        <w:instrText xml:space="preserve"> PAGEREF _Toc416788158 \h </w:instrText>
      </w:r>
      <w:r>
        <w:fldChar w:fldCharType="separate"/>
      </w:r>
      <w:r>
        <w:t>19</w:t>
      </w:r>
      <w:r>
        <w:fldChar w:fldCharType="end"/>
      </w:r>
    </w:p>
    <w:p>
      <w:pPr>
        <w:pStyle w:val="TOC8"/>
        <w:rPr>
          <w:rFonts w:asciiTheme="minorHAnsi" w:eastAsiaTheme="minorEastAsia" w:hAnsiTheme="minorHAnsi" w:cstheme="minorBidi"/>
          <w:szCs w:val="22"/>
        </w:rPr>
      </w:pPr>
      <w:r>
        <w:t>11N.</w:t>
      </w:r>
      <w:r>
        <w:tab/>
        <w:t>Authority may grant more than one licence for supply area</w:t>
      </w:r>
      <w:r>
        <w:tab/>
      </w:r>
      <w:r>
        <w:fldChar w:fldCharType="begin"/>
      </w:r>
      <w:r>
        <w:instrText xml:space="preserve"> PAGEREF _Toc416788159 \h </w:instrText>
      </w:r>
      <w:r>
        <w:fldChar w:fldCharType="separate"/>
      </w:r>
      <w:r>
        <w:t>20</w:t>
      </w:r>
      <w:r>
        <w:fldChar w:fldCharType="end"/>
      </w:r>
    </w:p>
    <w:p>
      <w:pPr>
        <w:pStyle w:val="TOC8"/>
        <w:rPr>
          <w:rFonts w:asciiTheme="minorHAnsi" w:eastAsiaTheme="minorEastAsia" w:hAnsiTheme="minorHAnsi" w:cstheme="minorBidi"/>
          <w:szCs w:val="22"/>
        </w:rPr>
      </w:pPr>
      <w:r>
        <w:t>11O.</w:t>
      </w:r>
      <w:r>
        <w:tab/>
        <w:t>Duration of licence</w:t>
      </w:r>
      <w:r>
        <w:tab/>
      </w:r>
      <w:r>
        <w:fldChar w:fldCharType="begin"/>
      </w:r>
      <w:r>
        <w:instrText xml:space="preserve"> PAGEREF _Toc416788160 \h </w:instrText>
      </w:r>
      <w:r>
        <w:fldChar w:fldCharType="separate"/>
      </w:r>
      <w:r>
        <w:t>20</w:t>
      </w:r>
      <w:r>
        <w:fldChar w:fldCharType="end"/>
      </w:r>
    </w:p>
    <w:p>
      <w:pPr>
        <w:pStyle w:val="TOC8"/>
        <w:rPr>
          <w:rFonts w:asciiTheme="minorHAnsi" w:eastAsiaTheme="minorEastAsia" w:hAnsiTheme="minorHAnsi" w:cstheme="minorBidi"/>
          <w:szCs w:val="22"/>
        </w:rPr>
      </w:pPr>
      <w:r>
        <w:t>11P.</w:t>
      </w:r>
      <w:r>
        <w:tab/>
        <w:t>Renewal of licence</w:t>
      </w:r>
      <w:r>
        <w:tab/>
      </w:r>
      <w:r>
        <w:fldChar w:fldCharType="begin"/>
      </w:r>
      <w:r>
        <w:instrText xml:space="preserve"> PAGEREF _Toc416788161 \h </w:instrText>
      </w:r>
      <w:r>
        <w:fldChar w:fldCharType="separate"/>
      </w:r>
      <w:r>
        <w:t>21</w:t>
      </w:r>
      <w:r>
        <w:fldChar w:fldCharType="end"/>
      </w:r>
    </w:p>
    <w:p>
      <w:pPr>
        <w:pStyle w:val="TOC8"/>
        <w:rPr>
          <w:rFonts w:asciiTheme="minorHAnsi" w:eastAsiaTheme="minorEastAsia" w:hAnsiTheme="minorHAnsi" w:cstheme="minorBidi"/>
          <w:szCs w:val="22"/>
        </w:rPr>
      </w:pPr>
      <w:r>
        <w:t>11Q.</w:t>
      </w:r>
      <w:r>
        <w:tab/>
        <w:t>Licence fee</w:t>
      </w:r>
      <w:r>
        <w:tab/>
      </w:r>
      <w:r>
        <w:fldChar w:fldCharType="begin"/>
      </w:r>
      <w:r>
        <w:instrText xml:space="preserve"> PAGEREF _Toc416788162 \h </w:instrText>
      </w:r>
      <w:r>
        <w:fldChar w:fldCharType="separate"/>
      </w:r>
      <w:r>
        <w:t>21</w:t>
      </w:r>
      <w:r>
        <w:fldChar w:fldCharType="end"/>
      </w:r>
    </w:p>
    <w:p>
      <w:pPr>
        <w:pStyle w:val="TOC8"/>
        <w:rPr>
          <w:rFonts w:asciiTheme="minorHAnsi" w:eastAsiaTheme="minorEastAsia" w:hAnsiTheme="minorHAnsi" w:cstheme="minorBidi"/>
          <w:szCs w:val="22"/>
        </w:rPr>
      </w:pPr>
      <w:r>
        <w:t>11R.</w:t>
      </w:r>
      <w:r>
        <w:tab/>
        <w:t>Transfer of licence</w:t>
      </w:r>
      <w:r>
        <w:tab/>
      </w:r>
      <w:r>
        <w:fldChar w:fldCharType="begin"/>
      </w:r>
      <w:r>
        <w:instrText xml:space="preserve"> PAGEREF _Toc416788163 \h </w:instrText>
      </w:r>
      <w:r>
        <w:fldChar w:fldCharType="separate"/>
      </w:r>
      <w:r>
        <w:t>22</w:t>
      </w:r>
      <w:r>
        <w:fldChar w:fldCharType="end"/>
      </w:r>
    </w:p>
    <w:p>
      <w:pPr>
        <w:pStyle w:val="TOC8"/>
        <w:rPr>
          <w:rFonts w:asciiTheme="minorHAnsi" w:eastAsiaTheme="minorEastAsia" w:hAnsiTheme="minorHAnsi" w:cstheme="minorBidi"/>
          <w:szCs w:val="22"/>
        </w:rPr>
      </w:pPr>
      <w:r>
        <w:t>11S.</w:t>
      </w:r>
      <w:r>
        <w:tab/>
        <w:t>Decisions as to grant, renewal or transfer</w:t>
      </w:r>
      <w:r>
        <w:tab/>
      </w:r>
      <w:r>
        <w:fldChar w:fldCharType="begin"/>
      </w:r>
      <w:r>
        <w:instrText xml:space="preserve"> PAGEREF _Toc416788164 \h </w:instrText>
      </w:r>
      <w:r>
        <w:fldChar w:fldCharType="separate"/>
      </w:r>
      <w:r>
        <w:t>22</w:t>
      </w:r>
      <w:r>
        <w:fldChar w:fldCharType="end"/>
      </w:r>
    </w:p>
    <w:p>
      <w:pPr>
        <w:pStyle w:val="TOC8"/>
        <w:rPr>
          <w:rFonts w:asciiTheme="minorHAnsi" w:eastAsiaTheme="minorEastAsia" w:hAnsiTheme="minorHAnsi" w:cstheme="minorBidi"/>
          <w:szCs w:val="22"/>
        </w:rPr>
      </w:pPr>
      <w:r>
        <w:t>11T.</w:t>
      </w:r>
      <w:r>
        <w:tab/>
        <w:t>Notice of decisions</w:t>
      </w:r>
      <w:r>
        <w:tab/>
      </w:r>
      <w:r>
        <w:fldChar w:fldCharType="begin"/>
      </w:r>
      <w:r>
        <w:instrText xml:space="preserve"> PAGEREF _Toc416788165 \h </w:instrText>
      </w:r>
      <w:r>
        <w:fldChar w:fldCharType="separate"/>
      </w:r>
      <w:r>
        <w:t>23</w:t>
      </w:r>
      <w:r>
        <w:fldChar w:fldCharType="end"/>
      </w:r>
    </w:p>
    <w:p>
      <w:pPr>
        <w:pStyle w:val="TOC8"/>
        <w:rPr>
          <w:rFonts w:asciiTheme="minorHAnsi" w:eastAsiaTheme="minorEastAsia" w:hAnsiTheme="minorHAnsi" w:cstheme="minorBidi"/>
          <w:szCs w:val="22"/>
        </w:rPr>
      </w:pPr>
      <w:r>
        <w:t>11U.</w:t>
      </w:r>
      <w:r>
        <w:tab/>
        <w:t>Licences to be available for inspection</w:t>
      </w:r>
      <w:r>
        <w:tab/>
      </w:r>
      <w:r>
        <w:fldChar w:fldCharType="begin"/>
      </w:r>
      <w:r>
        <w:instrText xml:space="preserve"> PAGEREF _Toc416788166 \h </w:instrText>
      </w:r>
      <w:r>
        <w:fldChar w:fldCharType="separate"/>
      </w:r>
      <w:r>
        <w:t>24</w:t>
      </w:r>
      <w:r>
        <w:fldChar w:fldCharType="end"/>
      </w:r>
    </w:p>
    <w:p>
      <w:pPr>
        <w:pStyle w:val="TOC8"/>
        <w:rPr>
          <w:rFonts w:asciiTheme="minorHAnsi" w:eastAsiaTheme="minorEastAsia" w:hAnsiTheme="minorHAnsi" w:cstheme="minorBidi"/>
          <w:szCs w:val="22"/>
        </w:rPr>
      </w:pPr>
      <w:r>
        <w:t>11V.</w:t>
      </w:r>
      <w:r>
        <w:tab/>
        <w:t>Other laws not affected</w:t>
      </w:r>
      <w:r>
        <w:tab/>
      </w:r>
      <w:r>
        <w:fldChar w:fldCharType="begin"/>
      </w:r>
      <w:r>
        <w:instrText xml:space="preserve"> PAGEREF _Toc416788167 \h </w:instrText>
      </w:r>
      <w:r>
        <w:fldChar w:fldCharType="separate"/>
      </w:r>
      <w:r>
        <w:t>24</w:t>
      </w:r>
      <w:r>
        <w:fldChar w:fldCharType="end"/>
      </w:r>
    </w:p>
    <w:p>
      <w:pPr>
        <w:pStyle w:val="TOC8"/>
        <w:rPr>
          <w:rFonts w:asciiTheme="minorHAnsi" w:eastAsiaTheme="minorEastAsia" w:hAnsiTheme="minorHAnsi" w:cstheme="minorBidi"/>
          <w:szCs w:val="22"/>
        </w:rPr>
      </w:pPr>
      <w:r>
        <w:t>11VA.</w:t>
      </w:r>
      <w:r>
        <w:tab/>
        <w:t>Amendment of licence on application of licensee</w:t>
      </w:r>
      <w:r>
        <w:tab/>
      </w:r>
      <w:r>
        <w:fldChar w:fldCharType="begin"/>
      </w:r>
      <w:r>
        <w:instrText xml:space="preserve"> PAGEREF _Toc416788168 \h </w:instrText>
      </w:r>
      <w:r>
        <w:fldChar w:fldCharType="separate"/>
      </w:r>
      <w:r>
        <w:t>25</w:t>
      </w:r>
      <w:r>
        <w:fldChar w:fldCharType="end"/>
      </w:r>
    </w:p>
    <w:p>
      <w:pPr>
        <w:pStyle w:val="TOC8"/>
        <w:rPr>
          <w:rFonts w:asciiTheme="minorHAnsi" w:eastAsiaTheme="minorEastAsia" w:hAnsiTheme="minorHAnsi" w:cstheme="minorBidi"/>
          <w:szCs w:val="22"/>
        </w:rPr>
      </w:pPr>
      <w:r>
        <w:t>11W.</w:t>
      </w:r>
      <w:r>
        <w:tab/>
        <w:t>Amendment of licence</w:t>
      </w:r>
      <w:r>
        <w:tab/>
      </w:r>
      <w:r>
        <w:fldChar w:fldCharType="begin"/>
      </w:r>
      <w:r>
        <w:instrText xml:space="preserve"> PAGEREF _Toc416788169 \h </w:instrText>
      </w:r>
      <w:r>
        <w:fldChar w:fldCharType="separate"/>
      </w:r>
      <w:r>
        <w:t>25</w:t>
      </w:r>
      <w:r>
        <w:fldChar w:fldCharType="end"/>
      </w:r>
    </w:p>
    <w:p>
      <w:pPr>
        <w:pStyle w:val="TOC8"/>
        <w:rPr>
          <w:rFonts w:asciiTheme="minorHAnsi" w:eastAsiaTheme="minorEastAsia" w:hAnsiTheme="minorHAnsi" w:cstheme="minorBidi"/>
          <w:szCs w:val="22"/>
        </w:rPr>
      </w:pPr>
      <w:r>
        <w:t>11WA.</w:t>
      </w:r>
      <w:r>
        <w:tab/>
        <w:t>Regulations about public consultation</w:t>
      </w:r>
      <w:r>
        <w:tab/>
      </w:r>
      <w:r>
        <w:fldChar w:fldCharType="begin"/>
      </w:r>
      <w:r>
        <w:instrText xml:space="preserve"> PAGEREF _Toc416788170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4A — Supply contracts for small use customers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11WB.</w:t>
      </w:r>
      <w:r>
        <w:tab/>
        <w:t>Terms used</w:t>
      </w:r>
      <w:r>
        <w:tab/>
      </w:r>
      <w:r>
        <w:fldChar w:fldCharType="begin"/>
      </w:r>
      <w:r>
        <w:instrText xml:space="preserve"> PAGEREF _Toc416788173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Requirements for supply contracts</w:t>
      </w:r>
    </w:p>
    <w:p>
      <w:pPr>
        <w:pStyle w:val="TOC8"/>
        <w:rPr>
          <w:rFonts w:asciiTheme="minorHAnsi" w:eastAsiaTheme="minorEastAsia" w:hAnsiTheme="minorHAnsi" w:cstheme="minorBidi"/>
          <w:szCs w:val="22"/>
        </w:rPr>
      </w:pPr>
      <w:r>
        <w:t>11WC.</w:t>
      </w:r>
      <w:r>
        <w:tab/>
        <w:t>Regulations as to supply contracts</w:t>
      </w:r>
      <w:r>
        <w:tab/>
      </w:r>
      <w:r>
        <w:fldChar w:fldCharType="begin"/>
      </w:r>
      <w:r>
        <w:instrText xml:space="preserve"> PAGEREF _Toc416788175 \h </w:instrText>
      </w:r>
      <w:r>
        <w:fldChar w:fldCharType="separate"/>
      </w:r>
      <w:r>
        <w:t>27</w:t>
      </w:r>
      <w:r>
        <w:fldChar w:fldCharType="end"/>
      </w:r>
    </w:p>
    <w:p>
      <w:pPr>
        <w:pStyle w:val="TOC8"/>
        <w:rPr>
          <w:rFonts w:asciiTheme="minorHAnsi" w:eastAsiaTheme="minorEastAsia" w:hAnsiTheme="minorHAnsi" w:cstheme="minorBidi"/>
          <w:szCs w:val="22"/>
        </w:rPr>
      </w:pPr>
      <w:r>
        <w:t>11WD.</w:t>
      </w:r>
      <w:r>
        <w:tab/>
        <w:t>Form of contract to be submitted with application for grant, renewal or transfer</w:t>
      </w:r>
      <w:r>
        <w:tab/>
      </w:r>
      <w:r>
        <w:fldChar w:fldCharType="begin"/>
      </w:r>
      <w:r>
        <w:instrText xml:space="preserve"> PAGEREF _Toc416788176 \h </w:instrText>
      </w:r>
      <w:r>
        <w:fldChar w:fldCharType="separate"/>
      </w:r>
      <w:r>
        <w:t>28</w:t>
      </w:r>
      <w:r>
        <w:fldChar w:fldCharType="end"/>
      </w:r>
    </w:p>
    <w:p>
      <w:pPr>
        <w:pStyle w:val="TOC8"/>
        <w:rPr>
          <w:rFonts w:asciiTheme="minorHAnsi" w:eastAsiaTheme="minorEastAsia" w:hAnsiTheme="minorHAnsi" w:cstheme="minorBidi"/>
          <w:szCs w:val="22"/>
        </w:rPr>
      </w:pPr>
      <w:r>
        <w:t>11WE.</w:t>
      </w:r>
      <w:r>
        <w:tab/>
        <w:t>Licence application not to be granted unless standard form contract approved</w:t>
      </w:r>
      <w:r>
        <w:tab/>
      </w:r>
      <w:r>
        <w:fldChar w:fldCharType="begin"/>
      </w:r>
      <w:r>
        <w:instrText xml:space="preserve"> PAGEREF _Toc416788177 \h </w:instrText>
      </w:r>
      <w:r>
        <w:fldChar w:fldCharType="separate"/>
      </w:r>
      <w:r>
        <w:t>28</w:t>
      </w:r>
      <w:r>
        <w:fldChar w:fldCharType="end"/>
      </w:r>
    </w:p>
    <w:p>
      <w:pPr>
        <w:pStyle w:val="TOC8"/>
        <w:rPr>
          <w:rFonts w:asciiTheme="minorHAnsi" w:eastAsiaTheme="minorEastAsia" w:hAnsiTheme="minorHAnsi" w:cstheme="minorBidi"/>
          <w:szCs w:val="22"/>
        </w:rPr>
      </w:pPr>
      <w:r>
        <w:t>11WF.</w:t>
      </w:r>
      <w:r>
        <w:tab/>
        <w:t>Approval of standard form contract</w:t>
      </w:r>
      <w:r>
        <w:tab/>
      </w:r>
      <w:r>
        <w:fldChar w:fldCharType="begin"/>
      </w:r>
      <w:r>
        <w:instrText xml:space="preserve"> PAGEREF _Toc416788178 \h </w:instrText>
      </w:r>
      <w:r>
        <w:fldChar w:fldCharType="separate"/>
      </w:r>
      <w:r>
        <w:t>28</w:t>
      </w:r>
      <w:r>
        <w:fldChar w:fldCharType="end"/>
      </w:r>
    </w:p>
    <w:p>
      <w:pPr>
        <w:pStyle w:val="TOC8"/>
        <w:rPr>
          <w:rFonts w:asciiTheme="minorHAnsi" w:eastAsiaTheme="minorEastAsia" w:hAnsiTheme="minorHAnsi" w:cstheme="minorBidi"/>
          <w:szCs w:val="22"/>
        </w:rPr>
      </w:pPr>
      <w:r>
        <w:t>11WG.</w:t>
      </w:r>
      <w:r>
        <w:tab/>
        <w:t>Licence conditions</w:t>
      </w:r>
      <w:r>
        <w:tab/>
      </w:r>
      <w:r>
        <w:fldChar w:fldCharType="begin"/>
      </w:r>
      <w:r>
        <w:instrText xml:space="preserve"> PAGEREF _Toc416788179 \h </w:instrText>
      </w:r>
      <w:r>
        <w:fldChar w:fldCharType="separate"/>
      </w:r>
      <w:r>
        <w:t>29</w:t>
      </w:r>
      <w:r>
        <w:fldChar w:fldCharType="end"/>
      </w:r>
    </w:p>
    <w:p>
      <w:pPr>
        <w:pStyle w:val="TOC8"/>
        <w:rPr>
          <w:rFonts w:asciiTheme="minorHAnsi" w:eastAsiaTheme="minorEastAsia" w:hAnsiTheme="minorHAnsi" w:cstheme="minorBidi"/>
          <w:szCs w:val="22"/>
        </w:rPr>
      </w:pPr>
      <w:r>
        <w:t>11WH.</w:t>
      </w:r>
      <w:r>
        <w:tab/>
        <w:t>Amendment or replacement of standard form contract</w:t>
      </w:r>
      <w:r>
        <w:tab/>
      </w:r>
      <w:r>
        <w:fldChar w:fldCharType="begin"/>
      </w:r>
      <w:r>
        <w:instrText xml:space="preserve"> PAGEREF _Toc416788180 \h </w:instrText>
      </w:r>
      <w:r>
        <w:fldChar w:fldCharType="separate"/>
      </w:r>
      <w:r>
        <w:t>30</w:t>
      </w:r>
      <w:r>
        <w:fldChar w:fldCharType="end"/>
      </w:r>
    </w:p>
    <w:p>
      <w:pPr>
        <w:pStyle w:val="TOC8"/>
        <w:rPr>
          <w:rFonts w:asciiTheme="minorHAnsi" w:eastAsiaTheme="minorEastAsia" w:hAnsiTheme="minorHAnsi" w:cstheme="minorBidi"/>
          <w:szCs w:val="22"/>
        </w:rPr>
      </w:pPr>
      <w:r>
        <w:t>11WI.</w:t>
      </w:r>
      <w:r>
        <w:tab/>
        <w:t>Authority may direct that amendment be made</w:t>
      </w:r>
      <w:r>
        <w:tab/>
      </w:r>
      <w:r>
        <w:fldChar w:fldCharType="begin"/>
      </w:r>
      <w:r>
        <w:instrText xml:space="preserve"> PAGEREF _Toc416788181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Default supplier</w:t>
      </w:r>
    </w:p>
    <w:p>
      <w:pPr>
        <w:pStyle w:val="TOC8"/>
        <w:rPr>
          <w:rFonts w:asciiTheme="minorHAnsi" w:eastAsiaTheme="minorEastAsia" w:hAnsiTheme="minorHAnsi" w:cstheme="minorBidi"/>
          <w:szCs w:val="22"/>
        </w:rPr>
      </w:pPr>
      <w:r>
        <w:t>11WJ.</w:t>
      </w:r>
      <w:r>
        <w:tab/>
        <w:t>Terms used</w:t>
      </w:r>
      <w:r>
        <w:tab/>
      </w:r>
      <w:r>
        <w:fldChar w:fldCharType="begin"/>
      </w:r>
      <w:r>
        <w:instrText xml:space="preserve"> PAGEREF _Toc416788183 \h </w:instrText>
      </w:r>
      <w:r>
        <w:fldChar w:fldCharType="separate"/>
      </w:r>
      <w:r>
        <w:t>31</w:t>
      </w:r>
      <w:r>
        <w:fldChar w:fldCharType="end"/>
      </w:r>
    </w:p>
    <w:p>
      <w:pPr>
        <w:pStyle w:val="TOC8"/>
        <w:rPr>
          <w:rFonts w:asciiTheme="minorHAnsi" w:eastAsiaTheme="minorEastAsia" w:hAnsiTheme="minorHAnsi" w:cstheme="minorBidi"/>
          <w:szCs w:val="22"/>
        </w:rPr>
      </w:pPr>
      <w:r>
        <w:t>11WK.</w:t>
      </w:r>
      <w:r>
        <w:tab/>
        <w:t>Deemed contract where customer takes gas without making arrangements</w:t>
      </w:r>
      <w:r>
        <w:tab/>
      </w:r>
      <w:r>
        <w:fldChar w:fldCharType="begin"/>
      </w:r>
      <w:r>
        <w:instrText xml:space="preserve"> PAGEREF _Toc416788184 \h </w:instrText>
      </w:r>
      <w:r>
        <w:fldChar w:fldCharType="separate"/>
      </w:r>
      <w:r>
        <w:t>31</w:t>
      </w:r>
      <w:r>
        <w:fldChar w:fldCharType="end"/>
      </w:r>
    </w:p>
    <w:p>
      <w:pPr>
        <w:pStyle w:val="TOC8"/>
        <w:rPr>
          <w:rFonts w:asciiTheme="minorHAnsi" w:eastAsiaTheme="minorEastAsia" w:hAnsiTheme="minorHAnsi" w:cstheme="minorBidi"/>
          <w:szCs w:val="22"/>
        </w:rPr>
      </w:pPr>
      <w:r>
        <w:t>11WL.</w:t>
      </w:r>
      <w:r>
        <w:tab/>
        <w:t>Determination of default supplier</w:t>
      </w:r>
      <w:r>
        <w:tab/>
      </w:r>
      <w:r>
        <w:fldChar w:fldCharType="begin"/>
      </w:r>
      <w:r>
        <w:instrText xml:space="preserve"> PAGEREF _Toc416788185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4B — Exclusive licences</w:t>
      </w:r>
    </w:p>
    <w:p>
      <w:pPr>
        <w:pStyle w:val="TOC8"/>
        <w:rPr>
          <w:rFonts w:asciiTheme="minorHAnsi" w:eastAsiaTheme="minorEastAsia" w:hAnsiTheme="minorHAnsi" w:cstheme="minorBidi"/>
          <w:szCs w:val="22"/>
        </w:rPr>
      </w:pPr>
      <w:r>
        <w:t>11WM.</w:t>
      </w:r>
      <w:r>
        <w:tab/>
        <w:t>Regulations may authorise an exclusive licence</w:t>
      </w:r>
      <w:r>
        <w:tab/>
      </w:r>
      <w:r>
        <w:fldChar w:fldCharType="begin"/>
      </w:r>
      <w:r>
        <w:instrText xml:space="preserve"> PAGEREF _Toc416788187 \h </w:instrText>
      </w:r>
      <w:r>
        <w:fldChar w:fldCharType="separate"/>
      </w:r>
      <w:r>
        <w:t>32</w:t>
      </w:r>
      <w:r>
        <w:fldChar w:fldCharType="end"/>
      </w:r>
    </w:p>
    <w:p>
      <w:pPr>
        <w:pStyle w:val="TOC8"/>
        <w:rPr>
          <w:rFonts w:asciiTheme="minorHAnsi" w:eastAsiaTheme="minorEastAsia" w:hAnsiTheme="minorHAnsi" w:cstheme="minorBidi"/>
          <w:szCs w:val="22"/>
        </w:rPr>
      </w:pPr>
      <w:r>
        <w:t>11WN.</w:t>
      </w:r>
      <w:r>
        <w:tab/>
        <w:t>Requirements for regulations</w:t>
      </w:r>
      <w:r>
        <w:tab/>
      </w:r>
      <w:r>
        <w:fldChar w:fldCharType="begin"/>
      </w:r>
      <w:r>
        <w:instrText xml:space="preserve"> PAGEREF _Toc416788188 \h </w:instrText>
      </w:r>
      <w:r>
        <w:fldChar w:fldCharType="separate"/>
      </w:r>
      <w:r>
        <w:t>33</w:t>
      </w:r>
      <w:r>
        <w:fldChar w:fldCharType="end"/>
      </w:r>
    </w:p>
    <w:p>
      <w:pPr>
        <w:pStyle w:val="TOC8"/>
        <w:rPr>
          <w:rFonts w:asciiTheme="minorHAnsi" w:eastAsiaTheme="minorEastAsia" w:hAnsiTheme="minorHAnsi" w:cstheme="minorBidi"/>
          <w:szCs w:val="22"/>
        </w:rPr>
      </w:pPr>
      <w:r>
        <w:t>11WO.</w:t>
      </w:r>
      <w:r>
        <w:tab/>
        <w:t>Application for and grant of licence</w:t>
      </w:r>
      <w:r>
        <w:tab/>
      </w:r>
      <w:r>
        <w:fldChar w:fldCharType="begin"/>
      </w:r>
      <w:r>
        <w:instrText xml:space="preserve"> PAGEREF _Toc416788189 \h </w:instrText>
      </w:r>
      <w:r>
        <w:fldChar w:fldCharType="separate"/>
      </w:r>
      <w:r>
        <w:t>33</w:t>
      </w:r>
      <w:r>
        <w:fldChar w:fldCharType="end"/>
      </w:r>
    </w:p>
    <w:p>
      <w:pPr>
        <w:pStyle w:val="TOC8"/>
        <w:rPr>
          <w:rFonts w:asciiTheme="minorHAnsi" w:eastAsiaTheme="minorEastAsia" w:hAnsiTheme="minorHAnsi" w:cstheme="minorBidi"/>
          <w:szCs w:val="22"/>
        </w:rPr>
      </w:pPr>
      <w:r>
        <w:t>11WP.</w:t>
      </w:r>
      <w:r>
        <w:tab/>
        <w:t>Prohibition of further licences</w:t>
      </w:r>
      <w:r>
        <w:tab/>
      </w:r>
      <w:r>
        <w:fldChar w:fldCharType="begin"/>
      </w:r>
      <w:r>
        <w:instrText xml:space="preserve"> PAGEREF _Toc416788190 \h </w:instrText>
      </w:r>
      <w:r>
        <w:fldChar w:fldCharType="separate"/>
      </w:r>
      <w:r>
        <w:t>34</w:t>
      </w:r>
      <w:r>
        <w:fldChar w:fldCharType="end"/>
      </w:r>
    </w:p>
    <w:p>
      <w:pPr>
        <w:pStyle w:val="TOC8"/>
        <w:rPr>
          <w:rFonts w:asciiTheme="minorHAnsi" w:eastAsiaTheme="minorEastAsia" w:hAnsiTheme="minorHAnsi" w:cstheme="minorBidi"/>
          <w:szCs w:val="22"/>
        </w:rPr>
      </w:pPr>
      <w:r>
        <w:t>11WQ.</w:t>
      </w:r>
      <w:r>
        <w:tab/>
        <w:t>Trade practices exemption</w:t>
      </w:r>
      <w:r>
        <w:tab/>
      </w:r>
      <w:r>
        <w:fldChar w:fldCharType="begin"/>
      </w:r>
      <w:r>
        <w:instrText xml:space="preserve"> PAGEREF _Toc416788191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4C — Recovery of costs</w:t>
      </w:r>
    </w:p>
    <w:p>
      <w:pPr>
        <w:pStyle w:val="TOC8"/>
        <w:rPr>
          <w:rFonts w:asciiTheme="minorHAnsi" w:eastAsiaTheme="minorEastAsia" w:hAnsiTheme="minorHAnsi" w:cstheme="minorBidi"/>
          <w:szCs w:val="22"/>
        </w:rPr>
      </w:pPr>
      <w:r>
        <w:t>11WR.</w:t>
      </w:r>
      <w:r>
        <w:tab/>
        <w:t>Regulations may authorise recovery of costs</w:t>
      </w:r>
      <w:r>
        <w:tab/>
      </w:r>
      <w:r>
        <w:fldChar w:fldCharType="begin"/>
      </w:r>
      <w:r>
        <w:instrText xml:space="preserve"> PAGEREF _Toc416788193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Interruption etc. of supply</w:t>
      </w:r>
    </w:p>
    <w:p>
      <w:pPr>
        <w:pStyle w:val="TOC8"/>
        <w:rPr>
          <w:rFonts w:asciiTheme="minorHAnsi" w:eastAsiaTheme="minorEastAsia" w:hAnsiTheme="minorHAnsi" w:cstheme="minorBidi"/>
          <w:szCs w:val="22"/>
        </w:rPr>
      </w:pPr>
      <w:r>
        <w:t>11X.</w:t>
      </w:r>
      <w:r>
        <w:tab/>
        <w:t>Interruption etc. of supply</w:t>
      </w:r>
      <w:r>
        <w:tab/>
      </w:r>
      <w:r>
        <w:fldChar w:fldCharType="begin"/>
      </w:r>
      <w:r>
        <w:instrText xml:space="preserve"> PAGEREF _Toc416788195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Duties included in licences</w:t>
      </w:r>
    </w:p>
    <w:p>
      <w:pPr>
        <w:pStyle w:val="TOC8"/>
        <w:rPr>
          <w:rFonts w:asciiTheme="minorHAnsi" w:eastAsiaTheme="minorEastAsia" w:hAnsiTheme="minorHAnsi" w:cstheme="minorBidi"/>
          <w:szCs w:val="22"/>
        </w:rPr>
      </w:pPr>
      <w:r>
        <w:t>11Y.</w:t>
      </w:r>
      <w:r>
        <w:tab/>
        <w:t>Asset management system</w:t>
      </w:r>
      <w:r>
        <w:tab/>
      </w:r>
      <w:r>
        <w:fldChar w:fldCharType="begin"/>
      </w:r>
      <w:r>
        <w:instrText xml:space="preserve"> PAGEREF _Toc416788197 \h </w:instrText>
      </w:r>
      <w:r>
        <w:fldChar w:fldCharType="separate"/>
      </w:r>
      <w:r>
        <w:t>36</w:t>
      </w:r>
      <w:r>
        <w:fldChar w:fldCharType="end"/>
      </w:r>
    </w:p>
    <w:p>
      <w:pPr>
        <w:pStyle w:val="TOC8"/>
        <w:rPr>
          <w:rFonts w:asciiTheme="minorHAnsi" w:eastAsiaTheme="minorEastAsia" w:hAnsiTheme="minorHAnsi" w:cstheme="minorBidi"/>
          <w:szCs w:val="22"/>
        </w:rPr>
      </w:pPr>
      <w:r>
        <w:t>11Z.</w:t>
      </w:r>
      <w:r>
        <w:tab/>
        <w:t>Compliance with technical standards</w:t>
      </w:r>
      <w:r>
        <w:tab/>
      </w:r>
      <w:r>
        <w:fldChar w:fldCharType="begin"/>
      </w:r>
      <w:r>
        <w:instrText xml:space="preserve"> PAGEREF _Toc416788198 \h </w:instrText>
      </w:r>
      <w:r>
        <w:fldChar w:fldCharType="separate"/>
      </w:r>
      <w:r>
        <w:t>37</w:t>
      </w:r>
      <w:r>
        <w:fldChar w:fldCharType="end"/>
      </w:r>
    </w:p>
    <w:p>
      <w:pPr>
        <w:pStyle w:val="TOC8"/>
        <w:rPr>
          <w:rFonts w:asciiTheme="minorHAnsi" w:eastAsiaTheme="minorEastAsia" w:hAnsiTheme="minorHAnsi" w:cstheme="minorBidi"/>
          <w:szCs w:val="22"/>
        </w:rPr>
      </w:pPr>
      <w:r>
        <w:t>11ZA.</w:t>
      </w:r>
      <w:r>
        <w:tab/>
        <w:t>Performance audit</w:t>
      </w:r>
      <w:r>
        <w:tab/>
      </w:r>
      <w:r>
        <w:fldChar w:fldCharType="begin"/>
      </w:r>
      <w:r>
        <w:instrText xml:space="preserve"> PAGEREF _Toc416788199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6A — Last resort supply arrangements</w:t>
      </w:r>
    </w:p>
    <w:p>
      <w:pPr>
        <w:pStyle w:val="TOC8"/>
        <w:rPr>
          <w:rFonts w:asciiTheme="minorHAnsi" w:eastAsiaTheme="minorEastAsia" w:hAnsiTheme="minorHAnsi" w:cstheme="minorBidi"/>
          <w:szCs w:val="22"/>
        </w:rPr>
      </w:pPr>
      <w:r>
        <w:t>11ZAA.</w:t>
      </w:r>
      <w:r>
        <w:tab/>
        <w:t>Terms used</w:t>
      </w:r>
      <w:r>
        <w:tab/>
      </w:r>
      <w:r>
        <w:fldChar w:fldCharType="begin"/>
      </w:r>
      <w:r>
        <w:instrText xml:space="preserve"> PAGEREF _Toc416788201 \h </w:instrText>
      </w:r>
      <w:r>
        <w:fldChar w:fldCharType="separate"/>
      </w:r>
      <w:r>
        <w:t>38</w:t>
      </w:r>
      <w:r>
        <w:fldChar w:fldCharType="end"/>
      </w:r>
    </w:p>
    <w:p>
      <w:pPr>
        <w:pStyle w:val="TOC8"/>
        <w:rPr>
          <w:rFonts w:asciiTheme="minorHAnsi" w:eastAsiaTheme="minorEastAsia" w:hAnsiTheme="minorHAnsi" w:cstheme="minorBidi"/>
          <w:szCs w:val="22"/>
        </w:rPr>
      </w:pPr>
      <w:r>
        <w:t>11ZAB.</w:t>
      </w:r>
      <w:r>
        <w:tab/>
        <w:t>Authority to ensure supply plan in place</w:t>
      </w:r>
      <w:r>
        <w:tab/>
      </w:r>
      <w:r>
        <w:fldChar w:fldCharType="begin"/>
      </w:r>
      <w:r>
        <w:instrText xml:space="preserve"> PAGEREF _Toc416788202 \h </w:instrText>
      </w:r>
      <w:r>
        <w:fldChar w:fldCharType="separate"/>
      </w:r>
      <w:r>
        <w:t>38</w:t>
      </w:r>
      <w:r>
        <w:fldChar w:fldCharType="end"/>
      </w:r>
    </w:p>
    <w:p>
      <w:pPr>
        <w:pStyle w:val="TOC8"/>
        <w:rPr>
          <w:rFonts w:asciiTheme="minorHAnsi" w:eastAsiaTheme="minorEastAsia" w:hAnsiTheme="minorHAnsi" w:cstheme="minorBidi"/>
          <w:szCs w:val="22"/>
        </w:rPr>
      </w:pPr>
      <w:r>
        <w:t>11ZAC.</w:t>
      </w:r>
      <w:r>
        <w:tab/>
        <w:t>Requirements for last resort supply plan</w:t>
      </w:r>
      <w:r>
        <w:tab/>
      </w:r>
      <w:r>
        <w:fldChar w:fldCharType="begin"/>
      </w:r>
      <w:r>
        <w:instrText xml:space="preserve"> PAGEREF _Toc416788203 \h </w:instrText>
      </w:r>
      <w:r>
        <w:fldChar w:fldCharType="separate"/>
      </w:r>
      <w:r>
        <w:t>38</w:t>
      </w:r>
      <w:r>
        <w:fldChar w:fldCharType="end"/>
      </w:r>
    </w:p>
    <w:p>
      <w:pPr>
        <w:pStyle w:val="TOC8"/>
        <w:rPr>
          <w:rFonts w:asciiTheme="minorHAnsi" w:eastAsiaTheme="minorEastAsia" w:hAnsiTheme="minorHAnsi" w:cstheme="minorBidi"/>
          <w:szCs w:val="22"/>
        </w:rPr>
      </w:pPr>
      <w:r>
        <w:t>11ZAD.</w:t>
      </w:r>
      <w:r>
        <w:tab/>
        <w:t>How plan brought into operation</w:t>
      </w:r>
      <w:r>
        <w:tab/>
      </w:r>
      <w:r>
        <w:fldChar w:fldCharType="begin"/>
      </w:r>
      <w:r>
        <w:instrText xml:space="preserve"> PAGEREF _Toc416788204 \h </w:instrText>
      </w:r>
      <w:r>
        <w:fldChar w:fldCharType="separate"/>
      </w:r>
      <w:r>
        <w:t>39</w:t>
      </w:r>
      <w:r>
        <w:fldChar w:fldCharType="end"/>
      </w:r>
    </w:p>
    <w:p>
      <w:pPr>
        <w:pStyle w:val="TOC8"/>
        <w:rPr>
          <w:rFonts w:asciiTheme="minorHAnsi" w:eastAsiaTheme="minorEastAsia" w:hAnsiTheme="minorHAnsi" w:cstheme="minorBidi"/>
          <w:szCs w:val="22"/>
        </w:rPr>
      </w:pPr>
      <w:r>
        <w:t>11ZAE.</w:t>
      </w:r>
      <w:r>
        <w:tab/>
        <w:t>Designation of licensee as supplier of last resort</w:t>
      </w:r>
      <w:r>
        <w:tab/>
      </w:r>
      <w:r>
        <w:fldChar w:fldCharType="begin"/>
      </w:r>
      <w:r>
        <w:instrText xml:space="preserve"> PAGEREF _Toc416788205 \h </w:instrText>
      </w:r>
      <w:r>
        <w:fldChar w:fldCharType="separate"/>
      </w:r>
      <w:r>
        <w:t>39</w:t>
      </w:r>
      <w:r>
        <w:fldChar w:fldCharType="end"/>
      </w:r>
    </w:p>
    <w:p>
      <w:pPr>
        <w:pStyle w:val="TOC8"/>
        <w:rPr>
          <w:rFonts w:asciiTheme="minorHAnsi" w:eastAsiaTheme="minorEastAsia" w:hAnsiTheme="minorHAnsi" w:cstheme="minorBidi"/>
          <w:szCs w:val="22"/>
        </w:rPr>
      </w:pPr>
      <w:r>
        <w:t>11ZAF.</w:t>
      </w:r>
      <w:r>
        <w:tab/>
        <w:t>Functions of supplier of last resort</w:t>
      </w:r>
      <w:r>
        <w:tab/>
      </w:r>
      <w:r>
        <w:fldChar w:fldCharType="begin"/>
      </w:r>
      <w:r>
        <w:instrText xml:space="preserve"> PAGEREF _Toc416788206 \h </w:instrText>
      </w:r>
      <w:r>
        <w:fldChar w:fldCharType="separate"/>
      </w:r>
      <w:r>
        <w:t>40</w:t>
      </w:r>
      <w:r>
        <w:fldChar w:fldCharType="end"/>
      </w:r>
    </w:p>
    <w:p>
      <w:pPr>
        <w:pStyle w:val="TOC8"/>
        <w:rPr>
          <w:rFonts w:asciiTheme="minorHAnsi" w:eastAsiaTheme="minorEastAsia" w:hAnsiTheme="minorHAnsi" w:cstheme="minorBidi"/>
          <w:szCs w:val="22"/>
        </w:rPr>
      </w:pPr>
      <w:r>
        <w:t>11ZAG.</w:t>
      </w:r>
      <w:r>
        <w:tab/>
        <w:t>Approval or determination of plan</w:t>
      </w:r>
      <w:r>
        <w:tab/>
      </w:r>
      <w:r>
        <w:fldChar w:fldCharType="begin"/>
      </w:r>
      <w:r>
        <w:instrText xml:space="preserve"> PAGEREF _Toc416788207 \h </w:instrText>
      </w:r>
      <w:r>
        <w:fldChar w:fldCharType="separate"/>
      </w:r>
      <w:r>
        <w:t>40</w:t>
      </w:r>
      <w:r>
        <w:fldChar w:fldCharType="end"/>
      </w:r>
    </w:p>
    <w:p>
      <w:pPr>
        <w:pStyle w:val="TOC8"/>
        <w:rPr>
          <w:rFonts w:asciiTheme="minorHAnsi" w:eastAsiaTheme="minorEastAsia" w:hAnsiTheme="minorHAnsi" w:cstheme="minorBidi"/>
          <w:szCs w:val="22"/>
        </w:rPr>
      </w:pPr>
      <w:r>
        <w:t>11ZAH.</w:t>
      </w:r>
      <w:r>
        <w:tab/>
        <w:t>Amendment of plan by supplier</w:t>
      </w:r>
      <w:r>
        <w:tab/>
      </w:r>
      <w:r>
        <w:fldChar w:fldCharType="begin"/>
      </w:r>
      <w:r>
        <w:instrText xml:space="preserve"> PAGEREF _Toc416788208 \h </w:instrText>
      </w:r>
      <w:r>
        <w:fldChar w:fldCharType="separate"/>
      </w:r>
      <w:r>
        <w:t>41</w:t>
      </w:r>
      <w:r>
        <w:fldChar w:fldCharType="end"/>
      </w:r>
    </w:p>
    <w:p>
      <w:pPr>
        <w:pStyle w:val="TOC8"/>
        <w:rPr>
          <w:rFonts w:asciiTheme="minorHAnsi" w:eastAsiaTheme="minorEastAsia" w:hAnsiTheme="minorHAnsi" w:cstheme="minorBidi"/>
          <w:szCs w:val="22"/>
        </w:rPr>
      </w:pPr>
      <w:r>
        <w:t>11ZAI.</w:t>
      </w:r>
      <w:r>
        <w:tab/>
        <w:t>Authority may make amendment</w:t>
      </w:r>
      <w:r>
        <w:tab/>
      </w:r>
      <w:r>
        <w:fldChar w:fldCharType="begin"/>
      </w:r>
      <w:r>
        <w:instrText xml:space="preserve"> PAGEREF _Toc416788209 \h </w:instrText>
      </w:r>
      <w:r>
        <w:fldChar w:fldCharType="separate"/>
      </w:r>
      <w:r>
        <w:t>41</w:t>
      </w:r>
      <w:r>
        <w:fldChar w:fldCharType="end"/>
      </w:r>
    </w:p>
    <w:p>
      <w:pPr>
        <w:pStyle w:val="TOC8"/>
        <w:rPr>
          <w:rFonts w:asciiTheme="minorHAnsi" w:eastAsiaTheme="minorEastAsia" w:hAnsiTheme="minorHAnsi" w:cstheme="minorBidi"/>
          <w:szCs w:val="22"/>
        </w:rPr>
      </w:pPr>
      <w:r>
        <w:t>11ZAJ.</w:t>
      </w:r>
      <w:r>
        <w:tab/>
        <w:t>Licence condition</w:t>
      </w:r>
      <w:r>
        <w:tab/>
      </w:r>
      <w:r>
        <w:fldChar w:fldCharType="begin"/>
      </w:r>
      <w:r>
        <w:instrText xml:space="preserve"> PAGEREF _Toc416788210 \h </w:instrText>
      </w:r>
      <w:r>
        <w:fldChar w:fldCharType="separate"/>
      </w:r>
      <w:r>
        <w:t>41</w:t>
      </w:r>
      <w:r>
        <w:fldChar w:fldCharType="end"/>
      </w:r>
    </w:p>
    <w:p>
      <w:pPr>
        <w:pStyle w:val="TOC8"/>
        <w:rPr>
          <w:rFonts w:asciiTheme="minorHAnsi" w:eastAsiaTheme="minorEastAsia" w:hAnsiTheme="minorHAnsi" w:cstheme="minorBidi"/>
          <w:szCs w:val="22"/>
        </w:rPr>
      </w:pPr>
      <w:r>
        <w:t>11ZAK.</w:t>
      </w:r>
      <w:r>
        <w:tab/>
        <w:t>Provision may be made by regulation</w:t>
      </w:r>
      <w:r>
        <w:tab/>
      </w:r>
      <w:r>
        <w:fldChar w:fldCharType="begin"/>
      </w:r>
      <w:r>
        <w:instrText xml:space="preserve"> PAGEREF _Toc416788211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7 — Enforcement</w:t>
      </w:r>
    </w:p>
    <w:p>
      <w:pPr>
        <w:pStyle w:val="TOC8"/>
        <w:rPr>
          <w:rFonts w:asciiTheme="minorHAnsi" w:eastAsiaTheme="minorEastAsia" w:hAnsiTheme="minorHAnsi" w:cstheme="minorBidi"/>
          <w:szCs w:val="22"/>
        </w:rPr>
      </w:pPr>
      <w:r>
        <w:t>11ZB.</w:t>
      </w:r>
      <w:r>
        <w:tab/>
        <w:t>Failure to comply with licence</w:t>
      </w:r>
      <w:r>
        <w:tab/>
      </w:r>
      <w:r>
        <w:fldChar w:fldCharType="begin"/>
      </w:r>
      <w:r>
        <w:instrText xml:space="preserve"> PAGEREF _Toc416788213 \h </w:instrText>
      </w:r>
      <w:r>
        <w:fldChar w:fldCharType="separate"/>
      </w:r>
      <w:r>
        <w:t>43</w:t>
      </w:r>
      <w:r>
        <w:fldChar w:fldCharType="end"/>
      </w:r>
    </w:p>
    <w:p>
      <w:pPr>
        <w:pStyle w:val="TOC8"/>
        <w:rPr>
          <w:rFonts w:asciiTheme="minorHAnsi" w:eastAsiaTheme="minorEastAsia" w:hAnsiTheme="minorHAnsi" w:cstheme="minorBidi"/>
          <w:szCs w:val="22"/>
        </w:rPr>
      </w:pPr>
      <w:r>
        <w:t>11ZC.</w:t>
      </w:r>
      <w:r>
        <w:tab/>
        <w:t>Right of licensee to make submissions</w:t>
      </w:r>
      <w:r>
        <w:tab/>
      </w:r>
      <w:r>
        <w:fldChar w:fldCharType="begin"/>
      </w:r>
      <w:r>
        <w:instrText xml:space="preserve"> PAGEREF _Toc416788214 \h </w:instrText>
      </w:r>
      <w:r>
        <w:fldChar w:fldCharType="separate"/>
      </w:r>
      <w:r>
        <w:t>44</w:t>
      </w:r>
      <w:r>
        <w:fldChar w:fldCharType="end"/>
      </w:r>
    </w:p>
    <w:p>
      <w:pPr>
        <w:pStyle w:val="TOC8"/>
        <w:rPr>
          <w:rFonts w:asciiTheme="minorHAnsi" w:eastAsiaTheme="minorEastAsia" w:hAnsiTheme="minorHAnsi" w:cstheme="minorBidi"/>
          <w:szCs w:val="22"/>
        </w:rPr>
      </w:pPr>
      <w:r>
        <w:t>11ZD.</w:t>
      </w:r>
      <w:r>
        <w:tab/>
        <w:t>Exception where public health or safety endangered</w:t>
      </w:r>
      <w:r>
        <w:tab/>
      </w:r>
      <w:r>
        <w:fldChar w:fldCharType="begin"/>
      </w:r>
      <w:r>
        <w:instrText xml:space="preserve"> PAGEREF _Toc416788215 \h </w:instrText>
      </w:r>
      <w:r>
        <w:fldChar w:fldCharType="separate"/>
      </w:r>
      <w:r>
        <w:t>44</w:t>
      </w:r>
      <w:r>
        <w:fldChar w:fldCharType="end"/>
      </w:r>
    </w:p>
    <w:p>
      <w:pPr>
        <w:pStyle w:val="TOC8"/>
        <w:rPr>
          <w:rFonts w:asciiTheme="minorHAnsi" w:eastAsiaTheme="minorEastAsia" w:hAnsiTheme="minorHAnsi" w:cstheme="minorBidi"/>
          <w:szCs w:val="22"/>
        </w:rPr>
      </w:pPr>
      <w:r>
        <w:t>11ZE.</w:t>
      </w:r>
      <w:r>
        <w:tab/>
        <w:t>Cancellation of licence</w:t>
      </w:r>
      <w:r>
        <w:tab/>
      </w:r>
      <w:r>
        <w:fldChar w:fldCharType="begin"/>
      </w:r>
      <w:r>
        <w:instrText xml:space="preserve"> PAGEREF _Toc416788216 \h </w:instrText>
      </w:r>
      <w:r>
        <w:fldChar w:fldCharType="separate"/>
      </w:r>
      <w:r>
        <w:t>44</w:t>
      </w:r>
      <w:r>
        <w:fldChar w:fldCharType="end"/>
      </w:r>
    </w:p>
    <w:p>
      <w:pPr>
        <w:pStyle w:val="TOC8"/>
        <w:rPr>
          <w:rFonts w:asciiTheme="minorHAnsi" w:eastAsiaTheme="minorEastAsia" w:hAnsiTheme="minorHAnsi" w:cstheme="minorBidi"/>
          <w:szCs w:val="22"/>
        </w:rPr>
      </w:pPr>
      <w:r>
        <w:t>11ZF.</w:t>
      </w:r>
      <w:r>
        <w:tab/>
        <w:t>Duty to leave system in safe condition</w:t>
      </w:r>
      <w:r>
        <w:tab/>
      </w:r>
      <w:r>
        <w:fldChar w:fldCharType="begin"/>
      </w:r>
      <w:r>
        <w:instrText xml:space="preserve"> PAGEREF _Toc416788217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8 — Review</w:t>
      </w:r>
    </w:p>
    <w:p>
      <w:pPr>
        <w:pStyle w:val="TOC8"/>
        <w:rPr>
          <w:rFonts w:asciiTheme="minorHAnsi" w:eastAsiaTheme="minorEastAsia" w:hAnsiTheme="minorHAnsi" w:cstheme="minorBidi"/>
          <w:szCs w:val="22"/>
        </w:rPr>
      </w:pPr>
      <w:r>
        <w:t>11ZH.</w:t>
      </w:r>
      <w:r>
        <w:tab/>
        <w:t>Review of Authority’s decision</w:t>
      </w:r>
      <w:r>
        <w:tab/>
      </w:r>
      <w:r>
        <w:fldChar w:fldCharType="begin"/>
      </w:r>
      <w:r>
        <w:instrText xml:space="preserve"> PAGEREF _Toc416788219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9 — Powers in relation to land</w:t>
      </w:r>
    </w:p>
    <w:p>
      <w:pPr>
        <w:pStyle w:val="TOC8"/>
        <w:rPr>
          <w:rFonts w:asciiTheme="minorHAnsi" w:eastAsiaTheme="minorEastAsia" w:hAnsiTheme="minorHAnsi" w:cstheme="minorBidi"/>
          <w:szCs w:val="22"/>
        </w:rPr>
      </w:pPr>
      <w:r>
        <w:t>11ZI.</w:t>
      </w:r>
      <w:r>
        <w:tab/>
        <w:t>When this Division applies</w:t>
      </w:r>
      <w:r>
        <w:tab/>
      </w:r>
      <w:r>
        <w:fldChar w:fldCharType="begin"/>
      </w:r>
      <w:r>
        <w:instrText xml:space="preserve"> PAGEREF _Toc416788221 \h </w:instrText>
      </w:r>
      <w:r>
        <w:fldChar w:fldCharType="separate"/>
      </w:r>
      <w:r>
        <w:t>49</w:t>
      </w:r>
      <w:r>
        <w:fldChar w:fldCharType="end"/>
      </w:r>
    </w:p>
    <w:p>
      <w:pPr>
        <w:pStyle w:val="TOC8"/>
        <w:rPr>
          <w:rFonts w:asciiTheme="minorHAnsi" w:eastAsiaTheme="minorEastAsia" w:hAnsiTheme="minorHAnsi" w:cstheme="minorBidi"/>
          <w:szCs w:val="22"/>
        </w:rPr>
      </w:pPr>
      <w:r>
        <w:t>11ZJ.</w:t>
      </w:r>
      <w:r>
        <w:tab/>
        <w:t>Power of public authority to grant easements etc.</w:t>
      </w:r>
      <w:r>
        <w:tab/>
      </w:r>
      <w:r>
        <w:fldChar w:fldCharType="begin"/>
      </w:r>
      <w:r>
        <w:instrText xml:space="preserve"> PAGEREF _Toc416788222 \h </w:instrText>
      </w:r>
      <w:r>
        <w:fldChar w:fldCharType="separate"/>
      </w:r>
      <w:r>
        <w:t>49</w:t>
      </w:r>
      <w:r>
        <w:fldChar w:fldCharType="end"/>
      </w:r>
    </w:p>
    <w:p>
      <w:pPr>
        <w:pStyle w:val="TOC8"/>
        <w:rPr>
          <w:rFonts w:asciiTheme="minorHAnsi" w:eastAsiaTheme="minorEastAsia" w:hAnsiTheme="minorHAnsi" w:cstheme="minorBidi"/>
          <w:szCs w:val="22"/>
        </w:rPr>
      </w:pPr>
      <w:r>
        <w:t>11ZK.</w:t>
      </w:r>
      <w:r>
        <w:tab/>
        <w:t>Taking of interest or easement for purposes of licence</w:t>
      </w:r>
      <w:r>
        <w:tab/>
      </w:r>
      <w:r>
        <w:fldChar w:fldCharType="begin"/>
      </w:r>
      <w:r>
        <w:instrText xml:space="preserve"> PAGEREF _Toc416788223 \h </w:instrText>
      </w:r>
      <w:r>
        <w:fldChar w:fldCharType="separate"/>
      </w:r>
      <w:r>
        <w:t>50</w:t>
      </w:r>
      <w:r>
        <w:fldChar w:fldCharType="end"/>
      </w:r>
    </w:p>
    <w:p>
      <w:pPr>
        <w:pStyle w:val="TOC8"/>
        <w:rPr>
          <w:rFonts w:asciiTheme="minorHAnsi" w:eastAsiaTheme="minorEastAsia" w:hAnsiTheme="minorHAnsi" w:cstheme="minorBidi"/>
          <w:szCs w:val="22"/>
        </w:rPr>
      </w:pPr>
      <w:r>
        <w:t>11ZL.</w:t>
      </w:r>
      <w:r>
        <w:tab/>
        <w:t>Vesting of interest or easement</w:t>
      </w:r>
      <w:r>
        <w:tab/>
      </w:r>
      <w:r>
        <w:fldChar w:fldCharType="begin"/>
      </w:r>
      <w:r>
        <w:instrText xml:space="preserve"> PAGEREF _Toc416788224 \h </w:instrText>
      </w:r>
      <w:r>
        <w:fldChar w:fldCharType="separate"/>
      </w:r>
      <w:r>
        <w:t>50</w:t>
      </w:r>
      <w:r>
        <w:fldChar w:fldCharType="end"/>
      </w:r>
    </w:p>
    <w:p>
      <w:pPr>
        <w:pStyle w:val="TOC8"/>
        <w:rPr>
          <w:rFonts w:asciiTheme="minorHAnsi" w:eastAsiaTheme="minorEastAsia" w:hAnsiTheme="minorHAnsi" w:cstheme="minorBidi"/>
          <w:szCs w:val="22"/>
        </w:rPr>
      </w:pPr>
      <w:r>
        <w:t>11ZM.</w:t>
      </w:r>
      <w:r>
        <w:tab/>
        <w:t>Proceedings and liability</w:t>
      </w:r>
      <w:r>
        <w:tab/>
      </w:r>
      <w:r>
        <w:fldChar w:fldCharType="begin"/>
      </w:r>
      <w:r>
        <w:instrText xml:space="preserve"> PAGEREF _Toc416788225 \h </w:instrText>
      </w:r>
      <w:r>
        <w:fldChar w:fldCharType="separate"/>
      </w:r>
      <w:r>
        <w:t>51</w:t>
      </w:r>
      <w:r>
        <w:fldChar w:fldCharType="end"/>
      </w:r>
    </w:p>
    <w:p>
      <w:pPr>
        <w:pStyle w:val="TOC8"/>
        <w:rPr>
          <w:rFonts w:asciiTheme="minorHAnsi" w:eastAsiaTheme="minorEastAsia" w:hAnsiTheme="minorHAnsi" w:cstheme="minorBidi"/>
          <w:szCs w:val="22"/>
        </w:rPr>
      </w:pPr>
      <w:r>
        <w:t>11ZN.</w:t>
      </w:r>
      <w:r>
        <w:tab/>
        <w:t>Easements in gross</w:t>
      </w:r>
      <w:r>
        <w:tab/>
      </w:r>
      <w:r>
        <w:fldChar w:fldCharType="begin"/>
      </w:r>
      <w:r>
        <w:instrText xml:space="preserve"> PAGEREF _Toc416788226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 xml:space="preserve">Division 10 — Extension of </w:t>
      </w:r>
      <w:r>
        <w:rPr>
          <w:i/>
        </w:rPr>
        <w:t>Energy Operators (Powers) Act 1979</w:t>
      </w:r>
      <w:r>
        <w:t xml:space="preserve"> to licensees</w:t>
      </w:r>
    </w:p>
    <w:p>
      <w:pPr>
        <w:pStyle w:val="TOC8"/>
        <w:rPr>
          <w:rFonts w:asciiTheme="minorHAnsi" w:eastAsiaTheme="minorEastAsia" w:hAnsiTheme="minorHAnsi" w:cstheme="minorBidi"/>
          <w:szCs w:val="22"/>
        </w:rPr>
      </w:pPr>
      <w:r>
        <w:t>11ZO.</w:t>
      </w:r>
      <w:r>
        <w:tab/>
        <w:t xml:space="preserve">Extension of certain provisions of </w:t>
      </w:r>
      <w:r>
        <w:rPr>
          <w:i/>
        </w:rPr>
        <w:t>Energy Operators (Powers) Act 1979</w:t>
      </w:r>
      <w:r>
        <w:tab/>
      </w:r>
      <w:r>
        <w:fldChar w:fldCharType="begin"/>
      </w:r>
      <w:r>
        <w:instrText xml:space="preserve"> PAGEREF _Toc416788228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2B — Gas supply: retail market schemes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11ZOA.</w:t>
      </w:r>
      <w:r>
        <w:tab/>
        <w:t>Terms used</w:t>
      </w:r>
      <w:r>
        <w:tab/>
      </w:r>
      <w:r>
        <w:fldChar w:fldCharType="begin"/>
      </w:r>
      <w:r>
        <w:instrText xml:space="preserve"> PAGEREF _Toc416788231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Purpose and content of a retail market scheme</w:t>
      </w:r>
    </w:p>
    <w:p>
      <w:pPr>
        <w:pStyle w:val="TOC8"/>
        <w:rPr>
          <w:rFonts w:asciiTheme="minorHAnsi" w:eastAsiaTheme="minorEastAsia" w:hAnsiTheme="minorHAnsi" w:cstheme="minorBidi"/>
          <w:szCs w:val="22"/>
        </w:rPr>
      </w:pPr>
      <w:r>
        <w:t>11ZOB.</w:t>
      </w:r>
      <w:r>
        <w:tab/>
        <w:t>Purpose of retail market scheme</w:t>
      </w:r>
      <w:r>
        <w:tab/>
      </w:r>
      <w:r>
        <w:fldChar w:fldCharType="begin"/>
      </w:r>
      <w:r>
        <w:instrText xml:space="preserve"> PAGEREF _Toc416788233 \h </w:instrText>
      </w:r>
      <w:r>
        <w:fldChar w:fldCharType="separate"/>
      </w:r>
      <w:r>
        <w:t>54</w:t>
      </w:r>
      <w:r>
        <w:fldChar w:fldCharType="end"/>
      </w:r>
    </w:p>
    <w:p>
      <w:pPr>
        <w:pStyle w:val="TOC8"/>
        <w:rPr>
          <w:rFonts w:asciiTheme="minorHAnsi" w:eastAsiaTheme="minorEastAsia" w:hAnsiTheme="minorHAnsi" w:cstheme="minorBidi"/>
          <w:szCs w:val="22"/>
        </w:rPr>
      </w:pPr>
      <w:r>
        <w:t>11ZOC.</w:t>
      </w:r>
      <w:r>
        <w:tab/>
        <w:t>Persons required to comply with a retail market scheme</w:t>
      </w:r>
      <w:r>
        <w:tab/>
      </w:r>
      <w:r>
        <w:fldChar w:fldCharType="begin"/>
      </w:r>
      <w:r>
        <w:instrText xml:space="preserve"> PAGEREF _Toc416788234 \h </w:instrText>
      </w:r>
      <w:r>
        <w:fldChar w:fldCharType="separate"/>
      </w:r>
      <w:r>
        <w:t>54</w:t>
      </w:r>
      <w:r>
        <w:fldChar w:fldCharType="end"/>
      </w:r>
    </w:p>
    <w:p>
      <w:pPr>
        <w:pStyle w:val="TOC8"/>
        <w:rPr>
          <w:rFonts w:asciiTheme="minorHAnsi" w:eastAsiaTheme="minorEastAsia" w:hAnsiTheme="minorHAnsi" w:cstheme="minorBidi"/>
          <w:szCs w:val="22"/>
        </w:rPr>
      </w:pPr>
      <w:r>
        <w:t>11ZOD.</w:t>
      </w:r>
      <w:r>
        <w:tab/>
        <w:t>Persons required to comply with retail market rules</w:t>
      </w:r>
      <w:r>
        <w:tab/>
      </w:r>
      <w:r>
        <w:fldChar w:fldCharType="begin"/>
      </w:r>
      <w:r>
        <w:instrText xml:space="preserve"> PAGEREF _Toc416788235 \h </w:instrText>
      </w:r>
      <w:r>
        <w:fldChar w:fldCharType="separate"/>
      </w:r>
      <w:r>
        <w:t>55</w:t>
      </w:r>
      <w:r>
        <w:fldChar w:fldCharType="end"/>
      </w:r>
    </w:p>
    <w:p>
      <w:pPr>
        <w:pStyle w:val="TOC8"/>
        <w:rPr>
          <w:rFonts w:asciiTheme="minorHAnsi" w:eastAsiaTheme="minorEastAsia" w:hAnsiTheme="minorHAnsi" w:cstheme="minorBidi"/>
          <w:szCs w:val="22"/>
        </w:rPr>
      </w:pPr>
      <w:r>
        <w:t>11ZOE.</w:t>
      </w:r>
      <w:r>
        <w:tab/>
        <w:t>Exception to requirement for a scheme</w:t>
      </w:r>
      <w:r>
        <w:tab/>
      </w:r>
      <w:r>
        <w:fldChar w:fldCharType="begin"/>
      </w:r>
      <w:r>
        <w:instrText xml:space="preserve"> PAGEREF _Toc416788236 \h </w:instrText>
      </w:r>
      <w:r>
        <w:fldChar w:fldCharType="separate"/>
      </w:r>
      <w:r>
        <w:t>55</w:t>
      </w:r>
      <w:r>
        <w:fldChar w:fldCharType="end"/>
      </w:r>
    </w:p>
    <w:p>
      <w:pPr>
        <w:pStyle w:val="TOC8"/>
        <w:rPr>
          <w:rFonts w:asciiTheme="minorHAnsi" w:eastAsiaTheme="minorEastAsia" w:hAnsiTheme="minorHAnsi" w:cstheme="minorBidi"/>
          <w:szCs w:val="22"/>
        </w:rPr>
      </w:pPr>
      <w:r>
        <w:t>11ZOF.</w:t>
      </w:r>
      <w:r>
        <w:tab/>
        <w:t>Elements of retail market scheme</w:t>
      </w:r>
      <w:r>
        <w:tab/>
      </w:r>
      <w:r>
        <w:fldChar w:fldCharType="begin"/>
      </w:r>
      <w:r>
        <w:instrText xml:space="preserve"> PAGEREF _Toc416788237 \h </w:instrText>
      </w:r>
      <w:r>
        <w:fldChar w:fldCharType="separate"/>
      </w:r>
      <w:r>
        <w:t>56</w:t>
      </w:r>
      <w:r>
        <w:fldChar w:fldCharType="end"/>
      </w:r>
    </w:p>
    <w:p>
      <w:pPr>
        <w:pStyle w:val="TOC8"/>
        <w:rPr>
          <w:rFonts w:asciiTheme="minorHAnsi" w:eastAsiaTheme="minorEastAsia" w:hAnsiTheme="minorHAnsi" w:cstheme="minorBidi"/>
          <w:szCs w:val="22"/>
        </w:rPr>
      </w:pPr>
      <w:r>
        <w:t>11ZOG.</w:t>
      </w:r>
      <w:r>
        <w:tab/>
        <w:t>Requirements for retail market rules</w:t>
      </w:r>
      <w:r>
        <w:tab/>
      </w:r>
      <w:r>
        <w:fldChar w:fldCharType="begin"/>
      </w:r>
      <w:r>
        <w:instrText xml:space="preserve"> PAGEREF _Toc416788238 \h </w:instrText>
      </w:r>
      <w:r>
        <w:fldChar w:fldCharType="separate"/>
      </w:r>
      <w:r>
        <w:t>57</w:t>
      </w:r>
      <w:r>
        <w:fldChar w:fldCharType="end"/>
      </w:r>
    </w:p>
    <w:p>
      <w:pPr>
        <w:pStyle w:val="TOC8"/>
        <w:rPr>
          <w:rFonts w:asciiTheme="minorHAnsi" w:eastAsiaTheme="minorEastAsia" w:hAnsiTheme="minorHAnsi" w:cstheme="minorBidi"/>
          <w:szCs w:val="22"/>
        </w:rPr>
      </w:pPr>
      <w:r>
        <w:t>11ZOH.</w:t>
      </w:r>
      <w:r>
        <w:tab/>
        <w:t>Regulations for retail market scheme or rules</w:t>
      </w:r>
      <w:r>
        <w:tab/>
      </w:r>
      <w:r>
        <w:fldChar w:fldCharType="begin"/>
      </w:r>
      <w:r>
        <w:instrText xml:space="preserve"> PAGEREF _Toc416788239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review and amendment of retail market schemes</w:t>
      </w:r>
    </w:p>
    <w:p>
      <w:pPr>
        <w:pStyle w:val="TOC8"/>
        <w:rPr>
          <w:rFonts w:asciiTheme="minorHAnsi" w:eastAsiaTheme="minorEastAsia" w:hAnsiTheme="minorHAnsi" w:cstheme="minorBidi"/>
          <w:szCs w:val="22"/>
        </w:rPr>
      </w:pPr>
      <w:r>
        <w:t>11ZOI.</w:t>
      </w:r>
      <w:r>
        <w:tab/>
        <w:t>Submission of retail market scheme for approval</w:t>
      </w:r>
      <w:r>
        <w:tab/>
      </w:r>
      <w:r>
        <w:fldChar w:fldCharType="begin"/>
      </w:r>
      <w:r>
        <w:instrText xml:space="preserve"> PAGEREF _Toc416788241 \h </w:instrText>
      </w:r>
      <w:r>
        <w:fldChar w:fldCharType="separate"/>
      </w:r>
      <w:r>
        <w:t>59</w:t>
      </w:r>
      <w:r>
        <w:fldChar w:fldCharType="end"/>
      </w:r>
    </w:p>
    <w:p>
      <w:pPr>
        <w:pStyle w:val="TOC8"/>
        <w:rPr>
          <w:rFonts w:asciiTheme="minorHAnsi" w:eastAsiaTheme="minorEastAsia" w:hAnsiTheme="minorHAnsi" w:cstheme="minorBidi"/>
          <w:szCs w:val="22"/>
        </w:rPr>
      </w:pPr>
      <w:r>
        <w:t>11ZOJ.</w:t>
      </w:r>
      <w:r>
        <w:tab/>
        <w:t>Approval of retail market schemes</w:t>
      </w:r>
      <w:r>
        <w:tab/>
      </w:r>
      <w:r>
        <w:fldChar w:fldCharType="begin"/>
      </w:r>
      <w:r>
        <w:instrText xml:space="preserve"> PAGEREF _Toc416788242 \h </w:instrText>
      </w:r>
      <w:r>
        <w:fldChar w:fldCharType="separate"/>
      </w:r>
      <w:r>
        <w:t>60</w:t>
      </w:r>
      <w:r>
        <w:fldChar w:fldCharType="end"/>
      </w:r>
    </w:p>
    <w:p>
      <w:pPr>
        <w:pStyle w:val="TOC8"/>
        <w:rPr>
          <w:rFonts w:asciiTheme="minorHAnsi" w:eastAsiaTheme="minorEastAsia" w:hAnsiTheme="minorHAnsi" w:cstheme="minorBidi"/>
          <w:szCs w:val="22"/>
        </w:rPr>
      </w:pPr>
      <w:r>
        <w:t>11ZOK.</w:t>
      </w:r>
      <w:r>
        <w:tab/>
        <w:t>Commencement of retail market schemes</w:t>
      </w:r>
      <w:r>
        <w:tab/>
      </w:r>
      <w:r>
        <w:fldChar w:fldCharType="begin"/>
      </w:r>
      <w:r>
        <w:instrText xml:space="preserve"> PAGEREF _Toc416788243 \h </w:instrText>
      </w:r>
      <w:r>
        <w:fldChar w:fldCharType="separate"/>
      </w:r>
      <w:r>
        <w:t>61</w:t>
      </w:r>
      <w:r>
        <w:fldChar w:fldCharType="end"/>
      </w:r>
    </w:p>
    <w:p>
      <w:pPr>
        <w:pStyle w:val="TOC8"/>
        <w:rPr>
          <w:rFonts w:asciiTheme="minorHAnsi" w:eastAsiaTheme="minorEastAsia" w:hAnsiTheme="minorHAnsi" w:cstheme="minorBidi"/>
          <w:szCs w:val="22"/>
        </w:rPr>
      </w:pPr>
      <w:r>
        <w:t>11ZOL.</w:t>
      </w:r>
      <w:r>
        <w:tab/>
        <w:t>Submission of amendment for approval</w:t>
      </w:r>
      <w:r>
        <w:tab/>
      </w:r>
      <w:r>
        <w:fldChar w:fldCharType="begin"/>
      </w:r>
      <w:r>
        <w:instrText xml:space="preserve"> PAGEREF _Toc416788244 \h </w:instrText>
      </w:r>
      <w:r>
        <w:fldChar w:fldCharType="separate"/>
      </w:r>
      <w:r>
        <w:t>61</w:t>
      </w:r>
      <w:r>
        <w:fldChar w:fldCharType="end"/>
      </w:r>
    </w:p>
    <w:p>
      <w:pPr>
        <w:pStyle w:val="TOC8"/>
        <w:rPr>
          <w:rFonts w:asciiTheme="minorHAnsi" w:eastAsiaTheme="minorEastAsia" w:hAnsiTheme="minorHAnsi" w:cstheme="minorBidi"/>
          <w:szCs w:val="22"/>
        </w:rPr>
      </w:pPr>
      <w:r>
        <w:t>11ZOM.</w:t>
      </w:r>
      <w:r>
        <w:tab/>
        <w:t> Approval of amendment</w:t>
      </w:r>
      <w:r>
        <w:tab/>
      </w:r>
      <w:r>
        <w:fldChar w:fldCharType="begin"/>
      </w:r>
      <w:r>
        <w:instrText xml:space="preserve"> PAGEREF _Toc416788245 \h </w:instrText>
      </w:r>
      <w:r>
        <w:fldChar w:fldCharType="separate"/>
      </w:r>
      <w:r>
        <w:t>62</w:t>
      </w:r>
      <w:r>
        <w:fldChar w:fldCharType="end"/>
      </w:r>
    </w:p>
    <w:p>
      <w:pPr>
        <w:pStyle w:val="TOC8"/>
        <w:rPr>
          <w:rFonts w:asciiTheme="minorHAnsi" w:eastAsiaTheme="minorEastAsia" w:hAnsiTheme="minorHAnsi" w:cstheme="minorBidi"/>
          <w:szCs w:val="22"/>
        </w:rPr>
      </w:pPr>
      <w:r>
        <w:t>11ZON.</w:t>
      </w:r>
      <w:r>
        <w:tab/>
        <w:t>Prerequisites to approval of scheme</w:t>
      </w:r>
      <w:r>
        <w:tab/>
      </w:r>
      <w:r>
        <w:fldChar w:fldCharType="begin"/>
      </w:r>
      <w:r>
        <w:instrText xml:space="preserve"> PAGEREF _Toc416788246 \h </w:instrText>
      </w:r>
      <w:r>
        <w:fldChar w:fldCharType="separate"/>
      </w:r>
      <w:r>
        <w:t>63</w:t>
      </w:r>
      <w:r>
        <w:fldChar w:fldCharType="end"/>
      </w:r>
    </w:p>
    <w:p>
      <w:pPr>
        <w:pStyle w:val="TOC8"/>
        <w:rPr>
          <w:rFonts w:asciiTheme="minorHAnsi" w:eastAsiaTheme="minorEastAsia" w:hAnsiTheme="minorHAnsi" w:cstheme="minorBidi"/>
          <w:szCs w:val="22"/>
        </w:rPr>
      </w:pPr>
      <w:r>
        <w:t>11ZOO.</w:t>
      </w:r>
      <w:r>
        <w:tab/>
        <w:t>Prerequisites to approval of amendment</w:t>
      </w:r>
      <w:r>
        <w:tab/>
      </w:r>
      <w:r>
        <w:fldChar w:fldCharType="begin"/>
      </w:r>
      <w:r>
        <w:instrText xml:space="preserve"> PAGEREF _Toc416788247 \h </w:instrText>
      </w:r>
      <w:r>
        <w:fldChar w:fldCharType="separate"/>
      </w:r>
      <w:r>
        <w:t>64</w:t>
      </w:r>
      <w:r>
        <w:fldChar w:fldCharType="end"/>
      </w:r>
    </w:p>
    <w:p>
      <w:pPr>
        <w:pStyle w:val="TOC8"/>
        <w:rPr>
          <w:rFonts w:asciiTheme="minorHAnsi" w:eastAsiaTheme="minorEastAsia" w:hAnsiTheme="minorHAnsi" w:cstheme="minorBidi"/>
          <w:szCs w:val="22"/>
        </w:rPr>
      </w:pPr>
      <w:r>
        <w:t>11ZOP.</w:t>
      </w:r>
      <w:r>
        <w:tab/>
        <w:t>Matters to which Authority is to have regard</w:t>
      </w:r>
      <w:r>
        <w:tab/>
      </w:r>
      <w:r>
        <w:fldChar w:fldCharType="begin"/>
      </w:r>
      <w:r>
        <w:instrText xml:space="preserve"> PAGEREF _Toc416788248 \h </w:instrText>
      </w:r>
      <w:r>
        <w:fldChar w:fldCharType="separate"/>
      </w:r>
      <w:r>
        <w:t>64</w:t>
      </w:r>
      <w:r>
        <w:fldChar w:fldCharType="end"/>
      </w:r>
    </w:p>
    <w:p>
      <w:pPr>
        <w:pStyle w:val="TOC8"/>
        <w:rPr>
          <w:rFonts w:asciiTheme="minorHAnsi" w:eastAsiaTheme="minorEastAsia" w:hAnsiTheme="minorHAnsi" w:cstheme="minorBidi"/>
          <w:szCs w:val="22"/>
        </w:rPr>
      </w:pPr>
      <w:r>
        <w:t>11ZOQ.</w:t>
      </w:r>
      <w:r>
        <w:tab/>
        <w:t>Review of scheme</w:t>
      </w:r>
      <w:r>
        <w:tab/>
      </w:r>
      <w:r>
        <w:fldChar w:fldCharType="begin"/>
      </w:r>
      <w:r>
        <w:instrText xml:space="preserve"> PAGEREF _Toc416788249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Enforcement</w:t>
      </w:r>
    </w:p>
    <w:p>
      <w:pPr>
        <w:pStyle w:val="TOC6"/>
        <w:tabs>
          <w:tab w:val="right" w:leader="dot" w:pos="7077"/>
        </w:tabs>
        <w:rPr>
          <w:rFonts w:asciiTheme="minorHAnsi" w:eastAsiaTheme="minorEastAsia" w:hAnsiTheme="minorHAnsi" w:cstheme="minorBidi"/>
          <w:b w:val="0"/>
          <w:sz w:val="22"/>
          <w:szCs w:val="22"/>
        </w:rPr>
      </w:pPr>
      <w:r>
        <w:t>Subdivision 1 — Enforcement of requirements for membership of scheme</w:t>
      </w:r>
    </w:p>
    <w:p>
      <w:pPr>
        <w:pStyle w:val="TOC8"/>
        <w:rPr>
          <w:rFonts w:asciiTheme="minorHAnsi" w:eastAsiaTheme="minorEastAsia" w:hAnsiTheme="minorHAnsi" w:cstheme="minorBidi"/>
          <w:szCs w:val="22"/>
        </w:rPr>
      </w:pPr>
      <w:r>
        <w:t>11ZOR.</w:t>
      </w:r>
      <w:r>
        <w:tab/>
        <w:t>Membership required</w:t>
      </w:r>
      <w:r>
        <w:tab/>
      </w:r>
      <w:r>
        <w:fldChar w:fldCharType="begin"/>
      </w:r>
      <w:r>
        <w:instrText xml:space="preserve"> PAGEREF _Toc416788252 \h </w:instrText>
      </w:r>
      <w:r>
        <w:fldChar w:fldCharType="separate"/>
      </w:r>
      <w:r>
        <w:t>65</w:t>
      </w:r>
      <w:r>
        <w:fldChar w:fldCharType="end"/>
      </w:r>
    </w:p>
    <w:p>
      <w:pPr>
        <w:pStyle w:val="TOC8"/>
        <w:rPr>
          <w:rFonts w:asciiTheme="minorHAnsi" w:eastAsiaTheme="minorEastAsia" w:hAnsiTheme="minorHAnsi" w:cstheme="minorBidi"/>
          <w:szCs w:val="22"/>
        </w:rPr>
      </w:pPr>
      <w:r>
        <w:t>11ZOS.</w:t>
      </w:r>
      <w:r>
        <w:tab/>
        <w:t>Power to exempt</w:t>
      </w:r>
      <w:r>
        <w:tab/>
      </w:r>
      <w:r>
        <w:fldChar w:fldCharType="begin"/>
      </w:r>
      <w:r>
        <w:instrText xml:space="preserve"> PAGEREF _Toc416788253 \h </w:instrText>
      </w:r>
      <w:r>
        <w:fldChar w:fldCharType="separate"/>
      </w:r>
      <w:r>
        <w:t>66</w:t>
      </w:r>
      <w:r>
        <w:fldChar w:fldCharType="end"/>
      </w:r>
    </w:p>
    <w:p>
      <w:pPr>
        <w:pStyle w:val="TOC8"/>
        <w:rPr>
          <w:rFonts w:asciiTheme="minorHAnsi" w:eastAsiaTheme="minorEastAsia" w:hAnsiTheme="minorHAnsi" w:cstheme="minorBidi"/>
          <w:szCs w:val="22"/>
        </w:rPr>
      </w:pPr>
      <w:r>
        <w:t>11ZOT.</w:t>
      </w:r>
      <w:r>
        <w:tab/>
        <w:t>Enforcement of section 11ZOR</w:t>
      </w:r>
      <w:r>
        <w:tab/>
      </w:r>
      <w:r>
        <w:fldChar w:fldCharType="begin"/>
      </w:r>
      <w:r>
        <w:instrText xml:space="preserve"> PAGEREF _Toc416788254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Enforcement of retail market scheme and rules</w:t>
      </w:r>
    </w:p>
    <w:p>
      <w:pPr>
        <w:pStyle w:val="TOC8"/>
        <w:rPr>
          <w:rFonts w:asciiTheme="minorHAnsi" w:eastAsiaTheme="minorEastAsia" w:hAnsiTheme="minorHAnsi" w:cstheme="minorBidi"/>
          <w:szCs w:val="22"/>
        </w:rPr>
      </w:pPr>
      <w:r>
        <w:t>11ZOU.</w:t>
      </w:r>
      <w:r>
        <w:tab/>
        <w:t>Authority may impose penalty for breach</w:t>
      </w:r>
      <w:r>
        <w:tab/>
      </w:r>
      <w:r>
        <w:fldChar w:fldCharType="begin"/>
      </w:r>
      <w:r>
        <w:instrText xml:space="preserve"> PAGEREF _Toc416788256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Prohibition of certain conduct in relation to a retail market scheme</w:t>
      </w:r>
    </w:p>
    <w:p>
      <w:pPr>
        <w:pStyle w:val="TOC8"/>
        <w:rPr>
          <w:rFonts w:asciiTheme="minorHAnsi" w:eastAsiaTheme="minorEastAsia" w:hAnsiTheme="minorHAnsi" w:cstheme="minorBidi"/>
          <w:szCs w:val="22"/>
        </w:rPr>
      </w:pPr>
      <w:r>
        <w:t>11ZOV.</w:t>
      </w:r>
      <w:r>
        <w:tab/>
        <w:t>Conduct preventing or hindering operation</w:t>
      </w:r>
      <w:r>
        <w:tab/>
      </w:r>
      <w:r>
        <w:fldChar w:fldCharType="begin"/>
      </w:r>
      <w:r>
        <w:instrText xml:space="preserve"> PAGEREF _Toc416788258 \h </w:instrText>
      </w:r>
      <w:r>
        <w:fldChar w:fldCharType="separate"/>
      </w:r>
      <w:r>
        <w:t>69</w:t>
      </w:r>
      <w:r>
        <w:fldChar w:fldCharType="end"/>
      </w:r>
    </w:p>
    <w:p>
      <w:pPr>
        <w:pStyle w:val="TOC8"/>
        <w:rPr>
          <w:rFonts w:asciiTheme="minorHAnsi" w:eastAsiaTheme="minorEastAsia" w:hAnsiTheme="minorHAnsi" w:cstheme="minorBidi"/>
          <w:szCs w:val="22"/>
        </w:rPr>
      </w:pPr>
      <w:r>
        <w:tab/>
        <w:t>11ZOW. Interpretation of section 11ZOV</w:t>
      </w:r>
      <w:r>
        <w:tab/>
      </w:r>
      <w:r>
        <w:fldChar w:fldCharType="begin"/>
      </w:r>
      <w:r>
        <w:instrText xml:space="preserve"> PAGEREF _Toc416788259 \h </w:instrText>
      </w:r>
      <w:r>
        <w:fldChar w:fldCharType="separate"/>
      </w:r>
      <w:r>
        <w:t>70</w:t>
      </w:r>
      <w:r>
        <w:fldChar w:fldCharType="end"/>
      </w:r>
    </w:p>
    <w:p>
      <w:pPr>
        <w:pStyle w:val="TOC8"/>
        <w:rPr>
          <w:rFonts w:asciiTheme="minorHAnsi" w:eastAsiaTheme="minorEastAsia" w:hAnsiTheme="minorHAnsi" w:cstheme="minorBidi"/>
          <w:szCs w:val="22"/>
        </w:rPr>
      </w:pPr>
      <w:r>
        <w:t>11ZOX.</w:t>
      </w:r>
      <w:r>
        <w:tab/>
        <w:t>Establishing purpose of conduct</w:t>
      </w:r>
      <w:r>
        <w:tab/>
      </w:r>
      <w:r>
        <w:fldChar w:fldCharType="begin"/>
      </w:r>
      <w:r>
        <w:instrText xml:space="preserve"> PAGEREF _Toc416788260 \h </w:instrText>
      </w:r>
      <w:r>
        <w:fldChar w:fldCharType="separate"/>
      </w:r>
      <w:r>
        <w:t>70</w:t>
      </w:r>
      <w:r>
        <w:fldChar w:fldCharType="end"/>
      </w:r>
    </w:p>
    <w:p>
      <w:pPr>
        <w:pStyle w:val="TOC8"/>
        <w:rPr>
          <w:rFonts w:asciiTheme="minorHAnsi" w:eastAsiaTheme="minorEastAsia" w:hAnsiTheme="minorHAnsi" w:cstheme="minorBidi"/>
          <w:szCs w:val="22"/>
        </w:rPr>
      </w:pPr>
      <w:r>
        <w:t>11ZOY.</w:t>
      </w:r>
      <w:r>
        <w:tab/>
        <w:t>Remedies for breach of section 11ZOV</w:t>
      </w:r>
      <w:r>
        <w:tab/>
      </w:r>
      <w:r>
        <w:fldChar w:fldCharType="begin"/>
      </w:r>
      <w:r>
        <w:instrText xml:space="preserve"> PAGEREF _Toc416788261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Directions</w:t>
      </w:r>
    </w:p>
    <w:p>
      <w:pPr>
        <w:pStyle w:val="TOC6"/>
        <w:tabs>
          <w:tab w:val="right" w:leader="dot" w:pos="7077"/>
        </w:tabs>
        <w:rPr>
          <w:rFonts w:asciiTheme="minorHAnsi" w:eastAsiaTheme="minorEastAsia" w:hAnsiTheme="minorHAnsi" w:cstheme="minorBidi"/>
          <w:b w:val="0"/>
          <w:sz w:val="22"/>
          <w:szCs w:val="22"/>
        </w:rPr>
      </w:pPr>
      <w:r>
        <w:t>Subdivision 1 — Directions to amend retail market scheme</w:t>
      </w:r>
    </w:p>
    <w:p>
      <w:pPr>
        <w:pStyle w:val="TOC8"/>
        <w:rPr>
          <w:rFonts w:asciiTheme="minorHAnsi" w:eastAsiaTheme="minorEastAsia" w:hAnsiTheme="minorHAnsi" w:cstheme="minorBidi"/>
          <w:szCs w:val="22"/>
        </w:rPr>
      </w:pPr>
      <w:r>
        <w:t>11ZOZ.</w:t>
      </w:r>
      <w:r>
        <w:tab/>
        <w:t>Authority may direct amendment</w:t>
      </w:r>
      <w:r>
        <w:tab/>
      </w:r>
      <w:r>
        <w:fldChar w:fldCharType="begin"/>
      </w:r>
      <w:r>
        <w:instrText xml:space="preserve"> PAGEREF _Toc416788264 \h </w:instrText>
      </w:r>
      <w:r>
        <w:fldChar w:fldCharType="separate"/>
      </w:r>
      <w:r>
        <w:t>72</w:t>
      </w:r>
      <w:r>
        <w:fldChar w:fldCharType="end"/>
      </w:r>
    </w:p>
    <w:p>
      <w:pPr>
        <w:pStyle w:val="TOC8"/>
        <w:rPr>
          <w:rFonts w:asciiTheme="minorHAnsi" w:eastAsiaTheme="minorEastAsia" w:hAnsiTheme="minorHAnsi" w:cstheme="minorBidi"/>
          <w:szCs w:val="22"/>
        </w:rPr>
      </w:pPr>
      <w:r>
        <w:t>11ZP.</w:t>
      </w:r>
      <w:r>
        <w:tab/>
        <w:t>Non</w:t>
      </w:r>
      <w:r>
        <w:noBreakHyphen/>
        <w:t>compliance with direction for amendment</w:t>
      </w:r>
      <w:r>
        <w:tab/>
      </w:r>
      <w:r>
        <w:fldChar w:fldCharType="begin"/>
      </w:r>
      <w:r>
        <w:instrText xml:space="preserve"> PAGEREF _Toc416788265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Directions as to operation of retail market scheme</w:t>
      </w:r>
    </w:p>
    <w:p>
      <w:pPr>
        <w:pStyle w:val="TOC8"/>
        <w:rPr>
          <w:rFonts w:asciiTheme="minorHAnsi" w:eastAsiaTheme="minorEastAsia" w:hAnsiTheme="minorHAnsi" w:cstheme="minorBidi"/>
          <w:szCs w:val="22"/>
        </w:rPr>
      </w:pPr>
      <w:r>
        <w:t>11ZPA.</w:t>
      </w:r>
      <w:r>
        <w:tab/>
        <w:t>Directions to governing body of a scheme</w:t>
      </w:r>
      <w:r>
        <w:tab/>
      </w:r>
      <w:r>
        <w:fldChar w:fldCharType="begin"/>
      </w:r>
      <w:r>
        <w:instrText xml:space="preserve"> PAGEREF _Toc416788267 \h </w:instrText>
      </w:r>
      <w:r>
        <w:fldChar w:fldCharType="separate"/>
      </w:r>
      <w:r>
        <w:t>73</w:t>
      </w:r>
      <w:r>
        <w:fldChar w:fldCharType="end"/>
      </w:r>
    </w:p>
    <w:p>
      <w:pPr>
        <w:pStyle w:val="TOC8"/>
        <w:rPr>
          <w:rFonts w:asciiTheme="minorHAnsi" w:eastAsiaTheme="minorEastAsia" w:hAnsiTheme="minorHAnsi" w:cstheme="minorBidi"/>
          <w:szCs w:val="22"/>
        </w:rPr>
      </w:pPr>
      <w:r>
        <w:t>11ZPB.</w:t>
      </w:r>
      <w:r>
        <w:tab/>
        <w:t>Enforcement of directions</w:t>
      </w:r>
      <w:r>
        <w:tab/>
      </w:r>
      <w:r>
        <w:fldChar w:fldCharType="begin"/>
      </w:r>
      <w:r>
        <w:instrText xml:space="preserve"> PAGEREF _Toc416788268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Review of certain decisions</w:t>
      </w:r>
    </w:p>
    <w:p>
      <w:pPr>
        <w:pStyle w:val="TOC8"/>
        <w:rPr>
          <w:rFonts w:asciiTheme="minorHAnsi" w:eastAsiaTheme="minorEastAsia" w:hAnsiTheme="minorHAnsi" w:cstheme="minorBidi"/>
          <w:szCs w:val="22"/>
        </w:rPr>
      </w:pPr>
      <w:r>
        <w:t>11ZPD.</w:t>
      </w:r>
      <w:r>
        <w:tab/>
        <w:t>Review of decision to refuse approval</w:t>
      </w:r>
      <w:r>
        <w:tab/>
      </w:r>
      <w:r>
        <w:fldChar w:fldCharType="begin"/>
      </w:r>
      <w:r>
        <w:instrText xml:space="preserve"> PAGEREF _Toc416788270 \h </w:instrText>
      </w:r>
      <w:r>
        <w:fldChar w:fldCharType="separate"/>
      </w:r>
      <w:r>
        <w:t>75</w:t>
      </w:r>
      <w:r>
        <w:fldChar w:fldCharType="end"/>
      </w:r>
    </w:p>
    <w:p>
      <w:pPr>
        <w:pStyle w:val="TOC8"/>
        <w:rPr>
          <w:rFonts w:asciiTheme="minorHAnsi" w:eastAsiaTheme="minorEastAsia" w:hAnsiTheme="minorHAnsi" w:cstheme="minorBidi"/>
          <w:szCs w:val="22"/>
        </w:rPr>
      </w:pPr>
      <w:r>
        <w:t>11ZPE.</w:t>
      </w:r>
      <w:r>
        <w:tab/>
        <w:t>Review of direction to amend scheme</w:t>
      </w:r>
      <w:r>
        <w:tab/>
      </w:r>
      <w:r>
        <w:fldChar w:fldCharType="begin"/>
      </w:r>
      <w:r>
        <w:instrText xml:space="preserve"> PAGEREF _Toc416788271 \h </w:instrText>
      </w:r>
      <w:r>
        <w:fldChar w:fldCharType="separate"/>
      </w:r>
      <w:r>
        <w:t>76</w:t>
      </w:r>
      <w:r>
        <w:fldChar w:fldCharType="end"/>
      </w:r>
    </w:p>
    <w:p>
      <w:pPr>
        <w:pStyle w:val="TOC8"/>
        <w:rPr>
          <w:rFonts w:asciiTheme="minorHAnsi" w:eastAsiaTheme="minorEastAsia" w:hAnsiTheme="minorHAnsi" w:cstheme="minorBidi"/>
          <w:szCs w:val="22"/>
        </w:rPr>
      </w:pPr>
      <w:r>
        <w:t>11ZPF.</w:t>
      </w:r>
      <w:r>
        <w:tab/>
        <w:t>Review of penalty</w:t>
      </w:r>
      <w:r>
        <w:tab/>
      </w:r>
      <w:r>
        <w:fldChar w:fldCharType="begin"/>
      </w:r>
      <w:r>
        <w:instrText xml:space="preserve"> PAGEREF _Toc416788272 \h </w:instrText>
      </w:r>
      <w:r>
        <w:fldChar w:fldCharType="separate"/>
      </w:r>
      <w:r>
        <w:t>76</w:t>
      </w:r>
      <w:r>
        <w:fldChar w:fldCharType="end"/>
      </w:r>
    </w:p>
    <w:p>
      <w:pPr>
        <w:pStyle w:val="TOC8"/>
        <w:rPr>
          <w:rFonts w:asciiTheme="minorHAnsi" w:eastAsiaTheme="minorEastAsia" w:hAnsiTheme="minorHAnsi" w:cstheme="minorBidi"/>
          <w:szCs w:val="22"/>
        </w:rPr>
      </w:pPr>
      <w:r>
        <w:t>11ZPG.</w:t>
      </w:r>
      <w:r>
        <w:tab/>
        <w:t>Time for making application</w:t>
      </w:r>
      <w:r>
        <w:tab/>
      </w:r>
      <w:r>
        <w:fldChar w:fldCharType="begin"/>
      </w:r>
      <w:r>
        <w:instrText xml:space="preserve"> PAGEREF _Toc416788273 \h </w:instrText>
      </w:r>
      <w:r>
        <w:fldChar w:fldCharType="separate"/>
      </w:r>
      <w:r>
        <w:t>76</w:t>
      </w:r>
      <w:r>
        <w:fldChar w:fldCharType="end"/>
      </w:r>
    </w:p>
    <w:p>
      <w:pPr>
        <w:pStyle w:val="TOC8"/>
        <w:rPr>
          <w:rFonts w:asciiTheme="minorHAnsi" w:eastAsiaTheme="minorEastAsia" w:hAnsiTheme="minorHAnsi" w:cstheme="minorBidi"/>
          <w:szCs w:val="22"/>
        </w:rPr>
      </w:pPr>
      <w:r>
        <w:t>11ZPH.</w:t>
      </w:r>
      <w:r>
        <w:tab/>
        <w:t>Conduct of review</w:t>
      </w:r>
      <w:r>
        <w:tab/>
      </w:r>
      <w:r>
        <w:fldChar w:fldCharType="begin"/>
      </w:r>
      <w:r>
        <w:instrText xml:space="preserve"> PAGEREF _Toc416788274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7 — Regulations for operation of retail gas market</w:t>
      </w:r>
    </w:p>
    <w:p>
      <w:pPr>
        <w:pStyle w:val="TOC8"/>
        <w:rPr>
          <w:rFonts w:asciiTheme="minorHAnsi" w:eastAsiaTheme="minorEastAsia" w:hAnsiTheme="minorHAnsi" w:cstheme="minorBidi"/>
          <w:szCs w:val="22"/>
        </w:rPr>
      </w:pPr>
      <w:r>
        <w:t>11ZPI.</w:t>
      </w:r>
      <w:r>
        <w:tab/>
        <w:t>Regulations for retail gas market</w:t>
      </w:r>
      <w:r>
        <w:tab/>
      </w:r>
      <w:r>
        <w:fldChar w:fldCharType="begin"/>
      </w:r>
      <w:r>
        <w:instrText xml:space="preserve"> PAGEREF _Toc416788276 \h </w:instrText>
      </w:r>
      <w:r>
        <w:fldChar w:fldCharType="separate"/>
      </w:r>
      <w:r>
        <w:t>77</w:t>
      </w:r>
      <w:r>
        <w:fldChar w:fldCharType="end"/>
      </w:r>
    </w:p>
    <w:p>
      <w:pPr>
        <w:pStyle w:val="TOC8"/>
        <w:rPr>
          <w:rFonts w:asciiTheme="minorHAnsi" w:eastAsiaTheme="minorEastAsia" w:hAnsiTheme="minorHAnsi" w:cstheme="minorBidi"/>
          <w:szCs w:val="22"/>
        </w:rPr>
      </w:pPr>
      <w:r>
        <w:t>11ZPJ.</w:t>
      </w:r>
      <w:r>
        <w:tab/>
        <w:t>Grounds for Authority’s recommendation</w:t>
      </w:r>
      <w:r>
        <w:tab/>
      </w:r>
      <w:r>
        <w:fldChar w:fldCharType="begin"/>
      </w:r>
      <w:r>
        <w:instrText xml:space="preserve"> PAGEREF _Toc416788277 \h </w:instrText>
      </w:r>
      <w:r>
        <w:fldChar w:fldCharType="separate"/>
      </w:r>
      <w:r>
        <w:t>77</w:t>
      </w:r>
      <w:r>
        <w:fldChar w:fldCharType="end"/>
      </w:r>
    </w:p>
    <w:p>
      <w:pPr>
        <w:pStyle w:val="TOC8"/>
        <w:rPr>
          <w:rFonts w:asciiTheme="minorHAnsi" w:eastAsiaTheme="minorEastAsia" w:hAnsiTheme="minorHAnsi" w:cstheme="minorBidi"/>
          <w:szCs w:val="22"/>
        </w:rPr>
      </w:pPr>
      <w:r>
        <w:t>11ZPK.</w:t>
      </w:r>
      <w:r>
        <w:tab/>
        <w:t>Regulations override scheme etc.</w:t>
      </w:r>
      <w:r>
        <w:tab/>
      </w:r>
      <w:r>
        <w:fldChar w:fldCharType="begin"/>
      </w:r>
      <w:r>
        <w:instrText xml:space="preserve"> PAGEREF _Toc416788278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2C — Code of conduct for marketing of gas to small use customers</w:t>
      </w:r>
    </w:p>
    <w:p>
      <w:pPr>
        <w:pStyle w:val="TOC8"/>
        <w:rPr>
          <w:rFonts w:asciiTheme="minorHAnsi" w:eastAsiaTheme="minorEastAsia" w:hAnsiTheme="minorHAnsi" w:cstheme="minorBidi"/>
          <w:szCs w:val="22"/>
        </w:rPr>
      </w:pPr>
      <w:r>
        <w:t>11ZPL.</w:t>
      </w:r>
      <w:r>
        <w:tab/>
        <w:t>Terms used</w:t>
      </w:r>
      <w:r>
        <w:tab/>
      </w:r>
      <w:r>
        <w:fldChar w:fldCharType="begin"/>
      </w:r>
      <w:r>
        <w:instrText xml:space="preserve"> PAGEREF _Toc416788280 \h </w:instrText>
      </w:r>
      <w:r>
        <w:fldChar w:fldCharType="separate"/>
      </w:r>
      <w:r>
        <w:t>79</w:t>
      </w:r>
      <w:r>
        <w:fldChar w:fldCharType="end"/>
      </w:r>
    </w:p>
    <w:p>
      <w:pPr>
        <w:pStyle w:val="TOC8"/>
        <w:rPr>
          <w:rFonts w:asciiTheme="minorHAnsi" w:eastAsiaTheme="minorEastAsia" w:hAnsiTheme="minorHAnsi" w:cstheme="minorBidi"/>
          <w:szCs w:val="22"/>
        </w:rPr>
      </w:pPr>
      <w:r>
        <w:t>11ZPM.</w:t>
      </w:r>
      <w:r>
        <w:tab/>
        <w:t>Code of conduct</w:t>
      </w:r>
      <w:r>
        <w:tab/>
      </w:r>
      <w:r>
        <w:fldChar w:fldCharType="begin"/>
      </w:r>
      <w:r>
        <w:instrText xml:space="preserve"> PAGEREF _Toc416788281 \h </w:instrText>
      </w:r>
      <w:r>
        <w:fldChar w:fldCharType="separate"/>
      </w:r>
      <w:r>
        <w:t>80</w:t>
      </w:r>
      <w:r>
        <w:fldChar w:fldCharType="end"/>
      </w:r>
    </w:p>
    <w:p>
      <w:pPr>
        <w:pStyle w:val="TOC8"/>
        <w:rPr>
          <w:rFonts w:asciiTheme="minorHAnsi" w:eastAsiaTheme="minorEastAsia" w:hAnsiTheme="minorHAnsi" w:cstheme="minorBidi"/>
          <w:szCs w:val="22"/>
        </w:rPr>
      </w:pPr>
      <w:r>
        <w:t>11ZPN.</w:t>
      </w:r>
      <w:r>
        <w:tab/>
        <w:t>Code is subsidiary legislation</w:t>
      </w:r>
      <w:r>
        <w:tab/>
      </w:r>
      <w:r>
        <w:fldChar w:fldCharType="begin"/>
      </w:r>
      <w:r>
        <w:instrText xml:space="preserve"> PAGEREF _Toc416788282 \h </w:instrText>
      </w:r>
      <w:r>
        <w:fldChar w:fldCharType="separate"/>
      </w:r>
      <w:r>
        <w:t>80</w:t>
      </w:r>
      <w:r>
        <w:fldChar w:fldCharType="end"/>
      </w:r>
    </w:p>
    <w:p>
      <w:pPr>
        <w:pStyle w:val="TOC8"/>
        <w:rPr>
          <w:rFonts w:asciiTheme="minorHAnsi" w:eastAsiaTheme="minorEastAsia" w:hAnsiTheme="minorHAnsi" w:cstheme="minorBidi"/>
          <w:szCs w:val="22"/>
        </w:rPr>
      </w:pPr>
      <w:r>
        <w:t>11ZPO.</w:t>
      </w:r>
      <w:r>
        <w:tab/>
        <w:t>Consultative committee</w:t>
      </w:r>
      <w:r>
        <w:tab/>
      </w:r>
      <w:r>
        <w:fldChar w:fldCharType="begin"/>
      </w:r>
      <w:r>
        <w:instrText xml:space="preserve"> PAGEREF _Toc416788283 \h </w:instrText>
      </w:r>
      <w:r>
        <w:fldChar w:fldCharType="separate"/>
      </w:r>
      <w:r>
        <w:t>81</w:t>
      </w:r>
      <w:r>
        <w:fldChar w:fldCharType="end"/>
      </w:r>
    </w:p>
    <w:p>
      <w:pPr>
        <w:pStyle w:val="TOC8"/>
        <w:rPr>
          <w:rFonts w:asciiTheme="minorHAnsi" w:eastAsiaTheme="minorEastAsia" w:hAnsiTheme="minorHAnsi" w:cstheme="minorBidi"/>
          <w:szCs w:val="22"/>
        </w:rPr>
      </w:pPr>
      <w:r>
        <w:t>11ZPP.</w:t>
      </w:r>
      <w:r>
        <w:tab/>
        <w:t>Licence condition</w:t>
      </w:r>
      <w:r>
        <w:tab/>
      </w:r>
      <w:r>
        <w:fldChar w:fldCharType="begin"/>
      </w:r>
      <w:r>
        <w:instrText xml:space="preserve"> PAGEREF _Toc416788284 \h </w:instrText>
      </w:r>
      <w:r>
        <w:fldChar w:fldCharType="separate"/>
      </w:r>
      <w:r>
        <w:t>81</w:t>
      </w:r>
      <w:r>
        <w:fldChar w:fldCharType="end"/>
      </w:r>
    </w:p>
    <w:p>
      <w:pPr>
        <w:pStyle w:val="TOC8"/>
        <w:rPr>
          <w:rFonts w:asciiTheme="minorHAnsi" w:eastAsiaTheme="minorEastAsia" w:hAnsiTheme="minorHAnsi" w:cstheme="minorBidi"/>
          <w:szCs w:val="22"/>
        </w:rPr>
      </w:pPr>
      <w:r>
        <w:t>11ZPQ.</w:t>
      </w:r>
      <w:r>
        <w:tab/>
        <w:t>Enforcement of code of conduct against marketing agents</w:t>
      </w:r>
      <w:r>
        <w:tab/>
      </w:r>
      <w:r>
        <w:fldChar w:fldCharType="begin"/>
      </w:r>
      <w:r>
        <w:instrText xml:space="preserve"> PAGEREF _Toc416788285 \h </w:instrText>
      </w:r>
      <w:r>
        <w:fldChar w:fldCharType="separate"/>
      </w:r>
      <w:r>
        <w:t>81</w:t>
      </w:r>
      <w:r>
        <w:fldChar w:fldCharType="end"/>
      </w:r>
    </w:p>
    <w:p>
      <w:pPr>
        <w:pStyle w:val="TOC8"/>
        <w:rPr>
          <w:rFonts w:asciiTheme="minorHAnsi" w:eastAsiaTheme="minorEastAsia" w:hAnsiTheme="minorHAnsi" w:cstheme="minorBidi"/>
          <w:szCs w:val="22"/>
        </w:rPr>
      </w:pPr>
      <w:r>
        <w:t>11ZPR.</w:t>
      </w:r>
      <w:r>
        <w:tab/>
        <w:t>Code may provide for vicarious liability</w:t>
      </w:r>
      <w:r>
        <w:tab/>
      </w:r>
      <w:r>
        <w:fldChar w:fldCharType="begin"/>
      </w:r>
      <w:r>
        <w:instrText xml:space="preserve"> PAGEREF _Toc416788286 \h </w:instrText>
      </w:r>
      <w:r>
        <w:fldChar w:fldCharType="separate"/>
      </w:r>
      <w:r>
        <w:t>82</w:t>
      </w:r>
      <w:r>
        <w:fldChar w:fldCharType="end"/>
      </w:r>
    </w:p>
    <w:p>
      <w:pPr>
        <w:pStyle w:val="TOC8"/>
        <w:rPr>
          <w:rFonts w:asciiTheme="minorHAnsi" w:eastAsiaTheme="minorEastAsia" w:hAnsiTheme="minorHAnsi" w:cstheme="minorBidi"/>
          <w:szCs w:val="22"/>
        </w:rPr>
      </w:pPr>
      <w:r>
        <w:t>11ZPS.</w:t>
      </w:r>
      <w:r>
        <w:tab/>
        <w:t>Code may include presumption of authority</w:t>
      </w:r>
      <w:r>
        <w:tab/>
      </w:r>
      <w:r>
        <w:fldChar w:fldCharType="begin"/>
      </w:r>
      <w:r>
        <w:instrText xml:space="preserve"> PAGEREF _Toc416788287 \h </w:instrText>
      </w:r>
      <w:r>
        <w:fldChar w:fldCharType="separate"/>
      </w:r>
      <w:r>
        <w:t>82</w:t>
      </w:r>
      <w:r>
        <w:fldChar w:fldCharType="end"/>
      </w:r>
    </w:p>
    <w:p>
      <w:pPr>
        <w:pStyle w:val="TOC8"/>
        <w:rPr>
          <w:rFonts w:asciiTheme="minorHAnsi" w:eastAsiaTheme="minorEastAsia" w:hAnsiTheme="minorHAnsi" w:cstheme="minorBidi"/>
          <w:szCs w:val="22"/>
        </w:rPr>
      </w:pPr>
      <w:r>
        <w:t>11ZPT.</w:t>
      </w:r>
      <w:r>
        <w:tab/>
        <w:t>Authority to monitor compliance</w:t>
      </w:r>
      <w:r>
        <w:tab/>
      </w:r>
      <w:r>
        <w:fldChar w:fldCharType="begin"/>
      </w:r>
      <w:r>
        <w:instrText xml:space="preserve"> PAGEREF _Toc416788288 \h </w:instrText>
      </w:r>
      <w:r>
        <w:fldChar w:fldCharType="separate"/>
      </w:r>
      <w:r>
        <w:t>82</w:t>
      </w:r>
      <w:r>
        <w:fldChar w:fldCharType="end"/>
      </w:r>
    </w:p>
    <w:p>
      <w:pPr>
        <w:pStyle w:val="TOC8"/>
        <w:rPr>
          <w:rFonts w:asciiTheme="minorHAnsi" w:eastAsiaTheme="minorEastAsia" w:hAnsiTheme="minorHAnsi" w:cstheme="minorBidi"/>
          <w:szCs w:val="22"/>
        </w:rPr>
      </w:pPr>
      <w:r>
        <w:t>11ZPU.</w:t>
      </w:r>
      <w:r>
        <w:tab/>
        <w:t>Comment to be sought on amendment or replacement of code</w:t>
      </w:r>
      <w:r>
        <w:tab/>
      </w:r>
      <w:r>
        <w:fldChar w:fldCharType="begin"/>
      </w:r>
      <w:r>
        <w:instrText xml:space="preserve"> PAGEREF _Toc416788289 \h </w:instrText>
      </w:r>
      <w:r>
        <w:fldChar w:fldCharType="separate"/>
      </w:r>
      <w:r>
        <w:t>83</w:t>
      </w:r>
      <w:r>
        <w:fldChar w:fldCharType="end"/>
      </w:r>
    </w:p>
    <w:p>
      <w:pPr>
        <w:pStyle w:val="TOC8"/>
        <w:rPr>
          <w:rFonts w:asciiTheme="minorHAnsi" w:eastAsiaTheme="minorEastAsia" w:hAnsiTheme="minorHAnsi" w:cstheme="minorBidi"/>
          <w:szCs w:val="22"/>
        </w:rPr>
      </w:pPr>
      <w:r>
        <w:t>11ZPV.</w:t>
      </w:r>
      <w:r>
        <w:tab/>
        <w:t>Review of code</w:t>
      </w:r>
      <w:r>
        <w:tab/>
      </w:r>
      <w:r>
        <w:fldChar w:fldCharType="begin"/>
      </w:r>
      <w:r>
        <w:instrText xml:space="preserve"> PAGEREF _Toc416788290 \h </w:instrText>
      </w:r>
      <w:r>
        <w:fldChar w:fldCharType="separate"/>
      </w:r>
      <w:r>
        <w:t>83</w:t>
      </w:r>
      <w:r>
        <w:fldChar w:fldCharType="end"/>
      </w:r>
    </w:p>
    <w:p>
      <w:pPr>
        <w:pStyle w:val="TOC8"/>
        <w:rPr>
          <w:rFonts w:asciiTheme="minorHAnsi" w:eastAsiaTheme="minorEastAsia" w:hAnsiTheme="minorHAnsi" w:cstheme="minorBidi"/>
          <w:szCs w:val="22"/>
        </w:rPr>
      </w:pPr>
      <w:r>
        <w:t>11ZPW.</w:t>
      </w:r>
      <w:r>
        <w:tab/>
        <w:t>Further provisions about opportunity to comment</w:t>
      </w:r>
      <w:r>
        <w:tab/>
      </w:r>
      <w:r>
        <w:fldChar w:fldCharType="begin"/>
      </w:r>
      <w:r>
        <w:instrText xml:space="preserve"> PAGEREF _Toc416788291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2D — Gas industry ombudsman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11ZPX.</w:t>
      </w:r>
      <w:r>
        <w:tab/>
        <w:t>Terms used</w:t>
      </w:r>
      <w:r>
        <w:tab/>
      </w:r>
      <w:r>
        <w:fldChar w:fldCharType="begin"/>
      </w:r>
      <w:r>
        <w:instrText xml:space="preserve"> PAGEREF _Toc416788294 \h </w:instrText>
      </w:r>
      <w:r>
        <w:fldChar w:fldCharType="separate"/>
      </w:r>
      <w:r>
        <w:t>85</w:t>
      </w:r>
      <w:r>
        <w:fldChar w:fldCharType="end"/>
      </w:r>
    </w:p>
    <w:p>
      <w:pPr>
        <w:pStyle w:val="TOC8"/>
        <w:rPr>
          <w:rFonts w:asciiTheme="minorHAnsi" w:eastAsiaTheme="minorEastAsia" w:hAnsiTheme="minorHAnsi" w:cstheme="minorBidi"/>
          <w:szCs w:val="22"/>
        </w:rPr>
      </w:pPr>
      <w:r>
        <w:t>11ZPY.</w:t>
      </w:r>
      <w:r>
        <w:tab/>
        <w:t>Regulations as to gas industry ombudsman scheme</w:t>
      </w:r>
      <w:r>
        <w:tab/>
      </w:r>
      <w:r>
        <w:fldChar w:fldCharType="begin"/>
      </w:r>
      <w:r>
        <w:instrText xml:space="preserve"> PAGEREF _Toc416788295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Approval of gas industry ombudsman scheme</w:t>
      </w:r>
    </w:p>
    <w:p>
      <w:pPr>
        <w:pStyle w:val="TOC8"/>
        <w:rPr>
          <w:rFonts w:asciiTheme="minorHAnsi" w:eastAsiaTheme="minorEastAsia" w:hAnsiTheme="minorHAnsi" w:cstheme="minorBidi"/>
          <w:szCs w:val="22"/>
        </w:rPr>
      </w:pPr>
      <w:r>
        <w:t>11ZPZ.</w:t>
      </w:r>
      <w:r>
        <w:tab/>
        <w:t>Authority may approve scheme</w:t>
      </w:r>
      <w:r>
        <w:tab/>
      </w:r>
      <w:r>
        <w:fldChar w:fldCharType="begin"/>
      </w:r>
      <w:r>
        <w:instrText xml:space="preserve"> PAGEREF _Toc416788297 \h </w:instrText>
      </w:r>
      <w:r>
        <w:fldChar w:fldCharType="separate"/>
      </w:r>
      <w:r>
        <w:t>86</w:t>
      </w:r>
      <w:r>
        <w:fldChar w:fldCharType="end"/>
      </w:r>
    </w:p>
    <w:p>
      <w:pPr>
        <w:pStyle w:val="TOC8"/>
        <w:rPr>
          <w:rFonts w:asciiTheme="minorHAnsi" w:eastAsiaTheme="minorEastAsia" w:hAnsiTheme="minorHAnsi" w:cstheme="minorBidi"/>
          <w:szCs w:val="22"/>
        </w:rPr>
      </w:pPr>
      <w:r>
        <w:t>11ZQ.</w:t>
      </w:r>
      <w:r>
        <w:tab/>
        <w:t>Requirements for scheme to be approved etc.</w:t>
      </w:r>
      <w:r>
        <w:tab/>
      </w:r>
      <w:r>
        <w:fldChar w:fldCharType="begin"/>
      </w:r>
      <w:r>
        <w:instrText xml:space="preserve"> PAGEREF _Toc416788298 \h </w:instrText>
      </w:r>
      <w:r>
        <w:fldChar w:fldCharType="separate"/>
      </w:r>
      <w:r>
        <w:t>87</w:t>
      </w:r>
      <w:r>
        <w:fldChar w:fldCharType="end"/>
      </w:r>
    </w:p>
    <w:p>
      <w:pPr>
        <w:pStyle w:val="TOC8"/>
        <w:rPr>
          <w:rFonts w:asciiTheme="minorHAnsi" w:eastAsiaTheme="minorEastAsia" w:hAnsiTheme="minorHAnsi" w:cstheme="minorBidi"/>
          <w:szCs w:val="22"/>
        </w:rPr>
      </w:pPr>
      <w:r>
        <w:t>11ZQA.</w:t>
      </w:r>
      <w:r>
        <w:tab/>
        <w:t>Revocation of approval</w:t>
      </w:r>
      <w:r>
        <w:tab/>
      </w:r>
      <w:r>
        <w:fldChar w:fldCharType="begin"/>
      </w:r>
      <w:r>
        <w:instrText xml:space="preserve"> PAGEREF _Toc416788299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11ZQB.</w:t>
      </w:r>
      <w:r>
        <w:tab/>
        <w:t>Customer may have decision or complaint reviewed</w:t>
      </w:r>
      <w:r>
        <w:tab/>
      </w:r>
      <w:r>
        <w:fldChar w:fldCharType="begin"/>
      </w:r>
      <w:r>
        <w:instrText xml:space="preserve"> PAGEREF _Toc416788301 \h </w:instrText>
      </w:r>
      <w:r>
        <w:fldChar w:fldCharType="separate"/>
      </w:r>
      <w:r>
        <w:t>87</w:t>
      </w:r>
      <w:r>
        <w:fldChar w:fldCharType="end"/>
      </w:r>
    </w:p>
    <w:p>
      <w:pPr>
        <w:pStyle w:val="TOC8"/>
        <w:rPr>
          <w:rFonts w:asciiTheme="minorHAnsi" w:eastAsiaTheme="minorEastAsia" w:hAnsiTheme="minorHAnsi" w:cstheme="minorBidi"/>
          <w:szCs w:val="22"/>
        </w:rPr>
      </w:pPr>
      <w:r>
        <w:t>11ZQC.</w:t>
      </w:r>
      <w:r>
        <w:tab/>
        <w:t>Jurisdiction of courts</w:t>
      </w:r>
      <w:r>
        <w:tab/>
      </w:r>
      <w:r>
        <w:fldChar w:fldCharType="begin"/>
      </w:r>
      <w:r>
        <w:instrText xml:space="preserve"> PAGEREF _Toc416788302 \h </w:instrText>
      </w:r>
      <w:r>
        <w:fldChar w:fldCharType="separate"/>
      </w:r>
      <w:r>
        <w:t>88</w:t>
      </w:r>
      <w:r>
        <w:fldChar w:fldCharType="end"/>
      </w:r>
    </w:p>
    <w:p>
      <w:pPr>
        <w:pStyle w:val="TOC8"/>
        <w:rPr>
          <w:rFonts w:asciiTheme="minorHAnsi" w:eastAsiaTheme="minorEastAsia" w:hAnsiTheme="minorHAnsi" w:cstheme="minorBidi"/>
          <w:szCs w:val="22"/>
        </w:rPr>
      </w:pPr>
      <w:r>
        <w:t>11ZQD.</w:t>
      </w:r>
      <w:r>
        <w:tab/>
        <w:t>Enforcement against marketing agents and others</w:t>
      </w:r>
      <w:r>
        <w:tab/>
      </w:r>
      <w:r>
        <w:fldChar w:fldCharType="begin"/>
      </w:r>
      <w:r>
        <w:instrText xml:space="preserve"> PAGEREF _Toc416788303 \h </w:instrText>
      </w:r>
      <w:r>
        <w:fldChar w:fldCharType="separate"/>
      </w:r>
      <w:r>
        <w:t>88</w:t>
      </w:r>
      <w:r>
        <w:fldChar w:fldCharType="end"/>
      </w:r>
    </w:p>
    <w:p>
      <w:pPr>
        <w:pStyle w:val="TOC8"/>
        <w:rPr>
          <w:rFonts w:asciiTheme="minorHAnsi" w:eastAsiaTheme="minorEastAsia" w:hAnsiTheme="minorHAnsi" w:cstheme="minorBidi"/>
          <w:szCs w:val="22"/>
        </w:rPr>
      </w:pPr>
      <w:r>
        <w:t>11ZQE.</w:t>
      </w:r>
      <w:r>
        <w:tab/>
        <w:t>Authority to monitor compliance with decisions</w:t>
      </w:r>
      <w:r>
        <w:tab/>
      </w:r>
      <w:r>
        <w:fldChar w:fldCharType="begin"/>
      </w:r>
      <w:r>
        <w:instrText xml:space="preserve"> PAGEREF _Toc416788304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Membership of approved scheme by licensee</w:t>
      </w:r>
    </w:p>
    <w:p>
      <w:pPr>
        <w:pStyle w:val="TOC8"/>
        <w:rPr>
          <w:rFonts w:asciiTheme="minorHAnsi" w:eastAsiaTheme="minorEastAsia" w:hAnsiTheme="minorHAnsi" w:cstheme="minorBidi"/>
          <w:szCs w:val="22"/>
        </w:rPr>
      </w:pPr>
      <w:r>
        <w:t>11ZQF.</w:t>
      </w:r>
      <w:r>
        <w:tab/>
        <w:t>Proof of membership in applications relating to licence</w:t>
      </w:r>
      <w:r>
        <w:tab/>
      </w:r>
      <w:r>
        <w:fldChar w:fldCharType="begin"/>
      </w:r>
      <w:r>
        <w:instrText xml:space="preserve"> PAGEREF _Toc416788306 \h </w:instrText>
      </w:r>
      <w:r>
        <w:fldChar w:fldCharType="separate"/>
      </w:r>
      <w:r>
        <w:t>89</w:t>
      </w:r>
      <w:r>
        <w:fldChar w:fldCharType="end"/>
      </w:r>
    </w:p>
    <w:p>
      <w:pPr>
        <w:pStyle w:val="TOC8"/>
        <w:rPr>
          <w:rFonts w:asciiTheme="minorHAnsi" w:eastAsiaTheme="minorEastAsia" w:hAnsiTheme="minorHAnsi" w:cstheme="minorBidi"/>
          <w:szCs w:val="22"/>
        </w:rPr>
      </w:pPr>
      <w:r>
        <w:t>11ZQG.</w:t>
      </w:r>
      <w:r>
        <w:tab/>
        <w:t>Prerequisite to grant etc. of licence</w:t>
      </w:r>
      <w:r>
        <w:tab/>
      </w:r>
      <w:r>
        <w:fldChar w:fldCharType="begin"/>
      </w:r>
      <w:r>
        <w:instrText xml:space="preserve"> PAGEREF _Toc416788307 \h </w:instrText>
      </w:r>
      <w:r>
        <w:fldChar w:fldCharType="separate"/>
      </w:r>
      <w:r>
        <w:t>89</w:t>
      </w:r>
      <w:r>
        <w:fldChar w:fldCharType="end"/>
      </w:r>
    </w:p>
    <w:p>
      <w:pPr>
        <w:pStyle w:val="TOC8"/>
        <w:rPr>
          <w:rFonts w:asciiTheme="minorHAnsi" w:eastAsiaTheme="minorEastAsia" w:hAnsiTheme="minorHAnsi" w:cstheme="minorBidi"/>
          <w:szCs w:val="22"/>
        </w:rPr>
      </w:pPr>
      <w:r>
        <w:t>11ZQH.</w:t>
      </w:r>
      <w:r>
        <w:tab/>
        <w:t>Licence condition</w:t>
      </w:r>
      <w:r>
        <w:tab/>
      </w:r>
      <w:r>
        <w:fldChar w:fldCharType="begin"/>
      </w:r>
      <w:r>
        <w:instrText xml:space="preserve"> PAGEREF _Toc416788308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3 — Inspectors</w:t>
      </w:r>
    </w:p>
    <w:p>
      <w:pPr>
        <w:pStyle w:val="TOC8"/>
        <w:rPr>
          <w:rFonts w:asciiTheme="minorHAnsi" w:eastAsiaTheme="minorEastAsia" w:hAnsiTheme="minorHAnsi" w:cstheme="minorBidi"/>
          <w:szCs w:val="22"/>
        </w:rPr>
      </w:pPr>
      <w:r>
        <w:t>12</w:t>
      </w:r>
      <w:r>
        <w:rPr>
          <w:snapToGrid w:val="0"/>
        </w:rPr>
        <w:t>.</w:t>
      </w:r>
      <w:r>
        <w:rPr>
          <w:snapToGrid w:val="0"/>
        </w:rPr>
        <w:tab/>
        <w:t>Designation of inspectors</w:t>
      </w:r>
      <w:r>
        <w:tab/>
      </w:r>
      <w:r>
        <w:fldChar w:fldCharType="begin"/>
      </w:r>
      <w:r>
        <w:instrText xml:space="preserve"> PAGEREF _Toc416788310 \h </w:instrText>
      </w:r>
      <w:r>
        <w:fldChar w:fldCharType="separate"/>
      </w:r>
      <w:r>
        <w:t>91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Certificates of designation</w:t>
      </w:r>
      <w:r>
        <w:tab/>
      </w:r>
      <w:r>
        <w:fldChar w:fldCharType="begin"/>
      </w:r>
      <w:r>
        <w:instrText xml:space="preserve"> PAGEREF _Toc416788311 \h </w:instrText>
      </w:r>
      <w:r>
        <w:fldChar w:fldCharType="separate"/>
      </w:r>
      <w:r>
        <w:t>91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of inspection etc.</w:t>
      </w:r>
      <w:r>
        <w:tab/>
      </w:r>
      <w:r>
        <w:fldChar w:fldCharType="begin"/>
      </w:r>
      <w:r>
        <w:instrText xml:space="preserve"> PAGEREF _Toc416788312 \h </w:instrText>
      </w:r>
      <w:r>
        <w:fldChar w:fldCharType="separate"/>
      </w:r>
      <w:r>
        <w:t>92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Incriminating statements</w:t>
      </w:r>
      <w:r>
        <w:tab/>
      </w:r>
      <w:r>
        <w:fldChar w:fldCharType="begin"/>
      </w:r>
      <w:r>
        <w:instrText xml:space="preserve"> PAGEREF _Toc416788313 \h </w:instrText>
      </w:r>
      <w:r>
        <w:fldChar w:fldCharType="separate"/>
      </w:r>
      <w:r>
        <w:t>93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Inspector may be accompanied</w:t>
      </w:r>
      <w:r>
        <w:tab/>
      </w:r>
      <w:r>
        <w:fldChar w:fldCharType="begin"/>
      </w:r>
      <w:r>
        <w:instrText xml:space="preserve"> PAGEREF _Toc416788314 \h </w:instrText>
      </w:r>
      <w:r>
        <w:fldChar w:fldCharType="separate"/>
      </w:r>
      <w:r>
        <w:t>93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Inspector to comply with reasonable requests</w:t>
      </w:r>
      <w:r>
        <w:tab/>
      </w:r>
      <w:r>
        <w:fldChar w:fldCharType="begin"/>
      </w:r>
      <w:r>
        <w:instrText xml:space="preserve"> PAGEREF _Toc416788315 \h </w:instrText>
      </w:r>
      <w:r>
        <w:fldChar w:fldCharType="separate"/>
      </w:r>
      <w:r>
        <w:t>94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Inspector may issue order</w:t>
      </w:r>
      <w:r>
        <w:tab/>
      </w:r>
      <w:r>
        <w:fldChar w:fldCharType="begin"/>
      </w:r>
      <w:r>
        <w:instrText xml:space="preserve"> PAGEREF _Toc416788316 \h </w:instrText>
      </w:r>
      <w:r>
        <w:fldChar w:fldCharType="separate"/>
      </w:r>
      <w:r>
        <w:t>94</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Orders as to dangerous things in relation to electricity or gas</w:t>
      </w:r>
      <w:r>
        <w:tab/>
      </w:r>
      <w:r>
        <w:fldChar w:fldCharType="begin"/>
      </w:r>
      <w:r>
        <w:instrText xml:space="preserve"> PAGEREF _Toc416788317 \h </w:instrText>
      </w:r>
      <w:r>
        <w:fldChar w:fldCharType="separate"/>
      </w:r>
      <w:r>
        <w:t>94</w:t>
      </w:r>
      <w:r>
        <w:fldChar w:fldCharType="end"/>
      </w:r>
    </w:p>
    <w:p>
      <w:pPr>
        <w:pStyle w:val="TOC8"/>
        <w:rPr>
          <w:rFonts w:asciiTheme="minorHAnsi" w:eastAsiaTheme="minorEastAsia" w:hAnsiTheme="minorHAnsi" w:cstheme="minorBidi"/>
          <w:szCs w:val="22"/>
        </w:rPr>
      </w:pPr>
      <w:r>
        <w:t>18B.</w:t>
      </w:r>
      <w:r>
        <w:tab/>
        <w:t>Orders as to unsafe work practices in relation to electricity or gas</w:t>
      </w:r>
      <w:r>
        <w:tab/>
      </w:r>
      <w:r>
        <w:fldChar w:fldCharType="begin"/>
      </w:r>
      <w:r>
        <w:instrText xml:space="preserve"> PAGEREF _Toc416788318 \h </w:instrText>
      </w:r>
      <w:r>
        <w:fldChar w:fldCharType="separate"/>
      </w:r>
      <w:r>
        <w:t>96</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Orders as to distribution systems or distribution or transmission works</w:t>
      </w:r>
      <w:r>
        <w:tab/>
      </w:r>
      <w:r>
        <w:fldChar w:fldCharType="begin"/>
      </w:r>
      <w:r>
        <w:instrText xml:space="preserve"> PAGEREF _Toc416788319 \h </w:instrText>
      </w:r>
      <w:r>
        <w:fldChar w:fldCharType="separate"/>
      </w:r>
      <w:r>
        <w:t>97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Appeal</w:t>
      </w:r>
      <w:r>
        <w:tab/>
      </w:r>
      <w:r>
        <w:fldChar w:fldCharType="begin"/>
      </w:r>
      <w:r>
        <w:instrText xml:space="preserve"> PAGEREF _Toc416788320 \h </w:instrText>
      </w:r>
      <w:r>
        <w:fldChar w:fldCharType="separate"/>
      </w:r>
      <w:r>
        <w:t>99</w:t>
      </w:r>
      <w:r>
        <w:fldChar w:fldCharType="end"/>
      </w:r>
    </w:p>
    <w:p>
      <w:pPr>
        <w:pStyle w:val="TOC8"/>
        <w:rPr>
          <w:rFonts w:asciiTheme="minorHAnsi" w:eastAsiaTheme="minorEastAsia" w:hAnsiTheme="minorHAnsi" w:cstheme="minorBidi"/>
          <w:szCs w:val="22"/>
        </w:rPr>
      </w:pPr>
      <w:r>
        <w:t>19A.</w:t>
      </w:r>
      <w:r>
        <w:tab/>
        <w:t>Review of certain orders of inspectors on the application of a network operator</w:t>
      </w:r>
      <w:r>
        <w:tab/>
      </w:r>
      <w:r>
        <w:fldChar w:fldCharType="begin"/>
      </w:r>
      <w:r>
        <w:instrText xml:space="preserve"> PAGEREF _Toc416788321 \h </w:instrText>
      </w:r>
      <w:r>
        <w:fldChar w:fldCharType="separate"/>
      </w:r>
      <w:r>
        <w:t>99</w:t>
      </w:r>
      <w:r>
        <w:fldChar w:fldCharType="end"/>
      </w:r>
    </w:p>
    <w:p>
      <w:pPr>
        <w:pStyle w:val="TOC8"/>
        <w:rPr>
          <w:rFonts w:asciiTheme="minorHAnsi" w:eastAsiaTheme="minorEastAsia" w:hAnsiTheme="minorHAnsi" w:cstheme="minorBidi"/>
          <w:szCs w:val="22"/>
        </w:rPr>
      </w:pPr>
      <w:r>
        <w:t>19B.</w:t>
      </w:r>
      <w:r>
        <w:tab/>
        <w:t>Review of determinations of Director in relation to orders by inspectors against a network operator</w:t>
      </w:r>
      <w:r>
        <w:tab/>
      </w:r>
      <w:r>
        <w:fldChar w:fldCharType="begin"/>
      </w:r>
      <w:r>
        <w:instrText xml:space="preserve"> PAGEREF _Toc416788322 \h </w:instrText>
      </w:r>
      <w:r>
        <w:fldChar w:fldCharType="separate"/>
      </w:r>
      <w:r>
        <w:t>100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Offences</w:t>
      </w:r>
      <w:r>
        <w:tab/>
      </w:r>
      <w:r>
        <w:fldChar w:fldCharType="begin"/>
      </w:r>
      <w:r>
        <w:instrText xml:space="preserve"> PAGEREF _Toc416788323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Information</w:t>
      </w:r>
    </w:p>
    <w:p>
      <w:pPr>
        <w:pStyle w:val="TOC4"/>
        <w:tabs>
          <w:tab w:val="right" w:leader="dot" w:pos="7077"/>
        </w:tabs>
        <w:rPr>
          <w:rFonts w:asciiTheme="minorHAnsi" w:eastAsiaTheme="minorEastAsia" w:hAnsiTheme="minorHAnsi" w:cstheme="minorBidi"/>
          <w:b w:val="0"/>
          <w:szCs w:val="22"/>
        </w:rPr>
      </w:pPr>
      <w:r>
        <w:t>Division 1 — Obtaining information — Coordinator</w:t>
      </w:r>
    </w:p>
    <w:p>
      <w:pPr>
        <w:pStyle w:val="TOC8"/>
        <w:rPr>
          <w:rFonts w:asciiTheme="minorHAnsi" w:eastAsiaTheme="minorEastAsia" w:hAnsiTheme="minorHAnsi" w:cstheme="minorBidi"/>
          <w:szCs w:val="22"/>
        </w:rPr>
      </w:pPr>
      <w:r>
        <w:t>20A.</w:t>
      </w:r>
      <w:r>
        <w:tab/>
        <w:t>Term used: energy</w:t>
      </w:r>
      <w:r>
        <w:tab/>
      </w:r>
      <w:r>
        <w:fldChar w:fldCharType="begin"/>
      </w:r>
      <w:r>
        <w:instrText xml:space="preserve"> PAGEREF _Toc416788326 \h </w:instrText>
      </w:r>
      <w:r>
        <w:fldChar w:fldCharType="separate"/>
      </w:r>
      <w:r>
        <w:t>103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Coordinator may require information to be given</w:t>
      </w:r>
      <w:r>
        <w:tab/>
      </w:r>
      <w:r>
        <w:fldChar w:fldCharType="begin"/>
      </w:r>
      <w:r>
        <w:instrText xml:space="preserve"> PAGEREF _Toc416788327 \h </w:instrText>
      </w:r>
      <w:r>
        <w:fldChar w:fldCharType="separate"/>
      </w:r>
      <w:r>
        <w:t>103</w:t>
      </w:r>
      <w:r>
        <w:fldChar w:fldCharType="end"/>
      </w:r>
    </w:p>
    <w:p>
      <w:pPr>
        <w:pStyle w:val="TOC8"/>
        <w:rPr>
          <w:rFonts w:asciiTheme="minorHAnsi" w:eastAsiaTheme="minorEastAsia" w:hAnsiTheme="minorHAnsi" w:cstheme="minorBidi"/>
          <w:szCs w:val="22"/>
        </w:rPr>
      </w:pPr>
      <w:r>
        <w:t>22.</w:t>
      </w:r>
      <w:r>
        <w:tab/>
        <w:t>Trade secrets</w:t>
      </w:r>
      <w:r>
        <w:tab/>
      </w:r>
      <w:r>
        <w:fldChar w:fldCharType="begin"/>
      </w:r>
      <w:r>
        <w:instrText xml:space="preserve"> PAGEREF _Toc416788328 \h </w:instrText>
      </w:r>
      <w:r>
        <w:fldChar w:fldCharType="separate"/>
      </w:r>
      <w:r>
        <w:t>104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Obligation to comply with request</w:t>
      </w:r>
      <w:r>
        <w:tab/>
      </w:r>
      <w:r>
        <w:fldChar w:fldCharType="begin"/>
      </w:r>
      <w:r>
        <w:instrText xml:space="preserve"> PAGEREF _Toc416788329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Confidentiality — Coordinator and Director</w:t>
      </w:r>
    </w:p>
    <w:p>
      <w:pPr>
        <w:pStyle w:val="TOC8"/>
        <w:rPr>
          <w:rFonts w:asciiTheme="minorHAnsi" w:eastAsiaTheme="minorEastAsia" w:hAnsiTheme="minorHAnsi" w:cstheme="minorBidi"/>
          <w:szCs w:val="22"/>
        </w:rPr>
      </w:pPr>
      <w:r>
        <w:t>24</w:t>
      </w:r>
      <w:r>
        <w:rPr>
          <w:snapToGrid w:val="0"/>
        </w:rPr>
        <w:t>.</w:t>
      </w:r>
      <w:r>
        <w:rPr>
          <w:snapToGrid w:val="0"/>
        </w:rPr>
        <w:tab/>
        <w:t>Confidentiality</w:t>
      </w:r>
      <w:r>
        <w:tab/>
      </w:r>
      <w:r>
        <w:fldChar w:fldCharType="begin"/>
      </w:r>
      <w:r>
        <w:instrText xml:space="preserve"> PAGEREF _Toc416788331 \h </w:instrText>
      </w:r>
      <w:r>
        <w:fldChar w:fldCharType="separate"/>
      </w:r>
      <w:r>
        <w:t>104</w:t>
      </w:r>
      <w:r>
        <w:fldChar w:fldCharType="end"/>
      </w:r>
    </w:p>
    <w:p>
      <w:pPr>
        <w:pStyle w:val="TOC8"/>
        <w:rPr>
          <w:rFonts w:asciiTheme="minorHAnsi" w:eastAsiaTheme="minorEastAsia" w:hAnsiTheme="minorHAnsi" w:cstheme="minorBidi"/>
          <w:szCs w:val="22"/>
        </w:rPr>
      </w:pPr>
      <w:r>
        <w:t>24AA.</w:t>
      </w:r>
      <w:r>
        <w:tab/>
        <w:t>Protection of trade secrets</w:t>
      </w:r>
      <w:r>
        <w:tab/>
      </w:r>
      <w:r>
        <w:fldChar w:fldCharType="begin"/>
      </w:r>
      <w:r>
        <w:instrText xml:space="preserve"> PAGEREF _Toc416788332 \h </w:instrText>
      </w:r>
      <w:r>
        <w:fldChar w:fldCharType="separate"/>
      </w:r>
      <w:r>
        <w:t>105</w:t>
      </w:r>
      <w:r>
        <w:fldChar w:fldCharType="end"/>
      </w:r>
    </w:p>
    <w:p>
      <w:pPr>
        <w:pStyle w:val="TOC8"/>
        <w:rPr>
          <w:rFonts w:asciiTheme="minorHAnsi" w:eastAsiaTheme="minorEastAsia" w:hAnsiTheme="minorHAnsi" w:cstheme="minorBidi"/>
          <w:szCs w:val="22"/>
        </w:rPr>
      </w:pPr>
      <w:r>
        <w:t>24AB.</w:t>
      </w:r>
      <w:r>
        <w:tab/>
        <w:t>Disclosure of information in the public interest</w:t>
      </w:r>
      <w:r>
        <w:tab/>
      </w:r>
      <w:r>
        <w:fldChar w:fldCharType="begin"/>
      </w:r>
      <w:r>
        <w:instrText xml:space="preserve"> PAGEREF _Toc416788333 \h </w:instrText>
      </w:r>
      <w:r>
        <w:fldChar w:fldCharType="separate"/>
      </w:r>
      <w:r>
        <w:t>106</w:t>
      </w:r>
      <w:r>
        <w:fldChar w:fldCharType="end"/>
      </w:r>
    </w:p>
    <w:p>
      <w:pPr>
        <w:pStyle w:val="TOC8"/>
        <w:rPr>
          <w:rFonts w:asciiTheme="minorHAnsi" w:eastAsiaTheme="minorEastAsia" w:hAnsiTheme="minorHAnsi" w:cstheme="minorBidi"/>
          <w:szCs w:val="22"/>
        </w:rPr>
      </w:pPr>
      <w:r>
        <w:t>24AC.</w:t>
      </w:r>
      <w:r>
        <w:tab/>
        <w:t>Review of determination</w:t>
      </w:r>
      <w:r>
        <w:tab/>
      </w:r>
      <w:r>
        <w:fldChar w:fldCharType="begin"/>
      </w:r>
      <w:r>
        <w:instrText xml:space="preserve"> PAGEREF _Toc416788334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24A.</w:t>
      </w:r>
      <w:r>
        <w:tab/>
        <w:t>Gas supply system emergencies</w:t>
      </w:r>
      <w:r>
        <w:tab/>
      </w:r>
      <w:r>
        <w:fldChar w:fldCharType="begin"/>
      </w:r>
      <w:r>
        <w:instrText xml:space="preserve"> PAGEREF _Toc416788336 \h </w:instrText>
      </w:r>
      <w:r>
        <w:fldChar w:fldCharType="separate"/>
      </w:r>
      <w:r>
        <w:t>107</w:t>
      </w:r>
      <w:r>
        <w:fldChar w:fldCharType="end"/>
      </w:r>
    </w:p>
    <w:p>
      <w:pPr>
        <w:pStyle w:val="TOC8"/>
        <w:rPr>
          <w:rFonts w:asciiTheme="minorHAnsi" w:eastAsiaTheme="minorEastAsia" w:hAnsiTheme="minorHAnsi" w:cstheme="minorBidi"/>
          <w:szCs w:val="22"/>
        </w:rPr>
      </w:pPr>
      <w:r>
        <w:t>24B.</w:t>
      </w:r>
      <w:r>
        <w:tab/>
        <w:t>Disclosure of information for promotion of safety and compliance purposes</w:t>
      </w:r>
      <w:r>
        <w:tab/>
      </w:r>
      <w:r>
        <w:fldChar w:fldCharType="begin"/>
      </w:r>
      <w:r>
        <w:instrText xml:space="preserve"> PAGEREF _Toc416788337 \h </w:instrText>
      </w:r>
      <w:r>
        <w:fldChar w:fldCharType="separate"/>
      </w:r>
      <w:r>
        <w:t>107</w:t>
      </w:r>
      <w:r>
        <w:fldChar w:fldCharType="end"/>
      </w:r>
    </w:p>
    <w:p>
      <w:pPr>
        <w:pStyle w:val="TOC8"/>
        <w:rPr>
          <w:rFonts w:asciiTheme="minorHAnsi" w:eastAsiaTheme="minorEastAsia" w:hAnsiTheme="minorHAnsi" w:cstheme="minorBidi"/>
          <w:szCs w:val="22"/>
        </w:rPr>
      </w:pPr>
      <w:r>
        <w:t>24C.</w:t>
      </w:r>
      <w:r>
        <w:tab/>
        <w:t>Gas supply emergency plans</w:t>
      </w:r>
      <w:r>
        <w:tab/>
      </w:r>
      <w:r>
        <w:fldChar w:fldCharType="begin"/>
      </w:r>
      <w:r>
        <w:instrText xml:space="preserve"> PAGEREF _Toc416788338 \h </w:instrText>
      </w:r>
      <w:r>
        <w:fldChar w:fldCharType="separate"/>
      </w:r>
      <w:r>
        <w:t>108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Establishment of committees</w:t>
      </w:r>
      <w:r>
        <w:tab/>
      </w:r>
      <w:r>
        <w:fldChar w:fldCharType="begin"/>
      </w:r>
      <w:r>
        <w:instrText xml:space="preserve"> PAGEREF _Toc416788339 \h </w:instrText>
      </w:r>
      <w:r>
        <w:fldChar w:fldCharType="separate"/>
      </w:r>
      <w:r>
        <w:t>108</w:t>
      </w:r>
      <w:r>
        <w:fldChar w:fldCharType="end"/>
      </w:r>
    </w:p>
    <w:p>
      <w:pPr>
        <w:pStyle w:val="TOC8"/>
        <w:rPr>
          <w:rFonts w:asciiTheme="minorHAnsi" w:eastAsiaTheme="minorEastAsia" w:hAnsiTheme="minorHAnsi" w:cstheme="minorBidi"/>
          <w:szCs w:val="22"/>
        </w:rPr>
      </w:pPr>
      <w:r>
        <w:t>26A.</w:t>
      </w:r>
      <w:r>
        <w:tab/>
        <w:t xml:space="preserve">Licence not personal property for the purposes of the </w:t>
      </w:r>
      <w:r>
        <w:rPr>
          <w:i/>
          <w:iCs/>
        </w:rPr>
        <w:t>Personal Property Securities Act 2009</w:t>
      </w:r>
      <w:r>
        <w:t xml:space="preserve"> (Commonwealth)</w:t>
      </w:r>
      <w:r>
        <w:tab/>
      </w:r>
      <w:r>
        <w:fldChar w:fldCharType="begin"/>
      </w:r>
      <w:r>
        <w:instrText xml:space="preserve"> PAGEREF _Toc416788340 \h </w:instrText>
      </w:r>
      <w:r>
        <w:fldChar w:fldCharType="separate"/>
      </w:r>
      <w:r>
        <w:t>109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w:t>
      </w:r>
      <w:r>
        <w:tab/>
      </w:r>
      <w:r>
        <w:fldChar w:fldCharType="begin"/>
      </w:r>
      <w:r>
        <w:instrText xml:space="preserve"> PAGEREF _Toc416788341 \h </w:instrText>
      </w:r>
      <w:r>
        <w:fldChar w:fldCharType="separate"/>
      </w:r>
      <w:r>
        <w:t>109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Review</w:t>
      </w:r>
      <w:r>
        <w:tab/>
      </w:r>
      <w:r>
        <w:fldChar w:fldCharType="begin"/>
      </w:r>
      <w:r>
        <w:instrText xml:space="preserve"> PAGEREF _Toc416788342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Schedule 1 — Coordinator’s functions in respect of sustainable energy research</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_Toc416788344 \h </w:instrText>
      </w:r>
      <w:r>
        <w:fldChar w:fldCharType="separate"/>
      </w:r>
      <w:r>
        <w:t>112</w:t>
      </w:r>
      <w:r>
        <w:fldChar w:fldCharType="end"/>
      </w:r>
    </w:p>
    <w:p>
      <w:pPr>
        <w:pStyle w:val="TOC8"/>
        <w:rPr>
          <w:rFonts w:asciiTheme="minorHAnsi" w:eastAsiaTheme="minorEastAsia" w:hAnsiTheme="minorHAnsi" w:cstheme="minorBidi"/>
          <w:szCs w:val="22"/>
        </w:rPr>
      </w:pPr>
      <w:r>
        <w:t>2.</w:t>
      </w:r>
      <w:r>
        <w:tab/>
        <w:t>Research functions</w:t>
      </w:r>
      <w:r>
        <w:tab/>
      </w:r>
      <w:r>
        <w:fldChar w:fldCharType="begin"/>
      </w:r>
      <w:r>
        <w:instrText xml:space="preserve"> PAGEREF _Toc416788345 \h </w:instrText>
      </w:r>
      <w:r>
        <w:fldChar w:fldCharType="separate"/>
      </w:r>
      <w:r>
        <w:t>112</w:t>
      </w:r>
      <w:r>
        <w:fldChar w:fldCharType="end"/>
      </w:r>
    </w:p>
    <w:p>
      <w:pPr>
        <w:pStyle w:val="TOC8"/>
        <w:rPr>
          <w:rFonts w:asciiTheme="minorHAnsi" w:eastAsiaTheme="minorEastAsia" w:hAnsiTheme="minorHAnsi" w:cstheme="minorBidi"/>
          <w:szCs w:val="22"/>
        </w:rPr>
      </w:pPr>
      <w:r>
        <w:t>3.</w:t>
      </w:r>
      <w:r>
        <w:tab/>
        <w:t>Power to direct researcher</w:t>
      </w:r>
      <w:r>
        <w:tab/>
      </w:r>
      <w:r>
        <w:fldChar w:fldCharType="begin"/>
      </w:r>
      <w:r>
        <w:instrText xml:space="preserve"> PAGEREF _Toc416788346 \h </w:instrText>
      </w:r>
      <w:r>
        <w:fldChar w:fldCharType="separate"/>
      </w:r>
      <w:r>
        <w:t>113</w:t>
      </w:r>
      <w:r>
        <w:fldChar w:fldCharType="end"/>
      </w:r>
    </w:p>
    <w:p>
      <w:pPr>
        <w:pStyle w:val="TOC8"/>
        <w:rPr>
          <w:rFonts w:asciiTheme="minorHAnsi" w:eastAsiaTheme="minorEastAsia" w:hAnsiTheme="minorHAnsi" w:cstheme="minorBidi"/>
          <w:szCs w:val="22"/>
        </w:rPr>
      </w:pPr>
      <w:r>
        <w:t>4.</w:t>
      </w:r>
      <w:r>
        <w:tab/>
        <w:t>Trusts and conditions</w:t>
      </w:r>
      <w:r>
        <w:tab/>
      </w:r>
      <w:r>
        <w:fldChar w:fldCharType="begin"/>
      </w:r>
      <w:r>
        <w:instrText xml:space="preserve"> PAGEREF _Toc416788347 \h </w:instrText>
      </w:r>
      <w:r>
        <w:fldChar w:fldCharType="separate"/>
      </w:r>
      <w:r>
        <w:t>113</w:t>
      </w:r>
      <w:r>
        <w:fldChar w:fldCharType="end"/>
      </w:r>
    </w:p>
    <w:p>
      <w:pPr>
        <w:pStyle w:val="TOC8"/>
        <w:rPr>
          <w:rFonts w:asciiTheme="minorHAnsi" w:eastAsiaTheme="minorEastAsia" w:hAnsiTheme="minorHAnsi" w:cstheme="minorBidi"/>
          <w:szCs w:val="22"/>
        </w:rPr>
      </w:pPr>
      <w:r>
        <w:t>5.</w:t>
      </w:r>
      <w:r>
        <w:tab/>
        <w:t>Provision of information to the Coordinator</w:t>
      </w:r>
      <w:r>
        <w:tab/>
      </w:r>
      <w:r>
        <w:fldChar w:fldCharType="begin"/>
      </w:r>
      <w:r>
        <w:instrText xml:space="preserve"> PAGEREF _Toc416788348 \h </w:instrText>
      </w:r>
      <w:r>
        <w:fldChar w:fldCharType="separate"/>
      </w:r>
      <w:r>
        <w:t>113</w:t>
      </w:r>
      <w:r>
        <w:fldChar w:fldCharType="end"/>
      </w:r>
    </w:p>
    <w:p>
      <w:pPr>
        <w:pStyle w:val="TOC8"/>
        <w:rPr>
          <w:rFonts w:asciiTheme="minorHAnsi" w:eastAsiaTheme="minorEastAsia" w:hAnsiTheme="minorHAnsi" w:cstheme="minorBidi"/>
          <w:szCs w:val="22"/>
        </w:rPr>
      </w:pPr>
      <w:r>
        <w:t>6.</w:t>
      </w:r>
      <w:r>
        <w:tab/>
        <w:t>Termination of assistance by the Coordinator</w:t>
      </w:r>
      <w:r>
        <w:tab/>
      </w:r>
      <w:r>
        <w:fldChar w:fldCharType="begin"/>
      </w:r>
      <w:r>
        <w:instrText xml:space="preserve"> PAGEREF _Toc416788349 \h </w:instrText>
      </w:r>
      <w:r>
        <w:fldChar w:fldCharType="separate"/>
      </w:r>
      <w:r>
        <w:t>114</w:t>
      </w:r>
      <w:r>
        <w:fldChar w:fldCharType="end"/>
      </w:r>
    </w:p>
    <w:p>
      <w:pPr>
        <w:pStyle w:val="TOC8"/>
        <w:rPr>
          <w:rFonts w:asciiTheme="minorHAnsi" w:eastAsiaTheme="minorEastAsia" w:hAnsiTheme="minorHAnsi" w:cstheme="minorBidi"/>
          <w:szCs w:val="22"/>
        </w:rPr>
      </w:pPr>
      <w:r>
        <w:t>7.</w:t>
      </w:r>
      <w:r>
        <w:tab/>
        <w:t>Researchers to maintain confidentiality</w:t>
      </w:r>
      <w:r>
        <w:tab/>
      </w:r>
      <w:r>
        <w:fldChar w:fldCharType="begin"/>
      </w:r>
      <w:r>
        <w:instrText xml:space="preserve"> PAGEREF _Toc416788350 \h </w:instrText>
      </w:r>
      <w:r>
        <w:fldChar w:fldCharType="separate"/>
      </w:r>
      <w:r>
        <w:t>115</w:t>
      </w:r>
      <w:r>
        <w:fldChar w:fldCharType="end"/>
      </w:r>
    </w:p>
    <w:p>
      <w:pPr>
        <w:pStyle w:val="TOC8"/>
        <w:rPr>
          <w:rFonts w:asciiTheme="minorHAnsi" w:eastAsiaTheme="minorEastAsia" w:hAnsiTheme="minorHAnsi" w:cstheme="minorBidi"/>
          <w:szCs w:val="22"/>
        </w:rPr>
      </w:pPr>
      <w:r>
        <w:t>8.</w:t>
      </w:r>
      <w:r>
        <w:tab/>
        <w:t>Protection of trade secrets</w:t>
      </w:r>
      <w:r>
        <w:tab/>
      </w:r>
      <w:r>
        <w:fldChar w:fldCharType="begin"/>
      </w:r>
      <w:r>
        <w:instrText xml:space="preserve"> PAGEREF _Toc416788351 \h </w:instrText>
      </w:r>
      <w:r>
        <w:fldChar w:fldCharType="separate"/>
      </w:r>
      <w:r>
        <w:t>115</w:t>
      </w:r>
      <w:r>
        <w:fldChar w:fldCharType="end"/>
      </w:r>
    </w:p>
    <w:p>
      <w:pPr>
        <w:pStyle w:val="TOC8"/>
        <w:rPr>
          <w:rFonts w:asciiTheme="minorHAnsi" w:eastAsiaTheme="minorEastAsia" w:hAnsiTheme="minorHAnsi" w:cstheme="minorBidi"/>
          <w:szCs w:val="22"/>
        </w:rPr>
      </w:pPr>
      <w:r>
        <w:t>9.</w:t>
      </w:r>
      <w:r>
        <w:tab/>
        <w:t>Other requests for confidentiality</w:t>
      </w:r>
      <w:r>
        <w:tab/>
      </w:r>
      <w:r>
        <w:fldChar w:fldCharType="begin"/>
      </w:r>
      <w:r>
        <w:instrText xml:space="preserve"> PAGEREF _Toc416788352 \h </w:instrText>
      </w:r>
      <w:r>
        <w:fldChar w:fldCharType="separate"/>
      </w:r>
      <w:r>
        <w:t>116</w:t>
      </w:r>
      <w:r>
        <w:fldChar w:fldCharType="end"/>
      </w:r>
    </w:p>
    <w:p>
      <w:pPr>
        <w:pStyle w:val="TOC8"/>
        <w:rPr>
          <w:rFonts w:asciiTheme="minorHAnsi" w:eastAsiaTheme="minorEastAsia" w:hAnsiTheme="minorHAnsi" w:cstheme="minorBidi"/>
          <w:szCs w:val="22"/>
        </w:rPr>
      </w:pPr>
      <w:r>
        <w:t>10.</w:t>
      </w:r>
      <w:r>
        <w:tab/>
        <w:t>Records to be maintained</w:t>
      </w:r>
      <w:r>
        <w:tab/>
      </w:r>
      <w:r>
        <w:fldChar w:fldCharType="begin"/>
      </w:r>
      <w:r>
        <w:instrText xml:space="preserve"> PAGEREF _Toc416788353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Schedule 1A — Licence terms and conditions</w:t>
      </w:r>
    </w:p>
    <w:p>
      <w:pPr>
        <w:pStyle w:val="TOC8"/>
        <w:rPr>
          <w:rFonts w:asciiTheme="minorHAnsi" w:eastAsiaTheme="minorEastAsia" w:hAnsiTheme="minorHAnsi" w:cstheme="minorBidi"/>
          <w:szCs w:val="22"/>
        </w:rPr>
      </w:pPr>
      <w:r>
        <w:t>1</w:t>
      </w:r>
      <w:r>
        <w:rPr>
          <w:snapToGrid w:val="0"/>
        </w:rPr>
        <w:t>.</w:t>
      </w:r>
      <w:r>
        <w:rPr>
          <w:snapToGrid w:val="0"/>
        </w:rPr>
        <w:tab/>
        <w:t>Licence terms and conditions</w:t>
      </w:r>
      <w:r>
        <w:tab/>
      </w:r>
      <w:r>
        <w:fldChar w:fldCharType="begin"/>
      </w:r>
      <w:r>
        <w:instrText xml:space="preserve"> PAGEREF _Toc416788355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2 — Provisions of </w:t>
      </w:r>
      <w:r>
        <w:rPr>
          <w:i/>
        </w:rPr>
        <w:t>Energy Operators (Powers) Act 1979</w:t>
      </w:r>
      <w:r>
        <w:rPr>
          <w:b w:val="0"/>
        </w:rPr>
        <w:t xml:space="preserve"> </w:t>
      </w:r>
      <w:r>
        <w:t>that apply to licensees</w:t>
      </w:r>
    </w:p>
    <w:p>
      <w:pPr>
        <w:pStyle w:val="TOC2"/>
        <w:tabs>
          <w:tab w:val="right" w:leader="dot" w:pos="7077"/>
        </w:tabs>
        <w:rPr>
          <w:rFonts w:asciiTheme="minorHAnsi" w:eastAsiaTheme="minorEastAsia" w:hAnsiTheme="minorHAnsi" w:cstheme="minorBidi"/>
          <w:b w:val="0"/>
          <w:sz w:val="22"/>
          <w:szCs w:val="22"/>
        </w:rPr>
      </w:pPr>
      <w:r>
        <w:t>Schedule 2A — Remedies for contravention of section 11ZOV</w:t>
      </w:r>
    </w:p>
    <w:p>
      <w:pPr>
        <w:pStyle w:val="TOC8"/>
        <w:rPr>
          <w:rFonts w:asciiTheme="minorHAnsi" w:eastAsiaTheme="minorEastAsia" w:hAnsiTheme="minorHAnsi" w:cstheme="minorBidi"/>
          <w:szCs w:val="22"/>
        </w:rPr>
      </w:pPr>
      <w:r>
        <w:t>1.</w:t>
      </w:r>
      <w:r>
        <w:tab/>
        <w:t>Term used: Court</w:t>
      </w:r>
      <w:r>
        <w:tab/>
      </w:r>
      <w:r>
        <w:fldChar w:fldCharType="begin"/>
      </w:r>
      <w:r>
        <w:instrText xml:space="preserve"> PAGEREF _Toc416788358 \h </w:instrText>
      </w:r>
      <w:r>
        <w:fldChar w:fldCharType="separate"/>
      </w:r>
      <w:r>
        <w:t>121</w:t>
      </w:r>
      <w:r>
        <w:fldChar w:fldCharType="end"/>
      </w:r>
    </w:p>
    <w:p>
      <w:pPr>
        <w:pStyle w:val="TOC8"/>
        <w:rPr>
          <w:rFonts w:asciiTheme="minorHAnsi" w:eastAsiaTheme="minorEastAsia" w:hAnsiTheme="minorHAnsi" w:cstheme="minorBidi"/>
          <w:szCs w:val="22"/>
        </w:rPr>
      </w:pPr>
      <w:r>
        <w:t>2.</w:t>
      </w:r>
      <w:r>
        <w:tab/>
        <w:t>Actions for damages for contravention of section 11ZOV</w:t>
      </w:r>
      <w:r>
        <w:tab/>
      </w:r>
      <w:r>
        <w:fldChar w:fldCharType="begin"/>
      </w:r>
      <w:r>
        <w:instrText xml:space="preserve"> PAGEREF _Toc416788359 \h </w:instrText>
      </w:r>
      <w:r>
        <w:fldChar w:fldCharType="separate"/>
      </w:r>
      <w:r>
        <w:t>121</w:t>
      </w:r>
      <w:r>
        <w:fldChar w:fldCharType="end"/>
      </w:r>
    </w:p>
    <w:p>
      <w:pPr>
        <w:pStyle w:val="TOC8"/>
        <w:rPr>
          <w:rFonts w:asciiTheme="minorHAnsi" w:eastAsiaTheme="minorEastAsia" w:hAnsiTheme="minorHAnsi" w:cstheme="minorBidi"/>
          <w:szCs w:val="22"/>
        </w:rPr>
      </w:pPr>
      <w:r>
        <w:t>3.</w:t>
      </w:r>
      <w:r>
        <w:tab/>
        <w:t>Injunction</w:t>
      </w:r>
      <w:r>
        <w:tab/>
      </w:r>
      <w:r>
        <w:fldChar w:fldCharType="begin"/>
      </w:r>
      <w:r>
        <w:instrText xml:space="preserve"> PAGEREF _Toc416788360 \h </w:instrText>
      </w:r>
      <w:r>
        <w:fldChar w:fldCharType="separate"/>
      </w:r>
      <w:r>
        <w:t>121</w:t>
      </w:r>
      <w:r>
        <w:fldChar w:fldCharType="end"/>
      </w:r>
    </w:p>
    <w:p>
      <w:pPr>
        <w:pStyle w:val="TOC8"/>
        <w:rPr>
          <w:rFonts w:asciiTheme="minorHAnsi" w:eastAsiaTheme="minorEastAsia" w:hAnsiTheme="minorHAnsi" w:cstheme="minorBidi"/>
          <w:szCs w:val="22"/>
        </w:rPr>
      </w:pPr>
      <w:r>
        <w:t>4.</w:t>
      </w:r>
      <w:r>
        <w:tab/>
        <w:t>Declaratory relief</w:t>
      </w:r>
      <w:r>
        <w:tab/>
      </w:r>
      <w:r>
        <w:fldChar w:fldCharType="begin"/>
      </w:r>
      <w:r>
        <w:instrText xml:space="preserve"> PAGEREF _Toc416788361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Schedule 2B — Objectives to be met by gas industry ombudsman scheme</w:t>
      </w:r>
    </w:p>
    <w:p>
      <w:pPr>
        <w:pStyle w:val="TOC8"/>
        <w:rPr>
          <w:rFonts w:asciiTheme="minorHAnsi" w:eastAsiaTheme="minorEastAsia" w:hAnsiTheme="minorHAnsi" w:cstheme="minorBidi"/>
          <w:szCs w:val="22"/>
        </w:rPr>
      </w:pPr>
      <w:r>
        <w:t>1</w:t>
      </w:r>
      <w:r>
        <w:rPr>
          <w:snapToGrid w:val="0"/>
        </w:rPr>
        <w:t>.</w:t>
      </w:r>
      <w:r>
        <w:rPr>
          <w:snapToGrid w:val="0"/>
        </w:rPr>
        <w:tab/>
        <w:t>Objectives stated</w:t>
      </w:r>
      <w:r>
        <w:tab/>
      </w:r>
      <w:r>
        <w:fldChar w:fldCharType="begin"/>
      </w:r>
      <w:r>
        <w:instrText xml:space="preserve"> PAGEREF _Toc416788363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Schedule 3 — Gas supply system emergencies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_Toc416788365 \h </w:instrText>
      </w:r>
      <w:r>
        <w:fldChar w:fldCharType="separate"/>
      </w:r>
      <w:r>
        <w:t>126</w:t>
      </w:r>
      <w:r>
        <w:fldChar w:fldCharType="end"/>
      </w:r>
    </w:p>
    <w:p>
      <w:pPr>
        <w:pStyle w:val="TOC8"/>
        <w:rPr>
          <w:rFonts w:asciiTheme="minorHAnsi" w:eastAsiaTheme="minorEastAsia" w:hAnsiTheme="minorHAnsi" w:cstheme="minorBidi"/>
          <w:szCs w:val="22"/>
        </w:rPr>
      </w:pPr>
      <w:r>
        <w:t>2.</w:t>
      </w:r>
      <w:r>
        <w:tab/>
        <w:t>Action by operator</w:t>
      </w:r>
      <w:r>
        <w:tab/>
      </w:r>
      <w:r>
        <w:fldChar w:fldCharType="begin"/>
      </w:r>
      <w:r>
        <w:instrText xml:space="preserve"> PAGEREF _Toc416788366 \h </w:instrText>
      </w:r>
      <w:r>
        <w:fldChar w:fldCharType="separate"/>
      </w:r>
      <w:r>
        <w:t>127</w:t>
      </w:r>
      <w:r>
        <w:fldChar w:fldCharType="end"/>
      </w:r>
    </w:p>
    <w:p>
      <w:pPr>
        <w:pStyle w:val="TOC8"/>
        <w:rPr>
          <w:rFonts w:asciiTheme="minorHAnsi" w:eastAsiaTheme="minorEastAsia" w:hAnsiTheme="minorHAnsi" w:cstheme="minorBidi"/>
          <w:szCs w:val="22"/>
        </w:rPr>
      </w:pPr>
      <w:r>
        <w:t>3.</w:t>
      </w:r>
      <w:r>
        <w:tab/>
        <w:t>Emergency order</w:t>
      </w:r>
      <w:r>
        <w:tab/>
      </w:r>
      <w:r>
        <w:fldChar w:fldCharType="begin"/>
      </w:r>
      <w:r>
        <w:instrText xml:space="preserve"> PAGEREF _Toc416788367 \h </w:instrText>
      </w:r>
      <w:r>
        <w:fldChar w:fldCharType="separate"/>
      </w:r>
      <w:r>
        <w:t>127</w:t>
      </w:r>
      <w:r>
        <w:fldChar w:fldCharType="end"/>
      </w:r>
    </w:p>
    <w:p>
      <w:pPr>
        <w:pStyle w:val="TOC8"/>
        <w:rPr>
          <w:rFonts w:asciiTheme="minorHAnsi" w:eastAsiaTheme="minorEastAsia" w:hAnsiTheme="minorHAnsi" w:cstheme="minorBidi"/>
          <w:szCs w:val="22"/>
        </w:rPr>
      </w:pPr>
      <w:r>
        <w:t>4.</w:t>
      </w:r>
      <w:r>
        <w:tab/>
        <w:t>Emergency action by Minister</w:t>
      </w:r>
      <w:r>
        <w:tab/>
      </w:r>
      <w:r>
        <w:fldChar w:fldCharType="begin"/>
      </w:r>
      <w:r>
        <w:instrText xml:space="preserve"> PAGEREF _Toc416788368 \h </w:instrText>
      </w:r>
      <w:r>
        <w:fldChar w:fldCharType="separate"/>
      </w:r>
      <w:r>
        <w:t>128</w:t>
      </w:r>
      <w:r>
        <w:fldChar w:fldCharType="end"/>
      </w:r>
    </w:p>
    <w:p>
      <w:pPr>
        <w:pStyle w:val="TOC8"/>
        <w:rPr>
          <w:rFonts w:asciiTheme="minorHAnsi" w:eastAsiaTheme="minorEastAsia" w:hAnsiTheme="minorHAnsi" w:cstheme="minorBidi"/>
          <w:szCs w:val="22"/>
        </w:rPr>
      </w:pPr>
      <w:r>
        <w:t>5.</w:t>
      </w:r>
      <w:r>
        <w:tab/>
        <w:t>Liability to punishment continues</w:t>
      </w:r>
      <w:r>
        <w:tab/>
      </w:r>
      <w:r>
        <w:fldChar w:fldCharType="begin"/>
      </w:r>
      <w:r>
        <w:instrText xml:space="preserve"> PAGEREF _Toc416788369 \h </w:instrText>
      </w:r>
      <w:r>
        <w:fldChar w:fldCharType="separate"/>
      </w:r>
      <w:r>
        <w:t>129</w:t>
      </w:r>
      <w:r>
        <w:fldChar w:fldCharType="end"/>
      </w:r>
    </w:p>
    <w:p>
      <w:pPr>
        <w:pStyle w:val="TOC8"/>
        <w:rPr>
          <w:rFonts w:asciiTheme="minorHAnsi" w:eastAsiaTheme="minorEastAsia" w:hAnsiTheme="minorHAnsi" w:cstheme="minorBidi"/>
          <w:szCs w:val="22"/>
        </w:rPr>
      </w:pPr>
      <w:r>
        <w:t>6.</w:t>
      </w:r>
      <w:r>
        <w:tab/>
        <w:t>Protection</w:t>
      </w:r>
      <w:r>
        <w:tab/>
      </w:r>
      <w:r>
        <w:fldChar w:fldCharType="begin"/>
      </w:r>
      <w:r>
        <w:instrText xml:space="preserve"> PAGEREF _Toc416788370 \h </w:instrText>
      </w:r>
      <w:r>
        <w:fldChar w:fldCharType="separate"/>
      </w:r>
      <w:r>
        <w:t>129</w:t>
      </w:r>
      <w:r>
        <w:fldChar w:fldCharType="end"/>
      </w:r>
    </w:p>
    <w:p>
      <w:pPr>
        <w:pStyle w:val="TOC8"/>
        <w:rPr>
          <w:rFonts w:asciiTheme="minorHAnsi" w:eastAsiaTheme="minorEastAsia" w:hAnsiTheme="minorHAnsi" w:cstheme="minorBidi"/>
          <w:szCs w:val="22"/>
        </w:rPr>
      </w:pPr>
      <w:r>
        <w:t>7.</w:t>
      </w:r>
      <w:r>
        <w:tab/>
        <w:t>Powers of entry</w:t>
      </w:r>
      <w:r>
        <w:tab/>
      </w:r>
      <w:r>
        <w:fldChar w:fldCharType="begin"/>
      </w:r>
      <w:r>
        <w:instrText xml:space="preserve"> PAGEREF _Toc416788371 \h </w:instrText>
      </w:r>
      <w:r>
        <w:fldChar w:fldCharType="separate"/>
      </w:r>
      <w:r>
        <w:t>129</w:t>
      </w:r>
      <w:r>
        <w:fldChar w:fldCharType="end"/>
      </w:r>
    </w:p>
    <w:p>
      <w:pPr>
        <w:pStyle w:val="TOC8"/>
        <w:rPr>
          <w:rFonts w:asciiTheme="minorHAnsi" w:eastAsiaTheme="minorEastAsia" w:hAnsiTheme="minorHAnsi" w:cstheme="minorBidi"/>
          <w:szCs w:val="22"/>
        </w:rPr>
      </w:pPr>
      <w:r>
        <w:t>8.</w:t>
      </w:r>
      <w:r>
        <w:tab/>
        <w:t>Offences</w:t>
      </w:r>
      <w:r>
        <w:tab/>
      </w:r>
      <w:r>
        <w:fldChar w:fldCharType="begin"/>
      </w:r>
      <w:r>
        <w:instrText xml:space="preserve"> PAGEREF _Toc416788372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_Toc416788374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Energy Coordination Act 1994 </w:t>
      </w:r>
    </w:p>
    <w:p>
      <w:pPr>
        <w:pStyle w:val="LongTitle"/>
        <w:outlineLvl w:val="0"/>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No. 20 of 1999 s. 4; No. 53 of 2003 s. 13 and 92; No. 67 of 2003 Sch. 2 cl. 8.]</w:t>
      </w:r>
    </w:p>
    <w:p>
      <w:pPr>
        <w:pStyle w:val="Heading2"/>
      </w:pPr>
      <w:bookmarkStart w:id="3" w:name="_Toc375142691"/>
      <w:bookmarkStart w:id="4" w:name="_Toc375142945"/>
      <w:bookmarkStart w:id="5" w:name="_Toc416787869"/>
      <w:bookmarkStart w:id="6" w:name="_Toc41678812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5142946"/>
      <w:bookmarkStart w:id="8" w:name="_Toc416788123"/>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9" w:name="_Toc375142947"/>
      <w:bookmarkStart w:id="10" w:name="_Toc41678812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1" w:name="_Toc375142948"/>
      <w:bookmarkStart w:id="12" w:name="_Toc416788125"/>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t>any knowledge or information relating to technology, marketing or energy used in a person’s business and that might reasonably be expected adversely to affect the business or interests of that person if disclosed to another person;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rPr>
        <w:t>energy</w:t>
      </w:r>
      <w:r>
        <w:t xml:space="preserve"> means electricity, gas and thermal energy however derived;</w:t>
      </w:r>
    </w:p>
    <w:p>
      <w:pPr>
        <w:pStyle w:val="Defstart"/>
      </w:pPr>
      <w:r>
        <w:rPr>
          <w:b/>
        </w:rPr>
        <w:tab/>
      </w:r>
      <w:r>
        <w:rPr>
          <w:rStyle w:val="CharDefText"/>
        </w:rPr>
        <w:t>gas</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inspector</w:t>
      </w:r>
      <w:r>
        <w:t xml:space="preserve"> means a person designated as an inspector under section 12;</w:t>
      </w:r>
    </w:p>
    <w:p>
      <w:pPr>
        <w:pStyle w:val="Defstart"/>
      </w:pPr>
      <w:r>
        <w:tab/>
      </w:r>
      <w:r>
        <w:rPr>
          <w:rStyle w:val="CharDefText"/>
        </w:rPr>
        <w:t>licence</w:t>
      </w:r>
      <w:r>
        <w:t xml:space="preserve"> means a distribution licence or trading licence;</w:t>
      </w:r>
    </w:p>
    <w:p>
      <w:pPr>
        <w:pStyle w:val="Defstart"/>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pPr>
      <w:r>
        <w:tab/>
      </w:r>
      <w:r>
        <w:rPr>
          <w:rStyle w:val="CharDefText"/>
        </w:rPr>
        <w:t>small use customer</w:t>
      </w:r>
      <w:r>
        <w:t xml:space="preserve"> means a customer whose consumption of gas is less than 1 terajoule per year;</w:t>
      </w:r>
    </w:p>
    <w:p>
      <w:pPr>
        <w:pStyle w:val="Defstart"/>
      </w:pPr>
      <w:r>
        <w:tab/>
      </w:r>
      <w:r>
        <w:rPr>
          <w:rStyle w:val="CharDefText"/>
        </w:rPr>
        <w:t>supply</w:t>
      </w:r>
      <w:r>
        <w:t xml:space="preserve">, in relation to gas, means — </w:t>
      </w:r>
    </w:p>
    <w:p>
      <w:pPr>
        <w:pStyle w:val="Defpara"/>
      </w:pPr>
      <w:r>
        <w:tab/>
        <w:t>(a)</w:t>
      </w:r>
      <w:r>
        <w:tab/>
        <w:t>the transportation of gas through a distribution system; or</w:t>
      </w:r>
    </w:p>
    <w:p>
      <w:pPr>
        <w:pStyle w:val="Defpara"/>
      </w:pPr>
      <w:r>
        <w:tab/>
        <w:t>(b)</w:t>
      </w:r>
      <w:r>
        <w:tab/>
        <w:t>the sale of gas transported through a distribution system;</w:t>
      </w:r>
    </w:p>
    <w:p>
      <w:pPr>
        <w:pStyle w:val="Defstart"/>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pPr>
      <w:r>
        <w:tab/>
      </w:r>
      <w:r>
        <w:rPr>
          <w:rStyle w:val="CharDefText"/>
        </w:rPr>
        <w:t>trade secret</w:t>
      </w:r>
      <w:r>
        <w:t xml:space="preserve"> means any knowledge or information — </w:t>
      </w:r>
    </w:p>
    <w:p>
      <w:pPr>
        <w:pStyle w:val="Defpara"/>
      </w:pPr>
      <w:r>
        <w:tab/>
        <w:t>(a)</w:t>
      </w:r>
      <w:r>
        <w:tab/>
        <w:t xml:space="preserve">relating to technology, marketing, energy, or energy resources or reserves; or </w:t>
      </w:r>
    </w:p>
    <w:p>
      <w:pPr>
        <w:pStyle w:val="Defpara"/>
      </w:pPr>
      <w:r>
        <w:tab/>
        <w:t>(b)</w:t>
      </w:r>
      <w:r>
        <w:tab/>
        <w:t>as to the business of the person concerned,</w:t>
      </w:r>
    </w:p>
    <w:p>
      <w:pPr>
        <w:pStyle w:val="Defstart"/>
      </w:pPr>
      <w:r>
        <w:tab/>
        <w:t>the disclosure of which by a person performing functions under this Act might reasonably be expected to adversely affect the business or interests of the person concerned;</w:t>
      </w:r>
    </w:p>
    <w:p>
      <w:pPr>
        <w:pStyle w:val="Defstart"/>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No. 20 of 1999 s. 5; No. 58 of 1999 s. 47; No. 53 of 2003 s. 14, 66 and 118; No. 67 of 2003 Sch. 2 cl. 9; No. 28 of 2006 s. 167; No. 5 of 2007 s. 11.]</w:t>
      </w:r>
    </w:p>
    <w:p>
      <w:pPr>
        <w:pStyle w:val="Heading2"/>
      </w:pPr>
      <w:bookmarkStart w:id="13" w:name="_Toc375142695"/>
      <w:bookmarkStart w:id="14" w:name="_Toc375142949"/>
      <w:bookmarkStart w:id="15" w:name="_Toc416787873"/>
      <w:bookmarkStart w:id="16" w:name="_Toc416788126"/>
      <w:r>
        <w:rPr>
          <w:rStyle w:val="CharPartNo"/>
        </w:rPr>
        <w:t>Part 1A</w:t>
      </w:r>
      <w:r>
        <w:rPr>
          <w:b w:val="0"/>
        </w:rPr>
        <w:t> </w:t>
      </w:r>
      <w:r>
        <w:t>—</w:t>
      </w:r>
      <w:r>
        <w:rPr>
          <w:b w:val="0"/>
        </w:rPr>
        <w:t> </w:t>
      </w:r>
      <w:r>
        <w:rPr>
          <w:rStyle w:val="CharPartText"/>
        </w:rPr>
        <w:t>Coordinator of Energy</w:t>
      </w:r>
      <w:bookmarkEnd w:id="13"/>
      <w:bookmarkEnd w:id="14"/>
      <w:bookmarkEnd w:id="15"/>
      <w:bookmarkEnd w:id="16"/>
    </w:p>
    <w:p>
      <w:pPr>
        <w:pStyle w:val="Footnoteheading"/>
      </w:pPr>
      <w:r>
        <w:tab/>
        <w:t>[Heading inserted: No. 28 of 2006 s. 168.]</w:t>
      </w:r>
    </w:p>
    <w:p>
      <w:pPr>
        <w:pStyle w:val="Heading5"/>
        <w:rPr>
          <w:snapToGrid w:val="0"/>
        </w:rPr>
      </w:pPr>
      <w:bookmarkStart w:id="17" w:name="_Toc375142950"/>
      <w:bookmarkStart w:id="18" w:name="_Toc416788127"/>
      <w:r>
        <w:rPr>
          <w:rStyle w:val="CharSectno"/>
        </w:rPr>
        <w:t>4</w:t>
      </w:r>
      <w:r>
        <w:rPr>
          <w:snapToGrid w:val="0"/>
        </w:rPr>
        <w:t>.</w:t>
      </w:r>
      <w:r>
        <w:rPr>
          <w:snapToGrid w:val="0"/>
        </w:rPr>
        <w:tab/>
      </w:r>
      <w:r>
        <w:t>Coordinator</w:t>
      </w:r>
      <w:r>
        <w:rPr>
          <w:snapToGrid w:val="0"/>
        </w:rPr>
        <w:t xml:space="preserve"> of Energy</w:t>
      </w:r>
      <w:bookmarkEnd w:id="17"/>
      <w:bookmarkEnd w:id="18"/>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No. 28 of 2006 s. 168.]</w:t>
      </w:r>
    </w:p>
    <w:p>
      <w:pPr>
        <w:pStyle w:val="Heading5"/>
        <w:rPr>
          <w:snapToGrid w:val="0"/>
        </w:rPr>
      </w:pPr>
      <w:bookmarkStart w:id="19" w:name="_Toc375142951"/>
      <w:bookmarkStart w:id="20" w:name="_Toc416788128"/>
      <w:r>
        <w:rPr>
          <w:rStyle w:val="CharSectno"/>
        </w:rPr>
        <w:t>4A</w:t>
      </w:r>
      <w:r>
        <w:rPr>
          <w:snapToGrid w:val="0"/>
        </w:rPr>
        <w:t>.</w:t>
      </w:r>
      <w:r>
        <w:rPr>
          <w:snapToGrid w:val="0"/>
        </w:rPr>
        <w:tab/>
      </w:r>
      <w:r>
        <w:t>Coordinator’s</w:t>
      </w:r>
      <w:r>
        <w:rPr>
          <w:snapToGrid w:val="0"/>
        </w:rPr>
        <w:t xml:space="preserve"> functions</w:t>
      </w:r>
      <w:bookmarkEnd w:id="19"/>
      <w:bookmarkEnd w:id="20"/>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rPr>
          <w:vertAlign w:val="superscript"/>
        </w:rPr>
        <w:t> 2</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r>
        <w:tab/>
        <w:t>[Section 4A inserted: No. 28 of 2006 s. 168.]</w:t>
      </w:r>
    </w:p>
    <w:p>
      <w:pPr>
        <w:pStyle w:val="Heading5"/>
        <w:rPr>
          <w:snapToGrid w:val="0"/>
        </w:rPr>
      </w:pPr>
      <w:bookmarkStart w:id="21" w:name="_Toc375142952"/>
      <w:bookmarkStart w:id="22" w:name="_Toc416788129"/>
      <w:r>
        <w:rPr>
          <w:rStyle w:val="CharSectno"/>
        </w:rPr>
        <w:t>4B</w:t>
      </w:r>
      <w:r>
        <w:rPr>
          <w:snapToGrid w:val="0"/>
        </w:rPr>
        <w:t>.</w:t>
      </w:r>
      <w:r>
        <w:rPr>
          <w:snapToGrid w:val="0"/>
        </w:rPr>
        <w:tab/>
      </w:r>
      <w:r>
        <w:t>Staff for Coordinator</w:t>
      </w:r>
      <w:bookmarkEnd w:id="21"/>
      <w:bookmarkEnd w:id="22"/>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r>
        <w:tab/>
        <w:t>[Section 4B inserted: No. 28 of 2006 s. 168.]</w:t>
      </w:r>
    </w:p>
    <w:p>
      <w:pPr>
        <w:pStyle w:val="Heading5"/>
        <w:rPr>
          <w:snapToGrid w:val="0"/>
        </w:rPr>
      </w:pPr>
      <w:bookmarkStart w:id="23" w:name="_Toc375142953"/>
      <w:bookmarkStart w:id="24" w:name="_Toc416788130"/>
      <w:r>
        <w:rPr>
          <w:rStyle w:val="CharSectno"/>
        </w:rPr>
        <w:t>4C</w:t>
      </w:r>
      <w:r>
        <w:rPr>
          <w:snapToGrid w:val="0"/>
        </w:rPr>
        <w:t>.</w:t>
      </w:r>
      <w:r>
        <w:rPr>
          <w:snapToGrid w:val="0"/>
        </w:rPr>
        <w:tab/>
      </w:r>
      <w:r>
        <w:t>Delegation</w:t>
      </w:r>
      <w:r>
        <w:rPr>
          <w:snapToGrid w:val="0"/>
        </w:rPr>
        <w:t xml:space="preserve"> by Coordinator</w:t>
      </w:r>
      <w:bookmarkEnd w:id="23"/>
      <w:bookmarkEnd w:id="24"/>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4C inserted: No. 28 of 2006 s. 168.]</w:t>
      </w:r>
    </w:p>
    <w:p>
      <w:pPr>
        <w:pStyle w:val="Heading5"/>
        <w:rPr>
          <w:snapToGrid w:val="0"/>
        </w:rPr>
      </w:pPr>
      <w:bookmarkStart w:id="25" w:name="_Toc375142954"/>
      <w:bookmarkStart w:id="26" w:name="_Toc416788131"/>
      <w:r>
        <w:rPr>
          <w:rStyle w:val="CharSectno"/>
        </w:rPr>
        <w:t>4D</w:t>
      </w:r>
      <w:r>
        <w:rPr>
          <w:snapToGrid w:val="0"/>
        </w:rPr>
        <w:t>.</w:t>
      </w:r>
      <w:r>
        <w:rPr>
          <w:snapToGrid w:val="0"/>
        </w:rPr>
        <w:tab/>
      </w:r>
      <w:r>
        <w:t>Minister</w:t>
      </w:r>
      <w:r>
        <w:rPr>
          <w:snapToGrid w:val="0"/>
        </w:rPr>
        <w:t xml:space="preserve"> may give directions to Coordinator</w:t>
      </w:r>
      <w:bookmarkEnd w:id="25"/>
      <w:bookmarkEnd w:id="26"/>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4D inserted: No. 28 of 2006 s. 168; amended: No. 77 of 2006 Sch. 1 cl. 57(1).]</w:t>
      </w:r>
    </w:p>
    <w:p>
      <w:pPr>
        <w:pStyle w:val="Heading5"/>
        <w:rPr>
          <w:snapToGrid w:val="0"/>
        </w:rPr>
      </w:pPr>
      <w:bookmarkStart w:id="27" w:name="_Toc375142955"/>
      <w:bookmarkStart w:id="28" w:name="_Toc416788132"/>
      <w:r>
        <w:rPr>
          <w:rStyle w:val="CharSectno"/>
        </w:rPr>
        <w:t>4E</w:t>
      </w:r>
      <w:r>
        <w:rPr>
          <w:snapToGrid w:val="0"/>
        </w:rPr>
        <w:t>.</w:t>
      </w:r>
      <w:r>
        <w:rPr>
          <w:snapToGrid w:val="0"/>
        </w:rPr>
        <w:tab/>
      </w:r>
      <w:r>
        <w:t>Minister</w:t>
      </w:r>
      <w:r>
        <w:rPr>
          <w:snapToGrid w:val="0"/>
        </w:rPr>
        <w:t xml:space="preserve"> to have access to information from Coordinator</w:t>
      </w:r>
      <w:bookmarkEnd w:id="27"/>
      <w:bookmarkEnd w:id="28"/>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No. 28 of 2006 s. 168.]</w:t>
      </w:r>
    </w:p>
    <w:p>
      <w:pPr>
        <w:pStyle w:val="Heading2"/>
      </w:pPr>
      <w:bookmarkStart w:id="29" w:name="_Toc375142702"/>
      <w:bookmarkStart w:id="30" w:name="_Toc375142956"/>
      <w:bookmarkStart w:id="31" w:name="_Toc416787880"/>
      <w:bookmarkStart w:id="32" w:name="_Toc416788133"/>
      <w:r>
        <w:rPr>
          <w:rStyle w:val="CharPartNo"/>
        </w:rPr>
        <w:t>Part 2</w:t>
      </w:r>
      <w:r>
        <w:rPr>
          <w:rStyle w:val="CharDivNo"/>
        </w:rPr>
        <w:t> </w:t>
      </w:r>
      <w:r>
        <w:t>—</w:t>
      </w:r>
      <w:r>
        <w:rPr>
          <w:rStyle w:val="CharDivText"/>
        </w:rPr>
        <w:t> </w:t>
      </w:r>
      <w:r>
        <w:rPr>
          <w:rStyle w:val="CharPartText"/>
        </w:rPr>
        <w:t>Director of Energy Safety</w:t>
      </w:r>
      <w:bookmarkEnd w:id="29"/>
      <w:bookmarkEnd w:id="30"/>
      <w:bookmarkEnd w:id="31"/>
      <w:bookmarkEnd w:id="32"/>
      <w:r>
        <w:rPr>
          <w:rStyle w:val="CharPartText"/>
        </w:rPr>
        <w:t xml:space="preserve"> </w:t>
      </w:r>
    </w:p>
    <w:p>
      <w:pPr>
        <w:pStyle w:val="Footnoteheading"/>
      </w:pPr>
      <w:r>
        <w:tab/>
        <w:t>[Heading amended: No. 28 of 2006 s. 169.]</w:t>
      </w:r>
    </w:p>
    <w:p>
      <w:pPr>
        <w:pStyle w:val="Heading5"/>
        <w:rPr>
          <w:snapToGrid w:val="0"/>
        </w:rPr>
      </w:pPr>
      <w:bookmarkStart w:id="33" w:name="_Toc375142957"/>
      <w:bookmarkStart w:id="34" w:name="_Toc416788134"/>
      <w:r>
        <w:rPr>
          <w:rStyle w:val="CharSectno"/>
        </w:rPr>
        <w:t>5</w:t>
      </w:r>
      <w:r>
        <w:rPr>
          <w:snapToGrid w:val="0"/>
        </w:rPr>
        <w:t>.</w:t>
      </w:r>
      <w:r>
        <w:rPr>
          <w:snapToGrid w:val="0"/>
        </w:rPr>
        <w:tab/>
        <w:t>Director of Energy Safety</w:t>
      </w:r>
      <w:bookmarkEnd w:id="33"/>
      <w:bookmarkEnd w:id="34"/>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No. 28 of 2006 s. 170.]</w:t>
      </w:r>
    </w:p>
    <w:p>
      <w:pPr>
        <w:pStyle w:val="Heading5"/>
        <w:rPr>
          <w:snapToGrid w:val="0"/>
        </w:rPr>
      </w:pPr>
      <w:bookmarkStart w:id="35" w:name="_Toc375142958"/>
      <w:bookmarkStart w:id="36" w:name="_Toc416788135"/>
      <w:r>
        <w:rPr>
          <w:rStyle w:val="CharSectno"/>
        </w:rPr>
        <w:t>7</w:t>
      </w:r>
      <w:r>
        <w:rPr>
          <w:snapToGrid w:val="0"/>
        </w:rPr>
        <w:t>.</w:t>
      </w:r>
      <w:r>
        <w:rPr>
          <w:snapToGrid w:val="0"/>
        </w:rPr>
        <w:tab/>
        <w:t>Director’s functions</w:t>
      </w:r>
      <w:bookmarkEnd w:id="35"/>
      <w:bookmarkEnd w:id="36"/>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No. 65 of 1998 s. 89; amended: No. 67 of 2003 Sch. 2 cl. 11; No. 74 of 2003 s. 10(3)(a); No. 5 of 2007 s. 12.]</w:t>
      </w:r>
    </w:p>
    <w:p>
      <w:pPr>
        <w:pStyle w:val="Heading5"/>
        <w:rPr>
          <w:snapToGrid w:val="0"/>
        </w:rPr>
      </w:pPr>
      <w:bookmarkStart w:id="37" w:name="_Toc375142959"/>
      <w:bookmarkStart w:id="38" w:name="_Toc416788136"/>
      <w:r>
        <w:rPr>
          <w:rStyle w:val="CharSectno"/>
        </w:rPr>
        <w:t>8</w:t>
      </w:r>
      <w:r>
        <w:rPr>
          <w:snapToGrid w:val="0"/>
        </w:rPr>
        <w:t>.</w:t>
      </w:r>
      <w:r>
        <w:rPr>
          <w:snapToGrid w:val="0"/>
        </w:rPr>
        <w:tab/>
        <w:t>Staff for Director</w:t>
      </w:r>
      <w:bookmarkEnd w:id="37"/>
      <w:bookmarkEnd w:id="38"/>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No. 28 of 2006 s. 171.]</w:t>
      </w:r>
    </w:p>
    <w:p>
      <w:pPr>
        <w:pStyle w:val="Heading5"/>
        <w:rPr>
          <w:snapToGrid w:val="0"/>
        </w:rPr>
      </w:pPr>
      <w:bookmarkStart w:id="39" w:name="_Toc375142960"/>
      <w:bookmarkStart w:id="40" w:name="_Toc416788137"/>
      <w:r>
        <w:rPr>
          <w:rStyle w:val="CharSectno"/>
        </w:rPr>
        <w:t>9</w:t>
      </w:r>
      <w:r>
        <w:rPr>
          <w:snapToGrid w:val="0"/>
        </w:rPr>
        <w:t>.</w:t>
      </w:r>
      <w:r>
        <w:rPr>
          <w:snapToGrid w:val="0"/>
        </w:rPr>
        <w:tab/>
        <w:t>Delegation by Director</w:t>
      </w:r>
      <w:bookmarkEnd w:id="39"/>
      <w:bookmarkEnd w:id="40"/>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No. 28 of 2006 s. 172.]</w:t>
      </w:r>
    </w:p>
    <w:p>
      <w:pPr>
        <w:pStyle w:val="Heading5"/>
        <w:rPr>
          <w:snapToGrid w:val="0"/>
        </w:rPr>
      </w:pPr>
      <w:bookmarkStart w:id="41" w:name="_Toc375142961"/>
      <w:bookmarkStart w:id="42" w:name="_Toc416788138"/>
      <w:r>
        <w:rPr>
          <w:rStyle w:val="CharSectno"/>
        </w:rPr>
        <w:t>10</w:t>
      </w:r>
      <w:r>
        <w:rPr>
          <w:snapToGrid w:val="0"/>
        </w:rPr>
        <w:t>.</w:t>
      </w:r>
      <w:r>
        <w:rPr>
          <w:snapToGrid w:val="0"/>
        </w:rPr>
        <w:tab/>
        <w:t>Minister may give directions to Director</w:t>
      </w:r>
      <w:bookmarkEnd w:id="41"/>
      <w:bookmarkEnd w:id="42"/>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No. 20 of 1999 s. 7; No. 67 of 2003 Sch. 2 cl. 12; No. 5 of 2005 s. 39; No. 28 of 2006 s. 173; No. 77 of 2006 Sch. 1 cl. 57(2).]</w:t>
      </w:r>
    </w:p>
    <w:p>
      <w:pPr>
        <w:pStyle w:val="Heading5"/>
        <w:rPr>
          <w:snapToGrid w:val="0"/>
        </w:rPr>
      </w:pPr>
      <w:bookmarkStart w:id="43" w:name="_Toc375142962"/>
      <w:bookmarkStart w:id="44" w:name="_Toc416788139"/>
      <w:r>
        <w:rPr>
          <w:rStyle w:val="CharSectno"/>
        </w:rPr>
        <w:t>11</w:t>
      </w:r>
      <w:r>
        <w:rPr>
          <w:snapToGrid w:val="0"/>
        </w:rPr>
        <w:t>.</w:t>
      </w:r>
      <w:r>
        <w:rPr>
          <w:snapToGrid w:val="0"/>
        </w:rPr>
        <w:tab/>
        <w:t>Minister to have access to information from Director</w:t>
      </w:r>
      <w:bookmarkEnd w:id="43"/>
      <w:bookmarkEnd w:id="44"/>
    </w:p>
    <w:p>
      <w:pPr>
        <w:pStyle w:val="Subsection"/>
        <w:keepNext/>
        <w:keepLines/>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No. 28 of 2006 s. 174.]</w:t>
      </w:r>
    </w:p>
    <w:p>
      <w:pPr>
        <w:pStyle w:val="Heading2"/>
      </w:pPr>
      <w:bookmarkStart w:id="45" w:name="_Toc375142709"/>
      <w:bookmarkStart w:id="46" w:name="_Toc375142963"/>
      <w:bookmarkStart w:id="47" w:name="_Toc416787887"/>
      <w:bookmarkStart w:id="48" w:name="_Toc416788140"/>
      <w:r>
        <w:rPr>
          <w:rStyle w:val="CharPartNo"/>
        </w:rPr>
        <w:t>Part 2A</w:t>
      </w:r>
      <w:r>
        <w:t xml:space="preserve"> — </w:t>
      </w:r>
      <w:r>
        <w:rPr>
          <w:rStyle w:val="CharPartText"/>
        </w:rPr>
        <w:t>Licensing of gas supply</w:t>
      </w:r>
      <w:bookmarkEnd w:id="45"/>
      <w:bookmarkEnd w:id="46"/>
      <w:bookmarkEnd w:id="47"/>
      <w:bookmarkEnd w:id="48"/>
    </w:p>
    <w:p>
      <w:pPr>
        <w:pStyle w:val="Footnoteheading"/>
      </w:pPr>
      <w:r>
        <w:tab/>
        <w:t>[Heading inserted: No. 20 of 1999 s. 8.]</w:t>
      </w:r>
    </w:p>
    <w:p>
      <w:pPr>
        <w:pStyle w:val="Heading3"/>
      </w:pPr>
      <w:bookmarkStart w:id="49" w:name="_Toc375142710"/>
      <w:bookmarkStart w:id="50" w:name="_Toc375142964"/>
      <w:bookmarkStart w:id="51" w:name="_Toc416787888"/>
      <w:bookmarkStart w:id="52" w:name="_Toc416788141"/>
      <w:r>
        <w:rPr>
          <w:rStyle w:val="CharDivNo"/>
        </w:rPr>
        <w:t>Division 1A</w:t>
      </w:r>
      <w:r>
        <w:t xml:space="preserve"> — </w:t>
      </w:r>
      <w:r>
        <w:rPr>
          <w:rStyle w:val="CharDivText"/>
        </w:rPr>
        <w:t>Role of Economic Regulation Authority</w:t>
      </w:r>
      <w:bookmarkEnd w:id="49"/>
      <w:bookmarkEnd w:id="50"/>
      <w:bookmarkEnd w:id="51"/>
      <w:bookmarkEnd w:id="52"/>
    </w:p>
    <w:p>
      <w:pPr>
        <w:pStyle w:val="Footnoteheading"/>
      </w:pPr>
      <w:r>
        <w:tab/>
        <w:t>[Heading inserted: No. 67 of 2003 Sch. 2 cl. 13.]</w:t>
      </w:r>
    </w:p>
    <w:p>
      <w:pPr>
        <w:pStyle w:val="Heading5"/>
      </w:pPr>
      <w:bookmarkStart w:id="53" w:name="_Toc375142965"/>
      <w:bookmarkStart w:id="54" w:name="_Toc416788142"/>
      <w:r>
        <w:rPr>
          <w:rStyle w:val="CharSectno"/>
        </w:rPr>
        <w:t>11AA</w:t>
      </w:r>
      <w:r>
        <w:t>.</w:t>
      </w:r>
      <w:r>
        <w:tab/>
        <w:t>Functions of Authority</w:t>
      </w:r>
      <w:bookmarkEnd w:id="53"/>
      <w:bookmarkEnd w:id="54"/>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No. 67 of 2003 Sch. 2 cl. 13.]</w:t>
      </w:r>
    </w:p>
    <w:p>
      <w:pPr>
        <w:pStyle w:val="Heading3"/>
      </w:pPr>
      <w:bookmarkStart w:id="55" w:name="_Toc375142712"/>
      <w:bookmarkStart w:id="56" w:name="_Toc375142966"/>
      <w:bookmarkStart w:id="57" w:name="_Toc416787890"/>
      <w:bookmarkStart w:id="58" w:name="_Toc416788143"/>
      <w:r>
        <w:rPr>
          <w:rStyle w:val="CharDivNo"/>
        </w:rPr>
        <w:t>Division 1</w:t>
      </w:r>
      <w:r>
        <w:t xml:space="preserve"> — </w:t>
      </w:r>
      <w:r>
        <w:rPr>
          <w:rStyle w:val="CharDivText"/>
        </w:rPr>
        <w:t>Supply areas</w:t>
      </w:r>
      <w:bookmarkEnd w:id="55"/>
      <w:bookmarkEnd w:id="56"/>
      <w:bookmarkEnd w:id="57"/>
      <w:bookmarkEnd w:id="58"/>
    </w:p>
    <w:p>
      <w:pPr>
        <w:pStyle w:val="Footnoteheading"/>
        <w:tabs>
          <w:tab w:val="left" w:pos="851"/>
        </w:tabs>
      </w:pPr>
      <w:r>
        <w:tab/>
        <w:t>[Heading inserted: No. 20 of 1999 s. 8.]</w:t>
      </w:r>
    </w:p>
    <w:p>
      <w:pPr>
        <w:pStyle w:val="Heading5"/>
      </w:pPr>
      <w:bookmarkStart w:id="59" w:name="_Toc375142967"/>
      <w:bookmarkStart w:id="60" w:name="_Toc416788144"/>
      <w:r>
        <w:rPr>
          <w:rStyle w:val="CharSectno"/>
        </w:rPr>
        <w:t>11A</w:t>
      </w:r>
      <w:r>
        <w:t>.</w:t>
      </w:r>
      <w:r>
        <w:tab/>
        <w:t>Constitution of supply areas</w:t>
      </w:r>
      <w:bookmarkEnd w:id="59"/>
      <w:bookmarkEnd w:id="60"/>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No. 20 of 1999 s. 8.]</w:t>
      </w:r>
    </w:p>
    <w:p>
      <w:pPr>
        <w:pStyle w:val="Heading5"/>
      </w:pPr>
      <w:bookmarkStart w:id="61" w:name="_Toc375142968"/>
      <w:bookmarkStart w:id="62" w:name="_Toc416788145"/>
      <w:r>
        <w:rPr>
          <w:rStyle w:val="CharSectno"/>
        </w:rPr>
        <w:t>11B</w:t>
      </w:r>
      <w:r>
        <w:t>.</w:t>
      </w:r>
      <w:r>
        <w:tab/>
        <w:t>Areas need not be continuous</w:t>
      </w:r>
      <w:bookmarkEnd w:id="61"/>
      <w:bookmarkEnd w:id="62"/>
    </w:p>
    <w:p>
      <w:pPr>
        <w:pStyle w:val="Subsection"/>
      </w:pPr>
      <w:r>
        <w:tab/>
      </w:r>
      <w:r>
        <w:tab/>
        <w:t>A supply area may be one continuous area or be made up of 2 or more separate areas.</w:t>
      </w:r>
    </w:p>
    <w:p>
      <w:pPr>
        <w:pStyle w:val="Footnotesection"/>
      </w:pPr>
      <w:r>
        <w:tab/>
        <w:t>[Section 11B inserted: No. 20 of 1999 s. 8.]</w:t>
      </w:r>
    </w:p>
    <w:p>
      <w:pPr>
        <w:pStyle w:val="Heading5"/>
      </w:pPr>
      <w:bookmarkStart w:id="63" w:name="_Toc375142969"/>
      <w:bookmarkStart w:id="64" w:name="_Toc416788146"/>
      <w:r>
        <w:rPr>
          <w:rStyle w:val="CharSectno"/>
        </w:rPr>
        <w:t>11C</w:t>
      </w:r>
      <w:r>
        <w:t>.</w:t>
      </w:r>
      <w:r>
        <w:tab/>
        <w:t>Consultation</w:t>
      </w:r>
      <w:bookmarkEnd w:id="63"/>
      <w:bookmarkEnd w:id="64"/>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No. 20 of 1999 s. 8.]</w:t>
      </w:r>
    </w:p>
    <w:p>
      <w:pPr>
        <w:pStyle w:val="Heading3"/>
      </w:pPr>
      <w:bookmarkStart w:id="65" w:name="_Toc375142716"/>
      <w:bookmarkStart w:id="66" w:name="_Toc375142970"/>
      <w:bookmarkStart w:id="67" w:name="_Toc416787894"/>
      <w:bookmarkStart w:id="68" w:name="_Toc416788147"/>
      <w:r>
        <w:rPr>
          <w:rStyle w:val="CharDivNo"/>
        </w:rPr>
        <w:t>Division 2</w:t>
      </w:r>
      <w:r>
        <w:t xml:space="preserve"> — </w:t>
      </w:r>
      <w:r>
        <w:rPr>
          <w:rStyle w:val="CharDivText"/>
        </w:rPr>
        <w:t>Licence classification and area of operation</w:t>
      </w:r>
      <w:bookmarkEnd w:id="65"/>
      <w:bookmarkEnd w:id="66"/>
      <w:bookmarkEnd w:id="67"/>
      <w:bookmarkEnd w:id="68"/>
    </w:p>
    <w:p>
      <w:pPr>
        <w:pStyle w:val="Footnoteheading"/>
        <w:tabs>
          <w:tab w:val="left" w:pos="851"/>
        </w:tabs>
      </w:pPr>
      <w:r>
        <w:tab/>
        <w:t>[Heading inserted: No. 20 of 1999 s. 8.]</w:t>
      </w:r>
    </w:p>
    <w:p>
      <w:pPr>
        <w:pStyle w:val="Heading5"/>
      </w:pPr>
      <w:bookmarkStart w:id="69" w:name="_Toc375142971"/>
      <w:bookmarkStart w:id="70" w:name="_Toc416788148"/>
      <w:r>
        <w:rPr>
          <w:rStyle w:val="CharSectno"/>
        </w:rPr>
        <w:t>11D</w:t>
      </w:r>
      <w:r>
        <w:t>.</w:t>
      </w:r>
      <w:r>
        <w:tab/>
        <w:t>Classification of licences</w:t>
      </w:r>
      <w:bookmarkEnd w:id="69"/>
      <w:bookmarkEnd w:id="70"/>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No. 20 of 1999 s. 8.]</w:t>
      </w:r>
    </w:p>
    <w:p>
      <w:pPr>
        <w:pStyle w:val="Heading5"/>
      </w:pPr>
      <w:bookmarkStart w:id="71" w:name="_Toc375142972"/>
      <w:bookmarkStart w:id="72" w:name="_Toc416788149"/>
      <w:r>
        <w:rPr>
          <w:rStyle w:val="CharSectno"/>
        </w:rPr>
        <w:t>11E</w:t>
      </w:r>
      <w:r>
        <w:t>.</w:t>
      </w:r>
      <w:r>
        <w:tab/>
        <w:t>Area to which licence applies</w:t>
      </w:r>
      <w:bookmarkEnd w:id="71"/>
      <w:bookmarkEnd w:id="72"/>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No. 20 of 1999 s. 8; amended: No. 74 of 2003 s. 50(2).]</w:t>
      </w:r>
    </w:p>
    <w:p>
      <w:pPr>
        <w:pStyle w:val="Heading3"/>
        <w:keepLines/>
      </w:pPr>
      <w:bookmarkStart w:id="73" w:name="_Toc375142719"/>
      <w:bookmarkStart w:id="74" w:name="_Toc375142973"/>
      <w:bookmarkStart w:id="75" w:name="_Toc416787897"/>
      <w:bookmarkStart w:id="76" w:name="_Toc416788150"/>
      <w:r>
        <w:rPr>
          <w:rStyle w:val="CharDivNo"/>
        </w:rPr>
        <w:t>Division 3</w:t>
      </w:r>
      <w:r>
        <w:t xml:space="preserve"> — </w:t>
      </w:r>
      <w:r>
        <w:rPr>
          <w:rStyle w:val="CharDivText"/>
        </w:rPr>
        <w:t>Licensing requirements</w:t>
      </w:r>
      <w:bookmarkEnd w:id="73"/>
      <w:bookmarkEnd w:id="74"/>
      <w:bookmarkEnd w:id="75"/>
      <w:bookmarkEnd w:id="76"/>
    </w:p>
    <w:p>
      <w:pPr>
        <w:pStyle w:val="Footnoteheading"/>
        <w:tabs>
          <w:tab w:val="left" w:pos="851"/>
        </w:tabs>
      </w:pPr>
      <w:r>
        <w:tab/>
        <w:t>[Heading inserted: No. 20 of 1999 s. 8.]</w:t>
      </w:r>
    </w:p>
    <w:p>
      <w:pPr>
        <w:pStyle w:val="Heading5"/>
      </w:pPr>
      <w:bookmarkStart w:id="77" w:name="_Toc375142974"/>
      <w:bookmarkStart w:id="78" w:name="_Toc416788151"/>
      <w:r>
        <w:rPr>
          <w:rStyle w:val="CharSectno"/>
        </w:rPr>
        <w:t>11F</w:t>
      </w:r>
      <w:r>
        <w:t>.</w:t>
      </w:r>
      <w:r>
        <w:tab/>
        <w:t>Licensing extends to statutory providers</w:t>
      </w:r>
      <w:bookmarkEnd w:id="77"/>
      <w:bookmarkEnd w:id="78"/>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No. 20 of 1999 s. 8.]</w:t>
      </w:r>
    </w:p>
    <w:p>
      <w:pPr>
        <w:pStyle w:val="Heading5"/>
      </w:pPr>
      <w:bookmarkStart w:id="79" w:name="_Toc375142975"/>
      <w:bookmarkStart w:id="80" w:name="_Toc416788152"/>
      <w:r>
        <w:rPr>
          <w:rStyle w:val="CharSectno"/>
        </w:rPr>
        <w:t>11G</w:t>
      </w:r>
      <w:r>
        <w:t>.</w:t>
      </w:r>
      <w:r>
        <w:tab/>
        <w:t>Requirement for licence</w:t>
      </w:r>
      <w:bookmarkEnd w:id="79"/>
      <w:bookmarkEnd w:id="80"/>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No. 20 of 1999 s. 8; amended: No. 67 of 2003 Sch. 2 cl. 23.]</w:t>
      </w:r>
    </w:p>
    <w:p>
      <w:pPr>
        <w:pStyle w:val="Heading5"/>
      </w:pPr>
      <w:bookmarkStart w:id="81" w:name="_Toc375142976"/>
      <w:bookmarkStart w:id="82" w:name="_Toc416788153"/>
      <w:r>
        <w:rPr>
          <w:rStyle w:val="CharSectno"/>
        </w:rPr>
        <w:t>11H</w:t>
      </w:r>
      <w:r>
        <w:t>.</w:t>
      </w:r>
      <w:r>
        <w:tab/>
        <w:t>Power to exempt</w:t>
      </w:r>
      <w:bookmarkEnd w:id="81"/>
      <w:bookmarkEnd w:id="82"/>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No. 20 of 1999 s. 8; amended: No. 53 of 2003 s. 4; No. 67 of 2003 Sch. 2 cl. 14.]</w:t>
      </w:r>
    </w:p>
    <w:p>
      <w:pPr>
        <w:pStyle w:val="Heading5"/>
      </w:pPr>
      <w:bookmarkStart w:id="83" w:name="_Toc375142977"/>
      <w:bookmarkStart w:id="84" w:name="_Toc416788154"/>
      <w:r>
        <w:rPr>
          <w:rStyle w:val="CharSectno"/>
        </w:rPr>
        <w:t>11I</w:t>
      </w:r>
      <w:r>
        <w:t>.</w:t>
      </w:r>
      <w:r>
        <w:tab/>
        <w:t>Transitional provision</w:t>
      </w:r>
      <w:bookmarkEnd w:id="83"/>
      <w:bookmarkEnd w:id="84"/>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under section 11ZH for review of the decision expires without an application being made or an application is made but is unsuccessful,</w:t>
      </w:r>
    </w:p>
    <w:p>
      <w:pPr>
        <w:pStyle w:val="Subsection"/>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No. 20 of 1999 s. 8; amended: No. 55 of 2004 s. 296.]</w:t>
      </w:r>
    </w:p>
    <w:p>
      <w:pPr>
        <w:pStyle w:val="Heading3"/>
      </w:pPr>
      <w:bookmarkStart w:id="85" w:name="_Toc375142724"/>
      <w:bookmarkStart w:id="86" w:name="_Toc375142978"/>
      <w:bookmarkStart w:id="87" w:name="_Toc416787902"/>
      <w:bookmarkStart w:id="88" w:name="_Toc416788155"/>
      <w:r>
        <w:rPr>
          <w:rStyle w:val="CharDivNo"/>
        </w:rPr>
        <w:t>Division 4</w:t>
      </w:r>
      <w:r>
        <w:t xml:space="preserve"> — </w:t>
      </w:r>
      <w:r>
        <w:rPr>
          <w:rStyle w:val="CharDivText"/>
        </w:rPr>
        <w:t>Licence application, grant, etc.</w:t>
      </w:r>
      <w:bookmarkEnd w:id="85"/>
      <w:bookmarkEnd w:id="86"/>
      <w:bookmarkEnd w:id="87"/>
      <w:bookmarkEnd w:id="88"/>
    </w:p>
    <w:p>
      <w:pPr>
        <w:pStyle w:val="Footnoteheading"/>
        <w:tabs>
          <w:tab w:val="left" w:pos="851"/>
        </w:tabs>
      </w:pPr>
      <w:r>
        <w:tab/>
        <w:t>[Heading inserted: No. 20 of 1999 s. 8.]</w:t>
      </w:r>
    </w:p>
    <w:p>
      <w:pPr>
        <w:pStyle w:val="Ednotesection"/>
      </w:pPr>
      <w:r>
        <w:t>[</w:t>
      </w:r>
      <w:r>
        <w:rPr>
          <w:b/>
        </w:rPr>
        <w:t>11J.</w:t>
      </w:r>
      <w:r>
        <w:rPr>
          <w:b/>
        </w:rPr>
        <w:tab/>
      </w:r>
      <w:r>
        <w:t>Deleted: No. 16 of 2009 s. 63.]</w:t>
      </w:r>
    </w:p>
    <w:p>
      <w:pPr>
        <w:pStyle w:val="Heading5"/>
      </w:pPr>
      <w:bookmarkStart w:id="89" w:name="_Toc375142979"/>
      <w:bookmarkStart w:id="90" w:name="_Toc416788156"/>
      <w:r>
        <w:rPr>
          <w:rStyle w:val="CharSectno"/>
        </w:rPr>
        <w:t>11K</w:t>
      </w:r>
      <w:r>
        <w:t>.</w:t>
      </w:r>
      <w:r>
        <w:tab/>
        <w:t>Authority to consider public interest</w:t>
      </w:r>
      <w:bookmarkEnd w:id="89"/>
      <w:bookmarkEnd w:id="90"/>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No. 20 of 1999 s. 8; amended: No. 67 of 2003 Sch. 2 cl. 15 and 23.]</w:t>
      </w:r>
    </w:p>
    <w:p>
      <w:pPr>
        <w:pStyle w:val="Heading5"/>
      </w:pPr>
      <w:bookmarkStart w:id="91" w:name="_Toc375142980"/>
      <w:bookmarkStart w:id="92" w:name="_Toc416788157"/>
      <w:r>
        <w:rPr>
          <w:rStyle w:val="CharSectno"/>
        </w:rPr>
        <w:t>11L</w:t>
      </w:r>
      <w:r>
        <w:t>.</w:t>
      </w:r>
      <w:r>
        <w:tab/>
        <w:t>Application for licence</w:t>
      </w:r>
      <w:bookmarkEnd w:id="91"/>
      <w:bookmarkEnd w:id="92"/>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pPr>
      <w:r>
        <w:tab/>
        <w:t>(c)</w:t>
      </w:r>
      <w:r>
        <w:tab/>
        <w:t>the methods or standards that the applicant proposes to apply in supplying gas; and</w:t>
      </w:r>
    </w:p>
    <w:p>
      <w:pPr>
        <w:pStyle w:val="Indenta"/>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No. 20 of 1999 s. 8; amended: No. 53 of 2003 s. 27; No. 67 of 2003 Sch. 2 cl. 23; No. 8 of 2009 s. 52(2).]</w:t>
      </w:r>
    </w:p>
    <w:p>
      <w:pPr>
        <w:pStyle w:val="Heading5"/>
      </w:pPr>
      <w:bookmarkStart w:id="93" w:name="_Toc375142981"/>
      <w:bookmarkStart w:id="94" w:name="_Toc416788158"/>
      <w:r>
        <w:rPr>
          <w:rStyle w:val="CharSectno"/>
        </w:rPr>
        <w:t>11M</w:t>
      </w:r>
      <w:r>
        <w:t>.</w:t>
      </w:r>
      <w:r>
        <w:tab/>
        <w:t>Terms and conditions of licence</w:t>
      </w:r>
      <w:bookmarkEnd w:id="93"/>
      <w:bookmarkEnd w:id="94"/>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National Gas Access (</w:t>
      </w:r>
      <w:smartTag w:uri="urn:schemas-microsoft-com:office:smarttags" w:element="place">
        <w:smartTag w:uri="urn:schemas-microsoft-com:office:smarttags" w:element="State">
          <w:r>
            <w:t>Western Australia</w:t>
          </w:r>
        </w:smartTag>
      </w:smartTag>
      <w:r>
        <w:t>) Law; or</w:t>
      </w:r>
    </w:p>
    <w:p>
      <w:pPr>
        <w:pStyle w:val="Indenta"/>
      </w:pPr>
      <w:r>
        <w:tab/>
        <w:t>(b)</w:t>
      </w:r>
      <w:r>
        <w:tab/>
        <w:t xml:space="preserve">regulations made under section 15 of the </w:t>
      </w:r>
      <w:r>
        <w:rPr>
          <w:i/>
        </w:rPr>
        <w:t>Gas Standards Act 1972</w:t>
      </w:r>
      <w:r>
        <w:t>.</w:t>
      </w:r>
    </w:p>
    <w:p>
      <w:pPr>
        <w:pStyle w:val="Footnotesection"/>
      </w:pPr>
      <w:r>
        <w:tab/>
        <w:t>[Section 11M inserted: No. 20 of 1999 s. 8; amended: No. 58 of 1999 s. 48; No. 53 of 2003 s. 5 and 94; No. 67 of 2003 Sch. 2 cl. 23; No. 74 of 2003 s. 50(3); No. 16 of 2009 s. 64.]</w:t>
      </w:r>
    </w:p>
    <w:p>
      <w:pPr>
        <w:pStyle w:val="Heading5"/>
      </w:pPr>
      <w:bookmarkStart w:id="95" w:name="_Toc375142982"/>
      <w:bookmarkStart w:id="96" w:name="_Toc416788159"/>
      <w:r>
        <w:rPr>
          <w:rStyle w:val="CharSectno"/>
        </w:rPr>
        <w:t>11N</w:t>
      </w:r>
      <w:r>
        <w:t>.</w:t>
      </w:r>
      <w:r>
        <w:tab/>
        <w:t>Authority may grant more than one licence for supply area</w:t>
      </w:r>
      <w:bookmarkEnd w:id="95"/>
      <w:bookmarkEnd w:id="96"/>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No. 20 of 1999 s. 8; amended: No. 53 of 2003 s. 63; No. 67 of 2003 Sch. 2 cl. 23.]</w:t>
      </w:r>
    </w:p>
    <w:p>
      <w:pPr>
        <w:pStyle w:val="Heading5"/>
      </w:pPr>
      <w:bookmarkStart w:id="97" w:name="_Toc375142983"/>
      <w:bookmarkStart w:id="98" w:name="_Toc416788160"/>
      <w:r>
        <w:rPr>
          <w:rStyle w:val="CharSectno"/>
        </w:rPr>
        <w:t>11O</w:t>
      </w:r>
      <w:r>
        <w:t>.</w:t>
      </w:r>
      <w:r>
        <w:tab/>
        <w:t>Duration of licence</w:t>
      </w:r>
      <w:bookmarkEnd w:id="97"/>
      <w:bookmarkEnd w:id="98"/>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No. 20 of 1999 s. 8; amended: No. 67 of 2003 Sch. 2 cl. 23.]</w:t>
      </w:r>
    </w:p>
    <w:p>
      <w:pPr>
        <w:pStyle w:val="Heading5"/>
      </w:pPr>
      <w:bookmarkStart w:id="99" w:name="_Toc375142984"/>
      <w:bookmarkStart w:id="100" w:name="_Toc416788161"/>
      <w:r>
        <w:rPr>
          <w:rStyle w:val="CharSectno"/>
        </w:rPr>
        <w:t>11P</w:t>
      </w:r>
      <w:r>
        <w:t>.</w:t>
      </w:r>
      <w:r>
        <w:tab/>
        <w:t>Renewal of licence</w:t>
      </w:r>
      <w:bookmarkEnd w:id="99"/>
      <w:bookmarkEnd w:id="100"/>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No. 20 of 1999 s. 8; amended: No. 53 of 2003 s. 6; No. 67 of 2003 Sch. 2 cl. 23.]</w:t>
      </w:r>
    </w:p>
    <w:p>
      <w:pPr>
        <w:pStyle w:val="Heading5"/>
      </w:pPr>
      <w:bookmarkStart w:id="101" w:name="_Toc375142985"/>
      <w:bookmarkStart w:id="102" w:name="_Toc416788162"/>
      <w:r>
        <w:rPr>
          <w:rStyle w:val="CharSectno"/>
        </w:rPr>
        <w:t>11Q</w:t>
      </w:r>
      <w:r>
        <w:t>.</w:t>
      </w:r>
      <w:r>
        <w:tab/>
        <w:t>Licence fee</w:t>
      </w:r>
      <w:bookmarkEnd w:id="101"/>
      <w:bookmarkEnd w:id="102"/>
    </w:p>
    <w:p>
      <w:pPr>
        <w:pStyle w:val="Subsection"/>
        <w:spacing w:before="120"/>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spacing w:before="120"/>
      </w:pPr>
      <w:r>
        <w:tab/>
        <w:t>(2)</w:t>
      </w:r>
      <w:r>
        <w:tab/>
        <w:t>Regulations made under section 26 may prescribe different licence fees for each of the classifications referred to in section 11D(1).</w:t>
      </w:r>
    </w:p>
    <w:p>
      <w:pPr>
        <w:pStyle w:val="Subsection"/>
        <w:spacing w:before="120"/>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spacing w:before="120"/>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spacing w:before="120"/>
      </w:pPr>
      <w:r>
        <w:tab/>
        <w:t>(3)</w:t>
      </w:r>
      <w:r>
        <w:tab/>
        <w:t>The Authority may recover any outstanding licence fee in a court of competent jurisdiction as a debt due by the licensee to the Crown.</w:t>
      </w:r>
    </w:p>
    <w:p>
      <w:pPr>
        <w:pStyle w:val="Subsection"/>
        <w:spacing w:before="120"/>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No. 20 of 1999 s. 8; amended: No. 53 of 2003 s. 35; No. 67 of 2003 Sch. 2 cl. 23.]</w:t>
      </w:r>
    </w:p>
    <w:p>
      <w:pPr>
        <w:pStyle w:val="Heading5"/>
        <w:spacing w:before="180"/>
      </w:pPr>
      <w:bookmarkStart w:id="103" w:name="_Toc375142986"/>
      <w:bookmarkStart w:id="104" w:name="_Toc416788163"/>
      <w:r>
        <w:rPr>
          <w:rStyle w:val="CharSectno"/>
        </w:rPr>
        <w:t>11R</w:t>
      </w:r>
      <w:r>
        <w:t>.</w:t>
      </w:r>
      <w:r>
        <w:tab/>
        <w:t>Transfer of licence</w:t>
      </w:r>
      <w:bookmarkEnd w:id="103"/>
      <w:bookmarkEnd w:id="104"/>
    </w:p>
    <w:p>
      <w:pPr>
        <w:pStyle w:val="Subsection"/>
        <w:spacing w:before="120"/>
      </w:pPr>
      <w:r>
        <w:tab/>
        <w:t>(1)</w:t>
      </w:r>
      <w:r>
        <w:tab/>
        <w:t>A licence cannot be transferred except with the approval of the Authority.</w:t>
      </w:r>
    </w:p>
    <w:p>
      <w:pPr>
        <w:pStyle w:val="Subsection"/>
        <w:spacing w:before="120"/>
      </w:pPr>
      <w:r>
        <w:tab/>
        <w:t>(2)</w:t>
      </w:r>
      <w:r>
        <w:tab/>
        <w:t>Approval for the purposes of subsection (1) may be given on such terms and conditions as are determined by the Authority.</w:t>
      </w:r>
    </w:p>
    <w:p>
      <w:pPr>
        <w:pStyle w:val="Subsection"/>
        <w:spacing w:before="120"/>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120"/>
      </w:pPr>
      <w:r>
        <w:tab/>
        <w:t>(4)</w:t>
      </w:r>
      <w:r>
        <w:tab/>
        <w:t>An applicant must also provide such other information as the Authority may request for the proper consideration of the application.</w:t>
      </w:r>
    </w:p>
    <w:p>
      <w:pPr>
        <w:pStyle w:val="Footnotesection"/>
      </w:pPr>
      <w:r>
        <w:tab/>
        <w:t>[Section 11R inserted: No. 20 of 1999 s. 8; amended: No. 53 of 2003 s. 7; No. 67 of 2003 Sch. 2 cl. 23.]</w:t>
      </w:r>
    </w:p>
    <w:p>
      <w:pPr>
        <w:pStyle w:val="Heading5"/>
        <w:spacing w:before="180"/>
      </w:pPr>
      <w:bookmarkStart w:id="105" w:name="_Toc375142987"/>
      <w:bookmarkStart w:id="106" w:name="_Toc416788164"/>
      <w:r>
        <w:rPr>
          <w:rStyle w:val="CharSectno"/>
        </w:rPr>
        <w:t>11S</w:t>
      </w:r>
      <w:r>
        <w:t>.</w:t>
      </w:r>
      <w:r>
        <w:tab/>
        <w:t>Decisions as to grant, renewal or transfer</w:t>
      </w:r>
      <w:bookmarkEnd w:id="105"/>
      <w:bookmarkEnd w:id="106"/>
    </w:p>
    <w:p>
      <w:pPr>
        <w:pStyle w:val="Subsection"/>
        <w:spacing w:before="120"/>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No. 20 of 1999 s. 8; amended: No. 53 of 2003 s. 8; No. 67 of 2003 Sch. 2 cl. 16 and 23.]</w:t>
      </w:r>
    </w:p>
    <w:p>
      <w:pPr>
        <w:pStyle w:val="Heading5"/>
      </w:pPr>
      <w:bookmarkStart w:id="107" w:name="_Toc375142988"/>
      <w:bookmarkStart w:id="108" w:name="_Toc416788165"/>
      <w:r>
        <w:rPr>
          <w:rStyle w:val="CharSectno"/>
        </w:rPr>
        <w:t>11T</w:t>
      </w:r>
      <w:r>
        <w:t>.</w:t>
      </w:r>
      <w:r>
        <w:tab/>
        <w:t>Notice of decisions</w:t>
      </w:r>
      <w:bookmarkEnd w:id="107"/>
      <w:bookmarkEnd w:id="108"/>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No. 20 of 1999 s. 8; amended: No. 67 of 2003 Sch. 2 cl. 23.]</w:t>
      </w:r>
    </w:p>
    <w:p>
      <w:pPr>
        <w:pStyle w:val="Heading5"/>
      </w:pPr>
      <w:bookmarkStart w:id="109" w:name="_Toc375142989"/>
      <w:bookmarkStart w:id="110" w:name="_Toc416788166"/>
      <w:r>
        <w:rPr>
          <w:rStyle w:val="CharSectno"/>
        </w:rPr>
        <w:t>11U</w:t>
      </w:r>
      <w:r>
        <w:t>.</w:t>
      </w:r>
      <w:r>
        <w:tab/>
        <w:t>Licences to be available for inspection</w:t>
      </w:r>
      <w:bookmarkEnd w:id="109"/>
      <w:bookmarkEnd w:id="110"/>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No. 20 of 1999 s. 8; amended: No. 67 of 2003 Sch. 2 cl. 17 and 23.]</w:t>
      </w:r>
    </w:p>
    <w:p>
      <w:pPr>
        <w:pStyle w:val="Heading5"/>
      </w:pPr>
      <w:bookmarkStart w:id="111" w:name="_Toc375142990"/>
      <w:bookmarkStart w:id="112" w:name="_Toc416788167"/>
      <w:r>
        <w:rPr>
          <w:rStyle w:val="CharSectno"/>
        </w:rPr>
        <w:t>11V</w:t>
      </w:r>
      <w:r>
        <w:t>.</w:t>
      </w:r>
      <w:r>
        <w:tab/>
        <w:t>Other laws not affected</w:t>
      </w:r>
      <w:bookmarkEnd w:id="111"/>
      <w:bookmarkEnd w:id="112"/>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A licence does not have effect to the extent that it would be inconsistent with the National Gas Access (</w:t>
      </w:r>
      <w:smartTag w:uri="urn:schemas-microsoft-com:office:smarttags" w:element="place">
        <w:smartTag w:uri="urn:schemas-microsoft-com:office:smarttags" w:element="State">
          <w:r>
            <w:t>Western Australia</w:t>
          </w:r>
        </w:smartTag>
      </w:smartTag>
      <w:r>
        <w:t>) Law.</w:t>
      </w:r>
    </w:p>
    <w:p>
      <w:pPr>
        <w:pStyle w:val="Footnotesection"/>
      </w:pPr>
      <w:r>
        <w:tab/>
        <w:t>[Section 11V inserted: No. 20 of 1999 s. 8; amended: No. 16 of 2009 s. 65.]</w:t>
      </w:r>
    </w:p>
    <w:p>
      <w:pPr>
        <w:pStyle w:val="Heading5"/>
      </w:pPr>
      <w:bookmarkStart w:id="113" w:name="_Toc375142991"/>
      <w:bookmarkStart w:id="114" w:name="_Toc416788168"/>
      <w:r>
        <w:rPr>
          <w:rStyle w:val="CharSectno"/>
        </w:rPr>
        <w:t>11VA</w:t>
      </w:r>
      <w:r>
        <w:t>.</w:t>
      </w:r>
      <w:r>
        <w:tab/>
        <w:t>Amendment of licence on application of licensee</w:t>
      </w:r>
      <w:bookmarkEnd w:id="113"/>
      <w:bookmarkEnd w:id="114"/>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No. 53 of 2003 s. 9.]</w:t>
      </w:r>
    </w:p>
    <w:p>
      <w:pPr>
        <w:pStyle w:val="Heading5"/>
      </w:pPr>
      <w:bookmarkStart w:id="115" w:name="_Toc375142992"/>
      <w:bookmarkStart w:id="116" w:name="_Toc416788169"/>
      <w:r>
        <w:rPr>
          <w:rStyle w:val="CharSectno"/>
        </w:rPr>
        <w:t>11W</w:t>
      </w:r>
      <w:r>
        <w:t>.</w:t>
      </w:r>
      <w:r>
        <w:tab/>
        <w:t>Amendment of licence</w:t>
      </w:r>
      <w:bookmarkEnd w:id="115"/>
      <w:bookmarkEnd w:id="116"/>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No. 20 of 1999 s. 8; amended: No. 53 of 2003 s. 10; No. 67 of 2003 Sch. 2 cl. 23.]</w:t>
      </w:r>
    </w:p>
    <w:p>
      <w:pPr>
        <w:pStyle w:val="Heading5"/>
      </w:pPr>
      <w:bookmarkStart w:id="117" w:name="_Toc375142993"/>
      <w:bookmarkStart w:id="118" w:name="_Toc416788170"/>
      <w:r>
        <w:rPr>
          <w:rStyle w:val="CharSectno"/>
        </w:rPr>
        <w:t>11WA</w:t>
      </w:r>
      <w:r>
        <w:t>.</w:t>
      </w:r>
      <w:r>
        <w:tab/>
        <w:t>Regulations about public consultation</w:t>
      </w:r>
      <w:bookmarkEnd w:id="117"/>
      <w:bookmarkEnd w:id="118"/>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No. 67 of 2003 Sch. 2 cl. 18.]</w:t>
      </w:r>
    </w:p>
    <w:p>
      <w:pPr>
        <w:pStyle w:val="Heading3"/>
      </w:pPr>
      <w:bookmarkStart w:id="119" w:name="_Toc375142740"/>
      <w:bookmarkStart w:id="120" w:name="_Toc375142994"/>
      <w:bookmarkStart w:id="121" w:name="_Toc416787918"/>
      <w:bookmarkStart w:id="122" w:name="_Toc416788171"/>
      <w:r>
        <w:rPr>
          <w:rStyle w:val="CharDivNo"/>
        </w:rPr>
        <w:t>Division 4A</w:t>
      </w:r>
      <w:r>
        <w:t xml:space="preserve"> — </w:t>
      </w:r>
      <w:r>
        <w:rPr>
          <w:rStyle w:val="CharDivText"/>
        </w:rPr>
        <w:t>Supply contracts for small use customers</w:t>
      </w:r>
      <w:bookmarkEnd w:id="119"/>
      <w:bookmarkEnd w:id="120"/>
      <w:bookmarkEnd w:id="121"/>
      <w:bookmarkEnd w:id="122"/>
    </w:p>
    <w:p>
      <w:pPr>
        <w:pStyle w:val="Footnoteheading"/>
        <w:keepNext/>
        <w:tabs>
          <w:tab w:val="left" w:pos="851"/>
        </w:tabs>
      </w:pPr>
      <w:r>
        <w:tab/>
        <w:t>[Heading inserted: No. 53 of 2003 s. 28.]</w:t>
      </w:r>
    </w:p>
    <w:p>
      <w:pPr>
        <w:pStyle w:val="Heading4"/>
      </w:pPr>
      <w:bookmarkStart w:id="123" w:name="_Toc375142741"/>
      <w:bookmarkStart w:id="124" w:name="_Toc375142995"/>
      <w:bookmarkStart w:id="125" w:name="_Toc416787919"/>
      <w:bookmarkStart w:id="126" w:name="_Toc416788172"/>
      <w:r>
        <w:t>Subdivision 1 — Preliminary</w:t>
      </w:r>
      <w:bookmarkEnd w:id="123"/>
      <w:bookmarkEnd w:id="124"/>
      <w:bookmarkEnd w:id="125"/>
      <w:bookmarkEnd w:id="126"/>
    </w:p>
    <w:p>
      <w:pPr>
        <w:pStyle w:val="Footnoteheading"/>
        <w:tabs>
          <w:tab w:val="left" w:pos="851"/>
        </w:tabs>
      </w:pPr>
      <w:r>
        <w:tab/>
        <w:t>[Heading inserted: No. 53 of 2003 s. 28.]</w:t>
      </w:r>
    </w:p>
    <w:p>
      <w:pPr>
        <w:pStyle w:val="Heading5"/>
      </w:pPr>
      <w:bookmarkStart w:id="127" w:name="_Toc375142996"/>
      <w:bookmarkStart w:id="128" w:name="_Toc416788173"/>
      <w:r>
        <w:rPr>
          <w:rStyle w:val="CharSectno"/>
        </w:rPr>
        <w:t>11WB</w:t>
      </w:r>
      <w:r>
        <w:t>.</w:t>
      </w:r>
      <w:r>
        <w:tab/>
        <w:t>Terms used</w:t>
      </w:r>
      <w:bookmarkEnd w:id="127"/>
      <w:bookmarkEnd w:id="128"/>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No. 53 of 2003 s. 28.]</w:t>
      </w:r>
    </w:p>
    <w:p>
      <w:pPr>
        <w:pStyle w:val="Heading4"/>
      </w:pPr>
      <w:bookmarkStart w:id="129" w:name="_Toc375142743"/>
      <w:bookmarkStart w:id="130" w:name="_Toc375142997"/>
      <w:bookmarkStart w:id="131" w:name="_Toc416787921"/>
      <w:bookmarkStart w:id="132" w:name="_Toc416788174"/>
      <w:r>
        <w:t>Subdivision 2 — Requirements for supply contracts</w:t>
      </w:r>
      <w:bookmarkEnd w:id="129"/>
      <w:bookmarkEnd w:id="130"/>
      <w:bookmarkEnd w:id="131"/>
      <w:bookmarkEnd w:id="132"/>
    </w:p>
    <w:p>
      <w:pPr>
        <w:pStyle w:val="Footnoteheading"/>
        <w:tabs>
          <w:tab w:val="left" w:pos="851"/>
        </w:tabs>
      </w:pPr>
      <w:r>
        <w:tab/>
        <w:t>[Heading inserted: No. 53 of 2003 s. 28.]</w:t>
      </w:r>
    </w:p>
    <w:p>
      <w:pPr>
        <w:pStyle w:val="Heading5"/>
      </w:pPr>
      <w:bookmarkStart w:id="133" w:name="_Toc375142998"/>
      <w:bookmarkStart w:id="134" w:name="_Toc416788175"/>
      <w:r>
        <w:rPr>
          <w:rStyle w:val="CharSectno"/>
        </w:rPr>
        <w:t>11WC</w:t>
      </w:r>
      <w:r>
        <w:t>.</w:t>
      </w:r>
      <w:r>
        <w:tab/>
        <w:t>Regulations as to supply contracts</w:t>
      </w:r>
      <w:bookmarkEnd w:id="133"/>
      <w:bookmarkEnd w:id="134"/>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keepNext/>
        <w:keepLines/>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No. 53 of 2003 s. 28.]</w:t>
      </w:r>
    </w:p>
    <w:p>
      <w:pPr>
        <w:pStyle w:val="Heading5"/>
      </w:pPr>
      <w:bookmarkStart w:id="135" w:name="_Toc375142999"/>
      <w:bookmarkStart w:id="136" w:name="_Toc416788176"/>
      <w:r>
        <w:rPr>
          <w:rStyle w:val="CharSectno"/>
        </w:rPr>
        <w:t>11WD</w:t>
      </w:r>
      <w:r>
        <w:t>.</w:t>
      </w:r>
      <w:r>
        <w:tab/>
        <w:t>Form of contract to be submitted with application for grant, renewal or transfer</w:t>
      </w:r>
      <w:bookmarkEnd w:id="135"/>
      <w:bookmarkEnd w:id="136"/>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No. 53 of 2003 s. 28.]</w:t>
      </w:r>
    </w:p>
    <w:p>
      <w:pPr>
        <w:pStyle w:val="Heading5"/>
      </w:pPr>
      <w:bookmarkStart w:id="137" w:name="_Toc375143000"/>
      <w:bookmarkStart w:id="138" w:name="_Toc416788177"/>
      <w:r>
        <w:rPr>
          <w:rStyle w:val="CharSectno"/>
        </w:rPr>
        <w:t>11WE</w:t>
      </w:r>
      <w:r>
        <w:t>.</w:t>
      </w:r>
      <w:r>
        <w:tab/>
        <w:t>Licence application not to be granted unless standard form contract approved</w:t>
      </w:r>
      <w:bookmarkEnd w:id="137"/>
      <w:bookmarkEnd w:id="138"/>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No. 53 of 2003 s. 28.]</w:t>
      </w:r>
    </w:p>
    <w:p>
      <w:pPr>
        <w:pStyle w:val="Heading5"/>
      </w:pPr>
      <w:bookmarkStart w:id="139" w:name="_Toc375143001"/>
      <w:bookmarkStart w:id="140" w:name="_Toc416788178"/>
      <w:r>
        <w:rPr>
          <w:rStyle w:val="CharSectno"/>
        </w:rPr>
        <w:t>11WF</w:t>
      </w:r>
      <w:r>
        <w:t>.</w:t>
      </w:r>
      <w:r>
        <w:tab/>
        <w:t>Approval of standard form contract</w:t>
      </w:r>
      <w:bookmarkEnd w:id="139"/>
      <w:bookmarkEnd w:id="140"/>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No. 53 of 2003 s. 28.]</w:t>
      </w:r>
    </w:p>
    <w:p>
      <w:pPr>
        <w:pStyle w:val="Heading5"/>
      </w:pPr>
      <w:bookmarkStart w:id="141" w:name="_Toc375143002"/>
      <w:bookmarkStart w:id="142" w:name="_Toc416788179"/>
      <w:r>
        <w:rPr>
          <w:rStyle w:val="CharSectno"/>
        </w:rPr>
        <w:t>11WG</w:t>
      </w:r>
      <w:r>
        <w:t>.</w:t>
      </w:r>
      <w:r>
        <w:tab/>
        <w:t>Licence conditions</w:t>
      </w:r>
      <w:bookmarkEnd w:id="141"/>
      <w:bookmarkEnd w:id="142"/>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keepNext/>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No. 53 of 2003 s. 28.]</w:t>
      </w:r>
    </w:p>
    <w:p>
      <w:pPr>
        <w:pStyle w:val="Heading5"/>
      </w:pPr>
      <w:bookmarkStart w:id="143" w:name="_Toc375143003"/>
      <w:bookmarkStart w:id="144" w:name="_Toc416788180"/>
      <w:r>
        <w:rPr>
          <w:rStyle w:val="CharSectno"/>
        </w:rPr>
        <w:t>11WH</w:t>
      </w:r>
      <w:r>
        <w:t>.</w:t>
      </w:r>
      <w:r>
        <w:tab/>
        <w:t>Amendment or replacement of standard form contract</w:t>
      </w:r>
      <w:bookmarkEnd w:id="143"/>
      <w:bookmarkEnd w:id="144"/>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No. 53 of 2003 s. 28.]</w:t>
      </w:r>
    </w:p>
    <w:p>
      <w:pPr>
        <w:pStyle w:val="Heading5"/>
      </w:pPr>
      <w:bookmarkStart w:id="145" w:name="_Toc375143004"/>
      <w:bookmarkStart w:id="146" w:name="_Toc416788181"/>
      <w:r>
        <w:rPr>
          <w:rStyle w:val="CharSectno"/>
        </w:rPr>
        <w:t>11WI</w:t>
      </w:r>
      <w:r>
        <w:t>.</w:t>
      </w:r>
      <w:r>
        <w:tab/>
        <w:t>Authority may direct that amendment be made</w:t>
      </w:r>
      <w:bookmarkEnd w:id="145"/>
      <w:bookmarkEnd w:id="146"/>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No. 53 of 2003 s. 28.]</w:t>
      </w:r>
    </w:p>
    <w:p>
      <w:pPr>
        <w:pStyle w:val="Heading4"/>
      </w:pPr>
      <w:bookmarkStart w:id="147" w:name="_Toc375142751"/>
      <w:bookmarkStart w:id="148" w:name="_Toc375143005"/>
      <w:bookmarkStart w:id="149" w:name="_Toc416787929"/>
      <w:bookmarkStart w:id="150" w:name="_Toc416788182"/>
      <w:r>
        <w:t>Subdivision 3 — Default supplier</w:t>
      </w:r>
      <w:bookmarkEnd w:id="147"/>
      <w:bookmarkEnd w:id="148"/>
      <w:bookmarkEnd w:id="149"/>
      <w:bookmarkEnd w:id="150"/>
    </w:p>
    <w:p>
      <w:pPr>
        <w:pStyle w:val="Footnoteheading"/>
        <w:tabs>
          <w:tab w:val="left" w:pos="851"/>
        </w:tabs>
      </w:pPr>
      <w:r>
        <w:tab/>
        <w:t>[Heading inserted: No. 53 of 2003 s. 28.]</w:t>
      </w:r>
    </w:p>
    <w:p>
      <w:pPr>
        <w:pStyle w:val="Heading5"/>
      </w:pPr>
      <w:bookmarkStart w:id="151" w:name="_Toc375143006"/>
      <w:bookmarkStart w:id="152" w:name="_Toc416788183"/>
      <w:r>
        <w:rPr>
          <w:rStyle w:val="CharSectno"/>
        </w:rPr>
        <w:t>11WJ</w:t>
      </w:r>
      <w:r>
        <w:t>.</w:t>
      </w:r>
      <w:r>
        <w:tab/>
        <w:t>Terms used</w:t>
      </w:r>
      <w:bookmarkEnd w:id="151"/>
      <w:bookmarkEnd w:id="152"/>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No. 53 of 2003 s. 28.]</w:t>
      </w:r>
    </w:p>
    <w:p>
      <w:pPr>
        <w:pStyle w:val="Heading5"/>
      </w:pPr>
      <w:bookmarkStart w:id="153" w:name="_Toc375143007"/>
      <w:bookmarkStart w:id="154" w:name="_Toc416788184"/>
      <w:r>
        <w:rPr>
          <w:rStyle w:val="CharSectno"/>
        </w:rPr>
        <w:t>11WK</w:t>
      </w:r>
      <w:r>
        <w:t>.</w:t>
      </w:r>
      <w:r>
        <w:tab/>
        <w:t>Deemed contract where customer takes gas without making arrangements</w:t>
      </w:r>
      <w:bookmarkEnd w:id="153"/>
      <w:bookmarkEnd w:id="154"/>
    </w:p>
    <w:p>
      <w:pPr>
        <w:pStyle w:val="Subsection"/>
      </w:pPr>
      <w:r>
        <w:tab/>
        <w:t>(1)</w:t>
      </w:r>
      <w:r>
        <w:tab/>
        <w:t>This section applies if a customer commences to take a supply of gas at premises without entering into a contract for that supply with the holder of a trading licence.</w:t>
      </w:r>
    </w:p>
    <w:p>
      <w:pPr>
        <w:pStyle w:val="Subsection"/>
        <w:keepLines/>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No. 53 of 2003 s. 28.]</w:t>
      </w:r>
    </w:p>
    <w:p>
      <w:pPr>
        <w:pStyle w:val="Heading5"/>
        <w:spacing w:before="180"/>
      </w:pPr>
      <w:bookmarkStart w:id="155" w:name="_Toc375143008"/>
      <w:bookmarkStart w:id="156" w:name="_Toc416788185"/>
      <w:r>
        <w:rPr>
          <w:rStyle w:val="CharSectno"/>
        </w:rPr>
        <w:t>11WL</w:t>
      </w:r>
      <w:r>
        <w:t>.</w:t>
      </w:r>
      <w:r>
        <w:tab/>
        <w:t>Determination of default supplier</w:t>
      </w:r>
      <w:bookmarkEnd w:id="155"/>
      <w:bookmarkEnd w:id="156"/>
    </w:p>
    <w:p>
      <w:pPr>
        <w:pStyle w:val="Subsection"/>
        <w:spacing w:before="120"/>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No. 53 of 2003 s. 28.]</w:t>
      </w:r>
    </w:p>
    <w:p>
      <w:pPr>
        <w:pStyle w:val="Heading3"/>
        <w:keepLines/>
        <w:spacing w:before="200"/>
      </w:pPr>
      <w:bookmarkStart w:id="157" w:name="_Toc375142755"/>
      <w:bookmarkStart w:id="158" w:name="_Toc375143009"/>
      <w:bookmarkStart w:id="159" w:name="_Toc416787933"/>
      <w:bookmarkStart w:id="160" w:name="_Toc416788186"/>
      <w:r>
        <w:rPr>
          <w:rStyle w:val="CharDivNo"/>
        </w:rPr>
        <w:t>Division 4B</w:t>
      </w:r>
      <w:r>
        <w:t> — </w:t>
      </w:r>
      <w:r>
        <w:rPr>
          <w:rStyle w:val="CharDivText"/>
        </w:rPr>
        <w:t>Exclusive licences</w:t>
      </w:r>
      <w:bookmarkEnd w:id="157"/>
      <w:bookmarkEnd w:id="158"/>
      <w:bookmarkEnd w:id="159"/>
      <w:bookmarkEnd w:id="160"/>
    </w:p>
    <w:p>
      <w:pPr>
        <w:pStyle w:val="Footnoteheading"/>
        <w:keepNext/>
        <w:keepLines/>
        <w:tabs>
          <w:tab w:val="left" w:pos="851"/>
        </w:tabs>
      </w:pPr>
      <w:r>
        <w:tab/>
        <w:t>[Heading inserted: No. 53 of 2003 s. 64.]</w:t>
      </w:r>
    </w:p>
    <w:p>
      <w:pPr>
        <w:pStyle w:val="Heading5"/>
        <w:keepNext w:val="0"/>
        <w:spacing w:before="180"/>
      </w:pPr>
      <w:bookmarkStart w:id="161" w:name="_Toc375143010"/>
      <w:bookmarkStart w:id="162" w:name="_Toc416788187"/>
      <w:r>
        <w:rPr>
          <w:rStyle w:val="CharSectno"/>
        </w:rPr>
        <w:t>11WM</w:t>
      </w:r>
      <w:r>
        <w:t>.</w:t>
      </w:r>
      <w:r>
        <w:tab/>
        <w:t>Regulations may authorise an exclusive licence</w:t>
      </w:r>
      <w:bookmarkEnd w:id="161"/>
      <w:bookmarkEnd w:id="162"/>
    </w:p>
    <w:p>
      <w:pPr>
        <w:pStyle w:val="Subsection"/>
        <w:spacing w:before="120"/>
      </w:pPr>
      <w:r>
        <w:tab/>
        <w:t>(1)</w:t>
      </w:r>
      <w:r>
        <w:tab/>
        <w:t xml:space="preserve">The Governor may, on the recommendation of the Minister, make regulations designating — </w:t>
      </w:r>
    </w:p>
    <w:p>
      <w:pPr>
        <w:pStyle w:val="Indenta"/>
      </w:pPr>
      <w:r>
        <w:tab/>
        <w:t>(a)</w:t>
      </w:r>
      <w:r>
        <w:tab/>
        <w:t xml:space="preserve">one or more supply areas; or </w:t>
      </w:r>
    </w:p>
    <w:p>
      <w:pPr>
        <w:pStyle w:val="Indenta"/>
      </w:pPr>
      <w:r>
        <w:tab/>
        <w:t>(b)</w:t>
      </w:r>
      <w:r>
        <w:tab/>
        <w:t>any part of a supply area,</w:t>
      </w:r>
    </w:p>
    <w:p>
      <w:pPr>
        <w:pStyle w:val="Subsection"/>
        <w:spacing w:before="120"/>
      </w:pPr>
      <w:r>
        <w:tab/>
      </w:r>
      <w:r>
        <w:tab/>
        <w:t>as an area in respect of which an exclusive licence may be granted for a specified period.</w:t>
      </w:r>
    </w:p>
    <w:p>
      <w:pPr>
        <w:pStyle w:val="Subsection"/>
        <w:spacing w:before="120"/>
      </w:pPr>
      <w:r>
        <w:tab/>
        <w:t>(2)</w:t>
      </w:r>
      <w:r>
        <w:tab/>
        <w:t xml:space="preserve">The specified period (the </w:t>
      </w:r>
      <w:r>
        <w:rPr>
          <w:rStyle w:val="CharDefText"/>
        </w:rPr>
        <w:t>period of exclusivity</w:t>
      </w:r>
      <w:r>
        <w:t>) is not to exceed 10 years.</w:t>
      </w:r>
    </w:p>
    <w:p>
      <w:pPr>
        <w:pStyle w:val="Footnotesection"/>
      </w:pPr>
      <w:r>
        <w:tab/>
        <w:t>[Section 11WM inserted: No. 53 of 2003 s. 64.]</w:t>
      </w:r>
    </w:p>
    <w:p>
      <w:pPr>
        <w:pStyle w:val="Heading5"/>
        <w:spacing w:before="260"/>
      </w:pPr>
      <w:bookmarkStart w:id="163" w:name="_Toc375143011"/>
      <w:bookmarkStart w:id="164" w:name="_Toc416788188"/>
      <w:r>
        <w:rPr>
          <w:rStyle w:val="CharSectno"/>
        </w:rPr>
        <w:t>11WN</w:t>
      </w:r>
      <w:r>
        <w:t>.</w:t>
      </w:r>
      <w:r>
        <w:tab/>
        <w:t>Requirements for regulations</w:t>
      </w:r>
      <w:bookmarkEnd w:id="163"/>
      <w:bookmarkEnd w:id="164"/>
    </w:p>
    <w:p>
      <w:pPr>
        <w:pStyle w:val="Subsection"/>
        <w:spacing w:before="200"/>
      </w:pPr>
      <w:r>
        <w:tab/>
        <w:t>(1)</w:t>
      </w:r>
      <w:r>
        <w:tab/>
        <w:t xml:space="preserve">The Minister may, under section 11WM, recommend the making of regulations in respect of a distribution licence or a trading licence only if he or she considers that — </w:t>
      </w:r>
    </w:p>
    <w:p>
      <w:pPr>
        <w:pStyle w:val="Indenta"/>
        <w:spacing w:before="100"/>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spacing w:before="100"/>
      </w:pPr>
      <w:r>
        <w:tab/>
        <w:t>(b)</w:t>
      </w:r>
      <w:r>
        <w:tab/>
        <w:t>it is not contrary to the public interest that an exclusive licence of that kind have effect in respect of the area during the period of exclusivity; and</w:t>
      </w:r>
    </w:p>
    <w:p>
      <w:pPr>
        <w:pStyle w:val="Indenta"/>
        <w:spacing w:before="100"/>
      </w:pPr>
      <w:r>
        <w:tab/>
        <w:t>(c)</w:t>
      </w:r>
      <w:r>
        <w:tab/>
        <w:t>the regulations will provide for an open and competitive tender process to be carried out to determine the person to whom the licence is to be granted.</w:t>
      </w:r>
    </w:p>
    <w:p>
      <w:pPr>
        <w:pStyle w:val="Subsection"/>
        <w:spacing w:before="200"/>
      </w:pPr>
      <w:r>
        <w:tab/>
        <w:t>(2)</w:t>
      </w:r>
      <w:r>
        <w:tab/>
        <w:t xml:space="preserve">Regulations made under section 11WM — </w:t>
      </w:r>
    </w:p>
    <w:p>
      <w:pPr>
        <w:pStyle w:val="Indenta"/>
        <w:spacing w:before="100"/>
      </w:pPr>
      <w:r>
        <w:tab/>
        <w:t>(a)</w:t>
      </w:r>
      <w:r>
        <w:tab/>
        <w:t>are to set out the requirements to be observed, in addition to the other provisions of this Part, before an exclusive licence may be granted; and</w:t>
      </w:r>
    </w:p>
    <w:p>
      <w:pPr>
        <w:pStyle w:val="Indenta"/>
        <w:spacing w:before="100"/>
      </w:pPr>
      <w:r>
        <w:tab/>
        <w:t>(b)</w:t>
      </w:r>
      <w:r>
        <w:tab/>
        <w:t>may provide for the terms and conditions of an exclusive licence in addition to those otherwise provided for by this Part.</w:t>
      </w:r>
    </w:p>
    <w:p>
      <w:pPr>
        <w:pStyle w:val="Footnotesection"/>
        <w:ind w:left="890" w:hanging="890"/>
      </w:pPr>
      <w:r>
        <w:tab/>
        <w:t>[Section 11WN inserted: No. 53 of 2003 s. 64.]</w:t>
      </w:r>
    </w:p>
    <w:p>
      <w:pPr>
        <w:pStyle w:val="Heading5"/>
        <w:spacing w:before="260"/>
      </w:pPr>
      <w:bookmarkStart w:id="165" w:name="_Toc375143012"/>
      <w:bookmarkStart w:id="166" w:name="_Toc416788189"/>
      <w:r>
        <w:rPr>
          <w:rStyle w:val="CharSectno"/>
        </w:rPr>
        <w:t>11WO</w:t>
      </w:r>
      <w:r>
        <w:t>.</w:t>
      </w:r>
      <w:r>
        <w:tab/>
        <w:t>Application for and grant of licence</w:t>
      </w:r>
      <w:bookmarkEnd w:id="165"/>
      <w:bookmarkEnd w:id="166"/>
    </w:p>
    <w:p>
      <w:pPr>
        <w:pStyle w:val="Subsection"/>
        <w:spacing w:before="20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20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No. 53 of 2003 s. 64.]</w:t>
      </w:r>
    </w:p>
    <w:p>
      <w:pPr>
        <w:pStyle w:val="Heading5"/>
      </w:pPr>
      <w:bookmarkStart w:id="167" w:name="_Toc375143013"/>
      <w:bookmarkStart w:id="168" w:name="_Toc416788190"/>
      <w:r>
        <w:rPr>
          <w:rStyle w:val="CharSectno"/>
        </w:rPr>
        <w:t>11WP</w:t>
      </w:r>
      <w:r>
        <w:t>.</w:t>
      </w:r>
      <w:r>
        <w:tab/>
        <w:t>Prohibition of further licences</w:t>
      </w:r>
      <w:bookmarkEnd w:id="167"/>
      <w:bookmarkEnd w:id="168"/>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keepLines w:val="0"/>
      </w:pPr>
      <w:r>
        <w:tab/>
        <w:t>[Section 11WP inserted: No. 53 of 2003 s. 64.]</w:t>
      </w:r>
    </w:p>
    <w:p>
      <w:pPr>
        <w:pStyle w:val="Heading5"/>
      </w:pPr>
      <w:bookmarkStart w:id="169" w:name="_Toc375143014"/>
      <w:bookmarkStart w:id="170" w:name="_Toc416788191"/>
      <w:r>
        <w:rPr>
          <w:rStyle w:val="CharSectno"/>
        </w:rPr>
        <w:t>11WQ</w:t>
      </w:r>
      <w:r>
        <w:t>.</w:t>
      </w:r>
      <w:r>
        <w:tab/>
        <w:t>Trade practices exemption</w:t>
      </w:r>
      <w:bookmarkEnd w:id="169"/>
      <w:bookmarkEnd w:id="170"/>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ind w:left="890" w:hanging="890"/>
      </w:pPr>
      <w:r>
        <w:tab/>
        <w:t>[Section 11WQ inserted: No. 53 of 2003 s. 64.]</w:t>
      </w:r>
    </w:p>
    <w:p>
      <w:pPr>
        <w:pStyle w:val="Heading3"/>
        <w:keepLines/>
      </w:pPr>
      <w:bookmarkStart w:id="171" w:name="_Toc375142761"/>
      <w:bookmarkStart w:id="172" w:name="_Toc375143015"/>
      <w:bookmarkStart w:id="173" w:name="_Toc416787939"/>
      <w:bookmarkStart w:id="174" w:name="_Toc416788192"/>
      <w:r>
        <w:rPr>
          <w:rStyle w:val="CharDivNo"/>
        </w:rPr>
        <w:t>Division 4C</w:t>
      </w:r>
      <w:r>
        <w:t xml:space="preserve"> — </w:t>
      </w:r>
      <w:r>
        <w:rPr>
          <w:rStyle w:val="CharDivText"/>
        </w:rPr>
        <w:t>Recovery of costs</w:t>
      </w:r>
      <w:bookmarkEnd w:id="171"/>
      <w:bookmarkEnd w:id="172"/>
      <w:bookmarkEnd w:id="173"/>
      <w:bookmarkEnd w:id="174"/>
    </w:p>
    <w:p>
      <w:pPr>
        <w:pStyle w:val="Footnoteheading"/>
        <w:keepNext/>
        <w:keepLines/>
        <w:tabs>
          <w:tab w:val="left" w:pos="851"/>
        </w:tabs>
      </w:pPr>
      <w:r>
        <w:tab/>
        <w:t>[Heading inserted: No. 53 of 2003 s. 36.]</w:t>
      </w:r>
    </w:p>
    <w:p>
      <w:pPr>
        <w:pStyle w:val="Heading5"/>
        <w:spacing w:before="180"/>
      </w:pPr>
      <w:bookmarkStart w:id="175" w:name="_Toc375143016"/>
      <w:bookmarkStart w:id="176" w:name="_Toc416788193"/>
      <w:r>
        <w:rPr>
          <w:rStyle w:val="CharSectno"/>
        </w:rPr>
        <w:t>11WR</w:t>
      </w:r>
      <w:r>
        <w:t>.</w:t>
      </w:r>
      <w:r>
        <w:tab/>
        <w:t>Regulations may authorise recovery of costs</w:t>
      </w:r>
      <w:bookmarkEnd w:id="175"/>
      <w:bookmarkEnd w:id="176"/>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spacing w:before="80"/>
        <w:ind w:left="890" w:hanging="890"/>
      </w:pPr>
      <w:r>
        <w:tab/>
        <w:t>[Section 11WR inserted: No. 53 of 2003 s. 36.]</w:t>
      </w:r>
    </w:p>
    <w:p>
      <w:pPr>
        <w:pStyle w:val="Heading3"/>
        <w:keepLines/>
      </w:pPr>
      <w:bookmarkStart w:id="177" w:name="_Toc375142763"/>
      <w:bookmarkStart w:id="178" w:name="_Toc375143017"/>
      <w:bookmarkStart w:id="179" w:name="_Toc416787941"/>
      <w:bookmarkStart w:id="180" w:name="_Toc416788194"/>
      <w:r>
        <w:rPr>
          <w:rStyle w:val="CharDivNo"/>
        </w:rPr>
        <w:t>Division 5</w:t>
      </w:r>
      <w:r>
        <w:t xml:space="preserve"> — </w:t>
      </w:r>
      <w:r>
        <w:rPr>
          <w:rStyle w:val="CharDivText"/>
        </w:rPr>
        <w:t>Interruption etc. of supply</w:t>
      </w:r>
      <w:bookmarkEnd w:id="177"/>
      <w:bookmarkEnd w:id="178"/>
      <w:bookmarkEnd w:id="179"/>
      <w:bookmarkEnd w:id="180"/>
    </w:p>
    <w:p>
      <w:pPr>
        <w:pStyle w:val="Footnoteheading"/>
        <w:keepNext/>
        <w:tabs>
          <w:tab w:val="left" w:pos="851"/>
        </w:tabs>
      </w:pPr>
      <w:r>
        <w:tab/>
        <w:t>[Heading inserted: No. 20 of 1999 s. 8.]</w:t>
      </w:r>
    </w:p>
    <w:p>
      <w:pPr>
        <w:pStyle w:val="Heading5"/>
      </w:pPr>
      <w:bookmarkStart w:id="181" w:name="_Toc375143018"/>
      <w:bookmarkStart w:id="182" w:name="_Toc416788195"/>
      <w:r>
        <w:rPr>
          <w:rStyle w:val="CharSectno"/>
        </w:rPr>
        <w:t>11X</w:t>
      </w:r>
      <w:r>
        <w:t>.</w:t>
      </w:r>
      <w:r>
        <w:tab/>
        <w:t>Interruption etc. of supply</w:t>
      </w:r>
      <w:bookmarkEnd w:id="181"/>
      <w:bookmarkEnd w:id="182"/>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No. 20 of 1999 s. 8.]</w:t>
      </w:r>
    </w:p>
    <w:p>
      <w:pPr>
        <w:pStyle w:val="Heading3"/>
        <w:keepLines/>
      </w:pPr>
      <w:bookmarkStart w:id="183" w:name="_Toc375142765"/>
      <w:bookmarkStart w:id="184" w:name="_Toc375143019"/>
      <w:bookmarkStart w:id="185" w:name="_Toc416787943"/>
      <w:bookmarkStart w:id="186" w:name="_Toc416788196"/>
      <w:r>
        <w:rPr>
          <w:rStyle w:val="CharDivNo"/>
        </w:rPr>
        <w:t>Division 6</w:t>
      </w:r>
      <w:r>
        <w:t xml:space="preserve"> — </w:t>
      </w:r>
      <w:r>
        <w:rPr>
          <w:rStyle w:val="CharDivText"/>
        </w:rPr>
        <w:t>Duties included in licences</w:t>
      </w:r>
      <w:bookmarkEnd w:id="183"/>
      <w:bookmarkEnd w:id="184"/>
      <w:bookmarkEnd w:id="185"/>
      <w:bookmarkEnd w:id="186"/>
    </w:p>
    <w:p>
      <w:pPr>
        <w:pStyle w:val="Footnoteheading"/>
        <w:keepNext/>
        <w:keepLines/>
        <w:tabs>
          <w:tab w:val="left" w:pos="851"/>
        </w:tabs>
      </w:pPr>
      <w:r>
        <w:tab/>
        <w:t>[Heading inserted: No. 20 of 1999 s. 8.]</w:t>
      </w:r>
    </w:p>
    <w:p>
      <w:pPr>
        <w:pStyle w:val="Heading5"/>
      </w:pPr>
      <w:bookmarkStart w:id="187" w:name="_Toc375143020"/>
      <w:bookmarkStart w:id="188" w:name="_Toc416788197"/>
      <w:r>
        <w:rPr>
          <w:rStyle w:val="CharSectno"/>
        </w:rPr>
        <w:t>11Y</w:t>
      </w:r>
      <w:r>
        <w:t>.</w:t>
      </w:r>
      <w:r>
        <w:tab/>
        <w:t>Asset management system</w:t>
      </w:r>
      <w:bookmarkEnd w:id="187"/>
      <w:bookmarkEnd w:id="188"/>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No. 20 of 1999 s. 8; amended: No. 67 of 2003 s. 62.]</w:t>
      </w:r>
    </w:p>
    <w:p>
      <w:pPr>
        <w:pStyle w:val="Heading5"/>
      </w:pPr>
      <w:bookmarkStart w:id="189" w:name="_Toc375143021"/>
      <w:bookmarkStart w:id="190" w:name="_Toc416788198"/>
      <w:r>
        <w:rPr>
          <w:rStyle w:val="CharSectno"/>
        </w:rPr>
        <w:t>11Z</w:t>
      </w:r>
      <w:r>
        <w:t>.</w:t>
      </w:r>
      <w:r>
        <w:tab/>
        <w:t>Compliance with technical standards</w:t>
      </w:r>
      <w:bookmarkEnd w:id="189"/>
      <w:bookmarkEnd w:id="190"/>
    </w:p>
    <w:p>
      <w:pPr>
        <w:pStyle w:val="Subsection"/>
        <w:spacing w:before="200"/>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No. 20 of 1999 s. 8; amended: No. 74 of 2003 s. 10(3)(b).]</w:t>
      </w:r>
    </w:p>
    <w:p>
      <w:pPr>
        <w:pStyle w:val="Heading5"/>
      </w:pPr>
      <w:bookmarkStart w:id="191" w:name="_Toc375143022"/>
      <w:bookmarkStart w:id="192" w:name="_Toc416788199"/>
      <w:r>
        <w:rPr>
          <w:rStyle w:val="CharSectno"/>
        </w:rPr>
        <w:t>11ZA</w:t>
      </w:r>
      <w:r>
        <w:t>.</w:t>
      </w:r>
      <w:r>
        <w:tab/>
        <w:t>Performance audit</w:t>
      </w:r>
      <w:bookmarkEnd w:id="191"/>
      <w:bookmarkEnd w:id="192"/>
    </w:p>
    <w:p>
      <w:pPr>
        <w:pStyle w:val="Subsection"/>
        <w:spacing w:before="200"/>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spacing w:before="200"/>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keepNext/>
      </w:pPr>
      <w:r>
        <w:tab/>
        <w:t>(b)</w:t>
      </w:r>
      <w:r>
        <w:tab/>
        <w:t>performance criteria specified in the licence.</w:t>
      </w:r>
    </w:p>
    <w:p>
      <w:pPr>
        <w:pStyle w:val="Subsection"/>
        <w:spacing w:before="200"/>
      </w:pPr>
      <w:r>
        <w:tab/>
        <w:t>(3)</w:t>
      </w:r>
      <w:r>
        <w:tab/>
        <w:t>The Authority is to present to the Minister a report on each performance audit within 2 months after its receipt of the audit.</w:t>
      </w:r>
    </w:p>
    <w:p>
      <w:pPr>
        <w:pStyle w:val="Footnotesection"/>
      </w:pPr>
      <w:r>
        <w:tab/>
        <w:t>[Section 11ZA inserted: No. 20 of 1999 s. 8; amended: No. 67 of 2003 Sch. 2 cl. 19 and 23.]</w:t>
      </w:r>
    </w:p>
    <w:p>
      <w:pPr>
        <w:pStyle w:val="Heading3"/>
        <w:keepLines/>
      </w:pPr>
      <w:bookmarkStart w:id="193" w:name="_Toc375142769"/>
      <w:bookmarkStart w:id="194" w:name="_Toc375143023"/>
      <w:bookmarkStart w:id="195" w:name="_Toc416787947"/>
      <w:bookmarkStart w:id="196" w:name="_Toc416788200"/>
      <w:r>
        <w:rPr>
          <w:rStyle w:val="CharDivNo"/>
        </w:rPr>
        <w:t>Division 6A</w:t>
      </w:r>
      <w:r>
        <w:t> — </w:t>
      </w:r>
      <w:r>
        <w:rPr>
          <w:rStyle w:val="CharDivText"/>
        </w:rPr>
        <w:t>Last resort supply arrangements</w:t>
      </w:r>
      <w:bookmarkEnd w:id="193"/>
      <w:bookmarkEnd w:id="194"/>
      <w:bookmarkEnd w:id="195"/>
      <w:bookmarkEnd w:id="196"/>
    </w:p>
    <w:p>
      <w:pPr>
        <w:pStyle w:val="Footnoteheading"/>
        <w:keepNext/>
        <w:keepLines/>
      </w:pPr>
      <w:r>
        <w:tab/>
        <w:t>[Heading inserted: No. 53 of 2004 s. 37.]</w:t>
      </w:r>
    </w:p>
    <w:p>
      <w:pPr>
        <w:pStyle w:val="Heading5"/>
        <w:tabs>
          <w:tab w:val="left" w:pos="5040"/>
        </w:tabs>
      </w:pPr>
      <w:bookmarkStart w:id="197" w:name="_Toc375143024"/>
      <w:bookmarkStart w:id="198" w:name="_Toc416788201"/>
      <w:r>
        <w:rPr>
          <w:rStyle w:val="CharSectno"/>
        </w:rPr>
        <w:t>11ZAA</w:t>
      </w:r>
      <w:r>
        <w:t>.</w:t>
      </w:r>
      <w:r>
        <w:tab/>
        <w:t>Terms used</w:t>
      </w:r>
      <w:bookmarkEnd w:id="197"/>
      <w:bookmarkEnd w:id="198"/>
    </w:p>
    <w:p>
      <w:pPr>
        <w:pStyle w:val="Subsection"/>
        <w:keepNext/>
        <w:keepLines/>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No. 53 of 2003 s. 37.]</w:t>
      </w:r>
    </w:p>
    <w:p>
      <w:pPr>
        <w:pStyle w:val="Heading5"/>
      </w:pPr>
      <w:bookmarkStart w:id="199" w:name="_Toc375143025"/>
      <w:bookmarkStart w:id="200" w:name="_Toc416788202"/>
      <w:r>
        <w:rPr>
          <w:rStyle w:val="CharSectno"/>
        </w:rPr>
        <w:t>11ZAB</w:t>
      </w:r>
      <w:r>
        <w:t>.</w:t>
      </w:r>
      <w:r>
        <w:tab/>
        <w:t>Authority to ensure supply plan in place</w:t>
      </w:r>
      <w:bookmarkEnd w:id="199"/>
      <w:bookmarkEnd w:id="200"/>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No. 53 of 2003 s. 37.]</w:t>
      </w:r>
    </w:p>
    <w:p>
      <w:pPr>
        <w:pStyle w:val="Heading5"/>
      </w:pPr>
      <w:bookmarkStart w:id="201" w:name="_Toc375143026"/>
      <w:bookmarkStart w:id="202" w:name="_Toc416788203"/>
      <w:r>
        <w:rPr>
          <w:rStyle w:val="CharSectno"/>
        </w:rPr>
        <w:t>11ZAC</w:t>
      </w:r>
      <w:r>
        <w:t>.</w:t>
      </w:r>
      <w:r>
        <w:tab/>
        <w:t>Requirements for last resort supply plan</w:t>
      </w:r>
      <w:bookmarkEnd w:id="201"/>
      <w:bookmarkEnd w:id="202"/>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National Gas Access (</w:t>
      </w:r>
      <w:smartTag w:uri="urn:schemas-microsoft-com:office:smarttags" w:element="place">
        <w:smartTag w:uri="urn:schemas-microsoft-com:office:smarttags" w:element="State">
          <w:r>
            <w:t>Western Australia</w:t>
          </w:r>
        </w:smartTag>
      </w:smartTag>
      <w:r>
        <w:t>) Law.</w:t>
      </w:r>
    </w:p>
    <w:p>
      <w:pPr>
        <w:pStyle w:val="Footnotesection"/>
      </w:pPr>
      <w:r>
        <w:tab/>
        <w:t>[Section 11ZAC inserted: No. 53 of 2003 s. 37; amended: No. 16 of 2009 s. 66.]</w:t>
      </w:r>
    </w:p>
    <w:p>
      <w:pPr>
        <w:pStyle w:val="Heading5"/>
      </w:pPr>
      <w:bookmarkStart w:id="203" w:name="_Toc375143027"/>
      <w:bookmarkStart w:id="204" w:name="_Toc416788204"/>
      <w:r>
        <w:rPr>
          <w:rStyle w:val="CharSectno"/>
        </w:rPr>
        <w:t>11ZAD</w:t>
      </w:r>
      <w:r>
        <w:t>.</w:t>
      </w:r>
      <w:r>
        <w:tab/>
        <w:t>How plan brought into operation</w:t>
      </w:r>
      <w:bookmarkEnd w:id="203"/>
      <w:bookmarkEnd w:id="204"/>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No. 53 of 2003 s. 37.]</w:t>
      </w:r>
    </w:p>
    <w:p>
      <w:pPr>
        <w:pStyle w:val="Heading5"/>
      </w:pPr>
      <w:bookmarkStart w:id="205" w:name="_Toc375143028"/>
      <w:bookmarkStart w:id="206" w:name="_Toc416788205"/>
      <w:r>
        <w:rPr>
          <w:rStyle w:val="CharSectno"/>
        </w:rPr>
        <w:t>11ZAE</w:t>
      </w:r>
      <w:r>
        <w:t>.</w:t>
      </w:r>
      <w:r>
        <w:tab/>
        <w:t>Designation of licensee as supplier of last resort</w:t>
      </w:r>
      <w:bookmarkEnd w:id="205"/>
      <w:bookmarkEnd w:id="206"/>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No. 53 of 2003 s. 37.]</w:t>
      </w:r>
    </w:p>
    <w:p>
      <w:pPr>
        <w:pStyle w:val="Heading5"/>
      </w:pPr>
      <w:bookmarkStart w:id="207" w:name="_Toc375143029"/>
      <w:bookmarkStart w:id="208" w:name="_Toc416788206"/>
      <w:r>
        <w:rPr>
          <w:rStyle w:val="CharSectno"/>
        </w:rPr>
        <w:t>11ZAF</w:t>
      </w:r>
      <w:r>
        <w:t>.</w:t>
      </w:r>
      <w:r>
        <w:tab/>
        <w:t>Functions of supplier of last resort</w:t>
      </w:r>
      <w:bookmarkEnd w:id="207"/>
      <w:bookmarkEnd w:id="208"/>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No. 53 of 2003 s. 37.]</w:t>
      </w:r>
    </w:p>
    <w:p>
      <w:pPr>
        <w:pStyle w:val="Heading5"/>
      </w:pPr>
      <w:bookmarkStart w:id="209" w:name="_Toc375143030"/>
      <w:bookmarkStart w:id="210" w:name="_Toc416788207"/>
      <w:r>
        <w:rPr>
          <w:rStyle w:val="CharSectno"/>
        </w:rPr>
        <w:t>11ZAG</w:t>
      </w:r>
      <w:r>
        <w:t>.</w:t>
      </w:r>
      <w:r>
        <w:tab/>
        <w:t>Approval or determination of plan</w:t>
      </w:r>
      <w:bookmarkEnd w:id="209"/>
      <w:bookmarkEnd w:id="210"/>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No. 53 of 2003 s. 37.]</w:t>
      </w:r>
    </w:p>
    <w:p>
      <w:pPr>
        <w:pStyle w:val="Heading5"/>
      </w:pPr>
      <w:bookmarkStart w:id="211" w:name="_Toc375143031"/>
      <w:bookmarkStart w:id="212" w:name="_Toc416788208"/>
      <w:r>
        <w:rPr>
          <w:rStyle w:val="CharSectno"/>
        </w:rPr>
        <w:t>11ZAH</w:t>
      </w:r>
      <w:r>
        <w:t>.</w:t>
      </w:r>
      <w:r>
        <w:tab/>
        <w:t>Amendment of plan by supplier</w:t>
      </w:r>
      <w:bookmarkEnd w:id="211"/>
      <w:bookmarkEnd w:id="212"/>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No. 53 of 2003 s. 37.]</w:t>
      </w:r>
    </w:p>
    <w:p>
      <w:pPr>
        <w:pStyle w:val="Heading5"/>
      </w:pPr>
      <w:bookmarkStart w:id="213" w:name="_Toc375143032"/>
      <w:bookmarkStart w:id="214" w:name="_Toc416788209"/>
      <w:r>
        <w:rPr>
          <w:rStyle w:val="CharSectno"/>
        </w:rPr>
        <w:t>11ZAI</w:t>
      </w:r>
      <w:r>
        <w:t>.</w:t>
      </w:r>
      <w:r>
        <w:tab/>
        <w:t>Authority may make amendment</w:t>
      </w:r>
      <w:bookmarkEnd w:id="213"/>
      <w:bookmarkEnd w:id="214"/>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No. 53 of 2003 s. 37.]</w:t>
      </w:r>
    </w:p>
    <w:p>
      <w:pPr>
        <w:pStyle w:val="Heading5"/>
      </w:pPr>
      <w:bookmarkStart w:id="215" w:name="_Toc375143033"/>
      <w:bookmarkStart w:id="216" w:name="_Toc416788210"/>
      <w:r>
        <w:rPr>
          <w:rStyle w:val="CharSectno"/>
        </w:rPr>
        <w:t>11ZAJ</w:t>
      </w:r>
      <w:r>
        <w:t>.</w:t>
      </w:r>
      <w:r>
        <w:tab/>
        <w:t>Licence condition</w:t>
      </w:r>
      <w:bookmarkEnd w:id="215"/>
      <w:bookmarkEnd w:id="216"/>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No. 53 of 2003 s. 37.]</w:t>
      </w:r>
    </w:p>
    <w:p>
      <w:pPr>
        <w:pStyle w:val="Heading5"/>
      </w:pPr>
      <w:bookmarkStart w:id="217" w:name="_Toc375143034"/>
      <w:bookmarkStart w:id="218" w:name="_Toc416788211"/>
      <w:r>
        <w:rPr>
          <w:rStyle w:val="CharSectno"/>
        </w:rPr>
        <w:t>11ZAK</w:t>
      </w:r>
      <w:r>
        <w:t>.</w:t>
      </w:r>
      <w:r>
        <w:tab/>
        <w:t>Provision may be made by regulation</w:t>
      </w:r>
      <w:bookmarkEnd w:id="217"/>
      <w:bookmarkEnd w:id="218"/>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No. 53 of 2003 s. 37.]</w:t>
      </w:r>
    </w:p>
    <w:p>
      <w:pPr>
        <w:pStyle w:val="Heading3"/>
      </w:pPr>
      <w:bookmarkStart w:id="219" w:name="_Toc375142781"/>
      <w:bookmarkStart w:id="220" w:name="_Toc375143035"/>
      <w:bookmarkStart w:id="221" w:name="_Toc416787959"/>
      <w:bookmarkStart w:id="222" w:name="_Toc416788212"/>
      <w:r>
        <w:rPr>
          <w:rStyle w:val="CharDivNo"/>
        </w:rPr>
        <w:t>Division 7</w:t>
      </w:r>
      <w:r>
        <w:t xml:space="preserve"> — </w:t>
      </w:r>
      <w:r>
        <w:rPr>
          <w:rStyle w:val="CharDivText"/>
        </w:rPr>
        <w:t>Enforcement</w:t>
      </w:r>
      <w:bookmarkEnd w:id="219"/>
      <w:bookmarkEnd w:id="220"/>
      <w:bookmarkEnd w:id="221"/>
      <w:bookmarkEnd w:id="222"/>
    </w:p>
    <w:p>
      <w:pPr>
        <w:pStyle w:val="Footnoteheading"/>
        <w:keepNext/>
        <w:tabs>
          <w:tab w:val="left" w:pos="851"/>
        </w:tabs>
      </w:pPr>
      <w:r>
        <w:tab/>
        <w:t>[Heading inserted: No. 20 of 1999 s. 8.]</w:t>
      </w:r>
    </w:p>
    <w:p>
      <w:pPr>
        <w:pStyle w:val="Heading5"/>
      </w:pPr>
      <w:bookmarkStart w:id="223" w:name="_Toc375143036"/>
      <w:bookmarkStart w:id="224" w:name="_Toc416788213"/>
      <w:r>
        <w:rPr>
          <w:rStyle w:val="CharSectno"/>
        </w:rPr>
        <w:t>11ZB</w:t>
      </w:r>
      <w:r>
        <w:t>.</w:t>
      </w:r>
      <w:r>
        <w:tab/>
        <w:t>Failure to comply with licence</w:t>
      </w:r>
      <w:bookmarkEnd w:id="223"/>
      <w:bookmarkEnd w:id="224"/>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keepNext/>
        <w:keepLines/>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No. 20 of 1999 s. 8; amended: No. 67 of 2003 Sch. 2 cl. 24.]</w:t>
      </w:r>
    </w:p>
    <w:p>
      <w:pPr>
        <w:pStyle w:val="Heading5"/>
      </w:pPr>
      <w:bookmarkStart w:id="225" w:name="_Toc375143037"/>
      <w:bookmarkStart w:id="226" w:name="_Toc416788214"/>
      <w:r>
        <w:rPr>
          <w:rStyle w:val="CharSectno"/>
        </w:rPr>
        <w:t>11ZC</w:t>
      </w:r>
      <w:r>
        <w:t>.</w:t>
      </w:r>
      <w:r>
        <w:tab/>
        <w:t>Right of licensee to make submissions</w:t>
      </w:r>
      <w:bookmarkEnd w:id="225"/>
      <w:bookmarkEnd w:id="226"/>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No. 20 of 1999 s. 8; amended: No. 67 of 2003 Sch. 2 cl. 20 and 24.]</w:t>
      </w:r>
    </w:p>
    <w:p>
      <w:pPr>
        <w:pStyle w:val="Heading5"/>
      </w:pPr>
      <w:bookmarkStart w:id="227" w:name="_Toc375143038"/>
      <w:bookmarkStart w:id="228" w:name="_Toc416788215"/>
      <w:r>
        <w:rPr>
          <w:rStyle w:val="CharSectno"/>
        </w:rPr>
        <w:t>11ZD</w:t>
      </w:r>
      <w:r>
        <w:t>.</w:t>
      </w:r>
      <w:r>
        <w:tab/>
        <w:t>Exception where public health or safety endangered</w:t>
      </w:r>
      <w:bookmarkEnd w:id="227"/>
      <w:bookmarkEnd w:id="228"/>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No. 20 of 1999 s. 8; amended: No. 67 of 2003 Sch. 2 cl. 24.]</w:t>
      </w:r>
    </w:p>
    <w:p>
      <w:pPr>
        <w:pStyle w:val="Heading5"/>
      </w:pPr>
      <w:bookmarkStart w:id="229" w:name="_Toc375143039"/>
      <w:bookmarkStart w:id="230" w:name="_Toc416788216"/>
      <w:r>
        <w:rPr>
          <w:rStyle w:val="CharSectno"/>
        </w:rPr>
        <w:t>11ZE</w:t>
      </w:r>
      <w:r>
        <w:t>.</w:t>
      </w:r>
      <w:r>
        <w:tab/>
        <w:t>Cancellation of licence</w:t>
      </w:r>
      <w:bookmarkEnd w:id="229"/>
      <w:bookmarkEnd w:id="230"/>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No. 20 of 1999 s. 8; amended: No. 10 of 2001 s. 220; No. 53 of 2003 s. 38; No. 67 of 2003 Sch. 2 cl. 23.]</w:t>
      </w:r>
    </w:p>
    <w:p>
      <w:pPr>
        <w:pStyle w:val="Heading5"/>
      </w:pPr>
      <w:bookmarkStart w:id="231" w:name="_Toc375143040"/>
      <w:bookmarkStart w:id="232" w:name="_Toc416788217"/>
      <w:r>
        <w:rPr>
          <w:rStyle w:val="CharSectno"/>
        </w:rPr>
        <w:t>11ZF</w:t>
      </w:r>
      <w:r>
        <w:t>.</w:t>
      </w:r>
      <w:r>
        <w:tab/>
        <w:t>Duty to leave system in safe condition</w:t>
      </w:r>
      <w:bookmarkEnd w:id="231"/>
      <w:bookmarkEnd w:id="232"/>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No. 20 of 1999 s. 8.]</w:t>
      </w:r>
    </w:p>
    <w:p>
      <w:pPr>
        <w:pStyle w:val="Ednotesection"/>
      </w:pPr>
      <w:r>
        <w:t>[</w:t>
      </w:r>
      <w:r>
        <w:rPr>
          <w:b/>
        </w:rPr>
        <w:t>11ZG.</w:t>
      </w:r>
      <w:r>
        <w:tab/>
        <w:t>Deleted: No. 67 of 2003 Sch. 2 cl. 21.]</w:t>
      </w:r>
    </w:p>
    <w:p>
      <w:pPr>
        <w:pStyle w:val="Heading3"/>
      </w:pPr>
      <w:bookmarkStart w:id="233" w:name="_Toc375142787"/>
      <w:bookmarkStart w:id="234" w:name="_Toc375143041"/>
      <w:bookmarkStart w:id="235" w:name="_Toc416787965"/>
      <w:bookmarkStart w:id="236" w:name="_Toc416788218"/>
      <w:r>
        <w:rPr>
          <w:rStyle w:val="CharDivNo"/>
        </w:rPr>
        <w:t>Division 8</w:t>
      </w:r>
      <w:r>
        <w:t xml:space="preserve"> — </w:t>
      </w:r>
      <w:r>
        <w:rPr>
          <w:rStyle w:val="CharDivText"/>
        </w:rPr>
        <w:t>Review</w:t>
      </w:r>
      <w:bookmarkEnd w:id="233"/>
      <w:bookmarkEnd w:id="234"/>
      <w:bookmarkEnd w:id="235"/>
      <w:bookmarkEnd w:id="236"/>
    </w:p>
    <w:p>
      <w:pPr>
        <w:pStyle w:val="Footnoteheading"/>
        <w:tabs>
          <w:tab w:val="left" w:pos="851"/>
        </w:tabs>
      </w:pPr>
      <w:r>
        <w:tab/>
        <w:t>[Heading inserted: No. 20 of 1999 s. 8.]</w:t>
      </w:r>
    </w:p>
    <w:p>
      <w:pPr>
        <w:pStyle w:val="Heading5"/>
      </w:pPr>
      <w:bookmarkStart w:id="237" w:name="_Toc375143042"/>
      <w:bookmarkStart w:id="238" w:name="_Toc416788219"/>
      <w:r>
        <w:rPr>
          <w:rStyle w:val="CharSectno"/>
        </w:rPr>
        <w:t>11ZH</w:t>
      </w:r>
      <w:r>
        <w:t>.</w:t>
      </w:r>
      <w:r>
        <w:tab/>
        <w:t>Review of Authority’s decision</w:t>
      </w:r>
      <w:bookmarkEnd w:id="237"/>
      <w:bookmarkEnd w:id="238"/>
    </w:p>
    <w:p>
      <w:pPr>
        <w:pStyle w:val="Ednotesubsection"/>
        <w:spacing w:before="120"/>
      </w:pPr>
      <w:r>
        <w:tab/>
        <w:t>[(1)</w:t>
      </w:r>
      <w:r>
        <w:tab/>
        <w:t>deleted]</w:t>
      </w:r>
    </w:p>
    <w:p>
      <w:pPr>
        <w:pStyle w:val="Subsection"/>
        <w:spacing w:before="120"/>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spacing w:before="120"/>
      </w:pPr>
      <w:r>
        <w:tab/>
      </w:r>
      <w:r>
        <w:tab/>
        <w:t>may apply to the State Administrative Tribunal for a review of the decision.</w:t>
      </w:r>
    </w:p>
    <w:p>
      <w:pPr>
        <w:pStyle w:val="Subsection"/>
        <w:spacing w:before="120"/>
      </w:pPr>
      <w:r>
        <w:tab/>
        <w:t>(2a)</w:t>
      </w:r>
      <w:r>
        <w:tab/>
        <w:t>A licensee may apply to the State Administrative Tribunal for a review of a direction given to the licensee by the Authority under section 11WI.</w:t>
      </w:r>
    </w:p>
    <w:p>
      <w:pPr>
        <w:pStyle w:val="Subsection"/>
        <w:keepNext/>
        <w:keepLines/>
      </w:pPr>
      <w:r>
        <w:tab/>
        <w:t>(3)</w:t>
      </w:r>
      <w:r>
        <w:tab/>
        <w:t xml:space="preserve">The President is to ensure 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No. 20 of 1999 s. 8; amended: No. 53 of 2003 s. 11 and 29; No. 67 of 2003 Sch. 2 cl. 23; No. 55 of 2004 s. 297.]</w:t>
      </w:r>
    </w:p>
    <w:p>
      <w:pPr>
        <w:pStyle w:val="Heading3"/>
        <w:keepLines/>
      </w:pPr>
      <w:bookmarkStart w:id="239" w:name="_Toc375142789"/>
      <w:bookmarkStart w:id="240" w:name="_Toc375143043"/>
      <w:bookmarkStart w:id="241" w:name="_Toc416787967"/>
      <w:bookmarkStart w:id="242" w:name="_Toc416788220"/>
      <w:r>
        <w:rPr>
          <w:rStyle w:val="CharDivNo"/>
        </w:rPr>
        <w:t>Division 9</w:t>
      </w:r>
      <w:r>
        <w:t xml:space="preserve"> — </w:t>
      </w:r>
      <w:r>
        <w:rPr>
          <w:rStyle w:val="CharDivText"/>
        </w:rPr>
        <w:t>Powers in relation to land</w:t>
      </w:r>
      <w:bookmarkEnd w:id="239"/>
      <w:bookmarkEnd w:id="240"/>
      <w:bookmarkEnd w:id="241"/>
      <w:bookmarkEnd w:id="242"/>
    </w:p>
    <w:p>
      <w:pPr>
        <w:pStyle w:val="Footnoteheading"/>
        <w:tabs>
          <w:tab w:val="left" w:pos="851"/>
        </w:tabs>
      </w:pPr>
      <w:r>
        <w:tab/>
        <w:t>[Heading inserted: No. 20 of 1999 s. 8.]</w:t>
      </w:r>
    </w:p>
    <w:p>
      <w:pPr>
        <w:pStyle w:val="Heading5"/>
      </w:pPr>
      <w:bookmarkStart w:id="243" w:name="_Toc375143044"/>
      <w:bookmarkStart w:id="244" w:name="_Toc416788221"/>
      <w:r>
        <w:rPr>
          <w:rStyle w:val="CharSectno"/>
        </w:rPr>
        <w:t>11ZI</w:t>
      </w:r>
      <w:r>
        <w:t>.</w:t>
      </w:r>
      <w:r>
        <w:tab/>
        <w:t>When this Division applies</w:t>
      </w:r>
      <w:bookmarkEnd w:id="243"/>
      <w:bookmarkEnd w:id="244"/>
    </w:p>
    <w:p>
      <w:pPr>
        <w:pStyle w:val="Subsection"/>
      </w:pPr>
      <w:r>
        <w:tab/>
      </w:r>
      <w:r>
        <w:tab/>
        <w:t>The powers conferred by this Division may, subject to section 11ZE(5), only be exercised in relation to a distribution licence.</w:t>
      </w:r>
    </w:p>
    <w:p>
      <w:pPr>
        <w:pStyle w:val="Footnotesection"/>
      </w:pPr>
      <w:r>
        <w:tab/>
        <w:t>[Section 11ZI inserted: No. 20 of 1999 s. 8.]</w:t>
      </w:r>
    </w:p>
    <w:p>
      <w:pPr>
        <w:pStyle w:val="Heading5"/>
      </w:pPr>
      <w:bookmarkStart w:id="245" w:name="_Toc375143045"/>
      <w:bookmarkStart w:id="246" w:name="_Toc416788222"/>
      <w:r>
        <w:rPr>
          <w:rStyle w:val="CharSectno"/>
        </w:rPr>
        <w:t>11ZJ</w:t>
      </w:r>
      <w:r>
        <w:t>.</w:t>
      </w:r>
      <w:r>
        <w:tab/>
        <w:t>Power of public authority to grant easements etc.</w:t>
      </w:r>
      <w:bookmarkEnd w:id="245"/>
      <w:bookmarkEnd w:id="246"/>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No. 20 of 1999 s. 8.]</w:t>
      </w:r>
    </w:p>
    <w:p>
      <w:pPr>
        <w:pStyle w:val="Heading5"/>
      </w:pPr>
      <w:bookmarkStart w:id="247" w:name="_Toc375143046"/>
      <w:bookmarkStart w:id="248" w:name="_Toc416788223"/>
      <w:r>
        <w:rPr>
          <w:rStyle w:val="CharSectno"/>
        </w:rPr>
        <w:t>11ZK</w:t>
      </w:r>
      <w:r>
        <w:t>.</w:t>
      </w:r>
      <w:r>
        <w:tab/>
        <w:t>Taking of interest or easement for purposes of licence</w:t>
      </w:r>
      <w:bookmarkEnd w:id="247"/>
      <w:bookmarkEnd w:id="248"/>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No. 20 of 1999 s. 8; amended: No. 28 of 2006 s. 175.]</w:t>
      </w:r>
    </w:p>
    <w:p>
      <w:pPr>
        <w:pStyle w:val="Heading5"/>
      </w:pPr>
      <w:bookmarkStart w:id="249" w:name="_Toc375143047"/>
      <w:bookmarkStart w:id="250" w:name="_Toc416788224"/>
      <w:r>
        <w:rPr>
          <w:rStyle w:val="CharSectno"/>
        </w:rPr>
        <w:t>11ZL</w:t>
      </w:r>
      <w:r>
        <w:t>.</w:t>
      </w:r>
      <w:r>
        <w:tab/>
        <w:t>Vesting of interest or easement</w:t>
      </w:r>
      <w:bookmarkEnd w:id="249"/>
      <w:bookmarkEnd w:id="250"/>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No. 20 of 1999 s. 8.]</w:t>
      </w:r>
    </w:p>
    <w:p>
      <w:pPr>
        <w:pStyle w:val="Heading5"/>
      </w:pPr>
      <w:bookmarkStart w:id="251" w:name="_Toc375143048"/>
      <w:bookmarkStart w:id="252" w:name="_Toc416788225"/>
      <w:r>
        <w:rPr>
          <w:rStyle w:val="CharSectno"/>
        </w:rPr>
        <w:t>11ZM</w:t>
      </w:r>
      <w:r>
        <w:t>.</w:t>
      </w:r>
      <w:r>
        <w:tab/>
        <w:t>Proceedings and liability</w:t>
      </w:r>
      <w:bookmarkEnd w:id="251"/>
      <w:bookmarkEnd w:id="252"/>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No. 20 of 1999 s. 8.]</w:t>
      </w:r>
    </w:p>
    <w:p>
      <w:pPr>
        <w:pStyle w:val="Heading5"/>
      </w:pPr>
      <w:bookmarkStart w:id="253" w:name="_Toc375143049"/>
      <w:bookmarkStart w:id="254" w:name="_Toc416788226"/>
      <w:r>
        <w:rPr>
          <w:rStyle w:val="CharSectno"/>
        </w:rPr>
        <w:t>11ZN</w:t>
      </w:r>
      <w:r>
        <w:t>.</w:t>
      </w:r>
      <w:r>
        <w:tab/>
        <w:t>Easements in gross</w:t>
      </w:r>
      <w:bookmarkEnd w:id="253"/>
      <w:bookmarkEnd w:id="254"/>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No. 20 of 1999 s. 8.]</w:t>
      </w:r>
    </w:p>
    <w:p>
      <w:pPr>
        <w:pStyle w:val="Heading3"/>
      </w:pPr>
      <w:bookmarkStart w:id="255" w:name="_Toc375142796"/>
      <w:bookmarkStart w:id="256" w:name="_Toc375143050"/>
      <w:bookmarkStart w:id="257" w:name="_Toc416787974"/>
      <w:bookmarkStart w:id="258" w:name="_Toc416788227"/>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255"/>
      <w:bookmarkEnd w:id="256"/>
      <w:bookmarkEnd w:id="257"/>
      <w:bookmarkEnd w:id="258"/>
    </w:p>
    <w:p>
      <w:pPr>
        <w:pStyle w:val="Footnoteheading"/>
        <w:tabs>
          <w:tab w:val="left" w:pos="851"/>
        </w:tabs>
      </w:pPr>
      <w:r>
        <w:tab/>
        <w:t>[Heading inserted: No. 20 of 1999 s. 8.]</w:t>
      </w:r>
    </w:p>
    <w:p>
      <w:pPr>
        <w:pStyle w:val="Heading5"/>
        <w:rPr>
          <w:rFonts w:ascii="Times" w:hAnsi="Times"/>
          <w:b w:val="0"/>
          <w:vertAlign w:val="superscript"/>
        </w:rPr>
      </w:pPr>
      <w:bookmarkStart w:id="259" w:name="_Toc375143051"/>
      <w:bookmarkStart w:id="260" w:name="_Toc416788228"/>
      <w:r>
        <w:rPr>
          <w:rStyle w:val="CharSectno"/>
        </w:rPr>
        <w:t>11ZO</w:t>
      </w:r>
      <w:r>
        <w:t>.</w:t>
      </w:r>
      <w:r>
        <w:tab/>
        <w:t xml:space="preserve">Extension of certain provisions of </w:t>
      </w:r>
      <w:r>
        <w:rPr>
          <w:i/>
        </w:rPr>
        <w:t>Energy Operators (Powers) Act 1979</w:t>
      </w:r>
      <w:bookmarkEnd w:id="259"/>
      <w:bookmarkEnd w:id="260"/>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No. 20 of 1999 s. 8; amended: No. 58 of 1999 s. 75.]</w:t>
      </w:r>
    </w:p>
    <w:p>
      <w:pPr>
        <w:pStyle w:val="Heading2"/>
      </w:pPr>
      <w:bookmarkStart w:id="261" w:name="_Toc375142798"/>
      <w:bookmarkStart w:id="262" w:name="_Toc375143052"/>
      <w:bookmarkStart w:id="263" w:name="_Toc416787976"/>
      <w:bookmarkStart w:id="264" w:name="_Toc416788229"/>
      <w:r>
        <w:rPr>
          <w:rStyle w:val="CharPartNo"/>
        </w:rPr>
        <w:t>Part 2B</w:t>
      </w:r>
      <w:r>
        <w:t xml:space="preserve"> — </w:t>
      </w:r>
      <w:r>
        <w:rPr>
          <w:rStyle w:val="CharPartText"/>
        </w:rPr>
        <w:t>Gas supply: retail market schemes</w:t>
      </w:r>
      <w:bookmarkEnd w:id="261"/>
      <w:bookmarkEnd w:id="262"/>
      <w:bookmarkEnd w:id="263"/>
      <w:bookmarkEnd w:id="264"/>
    </w:p>
    <w:p>
      <w:pPr>
        <w:pStyle w:val="Footnoteheading"/>
        <w:tabs>
          <w:tab w:val="left" w:pos="851"/>
        </w:tabs>
      </w:pPr>
      <w:r>
        <w:tab/>
        <w:t>[Heading inserted: No. 53 of 2003 s. 15.]</w:t>
      </w:r>
    </w:p>
    <w:p>
      <w:pPr>
        <w:pStyle w:val="Heading3"/>
      </w:pPr>
      <w:bookmarkStart w:id="265" w:name="_Toc375142799"/>
      <w:bookmarkStart w:id="266" w:name="_Toc375143053"/>
      <w:bookmarkStart w:id="267" w:name="_Toc416787977"/>
      <w:bookmarkStart w:id="268" w:name="_Toc416788230"/>
      <w:r>
        <w:rPr>
          <w:rStyle w:val="CharDivNo"/>
        </w:rPr>
        <w:t>Division 1</w:t>
      </w:r>
      <w:r>
        <w:t xml:space="preserve"> — </w:t>
      </w:r>
      <w:r>
        <w:rPr>
          <w:rStyle w:val="CharDivText"/>
        </w:rPr>
        <w:t>Preliminary</w:t>
      </w:r>
      <w:bookmarkEnd w:id="265"/>
      <w:bookmarkEnd w:id="266"/>
      <w:bookmarkEnd w:id="267"/>
      <w:bookmarkEnd w:id="268"/>
    </w:p>
    <w:p>
      <w:pPr>
        <w:pStyle w:val="Footnoteheading"/>
        <w:tabs>
          <w:tab w:val="left" w:pos="851"/>
        </w:tabs>
      </w:pPr>
      <w:r>
        <w:tab/>
        <w:t>[Heading inserted: No. 53 of 2003 s. 15.]</w:t>
      </w:r>
    </w:p>
    <w:p>
      <w:pPr>
        <w:pStyle w:val="Heading5"/>
      </w:pPr>
      <w:bookmarkStart w:id="269" w:name="_Toc375143054"/>
      <w:bookmarkStart w:id="270" w:name="_Toc416788231"/>
      <w:r>
        <w:rPr>
          <w:rStyle w:val="CharSectno"/>
        </w:rPr>
        <w:t>11ZOA</w:t>
      </w:r>
      <w:r>
        <w:t>.</w:t>
      </w:r>
      <w:r>
        <w:tab/>
        <w:t>Terms used</w:t>
      </w:r>
      <w:bookmarkEnd w:id="269"/>
      <w:bookmarkEnd w:id="270"/>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pPr>
      <w:r>
        <w:tab/>
      </w:r>
      <w:r>
        <w:rPr>
          <w:rStyle w:val="CharDefText"/>
        </w:rPr>
        <w:t>retail market rules</w:t>
      </w:r>
      <w:r>
        <w:t xml:space="preserve"> means rules of the kind described in section 11ZOG, as from time to time amended, that have effect as part of a retail market scheme;</w:t>
      </w:r>
    </w:p>
    <w:p>
      <w:pPr>
        <w:pStyle w:val="Defstart"/>
      </w:pPr>
      <w:r>
        <w:tab/>
      </w:r>
      <w:r>
        <w:rPr>
          <w:rStyle w:val="CharDefText"/>
        </w:rPr>
        <w:t>retail market scheme</w:t>
      </w:r>
      <w:r>
        <w:t xml:space="preserve"> means a scheme of the kind described in section 11ZOF.</w:t>
      </w:r>
    </w:p>
    <w:p>
      <w:pPr>
        <w:pStyle w:val="Footnotesection"/>
        <w:ind w:left="890" w:hanging="890"/>
      </w:pPr>
      <w:r>
        <w:tab/>
        <w:t>[Section 11ZOA inserted: No. 53 of 2003 s. 15; amended: No. 53 of 2003 s. 19(3).]</w:t>
      </w:r>
    </w:p>
    <w:p>
      <w:pPr>
        <w:pStyle w:val="Heading3"/>
      </w:pPr>
      <w:bookmarkStart w:id="271" w:name="_Toc375142801"/>
      <w:bookmarkStart w:id="272" w:name="_Toc375143055"/>
      <w:bookmarkStart w:id="273" w:name="_Toc416787979"/>
      <w:bookmarkStart w:id="274" w:name="_Toc416788232"/>
      <w:r>
        <w:rPr>
          <w:rStyle w:val="CharDivNo"/>
        </w:rPr>
        <w:t>Division 2</w:t>
      </w:r>
      <w:r>
        <w:t xml:space="preserve"> — </w:t>
      </w:r>
      <w:r>
        <w:rPr>
          <w:rStyle w:val="CharDivText"/>
        </w:rPr>
        <w:t>Purpose and content of a retail market scheme</w:t>
      </w:r>
      <w:bookmarkEnd w:id="271"/>
      <w:bookmarkEnd w:id="272"/>
      <w:bookmarkEnd w:id="273"/>
      <w:bookmarkEnd w:id="274"/>
    </w:p>
    <w:p>
      <w:pPr>
        <w:pStyle w:val="Footnoteheading"/>
        <w:tabs>
          <w:tab w:val="left" w:pos="851"/>
        </w:tabs>
      </w:pPr>
      <w:r>
        <w:tab/>
        <w:t>[Heading inserted: No. 53 of 2003 s. 15.]</w:t>
      </w:r>
    </w:p>
    <w:p>
      <w:pPr>
        <w:pStyle w:val="Heading5"/>
      </w:pPr>
      <w:bookmarkStart w:id="275" w:name="_Toc375143056"/>
      <w:bookmarkStart w:id="276" w:name="_Toc416788233"/>
      <w:r>
        <w:rPr>
          <w:rStyle w:val="CharSectno"/>
        </w:rPr>
        <w:t>11ZOB</w:t>
      </w:r>
      <w:r>
        <w:t>.</w:t>
      </w:r>
      <w:r>
        <w:tab/>
        <w:t>Purpose of retail market scheme</w:t>
      </w:r>
      <w:bookmarkEnd w:id="275"/>
      <w:bookmarkEnd w:id="276"/>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Footnotesection"/>
      </w:pPr>
      <w:r>
        <w:tab/>
        <w:t>[Section 11ZOB inserted: No. 53 of 2003 s. 15.]</w:t>
      </w:r>
    </w:p>
    <w:p>
      <w:pPr>
        <w:pStyle w:val="Heading5"/>
      </w:pPr>
      <w:bookmarkStart w:id="277" w:name="_Toc375143057"/>
      <w:bookmarkStart w:id="278" w:name="_Toc416788234"/>
      <w:r>
        <w:rPr>
          <w:rStyle w:val="CharSectno"/>
        </w:rPr>
        <w:t>11ZOC</w:t>
      </w:r>
      <w:r>
        <w:t>.</w:t>
      </w:r>
      <w:r>
        <w:tab/>
        <w:t>Persons required to comply with a retail market scheme</w:t>
      </w:r>
      <w:bookmarkEnd w:id="277"/>
      <w:bookmarkEnd w:id="278"/>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pPr>
      <w:r>
        <w:tab/>
        <w:t>(a)</w:t>
      </w:r>
      <w:r>
        <w:tab/>
        <w:t xml:space="preserve">a person (a </w:t>
      </w:r>
      <w:r>
        <w:rPr>
          <w:rStyle w:val="CharDefText"/>
        </w:rPr>
        <w:t>gas distribution operator</w:t>
      </w:r>
      <w:r>
        <w:t>) who is required to hold a distribution licence for that system; and</w:t>
      </w:r>
    </w:p>
    <w:p>
      <w:pPr>
        <w:pStyle w:val="Indenta"/>
      </w:pPr>
      <w:r>
        <w:tab/>
        <w:t>(b)</w:t>
      </w:r>
      <w:r>
        <w:tab/>
        <w:t xml:space="preserve">a person (a </w:t>
      </w:r>
      <w:r>
        <w:rPr>
          <w:rStyle w:val="CharDefText"/>
        </w:rPr>
        <w:t>retail gas operator</w:t>
      </w:r>
      <w:r>
        <w:t>) who sells gas that is transported through that system.</w:t>
      </w:r>
    </w:p>
    <w:p>
      <w:pPr>
        <w:pStyle w:val="Subsection"/>
        <w:keepNext/>
        <w:keepLines/>
      </w:pPr>
      <w:r>
        <w:tab/>
        <w:t>(2)</w:t>
      </w:r>
      <w:r>
        <w:tab/>
        <w:t xml:space="preserve">This section has effect subject to — </w:t>
      </w:r>
    </w:p>
    <w:p>
      <w:pPr>
        <w:pStyle w:val="Indenta"/>
      </w:pPr>
      <w:r>
        <w:tab/>
        <w:t>(a)</w:t>
      </w:r>
      <w:r>
        <w:tab/>
        <w:t>section 11ZOE; and</w:t>
      </w:r>
    </w:p>
    <w:p>
      <w:pPr>
        <w:pStyle w:val="Indenta"/>
        <w:keepNext/>
      </w:pPr>
      <w:r>
        <w:tab/>
        <w:t>(b)</w:t>
      </w:r>
      <w:r>
        <w:tab/>
        <w:t>any exemption granted under section 11ZOS.</w:t>
      </w:r>
    </w:p>
    <w:p>
      <w:pPr>
        <w:pStyle w:val="Footnotesection"/>
      </w:pPr>
      <w:r>
        <w:tab/>
        <w:t>[Section 11ZOC inserted: No. 53 of 2003 s. 15.]</w:t>
      </w:r>
    </w:p>
    <w:p>
      <w:pPr>
        <w:pStyle w:val="Heading5"/>
      </w:pPr>
      <w:bookmarkStart w:id="279" w:name="_Toc375143058"/>
      <w:bookmarkStart w:id="280" w:name="_Toc416788235"/>
      <w:r>
        <w:rPr>
          <w:rStyle w:val="CharSectno"/>
        </w:rPr>
        <w:t>11ZOD</w:t>
      </w:r>
      <w:r>
        <w:t>.</w:t>
      </w:r>
      <w:r>
        <w:tab/>
        <w:t>Persons required to comply with retail market rules</w:t>
      </w:r>
      <w:bookmarkEnd w:id="279"/>
      <w:bookmarkEnd w:id="280"/>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No. 53 of 2003 s. 15.]</w:t>
      </w:r>
    </w:p>
    <w:p>
      <w:pPr>
        <w:pStyle w:val="Heading5"/>
      </w:pPr>
      <w:bookmarkStart w:id="281" w:name="_Toc375143059"/>
      <w:bookmarkStart w:id="282" w:name="_Toc416788236"/>
      <w:r>
        <w:rPr>
          <w:rStyle w:val="CharSectno"/>
        </w:rPr>
        <w:t>11ZOE</w:t>
      </w:r>
      <w:r>
        <w:t>.</w:t>
      </w:r>
      <w:r>
        <w:tab/>
        <w:t>Exception to requirement for a scheme</w:t>
      </w:r>
      <w:bookmarkEnd w:id="281"/>
      <w:bookmarkEnd w:id="282"/>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No. 53 of 2003 s. 15.]</w:t>
      </w:r>
    </w:p>
    <w:p>
      <w:pPr>
        <w:pStyle w:val="Heading5"/>
      </w:pPr>
      <w:bookmarkStart w:id="283" w:name="_Toc375143060"/>
      <w:bookmarkStart w:id="284" w:name="_Toc416788237"/>
      <w:r>
        <w:rPr>
          <w:rStyle w:val="CharSectno"/>
        </w:rPr>
        <w:t>11ZOF</w:t>
      </w:r>
      <w:r>
        <w:t>.</w:t>
      </w:r>
      <w:r>
        <w:tab/>
        <w:t>Elements of retail market scheme</w:t>
      </w:r>
      <w:bookmarkEnd w:id="283"/>
      <w:bookmarkEnd w:id="284"/>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No. 53 of 2003 s. 15; amended: No. 53 of 2003 s. 19(1).]</w:t>
      </w:r>
    </w:p>
    <w:p>
      <w:pPr>
        <w:pStyle w:val="Heading5"/>
      </w:pPr>
      <w:bookmarkStart w:id="285" w:name="_Toc375143061"/>
      <w:bookmarkStart w:id="286" w:name="_Toc416788238"/>
      <w:r>
        <w:rPr>
          <w:rStyle w:val="CharSectno"/>
        </w:rPr>
        <w:t>11ZOG</w:t>
      </w:r>
      <w:r>
        <w:t>.</w:t>
      </w:r>
      <w:r>
        <w:tab/>
        <w:t>Requirements for retail market rules</w:t>
      </w:r>
      <w:bookmarkEnd w:id="285"/>
      <w:bookmarkEnd w:id="286"/>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pPr>
      <w:r>
        <w:tab/>
        <w:t>(i)</w:t>
      </w:r>
      <w:r>
        <w:tab/>
        <w:t>the amount of gas of an operator that is entered on behalf of the operator into a distribution system or part of a distribution system; and</w:t>
      </w:r>
    </w:p>
    <w:p>
      <w:pPr>
        <w:pStyle w:val="Indenti"/>
      </w:pPr>
      <w:r>
        <w:tab/>
        <w:t>(ii)</w:t>
      </w:r>
      <w:r>
        <w:tab/>
        <w:t>the amount of gas that is withdrawn by the operator from,</w:t>
      </w:r>
    </w:p>
    <w:p>
      <w:pPr>
        <w:pStyle w:val="Indenta"/>
      </w:pPr>
      <w:r>
        <w:tab/>
      </w:r>
      <w:r>
        <w:tab/>
        <w:t>that system or that part of a system;</w:t>
      </w:r>
    </w:p>
    <w:p>
      <w:pPr>
        <w:pStyle w:val="Indenta"/>
      </w:pPr>
      <w:r>
        <w:tab/>
        <w:t>(f)</w:t>
      </w:r>
      <w:r>
        <w:tab/>
        <w:t>the keeping, retention and auditing of records;</w:t>
      </w:r>
    </w:p>
    <w:p>
      <w:pPr>
        <w:pStyle w:val="Indenta"/>
      </w:pPr>
      <w:r>
        <w:tab/>
        <w:t>(g)</w:t>
      </w:r>
      <w:r>
        <w:tab/>
        <w:t xml:space="preserve">the resolution of disputes and questions that may arise; </w:t>
      </w:r>
    </w:p>
    <w:p>
      <w:pPr>
        <w:pStyle w:val="Indenta"/>
      </w:pPr>
      <w:r>
        <w:tab/>
        <w:t>(h)</w:t>
      </w:r>
      <w:r>
        <w:tab/>
        <w:t xml:space="preserve">subject to Division 3, the requirements to be observed in making an amendment to, or replacing, the retail market rules; </w:t>
      </w:r>
    </w:p>
    <w:p>
      <w:pPr>
        <w:pStyle w:val="Indenta"/>
      </w:pPr>
      <w:r>
        <w:tab/>
        <w:t>(i)</w:t>
      </w:r>
      <w:r>
        <w:tab/>
        <w:t xml:space="preserve">monitoring compliance with the retail market rules; </w:t>
      </w:r>
    </w:p>
    <w:p>
      <w:pPr>
        <w:pStyle w:val="Indenta"/>
      </w:pPr>
      <w:r>
        <w:tab/>
        <w:t>(j)</w:t>
      </w:r>
      <w:r>
        <w:tab/>
        <w:t>the enforcement of the retail market rules, including by the imposition of penalties; and</w:t>
      </w:r>
    </w:p>
    <w:p>
      <w:pPr>
        <w:pStyle w:val="Indenta"/>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No. 53 of 2003 s. 15.]</w:t>
      </w:r>
    </w:p>
    <w:p>
      <w:pPr>
        <w:pStyle w:val="Heading5"/>
      </w:pPr>
      <w:bookmarkStart w:id="287" w:name="_Toc375143062"/>
      <w:bookmarkStart w:id="288" w:name="_Toc416788239"/>
      <w:r>
        <w:rPr>
          <w:rStyle w:val="CharSectno"/>
        </w:rPr>
        <w:t>11ZOH</w:t>
      </w:r>
      <w:r>
        <w:t>.</w:t>
      </w:r>
      <w:r>
        <w:tab/>
        <w:t>Regulations for retail market scheme or rules</w:t>
      </w:r>
      <w:bookmarkEnd w:id="287"/>
      <w:bookmarkEnd w:id="288"/>
    </w:p>
    <w:p>
      <w:pPr>
        <w:pStyle w:val="Subsection"/>
        <w:keepNext/>
        <w:keepLines/>
      </w:pPr>
      <w:r>
        <w:tab/>
      </w:r>
      <w:r>
        <w:tab/>
        <w:t xml:space="preserve">Regulations may be made — </w:t>
      </w:r>
    </w:p>
    <w:p>
      <w:pPr>
        <w:pStyle w:val="Indenta"/>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No. 53 of 2003 s. 15.]</w:t>
      </w:r>
    </w:p>
    <w:p>
      <w:pPr>
        <w:pStyle w:val="Heading3"/>
      </w:pPr>
      <w:bookmarkStart w:id="289" w:name="_Toc375142809"/>
      <w:bookmarkStart w:id="290" w:name="_Toc375143063"/>
      <w:bookmarkStart w:id="291" w:name="_Toc416787987"/>
      <w:bookmarkStart w:id="292" w:name="_Toc416788240"/>
      <w:r>
        <w:rPr>
          <w:rStyle w:val="CharDivNo"/>
        </w:rPr>
        <w:t>Division 3</w:t>
      </w:r>
      <w:r>
        <w:t xml:space="preserve"> — </w:t>
      </w:r>
      <w:r>
        <w:rPr>
          <w:rStyle w:val="CharDivText"/>
        </w:rPr>
        <w:t>Preparation, approval, review and amendment of retail market schemes</w:t>
      </w:r>
      <w:bookmarkEnd w:id="289"/>
      <w:bookmarkEnd w:id="290"/>
      <w:bookmarkEnd w:id="291"/>
      <w:bookmarkEnd w:id="292"/>
    </w:p>
    <w:p>
      <w:pPr>
        <w:pStyle w:val="Footnoteheading"/>
        <w:ind w:left="890"/>
      </w:pPr>
      <w:r>
        <w:tab/>
        <w:t>[Heading inserted: No. 53 of 2003 s. 15.]</w:t>
      </w:r>
    </w:p>
    <w:p>
      <w:pPr>
        <w:pStyle w:val="Heading5"/>
      </w:pPr>
      <w:bookmarkStart w:id="293" w:name="_Toc375143064"/>
      <w:bookmarkStart w:id="294" w:name="_Toc416788241"/>
      <w:r>
        <w:rPr>
          <w:rStyle w:val="CharSectno"/>
        </w:rPr>
        <w:t>11ZOI</w:t>
      </w:r>
      <w:r>
        <w:t>.</w:t>
      </w:r>
      <w:r>
        <w:tab/>
        <w:t>Submission of retail market scheme for approval</w:t>
      </w:r>
      <w:bookmarkEnd w:id="293"/>
      <w:bookmarkEnd w:id="294"/>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No. 53 of 2003 s. 15; amended: No. 53 of 2003 s. 19(1).]</w:t>
      </w:r>
    </w:p>
    <w:p>
      <w:pPr>
        <w:pStyle w:val="Heading5"/>
      </w:pPr>
      <w:bookmarkStart w:id="295" w:name="_Toc375143065"/>
      <w:bookmarkStart w:id="296" w:name="_Toc416788242"/>
      <w:r>
        <w:rPr>
          <w:rStyle w:val="CharSectno"/>
        </w:rPr>
        <w:t>11ZOJ</w:t>
      </w:r>
      <w:r>
        <w:t>.</w:t>
      </w:r>
      <w:r>
        <w:tab/>
        <w:t>Approval of retail market schemes</w:t>
      </w:r>
      <w:bookmarkEnd w:id="295"/>
      <w:bookmarkEnd w:id="296"/>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keepNext/>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 xml:space="preserve">The Authority is to cause notice of the approval of a retail market scheme to be published in the </w:t>
      </w:r>
      <w:r>
        <w:rPr>
          <w:i/>
          <w:iCs/>
        </w:rPr>
        <w:t>Gazette</w:t>
      </w:r>
      <w:r>
        <w:t>.</w:t>
      </w:r>
    </w:p>
    <w:p>
      <w:pPr>
        <w:pStyle w:val="Footnotesection"/>
      </w:pPr>
      <w:r>
        <w:tab/>
        <w:t>[Section 11ZOJ inserted: No. 53 of 2003 s. 15; amended: No. 53 of 2003 s. 19(1).]</w:t>
      </w:r>
    </w:p>
    <w:p>
      <w:pPr>
        <w:pStyle w:val="Heading5"/>
      </w:pPr>
      <w:bookmarkStart w:id="297" w:name="_Toc375143066"/>
      <w:bookmarkStart w:id="298" w:name="_Toc416788243"/>
      <w:r>
        <w:rPr>
          <w:rStyle w:val="CharSectno"/>
        </w:rPr>
        <w:t>11ZOK</w:t>
      </w:r>
      <w:r>
        <w:t>.</w:t>
      </w:r>
      <w:r>
        <w:tab/>
        <w:t>Commencement of retail market schemes</w:t>
      </w:r>
      <w:bookmarkEnd w:id="297"/>
      <w:bookmarkEnd w:id="298"/>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No. 53 of 2003 s. 15; amended: No. 53 of 2003 s. 19(1).]</w:t>
      </w:r>
    </w:p>
    <w:p>
      <w:pPr>
        <w:pStyle w:val="Heading5"/>
      </w:pPr>
      <w:bookmarkStart w:id="299" w:name="_Toc375143067"/>
      <w:bookmarkStart w:id="300" w:name="_Toc416788244"/>
      <w:r>
        <w:rPr>
          <w:rStyle w:val="CharSectno"/>
        </w:rPr>
        <w:t>11ZOL</w:t>
      </w:r>
      <w:r>
        <w:t>.</w:t>
      </w:r>
      <w:r>
        <w:tab/>
        <w:t>Submission of amendment for approval</w:t>
      </w:r>
      <w:bookmarkEnd w:id="299"/>
      <w:bookmarkEnd w:id="300"/>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No. 53 of 2003 s. 15; amended: No. 53 of 2003 s. 19(1).]</w:t>
      </w:r>
    </w:p>
    <w:p>
      <w:pPr>
        <w:pStyle w:val="Heading5"/>
      </w:pPr>
      <w:bookmarkStart w:id="301" w:name="_Toc375143068"/>
      <w:bookmarkStart w:id="302" w:name="_Toc416788245"/>
      <w:r>
        <w:rPr>
          <w:rStyle w:val="CharSectno"/>
        </w:rPr>
        <w:t>11ZOM</w:t>
      </w:r>
      <w:r>
        <w:t>.</w:t>
      </w:r>
      <w:r>
        <w:tab/>
        <w:t> Approval of amendment</w:t>
      </w:r>
      <w:bookmarkEnd w:id="301"/>
      <w:bookmarkEnd w:id="302"/>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No. 53 of 2003 s. 15; amended: No. 53 of 2003 s. 19(1).]</w:t>
      </w:r>
    </w:p>
    <w:p>
      <w:pPr>
        <w:pStyle w:val="Heading5"/>
      </w:pPr>
      <w:bookmarkStart w:id="303" w:name="_Toc375143069"/>
      <w:bookmarkStart w:id="304" w:name="_Toc416788246"/>
      <w:r>
        <w:rPr>
          <w:rStyle w:val="CharSectno"/>
        </w:rPr>
        <w:t>11ZON</w:t>
      </w:r>
      <w:r>
        <w:t>.</w:t>
      </w:r>
      <w:r>
        <w:tab/>
        <w:t>Prerequisites to approval of scheme</w:t>
      </w:r>
      <w:bookmarkEnd w:id="303"/>
      <w:bookmarkEnd w:id="304"/>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No. 53 of 2003 s. 15; amended: No. 53 of 2003 s. 19(1).]</w:t>
      </w:r>
    </w:p>
    <w:p>
      <w:pPr>
        <w:pStyle w:val="Heading5"/>
      </w:pPr>
      <w:bookmarkStart w:id="305" w:name="_Toc375143070"/>
      <w:bookmarkStart w:id="306" w:name="_Toc416788247"/>
      <w:r>
        <w:rPr>
          <w:rStyle w:val="CharSectno"/>
        </w:rPr>
        <w:t>11ZOO</w:t>
      </w:r>
      <w:r>
        <w:t>.</w:t>
      </w:r>
      <w:r>
        <w:tab/>
        <w:t>Prerequisites to approval of amendment</w:t>
      </w:r>
      <w:bookmarkEnd w:id="305"/>
      <w:bookmarkEnd w:id="306"/>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No. 53 of 2003 s. 15; amended: No. 53 of 2003 s. 19(1).]</w:t>
      </w:r>
    </w:p>
    <w:p>
      <w:pPr>
        <w:pStyle w:val="Heading5"/>
      </w:pPr>
      <w:bookmarkStart w:id="307" w:name="_Toc375143071"/>
      <w:bookmarkStart w:id="308" w:name="_Toc416788248"/>
      <w:r>
        <w:rPr>
          <w:rStyle w:val="CharSectno"/>
        </w:rPr>
        <w:t>11ZOP</w:t>
      </w:r>
      <w:r>
        <w:t>.</w:t>
      </w:r>
      <w:r>
        <w:tab/>
        <w:t>Matters to which Authority is to have regard</w:t>
      </w:r>
      <w:bookmarkEnd w:id="307"/>
      <w:bookmarkEnd w:id="308"/>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keepLines w:val="0"/>
      </w:pPr>
      <w:r>
        <w:tab/>
        <w:t>[Section 11ZOP inserted: No. 53 of 2003 s. 15; amended: No. 53 of 2003 s. 19(1).]</w:t>
      </w:r>
    </w:p>
    <w:p>
      <w:pPr>
        <w:pStyle w:val="Heading5"/>
      </w:pPr>
      <w:bookmarkStart w:id="309" w:name="_Toc375143072"/>
      <w:bookmarkStart w:id="310" w:name="_Toc416788249"/>
      <w:r>
        <w:rPr>
          <w:rStyle w:val="CharSectno"/>
        </w:rPr>
        <w:t>11ZOQ</w:t>
      </w:r>
      <w:r>
        <w:t>.</w:t>
      </w:r>
      <w:r>
        <w:tab/>
        <w:t>Review of scheme</w:t>
      </w:r>
      <w:bookmarkEnd w:id="309"/>
      <w:bookmarkEnd w:id="310"/>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No. 53 of 2003 s. 15; amended: No. 53 of 2003 s. 19(1).]</w:t>
      </w:r>
    </w:p>
    <w:p>
      <w:pPr>
        <w:pStyle w:val="Heading3"/>
      </w:pPr>
      <w:bookmarkStart w:id="311" w:name="_Toc375142819"/>
      <w:bookmarkStart w:id="312" w:name="_Toc375143073"/>
      <w:bookmarkStart w:id="313" w:name="_Toc416787997"/>
      <w:bookmarkStart w:id="314" w:name="_Toc416788250"/>
      <w:r>
        <w:rPr>
          <w:rStyle w:val="CharDivNo"/>
        </w:rPr>
        <w:t>Division 4</w:t>
      </w:r>
      <w:r>
        <w:t xml:space="preserve"> — </w:t>
      </w:r>
      <w:r>
        <w:rPr>
          <w:rStyle w:val="CharDivText"/>
        </w:rPr>
        <w:t>Enforcement</w:t>
      </w:r>
      <w:bookmarkEnd w:id="311"/>
      <w:bookmarkEnd w:id="312"/>
      <w:bookmarkEnd w:id="313"/>
      <w:bookmarkEnd w:id="314"/>
    </w:p>
    <w:p>
      <w:pPr>
        <w:pStyle w:val="Footnoteheading"/>
      </w:pPr>
      <w:r>
        <w:tab/>
        <w:t>[Heading inserted: No. 53 of 2003 s. 15.]</w:t>
      </w:r>
    </w:p>
    <w:p>
      <w:pPr>
        <w:pStyle w:val="Heading4"/>
      </w:pPr>
      <w:bookmarkStart w:id="315" w:name="_Toc375142820"/>
      <w:bookmarkStart w:id="316" w:name="_Toc375143074"/>
      <w:bookmarkStart w:id="317" w:name="_Toc416787998"/>
      <w:bookmarkStart w:id="318" w:name="_Toc416788251"/>
      <w:r>
        <w:t>Subdivision 1 — Enforcement of requirements for membership of scheme</w:t>
      </w:r>
      <w:bookmarkEnd w:id="315"/>
      <w:bookmarkEnd w:id="316"/>
      <w:bookmarkEnd w:id="317"/>
      <w:bookmarkEnd w:id="318"/>
    </w:p>
    <w:p>
      <w:pPr>
        <w:pStyle w:val="Footnoteheading"/>
        <w:tabs>
          <w:tab w:val="left" w:pos="851"/>
        </w:tabs>
      </w:pPr>
      <w:r>
        <w:tab/>
        <w:t>[Heading inserted: No. 53 of 2003 s. 15.]</w:t>
      </w:r>
    </w:p>
    <w:p>
      <w:pPr>
        <w:pStyle w:val="Heading5"/>
      </w:pPr>
      <w:bookmarkStart w:id="319" w:name="_Toc375143075"/>
      <w:bookmarkStart w:id="320" w:name="_Toc416788252"/>
      <w:r>
        <w:rPr>
          <w:rStyle w:val="CharSectno"/>
        </w:rPr>
        <w:t>11ZOR</w:t>
      </w:r>
      <w:r>
        <w:t>.</w:t>
      </w:r>
      <w:r>
        <w:tab/>
        <w:t>Membership required</w:t>
      </w:r>
      <w:bookmarkEnd w:id="319"/>
      <w:bookmarkEnd w:id="320"/>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No. 53 of 2003 s. 15.]</w:t>
      </w:r>
    </w:p>
    <w:p>
      <w:pPr>
        <w:pStyle w:val="Heading5"/>
      </w:pPr>
      <w:bookmarkStart w:id="321" w:name="_Toc375143076"/>
      <w:bookmarkStart w:id="322" w:name="_Toc416788253"/>
      <w:r>
        <w:rPr>
          <w:rStyle w:val="CharSectno"/>
        </w:rPr>
        <w:t>11ZOS</w:t>
      </w:r>
      <w:r>
        <w:t>.</w:t>
      </w:r>
      <w:r>
        <w:tab/>
        <w:t>Power to exempt</w:t>
      </w:r>
      <w:bookmarkEnd w:id="321"/>
      <w:bookmarkEnd w:id="322"/>
    </w:p>
    <w:p>
      <w:pPr>
        <w:pStyle w:val="Subsection"/>
      </w:pPr>
      <w:r>
        <w:tab/>
        <w:t>(1)</w:t>
      </w:r>
      <w:r>
        <w:tab/>
        <w:t xml:space="preserve">The Authority may by order published in the </w:t>
      </w:r>
      <w:r>
        <w:rPr>
          <w:i/>
        </w:rPr>
        <w:t>Gazette</w:t>
      </w:r>
      <w:r>
        <w:t xml:space="preserve"> exempt — </w:t>
      </w:r>
    </w:p>
    <w:p>
      <w:pPr>
        <w:pStyle w:val="Indenta"/>
      </w:pPr>
      <w:r>
        <w:tab/>
        <w:t>(a)</w:t>
      </w:r>
      <w:r>
        <w:tab/>
        <w:t>a gas business operator; or</w:t>
      </w:r>
    </w:p>
    <w:p>
      <w:pPr>
        <w:pStyle w:val="Indenta"/>
      </w:pPr>
      <w:r>
        <w:tab/>
        <w:t>(b)</w:t>
      </w:r>
      <w:r>
        <w:tab/>
        <w:t>a class of gas business operators,</w:t>
      </w:r>
    </w:p>
    <w:p>
      <w:pPr>
        <w:pStyle w:val="Subsection"/>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pPr>
      <w:r>
        <w:tab/>
        <w:t>(a)</w:t>
      </w:r>
      <w:r>
        <w:tab/>
        <w:t>would be consistent with the objects of section 11ZOB; and</w:t>
      </w:r>
    </w:p>
    <w:p>
      <w:pPr>
        <w:pStyle w:val="Indenta"/>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No. 53 of 2003 s. 15; amended: No. 53 of 2003 s. 19(1).]</w:t>
      </w:r>
    </w:p>
    <w:p>
      <w:pPr>
        <w:pStyle w:val="Heading5"/>
      </w:pPr>
      <w:bookmarkStart w:id="323" w:name="_Toc375143077"/>
      <w:bookmarkStart w:id="324" w:name="_Toc416788254"/>
      <w:r>
        <w:rPr>
          <w:rStyle w:val="CharSectno"/>
        </w:rPr>
        <w:t>11ZOT</w:t>
      </w:r>
      <w:r>
        <w:t>.</w:t>
      </w:r>
      <w:r>
        <w:tab/>
        <w:t>Enforcement of section 11ZOR</w:t>
      </w:r>
      <w:bookmarkEnd w:id="323"/>
      <w:bookmarkEnd w:id="324"/>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No. 53 of 2003 s. 15; amended: No. 53 of 2003 s. 19(1).]</w:t>
      </w:r>
    </w:p>
    <w:p>
      <w:pPr>
        <w:pStyle w:val="Heading4"/>
      </w:pPr>
      <w:bookmarkStart w:id="325" w:name="_Toc375142824"/>
      <w:bookmarkStart w:id="326" w:name="_Toc375143078"/>
      <w:bookmarkStart w:id="327" w:name="_Toc416788002"/>
      <w:bookmarkStart w:id="328" w:name="_Toc416788255"/>
      <w:r>
        <w:t>Subdivision 2 — Enforcement of retail market scheme and rules</w:t>
      </w:r>
      <w:bookmarkEnd w:id="325"/>
      <w:bookmarkEnd w:id="326"/>
      <w:bookmarkEnd w:id="327"/>
      <w:bookmarkEnd w:id="328"/>
    </w:p>
    <w:p>
      <w:pPr>
        <w:pStyle w:val="Footnoteheading"/>
      </w:pPr>
      <w:r>
        <w:tab/>
        <w:t>[Heading inserted: No. 53 of 2003 s. 15.]</w:t>
      </w:r>
    </w:p>
    <w:p>
      <w:pPr>
        <w:pStyle w:val="Heading5"/>
      </w:pPr>
      <w:bookmarkStart w:id="329" w:name="_Toc375143079"/>
      <w:bookmarkStart w:id="330" w:name="_Toc416788256"/>
      <w:r>
        <w:rPr>
          <w:rStyle w:val="CharSectno"/>
        </w:rPr>
        <w:t>11ZOU</w:t>
      </w:r>
      <w:r>
        <w:t>.</w:t>
      </w:r>
      <w:r>
        <w:tab/>
        <w:t>Authority may impose penalty for breach</w:t>
      </w:r>
      <w:bookmarkEnd w:id="329"/>
      <w:bookmarkEnd w:id="330"/>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No. 53 of 2003 s. 15; amended: No. 53 of 2003 s. 19(1).]</w:t>
      </w:r>
    </w:p>
    <w:p>
      <w:pPr>
        <w:pStyle w:val="Heading4"/>
      </w:pPr>
      <w:bookmarkStart w:id="331" w:name="_Toc375142826"/>
      <w:bookmarkStart w:id="332" w:name="_Toc375143080"/>
      <w:bookmarkStart w:id="333" w:name="_Toc416788004"/>
      <w:bookmarkStart w:id="334" w:name="_Toc416788257"/>
      <w:r>
        <w:t>Subdivision 3 — Prohibition of certain conduct in relation to a retail market scheme</w:t>
      </w:r>
      <w:bookmarkEnd w:id="331"/>
      <w:bookmarkEnd w:id="332"/>
      <w:bookmarkEnd w:id="333"/>
      <w:bookmarkEnd w:id="334"/>
    </w:p>
    <w:p>
      <w:pPr>
        <w:pStyle w:val="Footnoteheading"/>
        <w:keepNext/>
        <w:tabs>
          <w:tab w:val="left" w:pos="851"/>
        </w:tabs>
      </w:pPr>
      <w:r>
        <w:tab/>
        <w:t>[Heading inserted: No. 53 of 2003 s. 15.]</w:t>
      </w:r>
    </w:p>
    <w:p>
      <w:pPr>
        <w:pStyle w:val="Heading5"/>
      </w:pPr>
      <w:bookmarkStart w:id="335" w:name="_Toc375143081"/>
      <w:bookmarkStart w:id="336" w:name="_Toc416788258"/>
      <w:r>
        <w:rPr>
          <w:rStyle w:val="CharSectno"/>
        </w:rPr>
        <w:t>11ZOV</w:t>
      </w:r>
      <w:r>
        <w:t>.</w:t>
      </w:r>
      <w:r>
        <w:tab/>
        <w:t>Conduct preventing or hindering operation</w:t>
      </w:r>
      <w:bookmarkEnd w:id="335"/>
      <w:bookmarkEnd w:id="336"/>
    </w:p>
    <w:p>
      <w:pPr>
        <w:pStyle w:val="Subsection"/>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pPr>
      <w:r>
        <w:tab/>
        <w:t>(a)</w:t>
      </w:r>
      <w:r>
        <w:tab/>
        <w:t>a gas business operator in relation to the retail market scheme concerned;</w:t>
      </w:r>
    </w:p>
    <w:p>
      <w:pPr>
        <w:pStyle w:val="Indenta"/>
      </w:pPr>
      <w:r>
        <w:tab/>
        <w:t>(b)</w:t>
      </w:r>
      <w:r>
        <w:tab/>
        <w:t xml:space="preserve">a person who is party to an agreement with such a gas business operator relating to the supply or distribution of gas; or </w:t>
      </w:r>
    </w:p>
    <w:p>
      <w:pPr>
        <w:pStyle w:val="Indenta"/>
      </w:pPr>
      <w:r>
        <w:tab/>
        <w:t>(c)</w:t>
      </w:r>
      <w:r>
        <w:tab/>
        <w:t xml:space="preserve">an associate of — </w:t>
      </w:r>
    </w:p>
    <w:p>
      <w:pPr>
        <w:pStyle w:val="Indenti"/>
      </w:pPr>
      <w:r>
        <w:tab/>
        <w:t>(i)</w:t>
      </w:r>
      <w:r>
        <w:tab/>
        <w:t xml:space="preserve">a gas business operator referred to in paragraph (a); or </w:t>
      </w:r>
    </w:p>
    <w:p>
      <w:pPr>
        <w:pStyle w:val="Indenti"/>
        <w:keepNext/>
      </w:pPr>
      <w:r>
        <w:tab/>
        <w:t>(ii)</w:t>
      </w:r>
      <w:r>
        <w:tab/>
        <w:t>a person referred to in paragraph (b).</w:t>
      </w:r>
    </w:p>
    <w:p>
      <w:pPr>
        <w:pStyle w:val="Footnotesection"/>
      </w:pPr>
      <w:r>
        <w:tab/>
        <w:t>[Section 11ZOV inserted: No. 53 of 2003 s. 15.]</w:t>
      </w:r>
    </w:p>
    <w:p>
      <w:pPr>
        <w:pStyle w:val="Heading5"/>
      </w:pPr>
      <w:bookmarkStart w:id="337" w:name="_Toc375143082"/>
      <w:bookmarkStart w:id="338" w:name="_Toc416788259"/>
      <w:r>
        <w:rPr>
          <w:rStyle w:val="CharSectno"/>
        </w:rPr>
        <w:t>11ZOW</w:t>
      </w:r>
      <w:r>
        <w:t>. Interpretation of section 11ZOV</w:t>
      </w:r>
      <w:bookmarkEnd w:id="337"/>
      <w:bookmarkEnd w:id="338"/>
    </w:p>
    <w:p>
      <w:pPr>
        <w:pStyle w:val="Subsection"/>
      </w:pPr>
      <w:r>
        <w:tab/>
        <w:t>(1)</w:t>
      </w:r>
      <w:r>
        <w:tab/>
        <w:t xml:space="preserve">In section 11ZOV — </w:t>
      </w:r>
    </w:p>
    <w:p>
      <w:pPr>
        <w:pStyle w:val="Indenta"/>
      </w:pPr>
      <w:r>
        <w:tab/>
        <w:t>(a)</w:t>
      </w:r>
      <w:r>
        <w:tab/>
        <w:t xml:space="preserve">a reference to engaging in conduct is a reference to — </w:t>
      </w:r>
    </w:p>
    <w:p>
      <w:pPr>
        <w:pStyle w:val="Indenti"/>
      </w:pPr>
      <w:r>
        <w:tab/>
        <w:t>(i)</w:t>
      </w:r>
      <w:r>
        <w:tab/>
        <w:t xml:space="preserve">doing or refusing to do any act, including — </w:t>
      </w:r>
    </w:p>
    <w:p>
      <w:pPr>
        <w:pStyle w:val="IndentI0"/>
      </w:pPr>
      <w:r>
        <w:tab/>
        <w:t>(I)</w:t>
      </w:r>
      <w:r>
        <w:tab/>
        <w:t>refusing to supply a service; or</w:t>
      </w:r>
    </w:p>
    <w:p>
      <w:pPr>
        <w:pStyle w:val="IndentI0"/>
      </w:pPr>
      <w:r>
        <w:tab/>
        <w:t>(II)</w:t>
      </w:r>
      <w:r>
        <w:tab/>
        <w:t>without reasonable grounds, limiting or disrupting a service;</w:t>
      </w:r>
    </w:p>
    <w:p>
      <w:pPr>
        <w:pStyle w:val="Indenti"/>
      </w:pPr>
      <w:r>
        <w:tab/>
        <w:t>(ii)</w:t>
      </w:r>
      <w:r>
        <w:tab/>
        <w:t>making, or giving effect to a provision of, a contract or arrangement;</w:t>
      </w:r>
    </w:p>
    <w:p>
      <w:pPr>
        <w:pStyle w:val="Indenti"/>
      </w:pPr>
      <w:r>
        <w:tab/>
        <w:t>(iii)</w:t>
      </w:r>
      <w:r>
        <w:tab/>
        <w:t xml:space="preserve">arriving at, or giving effect to a provision of, an understanding; or </w:t>
      </w:r>
    </w:p>
    <w:p>
      <w:pPr>
        <w:pStyle w:val="Indenti"/>
      </w:pPr>
      <w:r>
        <w:tab/>
        <w:t>(iv)</w:t>
      </w:r>
      <w:r>
        <w:tab/>
        <w:t>requiring the giving of, or giving, a covenant;</w:t>
      </w:r>
    </w:p>
    <w:p>
      <w:pPr>
        <w:pStyle w:val="Indenta"/>
      </w:pPr>
      <w:r>
        <w:tab/>
        <w:t>(b)</w:t>
      </w:r>
      <w:r>
        <w:tab/>
        <w:t xml:space="preserve">a reference to refusing to do an act includes a reference to — </w:t>
      </w:r>
    </w:p>
    <w:p>
      <w:pPr>
        <w:pStyle w:val="Indenti"/>
      </w:pPr>
      <w:r>
        <w:tab/>
        <w:t>(i)</w:t>
      </w:r>
      <w:r>
        <w:tab/>
        <w:t xml:space="preserve">refraining (otherwise than inadvertently) from doing that act; </w:t>
      </w:r>
    </w:p>
    <w:p>
      <w:pPr>
        <w:pStyle w:val="Indenti"/>
      </w:pPr>
      <w:r>
        <w:tab/>
        <w:t>(ii)</w:t>
      </w:r>
      <w:r>
        <w:tab/>
        <w:t>making it known that that act will not be done.</w:t>
      </w:r>
    </w:p>
    <w:p>
      <w:pPr>
        <w:pStyle w:val="Subsection"/>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No. 53 of 2003 s. 15.]</w:t>
      </w:r>
    </w:p>
    <w:p>
      <w:pPr>
        <w:pStyle w:val="Heading5"/>
      </w:pPr>
      <w:bookmarkStart w:id="339" w:name="_Toc375143083"/>
      <w:bookmarkStart w:id="340" w:name="_Toc416788260"/>
      <w:r>
        <w:rPr>
          <w:rStyle w:val="CharSectno"/>
        </w:rPr>
        <w:t>11ZOX</w:t>
      </w:r>
      <w:r>
        <w:t>.</w:t>
      </w:r>
      <w:r>
        <w:tab/>
        <w:t>Establishing purpose of conduct</w:t>
      </w:r>
      <w:bookmarkEnd w:id="339"/>
      <w:bookmarkEnd w:id="340"/>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pPr>
      <w:r>
        <w:tab/>
        <w:t>(a)</w:t>
      </w:r>
      <w:r>
        <w:tab/>
        <w:t>the conduct of the person or of any other person; or</w:t>
      </w:r>
    </w:p>
    <w:p>
      <w:pPr>
        <w:pStyle w:val="Indenta"/>
      </w:pPr>
      <w:r>
        <w:tab/>
        <w:t>(b)</w:t>
      </w:r>
      <w:r>
        <w:tab/>
        <w:t>other relevant circumstances.</w:t>
      </w:r>
    </w:p>
    <w:p>
      <w:pPr>
        <w:pStyle w:val="Subsection"/>
      </w:pPr>
      <w:r>
        <w:tab/>
        <w:t>(3)</w:t>
      </w:r>
      <w:r>
        <w:tab/>
        <w:t>Subsection (2) does not limit the manner in which the purpose of a person may be established for the purpose of section 11ZOV.</w:t>
      </w:r>
    </w:p>
    <w:p>
      <w:pPr>
        <w:pStyle w:val="Footnotesection"/>
        <w:ind w:left="890" w:hanging="890"/>
      </w:pPr>
      <w:r>
        <w:tab/>
        <w:t>[Section 11ZOX inserted: No. 53 of 2003 s. 15.]</w:t>
      </w:r>
    </w:p>
    <w:p>
      <w:pPr>
        <w:pStyle w:val="Heading5"/>
      </w:pPr>
      <w:bookmarkStart w:id="341" w:name="_Toc375143084"/>
      <w:bookmarkStart w:id="342" w:name="_Toc416788261"/>
      <w:r>
        <w:rPr>
          <w:rStyle w:val="CharSectno"/>
        </w:rPr>
        <w:t>11ZOY</w:t>
      </w:r>
      <w:r>
        <w:t>.</w:t>
      </w:r>
      <w:r>
        <w:tab/>
        <w:t>Remedies for breach of section 11ZOV</w:t>
      </w:r>
      <w:bookmarkEnd w:id="341"/>
      <w:bookmarkEnd w:id="342"/>
    </w:p>
    <w:p>
      <w:pPr>
        <w:pStyle w:val="Subsection"/>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pPr>
      <w:r>
        <w:tab/>
        <w:t>(2)</w:t>
      </w:r>
      <w:r>
        <w:tab/>
        <w:t>The remedies set out in Schedule 2A are available where a person has contravened section 11ZOV(1) or (2).</w:t>
      </w:r>
    </w:p>
    <w:p>
      <w:pPr>
        <w:pStyle w:val="Subsection"/>
      </w:pPr>
      <w:r>
        <w:tab/>
        <w:t>(3)</w:t>
      </w:r>
      <w:r>
        <w:tab/>
        <w:t xml:space="preserve">Nothing in this section or Schedule 2A affects the right of a person — </w:t>
      </w:r>
    </w:p>
    <w:p>
      <w:pPr>
        <w:pStyle w:val="Indenta"/>
      </w:pPr>
      <w:r>
        <w:tab/>
        <w:t>(a)</w:t>
      </w:r>
      <w:r>
        <w:tab/>
        <w:t>to bring civil proceedings in respect of any matter or thing; or</w:t>
      </w:r>
    </w:p>
    <w:p>
      <w:pPr>
        <w:pStyle w:val="Indenta"/>
      </w:pPr>
      <w:r>
        <w:tab/>
        <w:t>(b)</w:t>
      </w:r>
      <w:r>
        <w:tab/>
        <w:t xml:space="preserve">to seek any relief or remedy, </w:t>
      </w:r>
    </w:p>
    <w:p>
      <w:pPr>
        <w:pStyle w:val="Subsection"/>
      </w:pPr>
      <w:r>
        <w:tab/>
      </w:r>
      <w:r>
        <w:tab/>
        <w:t>if the cause of action arises, or the relief or remedy is sought, on grounds that do not rely on section 11ZOV.</w:t>
      </w:r>
    </w:p>
    <w:p>
      <w:pPr>
        <w:pStyle w:val="Footnotesection"/>
        <w:spacing w:before="90"/>
        <w:ind w:left="890" w:hanging="890"/>
      </w:pPr>
      <w:r>
        <w:tab/>
        <w:t>[Section 11ZOY inserted: No. 53 of 2003 s. 15.]</w:t>
      </w:r>
    </w:p>
    <w:p>
      <w:pPr>
        <w:pStyle w:val="Heading3"/>
        <w:keepLines/>
        <w:spacing w:before="220"/>
      </w:pPr>
      <w:bookmarkStart w:id="343" w:name="_Toc375142831"/>
      <w:bookmarkStart w:id="344" w:name="_Toc375143085"/>
      <w:bookmarkStart w:id="345" w:name="_Toc416788009"/>
      <w:bookmarkStart w:id="346" w:name="_Toc416788262"/>
      <w:r>
        <w:rPr>
          <w:rStyle w:val="CharDivNo"/>
        </w:rPr>
        <w:t>Division 5</w:t>
      </w:r>
      <w:r>
        <w:t> — </w:t>
      </w:r>
      <w:r>
        <w:rPr>
          <w:rStyle w:val="CharDivText"/>
        </w:rPr>
        <w:t>Directions</w:t>
      </w:r>
      <w:bookmarkEnd w:id="343"/>
      <w:bookmarkEnd w:id="344"/>
      <w:bookmarkEnd w:id="345"/>
      <w:bookmarkEnd w:id="346"/>
    </w:p>
    <w:p>
      <w:pPr>
        <w:pStyle w:val="Footnoteheading"/>
        <w:keepNext/>
        <w:keepLines/>
        <w:tabs>
          <w:tab w:val="left" w:pos="851"/>
        </w:tabs>
      </w:pPr>
      <w:r>
        <w:tab/>
        <w:t>[Heading inserted: No. 53 of 2003 s. 15.]</w:t>
      </w:r>
    </w:p>
    <w:p>
      <w:pPr>
        <w:pStyle w:val="Heading4"/>
        <w:keepLines/>
        <w:spacing w:before="220"/>
      </w:pPr>
      <w:bookmarkStart w:id="347" w:name="_Toc375142832"/>
      <w:bookmarkStart w:id="348" w:name="_Toc375143086"/>
      <w:bookmarkStart w:id="349" w:name="_Toc416788010"/>
      <w:bookmarkStart w:id="350" w:name="_Toc416788263"/>
      <w:r>
        <w:t>Subdivision 1 — Directions to amend retail market scheme</w:t>
      </w:r>
      <w:bookmarkEnd w:id="347"/>
      <w:bookmarkEnd w:id="348"/>
      <w:bookmarkEnd w:id="349"/>
      <w:bookmarkEnd w:id="350"/>
    </w:p>
    <w:p>
      <w:pPr>
        <w:pStyle w:val="Footnoteheading"/>
        <w:keepNext/>
        <w:keepLines/>
        <w:tabs>
          <w:tab w:val="left" w:pos="851"/>
        </w:tabs>
      </w:pPr>
      <w:r>
        <w:tab/>
        <w:t>[Heading inserted: No. 53 of 2003 s. 15.]</w:t>
      </w:r>
    </w:p>
    <w:p>
      <w:pPr>
        <w:pStyle w:val="Heading5"/>
      </w:pPr>
      <w:bookmarkStart w:id="351" w:name="_Toc375143087"/>
      <w:bookmarkStart w:id="352" w:name="_Toc416788264"/>
      <w:r>
        <w:rPr>
          <w:rStyle w:val="CharSectno"/>
        </w:rPr>
        <w:t>11ZOZ</w:t>
      </w:r>
      <w:r>
        <w:t>.</w:t>
      </w:r>
      <w:r>
        <w:tab/>
        <w:t>Authority may direct amendment</w:t>
      </w:r>
      <w:bookmarkEnd w:id="351"/>
      <w:bookmarkEnd w:id="352"/>
    </w:p>
    <w:p>
      <w:pPr>
        <w:pStyle w:val="Subsection"/>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ind w:left="890" w:hanging="890"/>
      </w:pPr>
      <w:r>
        <w:tab/>
        <w:t>[Section 11ZOZ inserted: No. 53 of 2003 s. 15; amended: No. 53 of 2003 s. 19(1).]</w:t>
      </w:r>
    </w:p>
    <w:p>
      <w:pPr>
        <w:pStyle w:val="Heading5"/>
      </w:pPr>
      <w:bookmarkStart w:id="353" w:name="_Toc375143088"/>
      <w:bookmarkStart w:id="354" w:name="_Toc416788265"/>
      <w:r>
        <w:rPr>
          <w:rStyle w:val="CharSectno"/>
        </w:rPr>
        <w:t>11ZP</w:t>
      </w:r>
      <w:r>
        <w:t>.</w:t>
      </w:r>
      <w:r>
        <w:tab/>
        <w:t>Non</w:t>
      </w:r>
      <w:r>
        <w:noBreakHyphen/>
        <w:t>compliance with direction for amendment</w:t>
      </w:r>
      <w:bookmarkEnd w:id="353"/>
      <w:bookmarkEnd w:id="354"/>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No. 53 of 2003 s. 15; amended: No. 53 of 2003 s. 19(1).]</w:t>
      </w:r>
    </w:p>
    <w:p>
      <w:pPr>
        <w:pStyle w:val="Heading4"/>
      </w:pPr>
      <w:bookmarkStart w:id="355" w:name="_Toc375142835"/>
      <w:bookmarkStart w:id="356" w:name="_Toc375143089"/>
      <w:bookmarkStart w:id="357" w:name="_Toc416788013"/>
      <w:bookmarkStart w:id="358" w:name="_Toc416788266"/>
      <w:r>
        <w:t>Subdivision 2 — Directions as to operation of retail market scheme</w:t>
      </w:r>
      <w:bookmarkEnd w:id="355"/>
      <w:bookmarkEnd w:id="356"/>
      <w:bookmarkEnd w:id="357"/>
      <w:bookmarkEnd w:id="358"/>
    </w:p>
    <w:p>
      <w:pPr>
        <w:pStyle w:val="Footnoteheading"/>
        <w:tabs>
          <w:tab w:val="left" w:pos="851"/>
        </w:tabs>
      </w:pPr>
      <w:r>
        <w:tab/>
        <w:t>[Heading inserted: No. 53 of 2003 s. 15.]</w:t>
      </w:r>
    </w:p>
    <w:p>
      <w:pPr>
        <w:pStyle w:val="Heading5"/>
      </w:pPr>
      <w:bookmarkStart w:id="359" w:name="_Toc375143090"/>
      <w:bookmarkStart w:id="360" w:name="_Toc416788267"/>
      <w:r>
        <w:rPr>
          <w:rStyle w:val="CharSectno"/>
        </w:rPr>
        <w:t>11ZPA</w:t>
      </w:r>
      <w:r>
        <w:t>.</w:t>
      </w:r>
      <w:r>
        <w:tab/>
        <w:t>Directions to governing body of a scheme</w:t>
      </w:r>
      <w:bookmarkEnd w:id="359"/>
      <w:bookmarkEnd w:id="360"/>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No. 53 of 2003 s. 15; amended: No. 53 of 2003 s. 19(1).]</w:t>
      </w:r>
    </w:p>
    <w:p>
      <w:pPr>
        <w:pStyle w:val="Heading5"/>
      </w:pPr>
      <w:bookmarkStart w:id="361" w:name="_Toc375143091"/>
      <w:bookmarkStart w:id="362" w:name="_Toc416788268"/>
      <w:r>
        <w:rPr>
          <w:rStyle w:val="CharSectno"/>
        </w:rPr>
        <w:t>11ZPB</w:t>
      </w:r>
      <w:r>
        <w:t>.</w:t>
      </w:r>
      <w:r>
        <w:tab/>
        <w:t>Enforcement of directions</w:t>
      </w:r>
      <w:bookmarkEnd w:id="361"/>
      <w:bookmarkEnd w:id="362"/>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No. 53 of 2003 s. 15; amended: No. 53 of 2003 s. 19(1).]</w:t>
      </w:r>
    </w:p>
    <w:p>
      <w:pPr>
        <w:pStyle w:val="Heading3"/>
      </w:pPr>
      <w:bookmarkStart w:id="363" w:name="_Toc375142838"/>
      <w:bookmarkStart w:id="364" w:name="_Toc375143092"/>
      <w:bookmarkStart w:id="365" w:name="_Toc416788016"/>
      <w:bookmarkStart w:id="366" w:name="_Toc416788269"/>
      <w:r>
        <w:rPr>
          <w:rStyle w:val="CharDivNo"/>
        </w:rPr>
        <w:t>Division 6</w:t>
      </w:r>
      <w:r>
        <w:t xml:space="preserve"> — </w:t>
      </w:r>
      <w:r>
        <w:rPr>
          <w:rStyle w:val="CharDivText"/>
        </w:rPr>
        <w:t>Review of certain decisions</w:t>
      </w:r>
      <w:bookmarkEnd w:id="363"/>
      <w:bookmarkEnd w:id="364"/>
      <w:bookmarkEnd w:id="365"/>
      <w:bookmarkEnd w:id="366"/>
    </w:p>
    <w:p>
      <w:pPr>
        <w:pStyle w:val="Footnoteheading"/>
        <w:tabs>
          <w:tab w:val="left" w:pos="851"/>
        </w:tabs>
      </w:pPr>
      <w:r>
        <w:tab/>
        <w:t>[Heading inserted: No. 53 of 2003 s. 15.]</w:t>
      </w:r>
    </w:p>
    <w:p>
      <w:pPr>
        <w:pStyle w:val="Ednotesection"/>
      </w:pPr>
      <w:r>
        <w:t>[</w:t>
      </w:r>
      <w:r>
        <w:rPr>
          <w:b/>
        </w:rPr>
        <w:t>11ZPC.</w:t>
      </w:r>
      <w:r>
        <w:tab/>
        <w:t>Deleted: No. 55 of 2004 s. 298.]</w:t>
      </w:r>
    </w:p>
    <w:p>
      <w:pPr>
        <w:pStyle w:val="Heading5"/>
      </w:pPr>
      <w:bookmarkStart w:id="367" w:name="_Toc375143093"/>
      <w:bookmarkStart w:id="368" w:name="_Toc416788270"/>
      <w:r>
        <w:rPr>
          <w:rStyle w:val="CharSectno"/>
        </w:rPr>
        <w:t>11ZPD</w:t>
      </w:r>
      <w:r>
        <w:t>.</w:t>
      </w:r>
      <w:r>
        <w:tab/>
        <w:t>Review of decision to refuse approval</w:t>
      </w:r>
      <w:bookmarkEnd w:id="367"/>
      <w:bookmarkEnd w:id="368"/>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No. 53 of 2003 s. 15; amended: No. 53 of 2003 s. 19(2); No. 55 of 2004 s. 301.]</w:t>
      </w:r>
    </w:p>
    <w:p>
      <w:pPr>
        <w:pStyle w:val="Heading5"/>
      </w:pPr>
      <w:bookmarkStart w:id="369" w:name="_Toc375143094"/>
      <w:bookmarkStart w:id="370" w:name="_Toc416788271"/>
      <w:r>
        <w:rPr>
          <w:rStyle w:val="CharSectno"/>
        </w:rPr>
        <w:t>11ZPE</w:t>
      </w:r>
      <w:r>
        <w:t>.</w:t>
      </w:r>
      <w:r>
        <w:tab/>
        <w:t>Review of direction to amend scheme</w:t>
      </w:r>
      <w:bookmarkEnd w:id="369"/>
      <w:bookmarkEnd w:id="370"/>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No. 53 of 2003 s. 15; amended: No. 53 of 2003 s. 19(2); No. 55 of 2004 s. 301.]</w:t>
      </w:r>
    </w:p>
    <w:p>
      <w:pPr>
        <w:pStyle w:val="Heading5"/>
      </w:pPr>
      <w:bookmarkStart w:id="371" w:name="_Toc375143095"/>
      <w:bookmarkStart w:id="372" w:name="_Toc416788272"/>
      <w:r>
        <w:rPr>
          <w:rStyle w:val="CharSectno"/>
        </w:rPr>
        <w:t>11ZPF</w:t>
      </w:r>
      <w:r>
        <w:t>.</w:t>
      </w:r>
      <w:r>
        <w:tab/>
        <w:t>Review of penalty</w:t>
      </w:r>
      <w:bookmarkEnd w:id="371"/>
      <w:bookmarkEnd w:id="372"/>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No. 53 of 2003 s. 15; amended: No. 53 of 2003 s. 19(2); No. 55 of 2004 s. 301.]</w:t>
      </w:r>
    </w:p>
    <w:p>
      <w:pPr>
        <w:pStyle w:val="Heading5"/>
      </w:pPr>
      <w:bookmarkStart w:id="373" w:name="_Toc375143096"/>
      <w:bookmarkStart w:id="374" w:name="_Toc416788273"/>
      <w:r>
        <w:rPr>
          <w:rStyle w:val="CharSectno"/>
        </w:rPr>
        <w:t>11ZPG</w:t>
      </w:r>
      <w:r>
        <w:t>.</w:t>
      </w:r>
      <w:r>
        <w:tab/>
        <w:t>Time for making application</w:t>
      </w:r>
      <w:bookmarkEnd w:id="373"/>
      <w:bookmarkEnd w:id="374"/>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No. 53 of 2003 s. 15; amended: No. 53 of 2003 s. 19(2).]</w:t>
      </w:r>
    </w:p>
    <w:p>
      <w:pPr>
        <w:pStyle w:val="Heading5"/>
      </w:pPr>
      <w:bookmarkStart w:id="375" w:name="_Toc375143097"/>
      <w:bookmarkStart w:id="376" w:name="_Toc416788274"/>
      <w:r>
        <w:rPr>
          <w:rStyle w:val="CharSectno"/>
        </w:rPr>
        <w:t>11ZPH</w:t>
      </w:r>
      <w:r>
        <w:t>.</w:t>
      </w:r>
      <w:r>
        <w:tab/>
        <w:t>Conduct of review</w:t>
      </w:r>
      <w:bookmarkEnd w:id="375"/>
      <w:bookmarkEnd w:id="376"/>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No. 55 of 2004 s. 299(3).]</w:t>
      </w:r>
    </w:p>
    <w:p>
      <w:pPr>
        <w:pStyle w:val="Heading3"/>
      </w:pPr>
      <w:bookmarkStart w:id="377" w:name="_Toc375142844"/>
      <w:bookmarkStart w:id="378" w:name="_Toc375143098"/>
      <w:bookmarkStart w:id="379" w:name="_Toc416788022"/>
      <w:bookmarkStart w:id="380" w:name="_Toc416788275"/>
      <w:r>
        <w:rPr>
          <w:rStyle w:val="CharDivNo"/>
        </w:rPr>
        <w:t>Division 7</w:t>
      </w:r>
      <w:r>
        <w:t xml:space="preserve"> — </w:t>
      </w:r>
      <w:r>
        <w:rPr>
          <w:rStyle w:val="CharDivText"/>
        </w:rPr>
        <w:t>Regulations for operation of retail gas market</w:t>
      </w:r>
      <w:bookmarkEnd w:id="377"/>
      <w:bookmarkEnd w:id="378"/>
      <w:bookmarkEnd w:id="379"/>
      <w:bookmarkEnd w:id="380"/>
    </w:p>
    <w:p>
      <w:pPr>
        <w:pStyle w:val="Footnoteheading"/>
        <w:tabs>
          <w:tab w:val="left" w:pos="851"/>
        </w:tabs>
      </w:pPr>
      <w:r>
        <w:tab/>
        <w:t>[Heading inserted: No. 53 of 2003 s. 15.]</w:t>
      </w:r>
    </w:p>
    <w:p>
      <w:pPr>
        <w:pStyle w:val="Heading5"/>
        <w:spacing w:before="180"/>
      </w:pPr>
      <w:bookmarkStart w:id="381" w:name="_Toc375143099"/>
      <w:bookmarkStart w:id="382" w:name="_Toc416788276"/>
      <w:r>
        <w:rPr>
          <w:rStyle w:val="CharSectno"/>
        </w:rPr>
        <w:t>11ZPI</w:t>
      </w:r>
      <w:r>
        <w:t>.</w:t>
      </w:r>
      <w:r>
        <w:tab/>
        <w:t>Regulations for retail gas market</w:t>
      </w:r>
      <w:bookmarkEnd w:id="381"/>
      <w:bookmarkEnd w:id="382"/>
    </w:p>
    <w:p>
      <w:pPr>
        <w:pStyle w:val="Subsection"/>
        <w:spacing w:before="120"/>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spacing w:before="120"/>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No. 53 of 2003 s. 15; amended: No. 53 of 2003 s. 19(1).]</w:t>
      </w:r>
    </w:p>
    <w:p>
      <w:pPr>
        <w:pStyle w:val="Heading5"/>
        <w:spacing w:before="180"/>
      </w:pPr>
      <w:bookmarkStart w:id="383" w:name="_Toc375143100"/>
      <w:bookmarkStart w:id="384" w:name="_Toc416788277"/>
      <w:r>
        <w:rPr>
          <w:rStyle w:val="CharSectno"/>
        </w:rPr>
        <w:t>11ZPJ</w:t>
      </w:r>
      <w:r>
        <w:t>.</w:t>
      </w:r>
      <w:r>
        <w:tab/>
        <w:t>Grounds for Authority’s recommendation</w:t>
      </w:r>
      <w:bookmarkEnd w:id="383"/>
      <w:bookmarkEnd w:id="384"/>
    </w:p>
    <w:p>
      <w:pPr>
        <w:pStyle w:val="Subsection"/>
        <w:spacing w:before="120"/>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No. 53 of 2003 s. 15; amended: No. 53 of 2003 s. 19(1).]</w:t>
      </w:r>
    </w:p>
    <w:p>
      <w:pPr>
        <w:pStyle w:val="Heading5"/>
      </w:pPr>
      <w:bookmarkStart w:id="385" w:name="_Toc375143101"/>
      <w:bookmarkStart w:id="386" w:name="_Toc416788278"/>
      <w:r>
        <w:rPr>
          <w:rStyle w:val="CharSectno"/>
        </w:rPr>
        <w:t>11ZPK</w:t>
      </w:r>
      <w:r>
        <w:t>.</w:t>
      </w:r>
      <w:r>
        <w:tab/>
        <w:t>Regulations override scheme etc.</w:t>
      </w:r>
      <w:bookmarkEnd w:id="385"/>
      <w:bookmarkEnd w:id="386"/>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No. 53 of 2003 s. 15.]</w:t>
      </w:r>
    </w:p>
    <w:p>
      <w:pPr>
        <w:pStyle w:val="Heading2"/>
      </w:pPr>
      <w:bookmarkStart w:id="387" w:name="_Toc375142848"/>
      <w:bookmarkStart w:id="388" w:name="_Toc375143102"/>
      <w:bookmarkStart w:id="389" w:name="_Toc416788026"/>
      <w:bookmarkStart w:id="390" w:name="_Toc416788279"/>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387"/>
      <w:bookmarkEnd w:id="388"/>
      <w:bookmarkEnd w:id="389"/>
      <w:bookmarkEnd w:id="390"/>
    </w:p>
    <w:p>
      <w:pPr>
        <w:pStyle w:val="Footnoteheading"/>
        <w:tabs>
          <w:tab w:val="left" w:pos="851"/>
        </w:tabs>
      </w:pPr>
      <w:r>
        <w:tab/>
        <w:t>[Heading inserted: No. 53 of 2003 s. 31.]</w:t>
      </w:r>
    </w:p>
    <w:p>
      <w:pPr>
        <w:pStyle w:val="Heading5"/>
      </w:pPr>
      <w:bookmarkStart w:id="391" w:name="_Toc375143103"/>
      <w:bookmarkStart w:id="392" w:name="_Toc416788280"/>
      <w:r>
        <w:rPr>
          <w:rStyle w:val="CharSectno"/>
        </w:rPr>
        <w:t>11ZPL</w:t>
      </w:r>
      <w:r>
        <w:t>.</w:t>
      </w:r>
      <w:r>
        <w:tab/>
        <w:t>Terms used</w:t>
      </w:r>
      <w:bookmarkEnd w:id="391"/>
      <w:bookmarkEnd w:id="392"/>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No. 53 of 2003 s. 31.]</w:t>
      </w:r>
    </w:p>
    <w:p>
      <w:pPr>
        <w:pStyle w:val="Heading5"/>
      </w:pPr>
      <w:bookmarkStart w:id="393" w:name="_Toc375143104"/>
      <w:bookmarkStart w:id="394" w:name="_Toc416788281"/>
      <w:r>
        <w:rPr>
          <w:rStyle w:val="CharSectno"/>
        </w:rPr>
        <w:t>11ZPM</w:t>
      </w:r>
      <w:r>
        <w:t>.</w:t>
      </w:r>
      <w:r>
        <w:tab/>
        <w:t>Code of conduct</w:t>
      </w:r>
      <w:bookmarkEnd w:id="393"/>
      <w:bookmarkEnd w:id="394"/>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No. 53 of 2003 s. 31.]</w:t>
      </w:r>
    </w:p>
    <w:p>
      <w:pPr>
        <w:pStyle w:val="Heading5"/>
      </w:pPr>
      <w:bookmarkStart w:id="395" w:name="_Toc375143105"/>
      <w:bookmarkStart w:id="396" w:name="_Toc416788282"/>
      <w:r>
        <w:rPr>
          <w:rStyle w:val="CharSectno"/>
        </w:rPr>
        <w:t>11ZPN</w:t>
      </w:r>
      <w:r>
        <w:t>.</w:t>
      </w:r>
      <w:r>
        <w:tab/>
        <w:t>Code is subsidiary legislation</w:t>
      </w:r>
      <w:bookmarkEnd w:id="395"/>
      <w:bookmarkEnd w:id="396"/>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No. 53 of 2003 s. 31.]</w:t>
      </w:r>
    </w:p>
    <w:p>
      <w:pPr>
        <w:pStyle w:val="Heading5"/>
      </w:pPr>
      <w:bookmarkStart w:id="397" w:name="_Toc375143106"/>
      <w:bookmarkStart w:id="398" w:name="_Toc416788283"/>
      <w:r>
        <w:rPr>
          <w:rStyle w:val="CharSectno"/>
        </w:rPr>
        <w:t>11ZPO</w:t>
      </w:r>
      <w:r>
        <w:t>.</w:t>
      </w:r>
      <w:r>
        <w:tab/>
        <w:t>Consultative committee</w:t>
      </w:r>
      <w:bookmarkEnd w:id="397"/>
      <w:bookmarkEnd w:id="398"/>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No. 53 of 2003 s. 31; amended: No. 39 of 2010 s. 89.]</w:t>
      </w:r>
    </w:p>
    <w:p>
      <w:pPr>
        <w:pStyle w:val="Heading5"/>
      </w:pPr>
      <w:bookmarkStart w:id="399" w:name="_Toc375143107"/>
      <w:bookmarkStart w:id="400" w:name="_Toc416788284"/>
      <w:r>
        <w:rPr>
          <w:rStyle w:val="CharSectno"/>
        </w:rPr>
        <w:t>11ZPP</w:t>
      </w:r>
      <w:r>
        <w:t>.</w:t>
      </w:r>
      <w:r>
        <w:tab/>
        <w:t>Licence condition</w:t>
      </w:r>
      <w:bookmarkEnd w:id="399"/>
      <w:bookmarkEnd w:id="400"/>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No. 53 of 2003 s. 31.]</w:t>
      </w:r>
    </w:p>
    <w:p>
      <w:pPr>
        <w:pStyle w:val="Heading5"/>
      </w:pPr>
      <w:bookmarkStart w:id="401" w:name="_Toc375143108"/>
      <w:bookmarkStart w:id="402" w:name="_Toc416788285"/>
      <w:r>
        <w:rPr>
          <w:rStyle w:val="CharSectno"/>
        </w:rPr>
        <w:t>11ZPQ</w:t>
      </w:r>
      <w:r>
        <w:t>.</w:t>
      </w:r>
      <w:r>
        <w:tab/>
        <w:t>Enforcement of code of conduct against marketing agents</w:t>
      </w:r>
      <w:bookmarkEnd w:id="401"/>
      <w:bookmarkEnd w:id="402"/>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No. 53 of 2003 s. 31.]</w:t>
      </w:r>
    </w:p>
    <w:p>
      <w:pPr>
        <w:pStyle w:val="Heading5"/>
      </w:pPr>
      <w:bookmarkStart w:id="403" w:name="_Toc375143109"/>
      <w:bookmarkStart w:id="404" w:name="_Toc416788286"/>
      <w:r>
        <w:rPr>
          <w:rStyle w:val="CharSectno"/>
        </w:rPr>
        <w:t>11ZPR</w:t>
      </w:r>
      <w:r>
        <w:t>.</w:t>
      </w:r>
      <w:r>
        <w:tab/>
        <w:t>Code may provide for vicarious liability</w:t>
      </w:r>
      <w:bookmarkEnd w:id="403"/>
      <w:bookmarkEnd w:id="404"/>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No. 53 of 2003 s. 31.]</w:t>
      </w:r>
    </w:p>
    <w:p>
      <w:pPr>
        <w:pStyle w:val="Heading5"/>
      </w:pPr>
      <w:bookmarkStart w:id="405" w:name="_Toc375143110"/>
      <w:bookmarkStart w:id="406" w:name="_Toc416788287"/>
      <w:r>
        <w:rPr>
          <w:rStyle w:val="CharSectno"/>
        </w:rPr>
        <w:t>11ZPS</w:t>
      </w:r>
      <w:r>
        <w:t>.</w:t>
      </w:r>
      <w:r>
        <w:tab/>
        <w:t>Code may include presumption of authority</w:t>
      </w:r>
      <w:bookmarkEnd w:id="405"/>
      <w:bookmarkEnd w:id="406"/>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No. 53 of 2003 s. 31.]</w:t>
      </w:r>
    </w:p>
    <w:p>
      <w:pPr>
        <w:pStyle w:val="Heading5"/>
      </w:pPr>
      <w:bookmarkStart w:id="407" w:name="_Toc375143111"/>
      <w:bookmarkStart w:id="408" w:name="_Toc416788288"/>
      <w:r>
        <w:rPr>
          <w:rStyle w:val="CharSectno"/>
        </w:rPr>
        <w:t>11ZPT</w:t>
      </w:r>
      <w:r>
        <w:t>.</w:t>
      </w:r>
      <w:r>
        <w:tab/>
        <w:t>Authority to monitor compliance</w:t>
      </w:r>
      <w:bookmarkEnd w:id="407"/>
      <w:bookmarkEnd w:id="408"/>
    </w:p>
    <w:p>
      <w:pPr>
        <w:pStyle w:val="Subsection"/>
      </w:pPr>
      <w:r>
        <w:tab/>
      </w:r>
      <w:r>
        <w:tab/>
        <w:t>It is a function of the Authority to monitor and enforce compliance with the code of conduct.</w:t>
      </w:r>
    </w:p>
    <w:p>
      <w:pPr>
        <w:pStyle w:val="Footnotesection"/>
      </w:pPr>
      <w:r>
        <w:tab/>
        <w:t>[Section 11ZPT inserted: No. 53 of 2003 s. 31.]</w:t>
      </w:r>
    </w:p>
    <w:p>
      <w:pPr>
        <w:pStyle w:val="Heading5"/>
      </w:pPr>
      <w:bookmarkStart w:id="409" w:name="_Toc375143112"/>
      <w:bookmarkStart w:id="410" w:name="_Toc416788289"/>
      <w:r>
        <w:rPr>
          <w:rStyle w:val="CharSectno"/>
        </w:rPr>
        <w:t>11ZPU</w:t>
      </w:r>
      <w:r>
        <w:t>.</w:t>
      </w:r>
      <w:r>
        <w:tab/>
        <w:t>Comment to be sought on amendment or replacement of code</w:t>
      </w:r>
      <w:bookmarkEnd w:id="409"/>
      <w:bookmarkEnd w:id="410"/>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No. 53 of 2003 s. 31.]</w:t>
      </w:r>
    </w:p>
    <w:p>
      <w:pPr>
        <w:pStyle w:val="Heading5"/>
      </w:pPr>
      <w:bookmarkStart w:id="411" w:name="_Toc375143113"/>
      <w:bookmarkStart w:id="412" w:name="_Toc416788290"/>
      <w:r>
        <w:rPr>
          <w:rStyle w:val="CharSectno"/>
        </w:rPr>
        <w:t>11ZPV</w:t>
      </w:r>
      <w:r>
        <w:t>.</w:t>
      </w:r>
      <w:r>
        <w:tab/>
        <w:t>Review of code</w:t>
      </w:r>
      <w:bookmarkEnd w:id="411"/>
      <w:bookmarkEnd w:id="412"/>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No. 53 of 2003 s. 31.]</w:t>
      </w:r>
    </w:p>
    <w:p>
      <w:pPr>
        <w:pStyle w:val="Heading5"/>
      </w:pPr>
      <w:bookmarkStart w:id="413" w:name="_Toc375143114"/>
      <w:bookmarkStart w:id="414" w:name="_Toc416788291"/>
      <w:r>
        <w:rPr>
          <w:rStyle w:val="CharSectno"/>
        </w:rPr>
        <w:t>11ZPW</w:t>
      </w:r>
      <w:r>
        <w:t>.</w:t>
      </w:r>
      <w:r>
        <w:tab/>
        <w:t>Further provisions about opportunity to comment</w:t>
      </w:r>
      <w:bookmarkEnd w:id="413"/>
      <w:bookmarkEnd w:id="414"/>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No. 53 of 2003 s. 31.]</w:t>
      </w:r>
    </w:p>
    <w:p>
      <w:pPr>
        <w:pStyle w:val="Heading2"/>
      </w:pPr>
      <w:bookmarkStart w:id="415" w:name="_Toc375142861"/>
      <w:bookmarkStart w:id="416" w:name="_Toc375143115"/>
      <w:bookmarkStart w:id="417" w:name="_Toc416788039"/>
      <w:bookmarkStart w:id="418" w:name="_Toc416788292"/>
      <w:r>
        <w:rPr>
          <w:rStyle w:val="CharPartNo"/>
        </w:rPr>
        <w:t>Part 2D</w:t>
      </w:r>
      <w:r>
        <w:t xml:space="preserve"> — </w:t>
      </w:r>
      <w:r>
        <w:rPr>
          <w:rStyle w:val="CharPartText"/>
        </w:rPr>
        <w:t>Gas industry ombudsman scheme</w:t>
      </w:r>
      <w:bookmarkEnd w:id="415"/>
      <w:bookmarkEnd w:id="416"/>
      <w:bookmarkEnd w:id="417"/>
      <w:bookmarkEnd w:id="418"/>
    </w:p>
    <w:p>
      <w:pPr>
        <w:pStyle w:val="Footnoteheading"/>
        <w:tabs>
          <w:tab w:val="left" w:pos="851"/>
        </w:tabs>
      </w:pPr>
      <w:r>
        <w:tab/>
        <w:t>[Heading inserted: No. 53 of 2003 s. 32.]</w:t>
      </w:r>
    </w:p>
    <w:p>
      <w:pPr>
        <w:pStyle w:val="Heading3"/>
      </w:pPr>
      <w:bookmarkStart w:id="419" w:name="_Toc375142862"/>
      <w:bookmarkStart w:id="420" w:name="_Toc375143116"/>
      <w:bookmarkStart w:id="421" w:name="_Toc416788040"/>
      <w:bookmarkStart w:id="422" w:name="_Toc416788293"/>
      <w:r>
        <w:rPr>
          <w:rStyle w:val="CharDivNo"/>
        </w:rPr>
        <w:t>Division 1</w:t>
      </w:r>
      <w:r>
        <w:t xml:space="preserve"> — </w:t>
      </w:r>
      <w:r>
        <w:rPr>
          <w:rStyle w:val="CharDivText"/>
        </w:rPr>
        <w:t>Preliminary</w:t>
      </w:r>
      <w:bookmarkEnd w:id="419"/>
      <w:bookmarkEnd w:id="420"/>
      <w:bookmarkEnd w:id="421"/>
      <w:bookmarkEnd w:id="422"/>
    </w:p>
    <w:p>
      <w:pPr>
        <w:pStyle w:val="Footnoteheading"/>
        <w:tabs>
          <w:tab w:val="left" w:pos="851"/>
        </w:tabs>
      </w:pPr>
      <w:r>
        <w:tab/>
        <w:t>[Heading inserted: No. 53 of 2003 s. 32.]</w:t>
      </w:r>
    </w:p>
    <w:p>
      <w:pPr>
        <w:pStyle w:val="Heading5"/>
      </w:pPr>
      <w:bookmarkStart w:id="423" w:name="_Toc375143117"/>
      <w:bookmarkStart w:id="424" w:name="_Toc416788294"/>
      <w:r>
        <w:rPr>
          <w:rStyle w:val="CharSectno"/>
        </w:rPr>
        <w:t>11ZPX</w:t>
      </w:r>
      <w:r>
        <w:t>.</w:t>
      </w:r>
      <w:r>
        <w:tab/>
        <w:t>Terms used</w:t>
      </w:r>
      <w:bookmarkEnd w:id="423"/>
      <w:bookmarkEnd w:id="424"/>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No. 53 of 2003 s. 32.]</w:t>
      </w:r>
    </w:p>
    <w:p>
      <w:pPr>
        <w:pStyle w:val="Heading5"/>
      </w:pPr>
      <w:bookmarkStart w:id="425" w:name="_Toc375143118"/>
      <w:bookmarkStart w:id="426" w:name="_Toc416788295"/>
      <w:r>
        <w:rPr>
          <w:rStyle w:val="CharSectno"/>
        </w:rPr>
        <w:t>11ZPY</w:t>
      </w:r>
      <w:r>
        <w:t>.</w:t>
      </w:r>
      <w:r>
        <w:tab/>
        <w:t>Regulations as to gas industry ombudsman scheme</w:t>
      </w:r>
      <w:bookmarkEnd w:id="425"/>
      <w:bookmarkEnd w:id="426"/>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No. 53 of 2003 s. 32.]</w:t>
      </w:r>
    </w:p>
    <w:p>
      <w:pPr>
        <w:pStyle w:val="Heading3"/>
      </w:pPr>
      <w:bookmarkStart w:id="427" w:name="_Toc375142865"/>
      <w:bookmarkStart w:id="428" w:name="_Toc375143119"/>
      <w:bookmarkStart w:id="429" w:name="_Toc416788043"/>
      <w:bookmarkStart w:id="430" w:name="_Toc416788296"/>
      <w:r>
        <w:rPr>
          <w:rStyle w:val="CharDivNo"/>
        </w:rPr>
        <w:t>Division 2</w:t>
      </w:r>
      <w:r>
        <w:t xml:space="preserve"> — </w:t>
      </w:r>
      <w:r>
        <w:rPr>
          <w:rStyle w:val="CharDivText"/>
        </w:rPr>
        <w:t>Approval of gas industry ombudsman scheme</w:t>
      </w:r>
      <w:bookmarkEnd w:id="427"/>
      <w:bookmarkEnd w:id="428"/>
      <w:bookmarkEnd w:id="429"/>
      <w:bookmarkEnd w:id="430"/>
    </w:p>
    <w:p>
      <w:pPr>
        <w:pStyle w:val="Footnoteheading"/>
        <w:tabs>
          <w:tab w:val="left" w:pos="851"/>
        </w:tabs>
      </w:pPr>
      <w:r>
        <w:tab/>
        <w:t>[Heading inserted: No. 53 of 2003 s. 32.]</w:t>
      </w:r>
    </w:p>
    <w:p>
      <w:pPr>
        <w:pStyle w:val="Heading5"/>
      </w:pPr>
      <w:bookmarkStart w:id="431" w:name="_Toc375143120"/>
      <w:bookmarkStart w:id="432" w:name="_Toc416788297"/>
      <w:r>
        <w:rPr>
          <w:rStyle w:val="CharSectno"/>
        </w:rPr>
        <w:t>11ZPZ</w:t>
      </w:r>
      <w:r>
        <w:t>.</w:t>
      </w:r>
      <w:r>
        <w:tab/>
        <w:t>Authority may approve scheme</w:t>
      </w:r>
      <w:bookmarkEnd w:id="431"/>
      <w:bookmarkEnd w:id="432"/>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No. 53 of 2003 s. 32.]</w:t>
      </w:r>
    </w:p>
    <w:p>
      <w:pPr>
        <w:pStyle w:val="Heading5"/>
      </w:pPr>
      <w:bookmarkStart w:id="433" w:name="_Toc375143121"/>
      <w:bookmarkStart w:id="434" w:name="_Toc416788298"/>
      <w:r>
        <w:rPr>
          <w:rStyle w:val="CharSectno"/>
        </w:rPr>
        <w:t>11ZQ</w:t>
      </w:r>
      <w:r>
        <w:t>.</w:t>
      </w:r>
      <w:r>
        <w:tab/>
        <w:t>Requirements for scheme to be approved etc.</w:t>
      </w:r>
      <w:bookmarkEnd w:id="433"/>
      <w:bookmarkEnd w:id="434"/>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No. 53 of 2003 s. 32.]</w:t>
      </w:r>
    </w:p>
    <w:p>
      <w:pPr>
        <w:pStyle w:val="Heading5"/>
      </w:pPr>
      <w:bookmarkStart w:id="435" w:name="_Toc375143122"/>
      <w:bookmarkStart w:id="436" w:name="_Toc416788299"/>
      <w:r>
        <w:t>11ZQA.</w:t>
      </w:r>
      <w:r>
        <w:tab/>
        <w:t>Revocation of approval</w:t>
      </w:r>
      <w:bookmarkEnd w:id="435"/>
      <w:bookmarkEnd w:id="436"/>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No. 53 of 2003 s. 32.]</w:t>
      </w:r>
    </w:p>
    <w:p>
      <w:pPr>
        <w:pStyle w:val="Heading3"/>
      </w:pPr>
      <w:bookmarkStart w:id="437" w:name="_Toc375142869"/>
      <w:bookmarkStart w:id="438" w:name="_Toc375143123"/>
      <w:bookmarkStart w:id="439" w:name="_Toc416788047"/>
      <w:bookmarkStart w:id="440" w:name="_Toc416788300"/>
      <w:r>
        <w:rPr>
          <w:rStyle w:val="CharDivNo"/>
        </w:rPr>
        <w:t>Division 3</w:t>
      </w:r>
      <w:r>
        <w:t xml:space="preserve"> — </w:t>
      </w:r>
      <w:r>
        <w:rPr>
          <w:rStyle w:val="CharDivText"/>
        </w:rPr>
        <w:t>Scheme operation</w:t>
      </w:r>
      <w:bookmarkEnd w:id="437"/>
      <w:bookmarkEnd w:id="438"/>
      <w:bookmarkEnd w:id="439"/>
      <w:bookmarkEnd w:id="440"/>
    </w:p>
    <w:p>
      <w:pPr>
        <w:pStyle w:val="Footnoteheading"/>
        <w:tabs>
          <w:tab w:val="left" w:pos="851"/>
        </w:tabs>
      </w:pPr>
      <w:r>
        <w:tab/>
        <w:t>[Heading inserted: No. 53 of 2003 s. 32.]</w:t>
      </w:r>
    </w:p>
    <w:p>
      <w:pPr>
        <w:pStyle w:val="Heading5"/>
      </w:pPr>
      <w:bookmarkStart w:id="441" w:name="_Toc375143124"/>
      <w:bookmarkStart w:id="442" w:name="_Toc416788301"/>
      <w:r>
        <w:rPr>
          <w:rStyle w:val="CharSectno"/>
        </w:rPr>
        <w:t>11ZQB</w:t>
      </w:r>
      <w:r>
        <w:t>.</w:t>
      </w:r>
      <w:r>
        <w:tab/>
        <w:t>Customer may have decision or complaint reviewed</w:t>
      </w:r>
      <w:bookmarkEnd w:id="441"/>
      <w:bookmarkEnd w:id="442"/>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No. 53 of 2003 s. 32.]</w:t>
      </w:r>
    </w:p>
    <w:p>
      <w:pPr>
        <w:pStyle w:val="Heading5"/>
      </w:pPr>
      <w:bookmarkStart w:id="443" w:name="_Toc375143125"/>
      <w:bookmarkStart w:id="444" w:name="_Toc416788302"/>
      <w:r>
        <w:rPr>
          <w:rStyle w:val="CharSectno"/>
        </w:rPr>
        <w:t>11ZQC</w:t>
      </w:r>
      <w:r>
        <w:t>.</w:t>
      </w:r>
      <w:r>
        <w:tab/>
        <w:t>Jurisdiction of courts</w:t>
      </w:r>
      <w:bookmarkEnd w:id="443"/>
      <w:bookmarkEnd w:id="444"/>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No. 53 of 2003 s. 32; amended: No. 59 of 2004 s. 141.]</w:t>
      </w:r>
    </w:p>
    <w:p>
      <w:pPr>
        <w:pStyle w:val="Heading5"/>
        <w:spacing w:before="180"/>
      </w:pPr>
      <w:bookmarkStart w:id="445" w:name="_Toc375143126"/>
      <w:bookmarkStart w:id="446" w:name="_Toc416788303"/>
      <w:r>
        <w:rPr>
          <w:rStyle w:val="CharSectno"/>
        </w:rPr>
        <w:t>11ZQD</w:t>
      </w:r>
      <w:r>
        <w:t>.</w:t>
      </w:r>
      <w:r>
        <w:tab/>
        <w:t>Enforcement against marketing agents and others</w:t>
      </w:r>
      <w:bookmarkEnd w:id="445"/>
      <w:bookmarkEnd w:id="446"/>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No. 53 of 2003 s. 32.]</w:t>
      </w:r>
    </w:p>
    <w:p>
      <w:pPr>
        <w:pStyle w:val="Heading5"/>
      </w:pPr>
      <w:bookmarkStart w:id="447" w:name="_Toc375143127"/>
      <w:bookmarkStart w:id="448" w:name="_Toc416788304"/>
      <w:r>
        <w:rPr>
          <w:rStyle w:val="CharSectno"/>
        </w:rPr>
        <w:t>11ZQE</w:t>
      </w:r>
      <w:r>
        <w:t>.</w:t>
      </w:r>
      <w:r>
        <w:tab/>
        <w:t>Authority to monitor compliance with decisions</w:t>
      </w:r>
      <w:bookmarkEnd w:id="447"/>
      <w:bookmarkEnd w:id="448"/>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No. 53 of 2003 s. 32.]</w:t>
      </w:r>
    </w:p>
    <w:p>
      <w:pPr>
        <w:pStyle w:val="Heading3"/>
      </w:pPr>
      <w:bookmarkStart w:id="449" w:name="_Toc375142874"/>
      <w:bookmarkStart w:id="450" w:name="_Toc375143128"/>
      <w:bookmarkStart w:id="451" w:name="_Toc416788052"/>
      <w:bookmarkStart w:id="452" w:name="_Toc416788305"/>
      <w:r>
        <w:rPr>
          <w:rStyle w:val="CharDivNo"/>
        </w:rPr>
        <w:t>Division 4</w:t>
      </w:r>
      <w:r>
        <w:t xml:space="preserve"> — </w:t>
      </w:r>
      <w:r>
        <w:rPr>
          <w:rStyle w:val="CharDivText"/>
        </w:rPr>
        <w:t>Membership of approved scheme by licensee</w:t>
      </w:r>
      <w:bookmarkEnd w:id="449"/>
      <w:bookmarkEnd w:id="450"/>
      <w:bookmarkEnd w:id="451"/>
      <w:bookmarkEnd w:id="452"/>
    </w:p>
    <w:p>
      <w:pPr>
        <w:pStyle w:val="Footnoteheading"/>
        <w:tabs>
          <w:tab w:val="left" w:pos="851"/>
        </w:tabs>
      </w:pPr>
      <w:r>
        <w:tab/>
        <w:t>[Heading inserted: No. 53 of 2003 s. 32.]</w:t>
      </w:r>
    </w:p>
    <w:p>
      <w:pPr>
        <w:pStyle w:val="Heading5"/>
      </w:pPr>
      <w:bookmarkStart w:id="453" w:name="_Toc375143129"/>
      <w:bookmarkStart w:id="454" w:name="_Toc416788306"/>
      <w:r>
        <w:rPr>
          <w:rStyle w:val="CharSectno"/>
        </w:rPr>
        <w:t>11ZQF</w:t>
      </w:r>
      <w:r>
        <w:t>.</w:t>
      </w:r>
      <w:r>
        <w:tab/>
        <w:t>Proof of membership in applications relating to licence</w:t>
      </w:r>
      <w:bookmarkEnd w:id="453"/>
      <w:bookmarkEnd w:id="454"/>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No. 53 of 2003 s. 32.]</w:t>
      </w:r>
    </w:p>
    <w:p>
      <w:pPr>
        <w:pStyle w:val="Heading5"/>
      </w:pPr>
      <w:bookmarkStart w:id="455" w:name="_Toc375143130"/>
      <w:bookmarkStart w:id="456" w:name="_Toc416788307"/>
      <w:r>
        <w:rPr>
          <w:rStyle w:val="CharSectno"/>
        </w:rPr>
        <w:t>11ZQG</w:t>
      </w:r>
      <w:r>
        <w:t>.</w:t>
      </w:r>
      <w:r>
        <w:tab/>
        <w:t>Prerequisite to grant etc. of licence</w:t>
      </w:r>
      <w:bookmarkEnd w:id="455"/>
      <w:bookmarkEnd w:id="456"/>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No. 53 of 2003 s. 32.]</w:t>
      </w:r>
    </w:p>
    <w:p>
      <w:pPr>
        <w:pStyle w:val="Heading5"/>
      </w:pPr>
      <w:bookmarkStart w:id="457" w:name="_Toc375143131"/>
      <w:bookmarkStart w:id="458" w:name="_Toc416788308"/>
      <w:r>
        <w:rPr>
          <w:rStyle w:val="CharSectno"/>
        </w:rPr>
        <w:t>11ZQH</w:t>
      </w:r>
      <w:r>
        <w:t>.</w:t>
      </w:r>
      <w:r>
        <w:tab/>
        <w:t>Licence condition</w:t>
      </w:r>
      <w:bookmarkEnd w:id="457"/>
      <w:bookmarkEnd w:id="458"/>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No. 53 of 2003 s. 32.]</w:t>
      </w:r>
    </w:p>
    <w:p>
      <w:pPr>
        <w:pStyle w:val="Heading2"/>
      </w:pPr>
      <w:bookmarkStart w:id="459" w:name="_Toc375142878"/>
      <w:bookmarkStart w:id="460" w:name="_Toc375143132"/>
      <w:bookmarkStart w:id="461" w:name="_Toc416788056"/>
      <w:bookmarkStart w:id="462" w:name="_Toc416788309"/>
      <w:r>
        <w:rPr>
          <w:rStyle w:val="CharPartNo"/>
        </w:rPr>
        <w:t>Part 3</w:t>
      </w:r>
      <w:r>
        <w:rPr>
          <w:rStyle w:val="CharDivNo"/>
        </w:rPr>
        <w:t> </w:t>
      </w:r>
      <w:r>
        <w:t>—</w:t>
      </w:r>
      <w:r>
        <w:rPr>
          <w:rStyle w:val="CharDivText"/>
        </w:rPr>
        <w:t> </w:t>
      </w:r>
      <w:r>
        <w:rPr>
          <w:rStyle w:val="CharPartText"/>
        </w:rPr>
        <w:t>Inspectors</w:t>
      </w:r>
      <w:bookmarkEnd w:id="459"/>
      <w:bookmarkEnd w:id="460"/>
      <w:bookmarkEnd w:id="461"/>
      <w:bookmarkEnd w:id="462"/>
      <w:r>
        <w:rPr>
          <w:rStyle w:val="CharPartText"/>
        </w:rPr>
        <w:t xml:space="preserve"> </w:t>
      </w:r>
    </w:p>
    <w:p>
      <w:pPr>
        <w:pStyle w:val="Heading5"/>
        <w:rPr>
          <w:snapToGrid w:val="0"/>
        </w:rPr>
      </w:pPr>
      <w:bookmarkStart w:id="463" w:name="_Toc375143133"/>
      <w:bookmarkStart w:id="464" w:name="_Toc416788310"/>
      <w:r>
        <w:rPr>
          <w:rStyle w:val="CharSectno"/>
        </w:rPr>
        <w:t>12</w:t>
      </w:r>
      <w:r>
        <w:rPr>
          <w:snapToGrid w:val="0"/>
        </w:rPr>
        <w:t>.</w:t>
      </w:r>
      <w:r>
        <w:rPr>
          <w:snapToGrid w:val="0"/>
        </w:rPr>
        <w:tab/>
        <w:t>Designation of inspectors</w:t>
      </w:r>
      <w:bookmarkEnd w:id="463"/>
      <w:bookmarkEnd w:id="464"/>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No. 28 of 2006 s. 176; No. 5 of 2007 s. 13.]</w:t>
      </w:r>
    </w:p>
    <w:p>
      <w:pPr>
        <w:pStyle w:val="Heading5"/>
        <w:rPr>
          <w:snapToGrid w:val="0"/>
        </w:rPr>
      </w:pPr>
      <w:bookmarkStart w:id="465" w:name="_Toc375143134"/>
      <w:bookmarkStart w:id="466" w:name="_Toc416788311"/>
      <w:r>
        <w:rPr>
          <w:rStyle w:val="CharSectno"/>
        </w:rPr>
        <w:t>13</w:t>
      </w:r>
      <w:r>
        <w:rPr>
          <w:snapToGrid w:val="0"/>
        </w:rPr>
        <w:t>.</w:t>
      </w:r>
      <w:r>
        <w:rPr>
          <w:snapToGrid w:val="0"/>
        </w:rPr>
        <w:tab/>
        <w:t>Certificates of designation</w:t>
      </w:r>
      <w:bookmarkEnd w:id="465"/>
      <w:bookmarkEnd w:id="466"/>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keepLines/>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spacing w:before="180"/>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No. 28 of 2006 s. 177.]</w:t>
      </w:r>
    </w:p>
    <w:p>
      <w:pPr>
        <w:pStyle w:val="Heading5"/>
        <w:spacing w:before="240"/>
        <w:rPr>
          <w:snapToGrid w:val="0"/>
        </w:rPr>
      </w:pPr>
      <w:bookmarkStart w:id="467" w:name="_Toc375143135"/>
      <w:bookmarkStart w:id="468" w:name="_Toc416788312"/>
      <w:r>
        <w:rPr>
          <w:rStyle w:val="CharSectno"/>
        </w:rPr>
        <w:t>14</w:t>
      </w:r>
      <w:r>
        <w:rPr>
          <w:snapToGrid w:val="0"/>
        </w:rPr>
        <w:t>.</w:t>
      </w:r>
      <w:r>
        <w:rPr>
          <w:snapToGrid w:val="0"/>
        </w:rPr>
        <w:tab/>
        <w:t>Powers of inspection etc.</w:t>
      </w:r>
      <w:bookmarkEnd w:id="467"/>
      <w:bookmarkEnd w:id="468"/>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No. 5 of 2007 s. 14.]</w:t>
      </w:r>
    </w:p>
    <w:p>
      <w:pPr>
        <w:pStyle w:val="Heading5"/>
        <w:rPr>
          <w:snapToGrid w:val="0"/>
        </w:rPr>
      </w:pPr>
      <w:bookmarkStart w:id="469" w:name="_Toc375143136"/>
      <w:bookmarkStart w:id="470" w:name="_Toc416788313"/>
      <w:r>
        <w:rPr>
          <w:rStyle w:val="CharSectno"/>
        </w:rPr>
        <w:t>15</w:t>
      </w:r>
      <w:r>
        <w:rPr>
          <w:snapToGrid w:val="0"/>
        </w:rPr>
        <w:t>.</w:t>
      </w:r>
      <w:r>
        <w:rPr>
          <w:snapToGrid w:val="0"/>
        </w:rPr>
        <w:tab/>
        <w:t>Incriminating statements</w:t>
      </w:r>
      <w:bookmarkEnd w:id="469"/>
      <w:bookmarkEnd w:id="470"/>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471" w:name="_Toc375143137"/>
      <w:bookmarkStart w:id="472" w:name="_Toc416788314"/>
      <w:r>
        <w:rPr>
          <w:rStyle w:val="CharSectno"/>
        </w:rPr>
        <w:t>16</w:t>
      </w:r>
      <w:r>
        <w:rPr>
          <w:snapToGrid w:val="0"/>
        </w:rPr>
        <w:t>.</w:t>
      </w:r>
      <w:r>
        <w:rPr>
          <w:snapToGrid w:val="0"/>
        </w:rPr>
        <w:tab/>
        <w:t>Inspector may be accompanied</w:t>
      </w:r>
      <w:bookmarkEnd w:id="471"/>
      <w:bookmarkEnd w:id="472"/>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473" w:name="_Toc375143138"/>
      <w:bookmarkStart w:id="474" w:name="_Toc416788315"/>
      <w:r>
        <w:rPr>
          <w:rStyle w:val="CharSectno"/>
        </w:rPr>
        <w:t>17</w:t>
      </w:r>
      <w:r>
        <w:rPr>
          <w:snapToGrid w:val="0"/>
        </w:rPr>
        <w:t>.</w:t>
      </w:r>
      <w:r>
        <w:rPr>
          <w:snapToGrid w:val="0"/>
        </w:rPr>
        <w:tab/>
        <w:t>Inspector to comply with reasonable requests</w:t>
      </w:r>
      <w:bookmarkEnd w:id="473"/>
      <w:bookmarkEnd w:id="474"/>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475" w:name="_Toc375143139"/>
      <w:bookmarkStart w:id="476" w:name="_Toc416788316"/>
      <w:r>
        <w:rPr>
          <w:rStyle w:val="CharSectno"/>
        </w:rPr>
        <w:t>18</w:t>
      </w:r>
      <w:r>
        <w:rPr>
          <w:snapToGrid w:val="0"/>
        </w:rPr>
        <w:t>.</w:t>
      </w:r>
      <w:r>
        <w:rPr>
          <w:snapToGrid w:val="0"/>
        </w:rPr>
        <w:tab/>
        <w:t>Inspector may issue order</w:t>
      </w:r>
      <w:bookmarkEnd w:id="475"/>
      <w:bookmarkEnd w:id="476"/>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477" w:name="_Toc375143140"/>
      <w:bookmarkStart w:id="478" w:name="_Toc416788317"/>
      <w:r>
        <w:rPr>
          <w:rStyle w:val="CharSectno"/>
        </w:rPr>
        <w:t>18A</w:t>
      </w:r>
      <w:r>
        <w:rPr>
          <w:snapToGrid w:val="0"/>
        </w:rPr>
        <w:t>.</w:t>
      </w:r>
      <w:r>
        <w:rPr>
          <w:snapToGrid w:val="0"/>
        </w:rPr>
        <w:tab/>
        <w:t>Orders as to dangerous things in relation to electricity or gas</w:t>
      </w:r>
      <w:bookmarkEnd w:id="477"/>
      <w:bookmarkEnd w:id="478"/>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No. 5 of 2007 s. 15.]</w:t>
      </w:r>
    </w:p>
    <w:p>
      <w:pPr>
        <w:pStyle w:val="Heading5"/>
      </w:pPr>
      <w:bookmarkStart w:id="479" w:name="_Toc375143141"/>
      <w:bookmarkStart w:id="480" w:name="_Toc416788318"/>
      <w:r>
        <w:rPr>
          <w:rStyle w:val="CharSectno"/>
        </w:rPr>
        <w:t>18B</w:t>
      </w:r>
      <w:r>
        <w:t>.</w:t>
      </w:r>
      <w:r>
        <w:tab/>
        <w:t>Orders as to unsafe work practices in relation to electricity or gas</w:t>
      </w:r>
      <w:bookmarkEnd w:id="479"/>
      <w:bookmarkEnd w:id="480"/>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No. 5 of 2007 s. 15.]</w:t>
      </w:r>
    </w:p>
    <w:p>
      <w:pPr>
        <w:pStyle w:val="Heading5"/>
        <w:rPr>
          <w:snapToGrid w:val="0"/>
        </w:rPr>
      </w:pPr>
      <w:bookmarkStart w:id="481" w:name="_Toc375143142"/>
      <w:bookmarkStart w:id="482" w:name="_Toc416788319"/>
      <w:r>
        <w:rPr>
          <w:rStyle w:val="CharSectno"/>
        </w:rPr>
        <w:t>18C</w:t>
      </w:r>
      <w:r>
        <w:rPr>
          <w:snapToGrid w:val="0"/>
        </w:rPr>
        <w:t>.</w:t>
      </w:r>
      <w:r>
        <w:rPr>
          <w:snapToGrid w:val="0"/>
        </w:rPr>
        <w:tab/>
        <w:t>Orders as to distribution systems or distribution or transmission works</w:t>
      </w:r>
      <w:bookmarkEnd w:id="481"/>
      <w:bookmarkEnd w:id="482"/>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No. 5 of 2007 s. 15.]</w:t>
      </w:r>
    </w:p>
    <w:p>
      <w:pPr>
        <w:pStyle w:val="Heading5"/>
        <w:keepLines w:val="0"/>
        <w:rPr>
          <w:snapToGrid w:val="0"/>
        </w:rPr>
      </w:pPr>
      <w:bookmarkStart w:id="483" w:name="_Toc375143143"/>
      <w:bookmarkStart w:id="484" w:name="_Toc416788320"/>
      <w:r>
        <w:rPr>
          <w:rStyle w:val="CharSectno"/>
        </w:rPr>
        <w:t>19</w:t>
      </w:r>
      <w:r>
        <w:rPr>
          <w:snapToGrid w:val="0"/>
        </w:rPr>
        <w:t>.</w:t>
      </w:r>
      <w:r>
        <w:rPr>
          <w:snapToGrid w:val="0"/>
        </w:rPr>
        <w:tab/>
        <w:t>Appeal</w:t>
      </w:r>
      <w:bookmarkEnd w:id="483"/>
      <w:bookmarkEnd w:id="484"/>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No. 28 of 2006 s. 178; No. 5 of 2007 s. 16.]</w:t>
      </w:r>
    </w:p>
    <w:p>
      <w:pPr>
        <w:pStyle w:val="Heading5"/>
      </w:pPr>
      <w:bookmarkStart w:id="485" w:name="_Toc375143144"/>
      <w:bookmarkStart w:id="486" w:name="_Toc416788321"/>
      <w:r>
        <w:rPr>
          <w:rStyle w:val="CharSectno"/>
        </w:rPr>
        <w:t>19A</w:t>
      </w:r>
      <w:r>
        <w:t>.</w:t>
      </w:r>
      <w:r>
        <w:tab/>
        <w:t>Review of certain orders of inspectors on the application of a network operator</w:t>
      </w:r>
      <w:bookmarkEnd w:id="485"/>
      <w:bookmarkEnd w:id="486"/>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t>Subject to subsection (8), the Director may publicise his or her determination and any submission made under subsection (3) in such manner as the Director thinks fit.</w:t>
      </w:r>
    </w:p>
    <w:p>
      <w:pPr>
        <w:pStyle w:val="Subsection"/>
      </w:pPr>
      <w:r>
        <w:tab/>
        <w:t>(8)</w:t>
      </w:r>
      <w:r>
        <w:tab/>
        <w:t xml:space="preserve">If — </w:t>
      </w:r>
    </w:p>
    <w:p>
      <w:pPr>
        <w:pStyle w:val="Indenta"/>
      </w:pPr>
      <w:r>
        <w:tab/>
        <w:t>(a)</w:t>
      </w:r>
      <w:r>
        <w:tab/>
        <w:t>a submission contains a statement that information provided in and identified in the submission is commercial information relating to the applicant or another person; and</w:t>
      </w:r>
    </w:p>
    <w:p>
      <w:pPr>
        <w:pStyle w:val="Indenta"/>
      </w:pPr>
      <w:r>
        <w:tab/>
        <w:t>(b)</w:t>
      </w:r>
      <w:r>
        <w:tab/>
        <w:t>the Director is satisfied that the information is commercial information relating to the applicant or another person,</w:t>
      </w:r>
    </w:p>
    <w:p>
      <w:pPr>
        <w:pStyle w:val="Subsection"/>
      </w:pPr>
      <w:r>
        <w:tab/>
      </w:r>
      <w: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No. 5 of 2007 s. 17.]</w:t>
      </w:r>
    </w:p>
    <w:p>
      <w:pPr>
        <w:pStyle w:val="Heading5"/>
      </w:pPr>
      <w:bookmarkStart w:id="487" w:name="_Toc375143145"/>
      <w:bookmarkStart w:id="488" w:name="_Toc416788322"/>
      <w:r>
        <w:rPr>
          <w:rStyle w:val="CharSectno"/>
        </w:rPr>
        <w:t>19B</w:t>
      </w:r>
      <w:r>
        <w:t>.</w:t>
      </w:r>
      <w:r>
        <w:tab/>
        <w:t>Review of determinations of Director in relation to orders by inspectors against a network operator</w:t>
      </w:r>
      <w:bookmarkEnd w:id="487"/>
      <w:bookmarkEnd w:id="488"/>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t>a determination of the Director under section 19A(5); or</w:t>
      </w:r>
    </w:p>
    <w:p>
      <w:pPr>
        <w:pStyle w:val="Defpara"/>
      </w:pPr>
      <w:r>
        <w:tab/>
        <w:t>(b)</w:t>
      </w:r>
      <w:r>
        <w:tab/>
        <w:t>a refusal of the Director to approve an agreement reached under section 18C(6).</w:t>
      </w:r>
    </w:p>
    <w:p>
      <w:pPr>
        <w:pStyle w:val="Subsection"/>
        <w:keepNext/>
      </w:pPr>
      <w:r>
        <w:tab/>
        <w:t>(2)</w:t>
      </w:r>
      <w:r>
        <w:tab/>
        <w:t xml:space="preserve">A network operator aggrieved by a decision may — </w:t>
      </w:r>
    </w:p>
    <w:p>
      <w:pPr>
        <w:pStyle w:val="Indenta"/>
      </w:pPr>
      <w:r>
        <w:tab/>
        <w:t>(a)</w:t>
      </w:r>
      <w:r>
        <w:tab/>
        <w:t>if a question of law is involved, apply to the State Administrative Tribunal for a review of the decision; or</w:t>
      </w:r>
    </w:p>
    <w:p>
      <w:pPr>
        <w:pStyle w:val="Indenta"/>
      </w:pPr>
      <w:r>
        <w:tab/>
        <w:t>(b)</w:t>
      </w:r>
      <w:r>
        <w:tab/>
        <w:t>in any other case, appeal in the prescribed manner to a technical review panel appointed under the regulations.</w:t>
      </w:r>
    </w:p>
    <w:p>
      <w:pPr>
        <w:pStyle w:val="Subsection"/>
      </w:pPr>
      <w:r>
        <w:tab/>
        <w:t>(3)</w:t>
      </w:r>
      <w:r>
        <w:tab/>
        <w:t>On an appeal made under subsection (2)(b) the technical review panel may confirm, reverse or vary the decision and the decision of the technical review panel is final.</w:t>
      </w:r>
    </w:p>
    <w:p>
      <w:pPr>
        <w:pStyle w:val="Subsection"/>
      </w:pPr>
      <w:r>
        <w:tab/>
        <w:t>(4)</w:t>
      </w:r>
      <w:r>
        <w:tab/>
        <w:t>If an application for review or an appeal has been made under subsection (2) in relation to a decision, the State Administrative Tribunal or the technical review panel, as the case may be —</w:t>
      </w:r>
    </w:p>
    <w:p>
      <w:pPr>
        <w:pStyle w:val="Indenta"/>
      </w:pPr>
      <w:r>
        <w:tab/>
        <w:t>(a)</w:t>
      </w:r>
      <w:r>
        <w:tab/>
        <w:t>may suspend the operation of the decision until the determination of the review or appeal; and</w:t>
      </w:r>
    </w:p>
    <w:p>
      <w:pPr>
        <w:pStyle w:val="Indenta"/>
      </w:pPr>
      <w:r>
        <w:tab/>
        <w:t>(b)</w:t>
      </w:r>
      <w:r>
        <w:tab/>
        <w:t>may revoke any suspension under paragraph (a).</w:t>
      </w:r>
    </w:p>
    <w:p>
      <w:pPr>
        <w:pStyle w:val="Subsection"/>
      </w:pPr>
      <w:r>
        <w:tab/>
        <w:t>(5)</w:t>
      </w:r>
      <w:r>
        <w:tab/>
        <w:t>A decision is not to be suspended under subsection (4)(a) if failure to comply with the decision would endanger the safety of a person or result in a risk of damage to property.</w:t>
      </w:r>
    </w:p>
    <w:p>
      <w:pPr>
        <w:pStyle w:val="Subsection"/>
      </w:pPr>
      <w:r>
        <w:tab/>
        <w:t>(6)</w:t>
      </w:r>
      <w: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No. 5 of 2007 s. 17.]</w:t>
      </w:r>
    </w:p>
    <w:p>
      <w:pPr>
        <w:pStyle w:val="Heading5"/>
        <w:rPr>
          <w:snapToGrid w:val="0"/>
        </w:rPr>
      </w:pPr>
      <w:bookmarkStart w:id="489" w:name="_Toc375143146"/>
      <w:bookmarkStart w:id="490" w:name="_Toc416788323"/>
      <w:r>
        <w:rPr>
          <w:rStyle w:val="CharSectno"/>
        </w:rPr>
        <w:t>20</w:t>
      </w:r>
      <w:r>
        <w:rPr>
          <w:snapToGrid w:val="0"/>
        </w:rPr>
        <w:t>.</w:t>
      </w:r>
      <w:r>
        <w:rPr>
          <w:snapToGrid w:val="0"/>
        </w:rPr>
        <w:tab/>
        <w:t>Offences</w:t>
      </w:r>
      <w:bookmarkEnd w:id="489"/>
      <w:bookmarkEnd w:id="490"/>
      <w:r>
        <w:rPr>
          <w:snapToGrid w:val="0"/>
        </w:rPr>
        <w:t xml:space="preserve"> </w:t>
      </w:r>
    </w:p>
    <w:p>
      <w:pPr>
        <w:pStyle w:val="Subsection"/>
        <w:keepNext/>
        <w:keepLines/>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No. 5 of 2007 s. 18.]</w:t>
      </w:r>
    </w:p>
    <w:p>
      <w:pPr>
        <w:pStyle w:val="Heading2"/>
      </w:pPr>
      <w:bookmarkStart w:id="491" w:name="_Toc375142893"/>
      <w:bookmarkStart w:id="492" w:name="_Toc375143147"/>
      <w:bookmarkStart w:id="493" w:name="_Toc416788071"/>
      <w:bookmarkStart w:id="494" w:name="_Toc416788324"/>
      <w:r>
        <w:rPr>
          <w:rStyle w:val="CharPartNo"/>
        </w:rPr>
        <w:t>Part 4</w:t>
      </w:r>
      <w:r>
        <w:rPr>
          <w:b w:val="0"/>
        </w:rPr>
        <w:t> </w:t>
      </w:r>
      <w:r>
        <w:t>—</w:t>
      </w:r>
      <w:r>
        <w:rPr>
          <w:b w:val="0"/>
        </w:rPr>
        <w:t> </w:t>
      </w:r>
      <w:r>
        <w:rPr>
          <w:rStyle w:val="CharPartText"/>
        </w:rPr>
        <w:t>Information</w:t>
      </w:r>
      <w:bookmarkEnd w:id="491"/>
      <w:bookmarkEnd w:id="492"/>
      <w:bookmarkEnd w:id="493"/>
      <w:bookmarkEnd w:id="494"/>
    </w:p>
    <w:p>
      <w:pPr>
        <w:pStyle w:val="Footnoteheading"/>
      </w:pPr>
      <w:r>
        <w:tab/>
        <w:t>[Heading inserted: No. 28 of 2006 s. 179.]</w:t>
      </w:r>
    </w:p>
    <w:p>
      <w:pPr>
        <w:pStyle w:val="Heading3"/>
      </w:pPr>
      <w:bookmarkStart w:id="495" w:name="_Toc375142894"/>
      <w:bookmarkStart w:id="496" w:name="_Toc375143148"/>
      <w:bookmarkStart w:id="497" w:name="_Toc416788072"/>
      <w:bookmarkStart w:id="498" w:name="_Toc416788325"/>
      <w:r>
        <w:rPr>
          <w:rStyle w:val="CharDivNo"/>
        </w:rPr>
        <w:t>Division 1</w:t>
      </w:r>
      <w:r>
        <w:t> — </w:t>
      </w:r>
      <w:r>
        <w:rPr>
          <w:rStyle w:val="CharDivText"/>
        </w:rPr>
        <w:t>Obtaining information — Coordinator</w:t>
      </w:r>
      <w:bookmarkEnd w:id="495"/>
      <w:bookmarkEnd w:id="496"/>
      <w:bookmarkEnd w:id="497"/>
      <w:bookmarkEnd w:id="498"/>
    </w:p>
    <w:p>
      <w:pPr>
        <w:pStyle w:val="Footnoteheading"/>
      </w:pPr>
      <w:r>
        <w:tab/>
        <w:t>[Heading inserted: No. 28 of 2006 s. 179.]</w:t>
      </w:r>
    </w:p>
    <w:p>
      <w:pPr>
        <w:pStyle w:val="Heading5"/>
      </w:pPr>
      <w:bookmarkStart w:id="499" w:name="_Toc375143149"/>
      <w:bookmarkStart w:id="500" w:name="_Toc416788326"/>
      <w:r>
        <w:rPr>
          <w:rStyle w:val="CharSectno"/>
        </w:rPr>
        <w:t>20A</w:t>
      </w:r>
      <w:r>
        <w:t>.</w:t>
      </w:r>
      <w:r>
        <w:tab/>
        <w:t>Term used: energy</w:t>
      </w:r>
      <w:bookmarkEnd w:id="499"/>
      <w:bookmarkEnd w:id="500"/>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No. 53 of 2003 s. 67.]</w:t>
      </w:r>
    </w:p>
    <w:p>
      <w:pPr>
        <w:pStyle w:val="Heading5"/>
        <w:rPr>
          <w:snapToGrid w:val="0"/>
        </w:rPr>
      </w:pPr>
      <w:bookmarkStart w:id="501" w:name="_Toc375143150"/>
      <w:bookmarkStart w:id="502" w:name="_Toc416788327"/>
      <w:r>
        <w:rPr>
          <w:rStyle w:val="CharSectno"/>
        </w:rPr>
        <w:t>21</w:t>
      </w:r>
      <w:r>
        <w:rPr>
          <w:snapToGrid w:val="0"/>
        </w:rPr>
        <w:t>.</w:t>
      </w:r>
      <w:r>
        <w:rPr>
          <w:snapToGrid w:val="0"/>
        </w:rPr>
        <w:tab/>
        <w:t>Coordinator may require information to be given</w:t>
      </w:r>
      <w:bookmarkEnd w:id="501"/>
      <w:bookmarkEnd w:id="502"/>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r>
        <w:tab/>
        <w:t>[Section 21 amended: No. 53 of 2003 s. 68.]</w:t>
      </w:r>
    </w:p>
    <w:p>
      <w:pPr>
        <w:pStyle w:val="Heading5"/>
      </w:pPr>
      <w:bookmarkStart w:id="503" w:name="_Toc375143151"/>
      <w:bookmarkStart w:id="504" w:name="_Toc416788328"/>
      <w:r>
        <w:rPr>
          <w:rStyle w:val="CharSectno"/>
        </w:rPr>
        <w:t>22</w:t>
      </w:r>
      <w:r>
        <w:t>.</w:t>
      </w:r>
      <w:r>
        <w:tab/>
        <w:t>Trade secrets</w:t>
      </w:r>
      <w:bookmarkEnd w:id="503"/>
      <w:bookmarkEnd w:id="504"/>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No. 53 of 2003 s. 69.]</w:t>
      </w:r>
    </w:p>
    <w:p>
      <w:pPr>
        <w:pStyle w:val="Heading5"/>
        <w:rPr>
          <w:snapToGrid w:val="0"/>
        </w:rPr>
      </w:pPr>
      <w:bookmarkStart w:id="505" w:name="_Toc375143152"/>
      <w:bookmarkStart w:id="506" w:name="_Toc416788329"/>
      <w:r>
        <w:rPr>
          <w:rStyle w:val="CharSectno"/>
        </w:rPr>
        <w:t>23</w:t>
      </w:r>
      <w:r>
        <w:rPr>
          <w:snapToGrid w:val="0"/>
        </w:rPr>
        <w:t>.</w:t>
      </w:r>
      <w:r>
        <w:rPr>
          <w:snapToGrid w:val="0"/>
        </w:rPr>
        <w:tab/>
        <w:t>Obligation to comply with request</w:t>
      </w:r>
      <w:bookmarkEnd w:id="505"/>
      <w:bookmarkEnd w:id="506"/>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No. 53 of 2003 s. 70.]</w:t>
      </w:r>
    </w:p>
    <w:p>
      <w:pPr>
        <w:pStyle w:val="Heading3"/>
      </w:pPr>
      <w:bookmarkStart w:id="507" w:name="_Toc375142899"/>
      <w:bookmarkStart w:id="508" w:name="_Toc375143153"/>
      <w:bookmarkStart w:id="509" w:name="_Toc416788077"/>
      <w:bookmarkStart w:id="510" w:name="_Toc416788330"/>
      <w:r>
        <w:rPr>
          <w:rStyle w:val="CharDivNo"/>
        </w:rPr>
        <w:t>Division 2</w:t>
      </w:r>
      <w:r>
        <w:t> — </w:t>
      </w:r>
      <w:r>
        <w:rPr>
          <w:rStyle w:val="CharDivText"/>
        </w:rPr>
        <w:t>Confidentiality — Coordinator and Director</w:t>
      </w:r>
      <w:bookmarkEnd w:id="507"/>
      <w:bookmarkEnd w:id="508"/>
      <w:bookmarkEnd w:id="509"/>
      <w:bookmarkEnd w:id="510"/>
    </w:p>
    <w:p>
      <w:pPr>
        <w:pStyle w:val="Footnoteheading"/>
      </w:pPr>
      <w:r>
        <w:tab/>
        <w:t>[Heading inserted: No. 28 of 2006 s. 180.]</w:t>
      </w:r>
    </w:p>
    <w:p>
      <w:pPr>
        <w:pStyle w:val="Heading5"/>
        <w:rPr>
          <w:snapToGrid w:val="0"/>
        </w:rPr>
      </w:pPr>
      <w:bookmarkStart w:id="511" w:name="_Toc375143154"/>
      <w:bookmarkStart w:id="512" w:name="_Toc416788331"/>
      <w:r>
        <w:rPr>
          <w:rStyle w:val="CharSectno"/>
        </w:rPr>
        <w:t>24</w:t>
      </w:r>
      <w:r>
        <w:rPr>
          <w:snapToGrid w:val="0"/>
        </w:rPr>
        <w:t>.</w:t>
      </w:r>
      <w:r>
        <w:rPr>
          <w:snapToGrid w:val="0"/>
        </w:rPr>
        <w:tab/>
        <w:t>Confidentiality</w:t>
      </w:r>
      <w:bookmarkEnd w:id="511"/>
      <w:bookmarkEnd w:id="512"/>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No. 53 of 2003 s. 71.]</w:t>
      </w:r>
    </w:p>
    <w:p>
      <w:pPr>
        <w:pStyle w:val="Heading5"/>
      </w:pPr>
      <w:bookmarkStart w:id="513" w:name="_Toc375143155"/>
      <w:bookmarkStart w:id="514" w:name="_Toc416788332"/>
      <w:r>
        <w:rPr>
          <w:rStyle w:val="CharSectno"/>
        </w:rPr>
        <w:t>24AA</w:t>
      </w:r>
      <w:r>
        <w:t>.</w:t>
      </w:r>
      <w:r>
        <w:tab/>
        <w:t>Protection of trade secrets</w:t>
      </w:r>
      <w:bookmarkEnd w:id="513"/>
      <w:bookmarkEnd w:id="514"/>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No. 53 of 2003 s. 72.]</w:t>
      </w:r>
    </w:p>
    <w:p>
      <w:pPr>
        <w:pStyle w:val="Heading5"/>
        <w:spacing w:before="140"/>
      </w:pPr>
      <w:bookmarkStart w:id="515" w:name="_Toc375143156"/>
      <w:bookmarkStart w:id="516" w:name="_Toc416788333"/>
      <w:r>
        <w:rPr>
          <w:rStyle w:val="CharSectno"/>
        </w:rPr>
        <w:t>24AB</w:t>
      </w:r>
      <w:r>
        <w:t>.</w:t>
      </w:r>
      <w:r>
        <w:tab/>
        <w:t>Disclosure of information in the public interest</w:t>
      </w:r>
      <w:bookmarkEnd w:id="515"/>
      <w:bookmarkEnd w:id="516"/>
    </w:p>
    <w:p>
      <w:pPr>
        <w:pStyle w:val="Subsection"/>
        <w:keepNext/>
        <w:keepLines/>
        <w:spacing w:before="120"/>
      </w:pPr>
      <w:r>
        <w:tab/>
        <w:t>(1)</w:t>
      </w:r>
      <w:r>
        <w:tab/>
        <w:t xml:space="preserve">A relevant official may disclose information to which a notice under </w:t>
      </w:r>
      <w:r>
        <w:rPr>
          <w:snapToGrid w:val="0"/>
        </w:rPr>
        <w:t>section</w:t>
      </w:r>
      <w:r>
        <w:t xml:space="preserve"> 22 applies if — </w:t>
      </w:r>
    </w:p>
    <w:p>
      <w:pPr>
        <w:pStyle w:val="Indenta"/>
        <w:spacing w:before="60"/>
      </w:pPr>
      <w:r>
        <w:tab/>
        <w:t>(a)</w:t>
      </w:r>
      <w:r>
        <w:tab/>
        <w:t xml:space="preserve">the Coordinator has — </w:t>
      </w:r>
    </w:p>
    <w:p>
      <w:pPr>
        <w:pStyle w:val="Indenti"/>
        <w:spacing w:before="60"/>
      </w:pPr>
      <w:r>
        <w:tab/>
        <w:t>(i)</w:t>
      </w:r>
      <w:r>
        <w:tab/>
        <w:t xml:space="preserve">determined that disclosure of the information is in the public interest; and </w:t>
      </w:r>
    </w:p>
    <w:p>
      <w:pPr>
        <w:pStyle w:val="Indenti"/>
        <w:spacing w:before="60"/>
      </w:pPr>
      <w:r>
        <w:tab/>
        <w:t>(ii)</w:t>
      </w:r>
      <w:r>
        <w:tab/>
        <w:t>given written notice of that determination to the person who gave the notice under section 22;</w:t>
      </w:r>
    </w:p>
    <w:p>
      <w:pPr>
        <w:pStyle w:val="Indenta"/>
        <w:spacing w:before="60"/>
      </w:pPr>
      <w:r>
        <w:tab/>
      </w:r>
      <w:r>
        <w:tab/>
        <w:t>and</w:t>
      </w:r>
    </w:p>
    <w:p>
      <w:pPr>
        <w:pStyle w:val="Indenta"/>
        <w:spacing w:before="60"/>
      </w:pPr>
      <w:r>
        <w:tab/>
        <w:t>(b)</w:t>
      </w:r>
      <w:r>
        <w:tab/>
        <w:t>the time for making an application under section 24AC for a review of that determination has expired without an application being made, or such an application has been made but has been unsuccessful.</w:t>
      </w:r>
    </w:p>
    <w:p>
      <w:pPr>
        <w:pStyle w:val="Subsection"/>
        <w:keepNext/>
        <w:keepLines/>
        <w:spacing w:before="120"/>
        <w:rPr>
          <w:snapToGrid w:val="0"/>
        </w:rPr>
      </w:pPr>
      <w:r>
        <w:rPr>
          <w:snapToGrid w:val="0"/>
        </w:rPr>
        <w:tab/>
        <w:t>(2)</w:t>
      </w:r>
      <w:r>
        <w:rPr>
          <w:snapToGrid w:val="0"/>
        </w:rPr>
        <w:tab/>
        <w:t xml:space="preserve">For the purposes of subsection (1)(b) an application for a review is unsuccessful if it — </w:t>
      </w:r>
    </w:p>
    <w:p>
      <w:pPr>
        <w:pStyle w:val="Indenta"/>
        <w:spacing w:before="60"/>
      </w:pPr>
      <w:r>
        <w:tab/>
        <w:t>(a)</w:t>
      </w:r>
      <w:r>
        <w:tab/>
        <w:t>results in the Coordinator’s determination under subsection (1)(a)(i) being affirmed; or</w:t>
      </w:r>
    </w:p>
    <w:p>
      <w:pPr>
        <w:pStyle w:val="Indenta"/>
        <w:spacing w:before="60"/>
      </w:pPr>
      <w:r>
        <w:tab/>
        <w:t>(b)</w:t>
      </w:r>
      <w:r>
        <w:tab/>
        <w:t>is withdrawn, discontinued or dismissed for want of prosecution.</w:t>
      </w:r>
    </w:p>
    <w:p>
      <w:pPr>
        <w:pStyle w:val="Footnotesection"/>
        <w:spacing w:before="80"/>
        <w:ind w:left="890" w:hanging="890"/>
      </w:pPr>
      <w:r>
        <w:tab/>
        <w:t>[Section 24AB inserted: No. 53 of 2003 s. 72.]</w:t>
      </w:r>
    </w:p>
    <w:p>
      <w:pPr>
        <w:pStyle w:val="Heading5"/>
        <w:spacing w:before="160"/>
      </w:pPr>
      <w:bookmarkStart w:id="517" w:name="_Toc375143157"/>
      <w:bookmarkStart w:id="518" w:name="_Toc416788334"/>
      <w:r>
        <w:rPr>
          <w:rStyle w:val="CharSectno"/>
        </w:rPr>
        <w:t>24AC</w:t>
      </w:r>
      <w:r>
        <w:t>.</w:t>
      </w:r>
      <w:r>
        <w:tab/>
        <w:t>Review of determination</w:t>
      </w:r>
      <w:bookmarkEnd w:id="517"/>
      <w:bookmarkEnd w:id="518"/>
    </w:p>
    <w:p>
      <w:pPr>
        <w:pStyle w:val="Subsection"/>
        <w:spacing w:before="120"/>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spacing w:before="100"/>
      </w:pPr>
      <w:r>
        <w:tab/>
      </w:r>
      <w:r>
        <w:tab/>
        <w:t xml:space="preserve">the person may apply to the </w:t>
      </w:r>
      <w:r>
        <w:rPr>
          <w:snapToGrid w:val="0"/>
        </w:rPr>
        <w:t>State Administrative Tribunal</w:t>
      </w:r>
      <w:r>
        <w:t xml:space="preserve"> for a review of the determination.</w:t>
      </w:r>
    </w:p>
    <w:p>
      <w:pPr>
        <w:pStyle w:val="Ednotesubsection"/>
        <w:spacing w:before="120"/>
      </w:pPr>
      <w:r>
        <w:tab/>
        <w:t>[(2)</w:t>
      </w:r>
      <w:r>
        <w:tab/>
        <w:t>deleted]</w:t>
      </w:r>
    </w:p>
    <w:p>
      <w:pPr>
        <w:pStyle w:val="Footnotesection"/>
        <w:keepLines w:val="0"/>
        <w:widowControl w:val="0"/>
        <w:spacing w:before="60"/>
        <w:ind w:left="890" w:hanging="890"/>
      </w:pPr>
      <w:r>
        <w:tab/>
        <w:t>[Section 24AC inserted: No. 53 of 2003 s. 72; amended: No. 55 of 2004 s. 300.]</w:t>
      </w:r>
    </w:p>
    <w:p>
      <w:pPr>
        <w:pStyle w:val="Heading2"/>
      </w:pPr>
      <w:bookmarkStart w:id="519" w:name="_Toc375142904"/>
      <w:bookmarkStart w:id="520" w:name="_Toc375143158"/>
      <w:bookmarkStart w:id="521" w:name="_Toc416788082"/>
      <w:bookmarkStart w:id="522" w:name="_Toc416788335"/>
      <w:r>
        <w:rPr>
          <w:rStyle w:val="CharPartNo"/>
        </w:rPr>
        <w:t>Part 5</w:t>
      </w:r>
      <w:r>
        <w:rPr>
          <w:rStyle w:val="CharDivNo"/>
        </w:rPr>
        <w:t> </w:t>
      </w:r>
      <w:r>
        <w:t>—</w:t>
      </w:r>
      <w:r>
        <w:rPr>
          <w:rStyle w:val="CharDivText"/>
        </w:rPr>
        <w:t> </w:t>
      </w:r>
      <w:r>
        <w:rPr>
          <w:rStyle w:val="CharPartText"/>
        </w:rPr>
        <w:t>General</w:t>
      </w:r>
      <w:bookmarkEnd w:id="519"/>
      <w:bookmarkEnd w:id="520"/>
      <w:bookmarkEnd w:id="521"/>
      <w:bookmarkEnd w:id="522"/>
      <w:r>
        <w:rPr>
          <w:rStyle w:val="CharPartText"/>
        </w:rPr>
        <w:t xml:space="preserve"> </w:t>
      </w:r>
    </w:p>
    <w:p>
      <w:pPr>
        <w:pStyle w:val="Heading5"/>
      </w:pPr>
      <w:bookmarkStart w:id="523" w:name="_Toc375143159"/>
      <w:bookmarkStart w:id="524" w:name="_Toc416788336"/>
      <w:r>
        <w:rPr>
          <w:rStyle w:val="CharSectno"/>
        </w:rPr>
        <w:t>24A</w:t>
      </w:r>
      <w:r>
        <w:t>.</w:t>
      </w:r>
      <w:r>
        <w:tab/>
        <w:t>Gas supply system emergencies</w:t>
      </w:r>
      <w:bookmarkEnd w:id="523"/>
      <w:bookmarkEnd w:id="524"/>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No. 58 of 1999 s. 49; amended: No. 74 of 2003 s. 50(4).]</w:t>
      </w:r>
    </w:p>
    <w:p>
      <w:pPr>
        <w:pStyle w:val="Heading5"/>
      </w:pPr>
      <w:bookmarkStart w:id="525" w:name="_Toc375143160"/>
      <w:bookmarkStart w:id="526" w:name="_Toc416788337"/>
      <w:r>
        <w:rPr>
          <w:rStyle w:val="CharSectno"/>
        </w:rPr>
        <w:t>24B</w:t>
      </w:r>
      <w:r>
        <w:t>.</w:t>
      </w:r>
      <w:r>
        <w:tab/>
        <w:t>Disclosure of information for promotion of safety and compliance purposes</w:t>
      </w:r>
      <w:bookmarkEnd w:id="525"/>
      <w:bookmarkEnd w:id="526"/>
    </w:p>
    <w:p>
      <w:pPr>
        <w:pStyle w:val="Subsection"/>
      </w:pPr>
      <w:r>
        <w:tab/>
        <w:t>(1)</w:t>
      </w:r>
      <w:r>
        <w:tab/>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t>increasing public awareness of any matter to do with safety related to the use of energy; and</w:t>
      </w:r>
    </w:p>
    <w:p>
      <w:pPr>
        <w:pStyle w:val="Indenta"/>
      </w:pPr>
      <w:r>
        <w:tab/>
        <w:t>(b)</w:t>
      </w:r>
      <w:r>
        <w:tab/>
        <w:t xml:space="preserve">increasing levels of compliance with the </w:t>
      </w:r>
      <w:r>
        <w:rPr>
          <w:i/>
        </w:rPr>
        <w:t>Electricity Act 1945</w:t>
      </w:r>
      <w:r>
        <w:t xml:space="preserve"> and the </w:t>
      </w:r>
      <w:r>
        <w:rPr>
          <w:i/>
        </w:rPr>
        <w:t>Gas Standards Act 1972</w:t>
      </w:r>
      <w:r>
        <w:t>.</w:t>
      </w:r>
    </w:p>
    <w:p>
      <w:pPr>
        <w:pStyle w:val="Subsection"/>
      </w:pPr>
      <w:r>
        <w:tab/>
        <w:t>(2)</w:t>
      </w:r>
      <w:r>
        <w:tab/>
        <w:t>The Director is not to record, disclose or use information, or approve of information being recorded, disclosed or used for a purpose described in subsection (1)(a) or (b) unless —</w:t>
      </w:r>
    </w:p>
    <w:p>
      <w:pPr>
        <w:pStyle w:val="Indenta"/>
      </w:pPr>
      <w:r>
        <w:tab/>
        <w:t>(a)</w:t>
      </w:r>
      <w:r>
        <w:tab/>
        <w:t>in the case of commercial information or information that is confidential, the Director has consulted any person he or she believes may be affected by the recording, disclosure or use; and</w:t>
      </w:r>
    </w:p>
    <w:p>
      <w:pPr>
        <w:pStyle w:val="Indenta"/>
      </w:pPr>
      <w:r>
        <w:tab/>
        <w:t>(b)</w:t>
      </w:r>
      <w:r>
        <w:tab/>
        <w:t>in any case, the Director is of the opinion that the public benefit from the recording, disclosure or use will outweigh any detriment that may be caused to any person, and that there is no other way to achieve the purposes described in subsection (1)(a) and (b).</w:t>
      </w:r>
    </w:p>
    <w:p>
      <w:pPr>
        <w:pStyle w:val="Footnotesection"/>
        <w:ind w:left="890" w:hanging="890"/>
      </w:pPr>
      <w:r>
        <w:tab/>
        <w:t>[Section 24B inserted: No. 5 of 2007 s. 19.]</w:t>
      </w:r>
    </w:p>
    <w:p>
      <w:pPr>
        <w:pStyle w:val="Heading5"/>
      </w:pPr>
      <w:bookmarkStart w:id="527" w:name="_Toc375143161"/>
      <w:bookmarkStart w:id="528" w:name="_Toc416788338"/>
      <w:r>
        <w:rPr>
          <w:rStyle w:val="CharSectno"/>
        </w:rPr>
        <w:t>24C</w:t>
      </w:r>
      <w:r>
        <w:t>.</w:t>
      </w:r>
      <w:r>
        <w:tab/>
        <w:t>Gas supply emergency plans</w:t>
      </w:r>
      <w:bookmarkEnd w:id="527"/>
      <w:bookmarkEnd w:id="528"/>
    </w:p>
    <w:p>
      <w:pPr>
        <w:pStyle w:val="Subsection"/>
      </w:pPr>
      <w:r>
        <w:tab/>
        <w:t>(1)</w:t>
      </w:r>
      <w:r>
        <w:tab/>
        <w:t xml:space="preserve">The holder of a pipeline licence under the </w:t>
      </w:r>
      <w:r>
        <w:rPr>
          <w:i/>
        </w:rPr>
        <w:t>Petroleum Pipelines Act 1969</w:t>
      </w:r>
      <w:r>
        <w:t xml:space="preserve"> to convey gaseous petroleum to a distribution system or a network operator must, if the regulations so require, have a supply system emergency management plan (an </w:t>
      </w:r>
      <w:r>
        <w:rPr>
          <w:rStyle w:val="CharDefText"/>
        </w:rPr>
        <w:t>emergency plan</w:t>
      </w:r>
      <w:r>
        <w:t>).</w:t>
      </w:r>
    </w:p>
    <w:p>
      <w:pPr>
        <w:pStyle w:val="Subsection"/>
      </w:pPr>
      <w:r>
        <w:tab/>
        <w:t>(2)</w:t>
      </w:r>
      <w:r>
        <w:tab/>
        <w:t>Without limiting section 26(1), the regulations may provide for —</w:t>
      </w:r>
    </w:p>
    <w:p>
      <w:pPr>
        <w:pStyle w:val="Indenta"/>
      </w:pPr>
      <w:r>
        <w:tab/>
        <w:t>(a)</w:t>
      </w:r>
      <w:r>
        <w:tab/>
        <w:t>the preparation and content of emergency plans; and</w:t>
      </w:r>
    </w:p>
    <w:p>
      <w:pPr>
        <w:pStyle w:val="Indenta"/>
      </w:pPr>
      <w:r>
        <w:tab/>
        <w:t>(b)</w:t>
      </w:r>
      <w:r>
        <w:tab/>
        <w:t>the submission of emergency plans for assessment and review by the Director; and</w:t>
      </w:r>
    </w:p>
    <w:p>
      <w:pPr>
        <w:pStyle w:val="Indenta"/>
      </w:pPr>
      <w:r>
        <w:tab/>
        <w:t>(c)</w:t>
      </w:r>
      <w:r>
        <w:tab/>
        <w:t>how emergency plans are to have effect and be complied with; and</w:t>
      </w:r>
    </w:p>
    <w:p>
      <w:pPr>
        <w:pStyle w:val="Indenta"/>
      </w:pPr>
      <w:r>
        <w:tab/>
        <w:t>(d)</w:t>
      </w:r>
      <w:r>
        <w:tab/>
        <w:t>the exemption of persons from the requirement to have an emergency plan if the person has an emergency plan under another written law specified in the regulations.</w:t>
      </w:r>
    </w:p>
    <w:p>
      <w:pPr>
        <w:pStyle w:val="Footnotesection"/>
      </w:pPr>
      <w:r>
        <w:tab/>
        <w:t>[Section 24C inserted: No. 5 of 2007 s. 19.]</w:t>
      </w:r>
    </w:p>
    <w:p>
      <w:pPr>
        <w:pStyle w:val="Heading5"/>
        <w:rPr>
          <w:snapToGrid w:val="0"/>
        </w:rPr>
      </w:pPr>
      <w:bookmarkStart w:id="529" w:name="_Toc375143162"/>
      <w:bookmarkStart w:id="530" w:name="_Toc416788339"/>
      <w:r>
        <w:rPr>
          <w:rStyle w:val="CharSectno"/>
        </w:rPr>
        <w:t>25</w:t>
      </w:r>
      <w:r>
        <w:rPr>
          <w:snapToGrid w:val="0"/>
        </w:rPr>
        <w:t>.</w:t>
      </w:r>
      <w:r>
        <w:rPr>
          <w:snapToGrid w:val="0"/>
        </w:rPr>
        <w:tab/>
        <w:t>Establishment of committees</w:t>
      </w:r>
      <w:bookmarkEnd w:id="529"/>
      <w:bookmarkEnd w:id="530"/>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keepNext/>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The Minister may determine that a member of a committee is to receive remuneration or an allowance, and if the Minister so determines he or she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Footnotesection"/>
      </w:pPr>
      <w:r>
        <w:tab/>
        <w:t>[Section 25 amended: No. 39 of 2010 s. 89.]</w:t>
      </w:r>
    </w:p>
    <w:p>
      <w:pPr>
        <w:pStyle w:val="Heading5"/>
      </w:pPr>
      <w:bookmarkStart w:id="531" w:name="_Toc375143163"/>
      <w:bookmarkStart w:id="532" w:name="_Toc416788340"/>
      <w:r>
        <w:rPr>
          <w:rStyle w:val="CharSectno"/>
        </w:rPr>
        <w:t>26A</w:t>
      </w:r>
      <w:r>
        <w:t>.</w:t>
      </w:r>
      <w:r>
        <w:tab/>
        <w:t xml:space="preserve">Licence not personal property for the purposes of the </w:t>
      </w:r>
      <w:r>
        <w:rPr>
          <w:i/>
          <w:iCs/>
        </w:rPr>
        <w:t>Personal Property Securities Act 2009</w:t>
      </w:r>
      <w:r>
        <w:t xml:space="preserve"> (Commonwealth)</w:t>
      </w:r>
      <w:bookmarkEnd w:id="531"/>
      <w:bookmarkEnd w:id="532"/>
    </w:p>
    <w:p>
      <w:pPr>
        <w:pStyle w:val="Subsection"/>
      </w:pPr>
      <w:r>
        <w:tab/>
      </w:r>
      <w:r>
        <w:tab/>
        <w:t xml:space="preserve">If a licence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26A inserted: No. 42 of 2011 s. 63.]</w:t>
      </w:r>
    </w:p>
    <w:p>
      <w:pPr>
        <w:pStyle w:val="Heading5"/>
        <w:rPr>
          <w:snapToGrid w:val="0"/>
        </w:rPr>
      </w:pPr>
      <w:bookmarkStart w:id="533" w:name="_Toc375143164"/>
      <w:bookmarkStart w:id="534" w:name="_Toc416788341"/>
      <w:r>
        <w:rPr>
          <w:rStyle w:val="CharSectno"/>
        </w:rPr>
        <w:t>26</w:t>
      </w:r>
      <w:r>
        <w:rPr>
          <w:snapToGrid w:val="0"/>
        </w:rPr>
        <w:t>.</w:t>
      </w:r>
      <w:r>
        <w:rPr>
          <w:snapToGrid w:val="0"/>
        </w:rPr>
        <w:tab/>
        <w:t>Regulations</w:t>
      </w:r>
      <w:bookmarkEnd w:id="533"/>
      <w:bookmarkEnd w:id="534"/>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keepNext/>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Ednotesubsection"/>
      </w:pPr>
      <w:r>
        <w:tab/>
        <w:t>[(3)</w:t>
      </w:r>
      <w:r>
        <w:noBreakHyphen/>
        <w:t>(5)</w:t>
      </w:r>
      <w:r>
        <w:tab/>
        <w:t>deleted]</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No. 58 of 1999 s. 50 and 109; No. 53 of 2003 s. 39; No. 5 of 2007 s. 20; No. 35 of 2009 s. 36.]</w:t>
      </w:r>
    </w:p>
    <w:p>
      <w:pPr>
        <w:pStyle w:val="Heading5"/>
        <w:rPr>
          <w:snapToGrid w:val="0"/>
        </w:rPr>
      </w:pPr>
      <w:bookmarkStart w:id="535" w:name="_Toc375143165"/>
      <w:bookmarkStart w:id="536" w:name="_Toc416788342"/>
      <w:r>
        <w:rPr>
          <w:rStyle w:val="CharSectno"/>
        </w:rPr>
        <w:t>27</w:t>
      </w:r>
      <w:r>
        <w:rPr>
          <w:snapToGrid w:val="0"/>
        </w:rPr>
        <w:t>.</w:t>
      </w:r>
      <w:r>
        <w:rPr>
          <w:snapToGrid w:val="0"/>
        </w:rPr>
        <w:tab/>
        <w:t>Review</w:t>
      </w:r>
      <w:bookmarkEnd w:id="535"/>
      <w:bookmarkEnd w:id="536"/>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37" w:name="_Toc375142912"/>
      <w:bookmarkStart w:id="538" w:name="_Toc375143166"/>
      <w:bookmarkStart w:id="539" w:name="_Toc416788090"/>
      <w:bookmarkStart w:id="540" w:name="_Toc416788343"/>
      <w:r>
        <w:rPr>
          <w:rStyle w:val="CharSchNo"/>
        </w:rPr>
        <w:t>Schedule 1</w:t>
      </w:r>
      <w:r>
        <w:t xml:space="preserve"> — </w:t>
      </w:r>
      <w:r>
        <w:rPr>
          <w:rStyle w:val="CharSchText"/>
        </w:rPr>
        <w:t>Coordinator’s functions in respect of sustainable energy research</w:t>
      </w:r>
      <w:bookmarkEnd w:id="537"/>
      <w:bookmarkEnd w:id="538"/>
      <w:bookmarkEnd w:id="539"/>
      <w:bookmarkEnd w:id="540"/>
    </w:p>
    <w:p>
      <w:pPr>
        <w:pStyle w:val="yShoulderClause"/>
      </w:pPr>
      <w:r>
        <w:t>[s. 6(e)]</w:t>
      </w:r>
    </w:p>
    <w:p>
      <w:pPr>
        <w:pStyle w:val="yFootnoteheading"/>
        <w:ind w:left="890"/>
      </w:pPr>
      <w:r>
        <w:tab/>
        <w:t>[Heading inserted: No. 53 of 2003 s. 95.]</w:t>
      </w:r>
    </w:p>
    <w:p>
      <w:pPr>
        <w:pStyle w:val="yHeading5"/>
        <w:spacing w:before="160"/>
        <w:outlineLvl w:val="0"/>
      </w:pPr>
      <w:bookmarkStart w:id="541" w:name="_Toc375143167"/>
      <w:bookmarkStart w:id="542" w:name="_Toc416788344"/>
      <w:r>
        <w:rPr>
          <w:rStyle w:val="CharSClsNo"/>
        </w:rPr>
        <w:t>1</w:t>
      </w:r>
      <w:r>
        <w:t>.</w:t>
      </w:r>
      <w:r>
        <w:tab/>
        <w:t>Terms used</w:t>
      </w:r>
      <w:bookmarkEnd w:id="541"/>
      <w:bookmarkEnd w:id="542"/>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No. 53 of 2003 s. 95.]</w:t>
      </w:r>
    </w:p>
    <w:p>
      <w:pPr>
        <w:pStyle w:val="yHeading5"/>
        <w:spacing w:before="160"/>
        <w:outlineLvl w:val="0"/>
      </w:pPr>
      <w:bookmarkStart w:id="543" w:name="_Toc375143168"/>
      <w:bookmarkStart w:id="544" w:name="_Toc416788345"/>
      <w:r>
        <w:rPr>
          <w:rStyle w:val="CharSClsNo"/>
        </w:rPr>
        <w:t>2</w:t>
      </w:r>
      <w:r>
        <w:t>.</w:t>
      </w:r>
      <w:r>
        <w:tab/>
        <w:t>Research functions</w:t>
      </w:r>
      <w:bookmarkEnd w:id="543"/>
      <w:bookmarkEnd w:id="544"/>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No. 53 of 2003 s. 95.]</w:t>
      </w:r>
    </w:p>
    <w:p>
      <w:pPr>
        <w:pStyle w:val="yHeading5"/>
        <w:outlineLvl w:val="0"/>
      </w:pPr>
      <w:bookmarkStart w:id="545" w:name="_Toc375143169"/>
      <w:bookmarkStart w:id="546" w:name="_Toc416788346"/>
      <w:r>
        <w:rPr>
          <w:rStyle w:val="CharSClsNo"/>
        </w:rPr>
        <w:t>3</w:t>
      </w:r>
      <w:r>
        <w:t>.</w:t>
      </w:r>
      <w:r>
        <w:tab/>
        <w:t>Power to direct researcher</w:t>
      </w:r>
      <w:bookmarkEnd w:id="545"/>
      <w:bookmarkEnd w:id="546"/>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No. 53 of 2003 s. 95.]</w:t>
      </w:r>
    </w:p>
    <w:p>
      <w:pPr>
        <w:pStyle w:val="yHeading5"/>
        <w:outlineLvl w:val="0"/>
      </w:pPr>
      <w:bookmarkStart w:id="547" w:name="_Toc375143170"/>
      <w:bookmarkStart w:id="548" w:name="_Toc416788347"/>
      <w:r>
        <w:rPr>
          <w:rStyle w:val="CharSClsNo"/>
        </w:rPr>
        <w:t>4</w:t>
      </w:r>
      <w:r>
        <w:t>.</w:t>
      </w:r>
      <w:r>
        <w:tab/>
        <w:t>Trusts and conditions</w:t>
      </w:r>
      <w:bookmarkEnd w:id="547"/>
      <w:bookmarkEnd w:id="548"/>
    </w:p>
    <w:p>
      <w:pPr>
        <w:pStyle w:val="ySubsection"/>
      </w:pPr>
      <w:r>
        <w:tab/>
      </w:r>
      <w:r>
        <w:tab/>
        <w:t>The Coordinator must give effect to any trust, condition or stipulation that has been agreed to in exercise of the power in clause 2(2)(f).</w:t>
      </w:r>
    </w:p>
    <w:p>
      <w:pPr>
        <w:pStyle w:val="yFootnotesection"/>
      </w:pPr>
      <w:r>
        <w:tab/>
        <w:t>[Clause 4 inserted: No. 53 of 2003 s. 95.]</w:t>
      </w:r>
    </w:p>
    <w:p>
      <w:pPr>
        <w:pStyle w:val="yHeading5"/>
        <w:outlineLvl w:val="0"/>
      </w:pPr>
      <w:bookmarkStart w:id="549" w:name="_Toc375143171"/>
      <w:bookmarkStart w:id="550" w:name="_Toc416788348"/>
      <w:r>
        <w:rPr>
          <w:rStyle w:val="CharSClsNo"/>
        </w:rPr>
        <w:t>5</w:t>
      </w:r>
      <w:r>
        <w:t>.</w:t>
      </w:r>
      <w:r>
        <w:tab/>
        <w:t>Provision of information to the Coordinator</w:t>
      </w:r>
      <w:bookmarkEnd w:id="549"/>
      <w:bookmarkEnd w:id="550"/>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No. 53 of 2003 s. 95.]</w:t>
      </w:r>
    </w:p>
    <w:p>
      <w:pPr>
        <w:pStyle w:val="yHeading5"/>
        <w:outlineLvl w:val="0"/>
      </w:pPr>
      <w:bookmarkStart w:id="551" w:name="_Toc375143172"/>
      <w:bookmarkStart w:id="552" w:name="_Toc416788349"/>
      <w:r>
        <w:rPr>
          <w:rStyle w:val="CharSClsNo"/>
        </w:rPr>
        <w:t>6</w:t>
      </w:r>
      <w:r>
        <w:t>.</w:t>
      </w:r>
      <w:r>
        <w:tab/>
        <w:t>Termination of assistance by the Coordinator</w:t>
      </w:r>
      <w:bookmarkEnd w:id="551"/>
      <w:bookmarkEnd w:id="552"/>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No. 53 of 2003 s. 95.]</w:t>
      </w:r>
    </w:p>
    <w:p>
      <w:pPr>
        <w:pStyle w:val="yHeading5"/>
        <w:outlineLvl w:val="0"/>
      </w:pPr>
      <w:bookmarkStart w:id="553" w:name="_Toc375143173"/>
      <w:bookmarkStart w:id="554" w:name="_Toc416788350"/>
      <w:r>
        <w:rPr>
          <w:rStyle w:val="CharSClsNo"/>
        </w:rPr>
        <w:t>7</w:t>
      </w:r>
      <w:r>
        <w:t>.</w:t>
      </w:r>
      <w:r>
        <w:tab/>
        <w:t>Researchers to maintain confidentiality</w:t>
      </w:r>
      <w:bookmarkEnd w:id="553"/>
      <w:bookmarkEnd w:id="554"/>
    </w:p>
    <w:p>
      <w:pPr>
        <w:pStyle w:val="ySubsection"/>
        <w:keepNext/>
        <w:keepLines/>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No. 53 of 2003 s. 95.]</w:t>
      </w:r>
    </w:p>
    <w:p>
      <w:pPr>
        <w:pStyle w:val="yHeading5"/>
        <w:outlineLvl w:val="0"/>
      </w:pPr>
      <w:bookmarkStart w:id="555" w:name="_Toc375143174"/>
      <w:bookmarkStart w:id="556" w:name="_Toc416788351"/>
      <w:r>
        <w:rPr>
          <w:rStyle w:val="CharSClsNo"/>
        </w:rPr>
        <w:t>8</w:t>
      </w:r>
      <w:r>
        <w:t>.</w:t>
      </w:r>
      <w:r>
        <w:tab/>
        <w:t>Protection of trade secrets</w:t>
      </w:r>
      <w:bookmarkEnd w:id="555"/>
      <w:bookmarkEnd w:id="556"/>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No. 53 of 2003 s. 95; amended: No. 77 of 2006 Sch. 1 cl. 57(3).]</w:t>
      </w:r>
    </w:p>
    <w:p>
      <w:pPr>
        <w:pStyle w:val="yHeading5"/>
        <w:outlineLvl w:val="0"/>
      </w:pPr>
      <w:bookmarkStart w:id="557" w:name="_Toc375143175"/>
      <w:bookmarkStart w:id="558" w:name="_Toc416788352"/>
      <w:r>
        <w:rPr>
          <w:rStyle w:val="CharSClsNo"/>
        </w:rPr>
        <w:t>9</w:t>
      </w:r>
      <w:r>
        <w:t>.</w:t>
      </w:r>
      <w:r>
        <w:tab/>
        <w:t>Other requests for confidentiality</w:t>
      </w:r>
      <w:bookmarkEnd w:id="557"/>
      <w:bookmarkEnd w:id="558"/>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No. 53 of 2003 s. 95; amended: No. 77 of 2006 Sch. 1 cl. 57(4).]</w:t>
      </w:r>
    </w:p>
    <w:p>
      <w:pPr>
        <w:pStyle w:val="yHeading5"/>
        <w:outlineLvl w:val="0"/>
      </w:pPr>
      <w:bookmarkStart w:id="559" w:name="_Toc375143176"/>
      <w:bookmarkStart w:id="560" w:name="_Toc416788353"/>
      <w:r>
        <w:rPr>
          <w:rStyle w:val="CharSClsNo"/>
        </w:rPr>
        <w:t>10</w:t>
      </w:r>
      <w:r>
        <w:t>.</w:t>
      </w:r>
      <w:r>
        <w:tab/>
        <w:t>Records to be maintained</w:t>
      </w:r>
      <w:bookmarkEnd w:id="559"/>
      <w:bookmarkEnd w:id="560"/>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No. 53 of 2003 s. 95.]</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562" w:name="_Toc375142923"/>
      <w:bookmarkStart w:id="563" w:name="_Toc375143177"/>
      <w:bookmarkStart w:id="564" w:name="_Toc416788101"/>
      <w:bookmarkStart w:id="565" w:name="_Toc416788354"/>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562"/>
      <w:bookmarkEnd w:id="563"/>
      <w:bookmarkEnd w:id="564"/>
      <w:bookmarkEnd w:id="565"/>
    </w:p>
    <w:p>
      <w:pPr>
        <w:pStyle w:val="yShoulderClause"/>
        <w:spacing w:line="260" w:lineRule="atLeast"/>
        <w:rPr>
          <w:snapToGrid w:val="0"/>
        </w:rPr>
      </w:pPr>
      <w:r>
        <w:t>[s. 11M]</w:t>
      </w:r>
    </w:p>
    <w:p>
      <w:pPr>
        <w:pStyle w:val="yFootnoteheading"/>
      </w:pPr>
      <w:r>
        <w:tab/>
        <w:t>[Heading inserted: No. 20 of 1999 s. 9; amended: No. 53 of 2003 s. 96.]</w:t>
      </w:r>
    </w:p>
    <w:p>
      <w:pPr>
        <w:pStyle w:val="yHeading5"/>
        <w:rPr>
          <w:snapToGrid w:val="0"/>
        </w:rPr>
      </w:pPr>
      <w:bookmarkStart w:id="566" w:name="_Toc375143178"/>
      <w:bookmarkStart w:id="567" w:name="_Toc416788355"/>
      <w:r>
        <w:rPr>
          <w:rStyle w:val="CharSClsNo"/>
        </w:rPr>
        <w:t>1</w:t>
      </w:r>
      <w:r>
        <w:rPr>
          <w:snapToGrid w:val="0"/>
        </w:rPr>
        <w:t>.</w:t>
      </w:r>
      <w:r>
        <w:rPr>
          <w:snapToGrid w:val="0"/>
        </w:rPr>
        <w:tab/>
        <w:t>Licence terms and conditions</w:t>
      </w:r>
      <w:bookmarkEnd w:id="566"/>
      <w:bookmarkEnd w:id="567"/>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National Gas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r>
      <w:r>
        <w:tab/>
        <w:t>and</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No. 20 of 1999 s. 9; amended: No. 58 of 1999 s. 51; renumbered as Schedule 1A: No. 53 of 2003 s. 96; amended: No. 53 of 2003 s. 30; No. 67 of 2003 Sch. 2 cl. 23; No. 8 of 2009 s. 52(3); No. 16 of 2009 s. 67; No. 19 of 2010 s. 51.]</w:t>
      </w:r>
    </w:p>
    <w:p>
      <w:pPr>
        <w:pStyle w:val="yScheduleHeading"/>
        <w:rPr>
          <w:rStyle w:val="CharSchNo"/>
        </w:r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568" w:name="_Toc375142925"/>
      <w:bookmarkStart w:id="569" w:name="_Toc375143179"/>
      <w:bookmarkStart w:id="570" w:name="_Toc416788103"/>
      <w:bookmarkStart w:id="571" w:name="_Toc416788356"/>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568"/>
      <w:bookmarkEnd w:id="569"/>
      <w:bookmarkEnd w:id="570"/>
      <w:bookmarkEnd w:id="571"/>
    </w:p>
    <w:p>
      <w:pPr>
        <w:pStyle w:val="yShoulderClause"/>
      </w:pPr>
      <w:r>
        <w:t>[s. 11ZO]</w:t>
      </w:r>
    </w:p>
    <w:p>
      <w:pPr>
        <w:pStyle w:val="yFootnoteheading"/>
      </w:pPr>
      <w:r>
        <w:tab/>
        <w:t>[Heading inserted: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p>
            <w:pPr>
              <w:pStyle w:val="yTableNAm"/>
            </w:pPr>
            <w:r>
              <w:t>s. 40</w:t>
            </w:r>
          </w:p>
          <w:p>
            <w:pPr>
              <w:pStyle w:val="yTableNAm"/>
            </w:pPr>
            <w:r>
              <w:t>s. 43</w:t>
            </w:r>
          </w:p>
          <w:p>
            <w:pPr>
              <w:pStyle w:val="yTableNAm"/>
            </w:pPr>
            <w:r>
              <w:t>s. 46(7), (8),</w:t>
            </w:r>
          </w:p>
          <w:p>
            <w:pPr>
              <w:pStyle w:val="yTableNAm"/>
            </w:pPr>
            <w:r>
              <w:tab/>
              <w:t>(11), (12),</w:t>
            </w:r>
          </w:p>
          <w:p>
            <w:pPr>
              <w:pStyle w:val="yTableNAm"/>
            </w:pPr>
            <w:r>
              <w:tab/>
              <w:t>(14) &amp; (16)</w:t>
            </w:r>
          </w:p>
        </w:tc>
        <w:tc>
          <w:tcPr>
            <w:tcW w:w="2072" w:type="dxa"/>
          </w:tcPr>
          <w:p>
            <w:pPr>
              <w:pStyle w:val="yTableNAm"/>
            </w:pPr>
            <w:r>
              <w:t>s. 48</w:t>
            </w:r>
          </w:p>
          <w:p>
            <w:pPr>
              <w:pStyle w:val="yTableNAm"/>
            </w:pPr>
            <w:r>
              <w:t>s. 49</w:t>
            </w:r>
          </w:p>
          <w:p>
            <w:pPr>
              <w:pStyle w:val="yTableNAm"/>
            </w:pPr>
            <w:r>
              <w:t>s. 50</w:t>
            </w:r>
          </w:p>
          <w:p>
            <w:pPr>
              <w:pStyle w:val="yTableNAm"/>
            </w:pPr>
            <w:r>
              <w:t>s. 51</w:t>
            </w:r>
          </w:p>
          <w:p>
            <w:pPr>
              <w:pStyle w:val="yTableNAm"/>
            </w:pPr>
            <w:r>
              <w:t>s. 52</w:t>
            </w:r>
          </w:p>
          <w:p>
            <w:pPr>
              <w:pStyle w:val="yTableNAm"/>
            </w:pPr>
            <w:r>
              <w:t>s. 53</w:t>
            </w:r>
          </w:p>
          <w:p>
            <w:pPr>
              <w:pStyle w:val="yTableNAm"/>
            </w:pPr>
            <w:r>
              <w:t>s. 66</w:t>
            </w:r>
          </w:p>
          <w:p>
            <w:pPr>
              <w:pStyle w:val="yTableNAm"/>
            </w:pPr>
            <w:r>
              <w:t>s. 67</w:t>
            </w:r>
          </w:p>
          <w:p>
            <w:pPr>
              <w:pStyle w:val="yTableNAm"/>
            </w:pPr>
            <w:r>
              <w:t>s. 67A</w:t>
            </w:r>
          </w:p>
        </w:tc>
        <w:tc>
          <w:tcPr>
            <w:tcW w:w="2437" w:type="dxa"/>
          </w:tcPr>
          <w:p>
            <w:pPr>
              <w:pStyle w:val="yTableNAm"/>
            </w:pPr>
            <w:r>
              <w:t>s. 74</w:t>
            </w:r>
          </w:p>
          <w:p>
            <w:pPr>
              <w:pStyle w:val="yTableNAm"/>
            </w:pPr>
            <w:r>
              <w:t>s. 75</w:t>
            </w:r>
          </w:p>
          <w:p>
            <w:pPr>
              <w:pStyle w:val="yTableNAm"/>
            </w:pPr>
            <w:r>
              <w:t>s. 76</w:t>
            </w:r>
          </w:p>
          <w:p>
            <w:pPr>
              <w:pStyle w:val="yTableNAm"/>
            </w:pPr>
            <w:r>
              <w:t>s. 77</w:t>
            </w:r>
          </w:p>
          <w:p>
            <w:pPr>
              <w:pStyle w:val="yTableNAm"/>
            </w:pPr>
            <w:r>
              <w:t>s. 79</w:t>
            </w:r>
          </w:p>
          <w:p>
            <w:pPr>
              <w:pStyle w:val="yTableNAm"/>
            </w:pPr>
            <w:r>
              <w:t>s. 84(2) &amp; (3)</w:t>
            </w:r>
          </w:p>
          <w:p>
            <w:pPr>
              <w:pStyle w:val="yTableNAm"/>
            </w:pPr>
            <w:r>
              <w:t>s. 120</w:t>
            </w:r>
          </w:p>
          <w:p>
            <w:pPr>
              <w:pStyle w:val="yTableNAm"/>
            </w:pPr>
            <w:r>
              <w:t>s. 121</w:t>
            </w:r>
          </w:p>
        </w:tc>
      </w:tr>
    </w:tbl>
    <w:p>
      <w:pPr>
        <w:pStyle w:val="yFootnotesection"/>
      </w:pPr>
      <w:r>
        <w:tab/>
        <w:t>[Part 1 inserted: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tc>
        <w:tc>
          <w:tcPr>
            <w:tcW w:w="2072" w:type="dxa"/>
          </w:tcPr>
          <w:p>
            <w:pPr>
              <w:pStyle w:val="yTableNAm"/>
            </w:pPr>
            <w:r>
              <w:t>s. 43</w:t>
            </w:r>
          </w:p>
          <w:p>
            <w:pPr>
              <w:pStyle w:val="yTableNAm"/>
            </w:pPr>
            <w:r>
              <w:t>s. 46(7), (8),</w:t>
            </w:r>
          </w:p>
          <w:p>
            <w:pPr>
              <w:pStyle w:val="yTableNAm"/>
            </w:pPr>
            <w:r>
              <w:tab/>
              <w:t>(11) &amp; (16)</w:t>
            </w:r>
          </w:p>
          <w:p>
            <w:pPr>
              <w:pStyle w:val="yTableNAm"/>
            </w:pPr>
            <w:r>
              <w:t>s. 48</w:t>
            </w:r>
          </w:p>
          <w:p>
            <w:pPr>
              <w:pStyle w:val="yTableNAm"/>
            </w:pPr>
            <w:r>
              <w:t>s. 66</w:t>
            </w:r>
          </w:p>
        </w:tc>
        <w:tc>
          <w:tcPr>
            <w:tcW w:w="2437" w:type="dxa"/>
          </w:tcPr>
          <w:p>
            <w:pPr>
              <w:pStyle w:val="yTableNAm"/>
            </w:pPr>
            <w:r>
              <w:t>s. 67</w:t>
            </w:r>
          </w:p>
          <w:p>
            <w:pPr>
              <w:pStyle w:val="yTableNAm"/>
            </w:pPr>
            <w:r>
              <w:t>s. 67A</w:t>
            </w:r>
          </w:p>
          <w:p>
            <w:pPr>
              <w:pStyle w:val="yTableNAm"/>
            </w:pPr>
            <w:r>
              <w:t>s. 74</w:t>
            </w:r>
          </w:p>
          <w:p>
            <w:pPr>
              <w:pStyle w:val="yTableNAm"/>
            </w:pPr>
            <w:r>
              <w:t>s. 79</w:t>
            </w:r>
          </w:p>
          <w:p>
            <w:pPr>
              <w:pStyle w:val="yTableNAm"/>
            </w:pPr>
            <w:r>
              <w:t>s. 84(2) &amp; (3)</w:t>
            </w:r>
          </w:p>
        </w:tc>
      </w:tr>
    </w:tbl>
    <w:p>
      <w:pPr>
        <w:pStyle w:val="yFootnotesection"/>
      </w:pPr>
      <w:r>
        <w:tab/>
        <w:t>[Part 2 inserted: No. 20 of 1999 s. 9.]</w:t>
      </w:r>
    </w:p>
    <w:p>
      <w:pPr>
        <w:sectPr>
          <w:headerReference w:type="even" r:id="rId29"/>
          <w:pgSz w:w="11907" w:h="16840" w:code="9"/>
          <w:pgMar w:top="2376" w:right="2405" w:bottom="3542" w:left="2405" w:header="706" w:footer="3380" w:gutter="0"/>
          <w:cols w:space="720"/>
          <w:noEndnote/>
          <w:docGrid w:linePitch="326"/>
        </w:sectPr>
      </w:pPr>
    </w:p>
    <w:p>
      <w:pPr>
        <w:pStyle w:val="yScheduleHeading"/>
      </w:pPr>
      <w:bookmarkStart w:id="572" w:name="_Toc375142926"/>
      <w:bookmarkStart w:id="573" w:name="_Toc375143180"/>
      <w:bookmarkStart w:id="574" w:name="_Toc416788104"/>
      <w:bookmarkStart w:id="575" w:name="_Toc416788357"/>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572"/>
      <w:bookmarkEnd w:id="573"/>
      <w:bookmarkEnd w:id="574"/>
      <w:bookmarkEnd w:id="575"/>
    </w:p>
    <w:p>
      <w:pPr>
        <w:pStyle w:val="yShoulderClause"/>
      </w:pPr>
      <w:r>
        <w:t>[s. 11ZOY]</w:t>
      </w:r>
    </w:p>
    <w:p>
      <w:pPr>
        <w:pStyle w:val="yFootnoteheading"/>
        <w:ind w:left="890"/>
      </w:pPr>
      <w:r>
        <w:tab/>
        <w:t>[Heading inserted: No. 53 of 2003 s. 16.]</w:t>
      </w:r>
    </w:p>
    <w:p>
      <w:pPr>
        <w:pStyle w:val="yHeading5"/>
        <w:outlineLvl w:val="0"/>
      </w:pPr>
      <w:bookmarkStart w:id="576" w:name="_Toc375143181"/>
      <w:bookmarkStart w:id="577" w:name="_Toc416788358"/>
      <w:r>
        <w:rPr>
          <w:rStyle w:val="CharSClsNo"/>
        </w:rPr>
        <w:t>1</w:t>
      </w:r>
      <w:r>
        <w:t>.</w:t>
      </w:r>
      <w:r>
        <w:tab/>
        <w:t>Term used: Court</w:t>
      </w:r>
      <w:bookmarkEnd w:id="576"/>
      <w:bookmarkEnd w:id="577"/>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No. 53 of 2003 s. 16.]</w:t>
      </w:r>
    </w:p>
    <w:p>
      <w:pPr>
        <w:pStyle w:val="yHeading5"/>
        <w:outlineLvl w:val="0"/>
      </w:pPr>
      <w:bookmarkStart w:id="578" w:name="_Toc375143182"/>
      <w:bookmarkStart w:id="579" w:name="_Toc416788359"/>
      <w:r>
        <w:rPr>
          <w:rStyle w:val="CharSClsNo"/>
        </w:rPr>
        <w:t>2</w:t>
      </w:r>
      <w:r>
        <w:t>.</w:t>
      </w:r>
      <w:r>
        <w:tab/>
        <w:t>Actions for damages for contravention of section 11ZOV</w:t>
      </w:r>
      <w:bookmarkEnd w:id="578"/>
      <w:bookmarkEnd w:id="579"/>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No. 53 of 2003 s. 16.]</w:t>
      </w:r>
    </w:p>
    <w:p>
      <w:pPr>
        <w:pStyle w:val="yHeading5"/>
        <w:outlineLvl w:val="0"/>
      </w:pPr>
      <w:bookmarkStart w:id="580" w:name="_Toc375143183"/>
      <w:bookmarkStart w:id="581" w:name="_Toc416788360"/>
      <w:r>
        <w:rPr>
          <w:rStyle w:val="CharSClsNo"/>
        </w:rPr>
        <w:t>3</w:t>
      </w:r>
      <w:r>
        <w:t>.</w:t>
      </w:r>
      <w:r>
        <w:tab/>
        <w:t>Injunction</w:t>
      </w:r>
      <w:bookmarkEnd w:id="580"/>
      <w:bookmarkEnd w:id="581"/>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No. 53 of 2003 s. 16.]</w:t>
      </w:r>
    </w:p>
    <w:p>
      <w:pPr>
        <w:pStyle w:val="yHeading5"/>
        <w:outlineLvl w:val="0"/>
      </w:pPr>
      <w:bookmarkStart w:id="582" w:name="_Toc375143184"/>
      <w:bookmarkStart w:id="583" w:name="_Toc416788361"/>
      <w:r>
        <w:rPr>
          <w:rStyle w:val="CharSClsNo"/>
        </w:rPr>
        <w:t>4</w:t>
      </w:r>
      <w:r>
        <w:t>.</w:t>
      </w:r>
      <w:r>
        <w:tab/>
        <w:t>Declaratory relief</w:t>
      </w:r>
      <w:bookmarkEnd w:id="582"/>
      <w:bookmarkEnd w:id="583"/>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No. 53 of 2003 s. 16.]</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584" w:name="_Toc375142931"/>
      <w:bookmarkStart w:id="585" w:name="_Toc375143185"/>
      <w:bookmarkStart w:id="586" w:name="_Toc416788109"/>
      <w:bookmarkStart w:id="587" w:name="_Toc416788362"/>
      <w:r>
        <w:rPr>
          <w:rStyle w:val="CharSchNo"/>
        </w:rPr>
        <w:t>Schedule 2B</w:t>
      </w:r>
      <w:r>
        <w:t xml:space="preserve"> — </w:t>
      </w:r>
      <w:r>
        <w:rPr>
          <w:rStyle w:val="CharSchText"/>
        </w:rPr>
        <w:t>Objectives to be met by gas industry ombudsman scheme</w:t>
      </w:r>
      <w:bookmarkEnd w:id="584"/>
      <w:bookmarkEnd w:id="585"/>
      <w:bookmarkEnd w:id="586"/>
      <w:bookmarkEnd w:id="587"/>
    </w:p>
    <w:p>
      <w:pPr>
        <w:pStyle w:val="yShoulderClause"/>
      </w:pPr>
      <w:r>
        <w:t>[s. 11ZQ]</w:t>
      </w:r>
    </w:p>
    <w:p>
      <w:pPr>
        <w:pStyle w:val="yHeading5"/>
        <w:rPr>
          <w:snapToGrid w:val="0"/>
        </w:rPr>
      </w:pPr>
      <w:bookmarkStart w:id="588" w:name="_Toc375143186"/>
      <w:bookmarkStart w:id="589" w:name="_Toc416788363"/>
      <w:r>
        <w:rPr>
          <w:rStyle w:val="CharSClsNo"/>
        </w:rPr>
        <w:t>1</w:t>
      </w:r>
      <w:r>
        <w:rPr>
          <w:snapToGrid w:val="0"/>
        </w:rPr>
        <w:t>.</w:t>
      </w:r>
      <w:r>
        <w:rPr>
          <w:snapToGrid w:val="0"/>
        </w:rPr>
        <w:tab/>
        <w:t>Objectives stated</w:t>
      </w:r>
      <w:bookmarkEnd w:id="588"/>
      <w:bookmarkEnd w:id="589"/>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No. 53 of 2003 s. 33; amended: No. 19 of 2010 s. 51.]</w:t>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outlineLvl w:val="0"/>
      </w:pPr>
      <w:bookmarkStart w:id="590" w:name="_Toc375142933"/>
      <w:bookmarkStart w:id="591" w:name="_Toc375143187"/>
      <w:bookmarkStart w:id="592" w:name="_Toc416788111"/>
      <w:bookmarkStart w:id="593" w:name="_Toc416788364"/>
      <w:r>
        <w:rPr>
          <w:rStyle w:val="CharSchNo"/>
        </w:rPr>
        <w:t>Schedule 3</w:t>
      </w:r>
      <w:r>
        <w:t xml:space="preserve"> — </w:t>
      </w:r>
      <w:r>
        <w:rPr>
          <w:rStyle w:val="CharSchText"/>
        </w:rPr>
        <w:t>Gas supply system emergencies</w:t>
      </w:r>
      <w:bookmarkEnd w:id="590"/>
      <w:bookmarkEnd w:id="591"/>
      <w:bookmarkEnd w:id="592"/>
      <w:bookmarkEnd w:id="593"/>
    </w:p>
    <w:p>
      <w:pPr>
        <w:pStyle w:val="yShoulderClause"/>
      </w:pPr>
      <w:r>
        <w:t>[s. 24A]</w:t>
      </w:r>
    </w:p>
    <w:p>
      <w:pPr>
        <w:pStyle w:val="yFootnoteheading"/>
        <w:ind w:left="890"/>
      </w:pPr>
      <w:r>
        <w:tab/>
        <w:t>[Heading inserted: No. 58 of 1999 s. 52.]</w:t>
      </w:r>
    </w:p>
    <w:p>
      <w:pPr>
        <w:pStyle w:val="yHeading5"/>
        <w:outlineLvl w:val="0"/>
      </w:pPr>
      <w:bookmarkStart w:id="594" w:name="_Toc375143188"/>
      <w:bookmarkStart w:id="595" w:name="_Toc416788365"/>
      <w:r>
        <w:rPr>
          <w:rStyle w:val="CharSClsNo"/>
        </w:rPr>
        <w:t>1</w:t>
      </w:r>
      <w:r>
        <w:t>.</w:t>
      </w:r>
      <w:r>
        <w:tab/>
        <w:t>Terms used</w:t>
      </w:r>
      <w:bookmarkEnd w:id="594"/>
      <w:bookmarkEnd w:id="595"/>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 xml:space="preserve">For the purposes of the definition of </w:t>
      </w:r>
      <w:r>
        <w:rPr>
          <w:b/>
          <w:bCs/>
          <w:i/>
          <w:iCs/>
        </w:rPr>
        <w:t>emergency</w:t>
      </w:r>
      <w:r>
        <w:t xml:space="preserve"> the supply of gas from a supply system is to be regarded as being affected if the obtaining or manner of delivery of gas from it is affected.</w:t>
      </w:r>
    </w:p>
    <w:p>
      <w:pPr>
        <w:pStyle w:val="yFootnotesection"/>
      </w:pPr>
      <w:r>
        <w:tab/>
        <w:t>[Clause 1 inserted: No. 58 of 1999 s. 52; amended: No. 28 of 2006 s. 181.]</w:t>
      </w:r>
    </w:p>
    <w:p>
      <w:pPr>
        <w:pStyle w:val="yHeading5"/>
        <w:outlineLvl w:val="0"/>
      </w:pPr>
      <w:bookmarkStart w:id="596" w:name="_Toc375143189"/>
      <w:bookmarkStart w:id="597" w:name="_Toc416788366"/>
      <w:r>
        <w:rPr>
          <w:rStyle w:val="CharSClsNo"/>
        </w:rPr>
        <w:t>2</w:t>
      </w:r>
      <w:r>
        <w:t>.</w:t>
      </w:r>
      <w:r>
        <w:tab/>
        <w:t>Action by operator</w:t>
      </w:r>
      <w:bookmarkEnd w:id="596"/>
      <w:bookmarkEnd w:id="597"/>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r>
        <w:tab/>
        <w:t>[Clause 2 inserted: No. 58 of 1999 s. 52; amended: No. 28 of 2006 s. 181.]</w:t>
      </w:r>
    </w:p>
    <w:p>
      <w:pPr>
        <w:pStyle w:val="yHeading5"/>
        <w:outlineLvl w:val="0"/>
      </w:pPr>
      <w:bookmarkStart w:id="598" w:name="_Toc375143190"/>
      <w:bookmarkStart w:id="599" w:name="_Toc416788367"/>
      <w:r>
        <w:rPr>
          <w:rStyle w:val="CharSClsNo"/>
        </w:rPr>
        <w:t>3</w:t>
      </w:r>
      <w:r>
        <w:t>.</w:t>
      </w:r>
      <w:r>
        <w:tab/>
        <w:t>Emergency order</w:t>
      </w:r>
      <w:bookmarkEnd w:id="598"/>
      <w:bookmarkEnd w:id="599"/>
    </w:p>
    <w:p>
      <w:pPr>
        <w:pStyle w:val="ySubsection"/>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pPr>
      <w:r>
        <w:tab/>
        <w:t>(2)</w:t>
      </w:r>
      <w:r>
        <w:tab/>
        <w:t>An emergency order has effect —</w:t>
      </w:r>
    </w:p>
    <w:p>
      <w:pPr>
        <w:pStyle w:val="yIndenta"/>
      </w:pPr>
      <w:r>
        <w:tab/>
        <w:t>(a)</w:t>
      </w:r>
      <w:r>
        <w:tab/>
        <w:t>in the portion of the State specified in it; and</w:t>
      </w:r>
    </w:p>
    <w:p>
      <w:pPr>
        <w:pStyle w:val="yIndenta"/>
        <w:keepNext/>
        <w:keepLines/>
      </w:pPr>
      <w:r>
        <w:tab/>
        <w:t>(b)</w:t>
      </w:r>
      <w:r>
        <w:tab/>
        <w:t>on and from the time the order is made, or such later time as is specified in the order,</w:t>
      </w:r>
    </w:p>
    <w:p>
      <w:pPr>
        <w:pStyle w:val="ySubsection"/>
        <w:spacing w:before="120"/>
      </w:pPr>
      <w:r>
        <w:tab/>
      </w:r>
      <w:r>
        <w:tab/>
        <w:t>and it ceases to have effect 7 days after it first has effect, unless previously renewed or cancelled.</w:t>
      </w:r>
    </w:p>
    <w:p>
      <w:pPr>
        <w:pStyle w:val="ySubsection"/>
        <w:spacing w:before="120"/>
      </w:pPr>
      <w:r>
        <w:tab/>
        <w:t>(3)</w:t>
      </w:r>
      <w:r>
        <w:tab/>
        <w:t>An emergency order is to be —</w:t>
      </w:r>
    </w:p>
    <w:p>
      <w:pPr>
        <w:pStyle w:val="yIndenta"/>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pPr>
      <w:r>
        <w:tab/>
        <w:t>(b)</w:t>
      </w:r>
      <w:r>
        <w:tab/>
        <w:t xml:space="preserve">confirmed thereafter by notice in the </w:t>
      </w:r>
      <w:r>
        <w:rPr>
          <w:i/>
        </w:rPr>
        <w:t>Gazette</w:t>
      </w:r>
      <w:r>
        <w:t xml:space="preserve"> setting out —</w:t>
      </w:r>
    </w:p>
    <w:p>
      <w:pPr>
        <w:pStyle w:val="yIndenti0"/>
      </w:pPr>
      <w:r>
        <w:tab/>
        <w:t>(i)</w:t>
      </w:r>
      <w:r>
        <w:tab/>
        <w:t>the time and date on which it was made; and</w:t>
      </w:r>
    </w:p>
    <w:p>
      <w:pPr>
        <w:pStyle w:val="yIndenti0"/>
      </w:pPr>
      <w:r>
        <w:tab/>
        <w:t>(ii)</w:t>
      </w:r>
      <w:r>
        <w:tab/>
        <w:t>the time, date and manner of its original publication;</w:t>
      </w:r>
    </w:p>
    <w:p>
      <w:pPr>
        <w:pStyle w:val="yIndenta"/>
      </w:pPr>
      <w:r>
        <w:tab/>
      </w:r>
      <w:r>
        <w:tab/>
        <w:t>and</w:t>
      </w:r>
    </w:p>
    <w:p>
      <w:pPr>
        <w:pStyle w:val="yIndenta"/>
      </w:pPr>
      <w:r>
        <w:tab/>
        <w:t>(c)</w:t>
      </w:r>
      <w:r>
        <w:tab/>
        <w:t>if the manner of publication under paragraph (a) was not by means of a notice in a newspaper, made known in that manner as soon as circumstances permit.</w:t>
      </w:r>
    </w:p>
    <w:p>
      <w:pPr>
        <w:pStyle w:val="ySubsection"/>
        <w:spacing w:before="120"/>
      </w:pPr>
      <w:r>
        <w:tab/>
        <w:t>(4)</w:t>
      </w:r>
      <w:r>
        <w:tab/>
        <w:t>An emergency order may be renewed, cancelled or varied by the Minister by a subsequent order.</w:t>
      </w:r>
    </w:p>
    <w:p>
      <w:pPr>
        <w:pStyle w:val="yFootnotesection"/>
      </w:pPr>
      <w:r>
        <w:tab/>
        <w:t>[Clause 3 inserted: No. 58 of 1999 s. 52; amended: No. 28 of 2006 s. 181.]</w:t>
      </w:r>
    </w:p>
    <w:p>
      <w:pPr>
        <w:pStyle w:val="yHeading5"/>
        <w:spacing w:before="180"/>
        <w:outlineLvl w:val="0"/>
      </w:pPr>
      <w:bookmarkStart w:id="600" w:name="_Toc375143191"/>
      <w:bookmarkStart w:id="601" w:name="_Toc416788368"/>
      <w:r>
        <w:rPr>
          <w:rStyle w:val="CharSClsNo"/>
        </w:rPr>
        <w:t>4</w:t>
      </w:r>
      <w:r>
        <w:t>.</w:t>
      </w:r>
      <w:r>
        <w:tab/>
        <w:t>Emergency action by Minister</w:t>
      </w:r>
      <w:bookmarkEnd w:id="600"/>
      <w:bookmarkEnd w:id="601"/>
    </w:p>
    <w:p>
      <w:pPr>
        <w:pStyle w:val="ySubsection"/>
        <w:spacing w:before="120"/>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r>
        <w:tab/>
        <w:t>[Clause 4 inserted: No. 58 of 1999 s. 52; amended: No. 28 of 2006 s. 181.]</w:t>
      </w:r>
    </w:p>
    <w:p>
      <w:pPr>
        <w:pStyle w:val="yHeading5"/>
        <w:outlineLvl w:val="0"/>
      </w:pPr>
      <w:bookmarkStart w:id="602" w:name="_Toc375143192"/>
      <w:bookmarkStart w:id="603" w:name="_Toc416788369"/>
      <w:r>
        <w:rPr>
          <w:rStyle w:val="CharSClsNo"/>
        </w:rPr>
        <w:t>5</w:t>
      </w:r>
      <w:r>
        <w:t>.</w:t>
      </w:r>
      <w:r>
        <w:tab/>
        <w:t>Liability to punishment continues</w:t>
      </w:r>
      <w:bookmarkEnd w:id="602"/>
      <w:bookmarkEnd w:id="603"/>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r>
        <w:tab/>
        <w:t>[Clause 5 inserted: No. 58 of 1999 s. 52.]</w:t>
      </w:r>
    </w:p>
    <w:p>
      <w:pPr>
        <w:pStyle w:val="yHeading5"/>
        <w:outlineLvl w:val="0"/>
      </w:pPr>
      <w:bookmarkStart w:id="604" w:name="_Toc375143193"/>
      <w:bookmarkStart w:id="605" w:name="_Toc416788370"/>
      <w:r>
        <w:rPr>
          <w:rStyle w:val="CharSClsNo"/>
        </w:rPr>
        <w:t>6</w:t>
      </w:r>
      <w:r>
        <w:t>.</w:t>
      </w:r>
      <w:r>
        <w:tab/>
        <w:t>Protection</w:t>
      </w:r>
      <w:bookmarkEnd w:id="604"/>
      <w:bookmarkEnd w:id="605"/>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r>
        <w:tab/>
        <w:t>[Clause 6 inserted: No. 58 of 1999 s. 52; amended: No. 28 of 2006 s. 181.]</w:t>
      </w:r>
    </w:p>
    <w:p>
      <w:pPr>
        <w:pStyle w:val="yHeading5"/>
        <w:outlineLvl w:val="0"/>
      </w:pPr>
      <w:bookmarkStart w:id="606" w:name="_Toc375143194"/>
      <w:bookmarkStart w:id="607" w:name="_Toc416788371"/>
      <w:r>
        <w:rPr>
          <w:rStyle w:val="CharSClsNo"/>
        </w:rPr>
        <w:t>7</w:t>
      </w:r>
      <w:r>
        <w:t>.</w:t>
      </w:r>
      <w:r>
        <w:tab/>
        <w:t>Powers of entry</w:t>
      </w:r>
      <w:bookmarkEnd w:id="606"/>
      <w:bookmarkEnd w:id="607"/>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r>
        <w:tab/>
        <w:t>[Clause 7 inserted: No. 58 of 1999 s. 52; amended: No. 28 of 2006 s. 181.]</w:t>
      </w:r>
    </w:p>
    <w:p>
      <w:pPr>
        <w:pStyle w:val="yHeading5"/>
        <w:outlineLvl w:val="0"/>
      </w:pPr>
      <w:bookmarkStart w:id="608" w:name="_Toc375143195"/>
      <w:bookmarkStart w:id="609" w:name="_Toc416788372"/>
      <w:r>
        <w:rPr>
          <w:rStyle w:val="CharSClsNo"/>
        </w:rPr>
        <w:t>8</w:t>
      </w:r>
      <w:r>
        <w:t>.</w:t>
      </w:r>
      <w:r>
        <w:tab/>
        <w:t>Offences</w:t>
      </w:r>
      <w:bookmarkEnd w:id="608"/>
      <w:bookmarkEnd w:id="609"/>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No. 58 of 1999 s. 52.]</w:t>
      </w:r>
    </w:p>
    <w:p>
      <w:pPr>
        <w:pStyle w:val="CentredBaseLine"/>
        <w:spacing w:before="120"/>
        <w:jc w:val="center"/>
      </w:pPr>
      <w:r>
        <w:rPr>
          <w:noProof/>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WA"/>
        <w:spacing w:after="0"/>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outlineLvl w:val="0"/>
      </w:pPr>
      <w:bookmarkStart w:id="610" w:name="_Toc375142942"/>
      <w:bookmarkStart w:id="611" w:name="_Toc375143196"/>
      <w:bookmarkStart w:id="612" w:name="_Toc416788120"/>
      <w:bookmarkStart w:id="613" w:name="_Toc416788373"/>
      <w:r>
        <w:t>Notes</w:t>
      </w:r>
      <w:bookmarkEnd w:id="610"/>
      <w:bookmarkEnd w:id="611"/>
      <w:bookmarkEnd w:id="612"/>
      <w:bookmarkEnd w:id="613"/>
    </w:p>
    <w:p>
      <w:pPr>
        <w:pStyle w:val="nSubsection"/>
        <w:rPr>
          <w:snapToGrid w:val="0"/>
        </w:rPr>
      </w:pPr>
      <w:r>
        <w:rPr>
          <w:snapToGrid w:val="0"/>
          <w:vertAlign w:val="superscript"/>
        </w:rPr>
        <w:t>1</w:t>
      </w:r>
      <w:r>
        <w:rPr>
          <w:snapToGrid w:val="0"/>
        </w:rPr>
        <w:tab/>
        <w:t xml:space="preserve">This is a compilation of the </w:t>
      </w:r>
      <w:r>
        <w:rPr>
          <w:i/>
          <w:sz w:val="19"/>
        </w:rPr>
        <w:t xml:space="preserve">Energy Coordination Act 1994 </w:t>
      </w:r>
      <w:r>
        <w:rPr>
          <w:iCs/>
        </w:rPr>
        <w:t>a</w:t>
      </w:r>
      <w:r>
        <w:rPr>
          <w:iCs/>
          <w:snapToGrid w:val="0"/>
        </w:rPr>
        <w:t>n</w:t>
      </w:r>
      <w:r>
        <w:rPr>
          <w:snapToGrid w:val="0"/>
        </w:rPr>
        <w:t>d includes the amendments made by the other written laws referred to in the following table.  The table also contains information about any reprint.</w:t>
      </w:r>
    </w:p>
    <w:p>
      <w:pPr>
        <w:pStyle w:val="nHeading3"/>
        <w:rPr>
          <w:snapToGrid w:val="0"/>
        </w:rPr>
      </w:pPr>
      <w:bookmarkStart w:id="614" w:name="_Toc375143197"/>
      <w:bookmarkStart w:id="615" w:name="_Toc416788374"/>
      <w:r>
        <w:rPr>
          <w:snapToGrid w:val="0"/>
        </w:rPr>
        <w:t>Compilation table</w:t>
      </w:r>
      <w:bookmarkEnd w:id="614"/>
      <w:bookmarkEnd w:id="615"/>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5"/>
        <w:gridCol w:w="1129"/>
        <w:gridCol w:w="1126"/>
        <w:gridCol w:w="2506"/>
        <w:gridCol w:w="28"/>
        <w:gridCol w:w="87"/>
      </w:tblGrid>
      <w:tr>
        <w:trPr>
          <w:cantSplit/>
          <w:trHeight w:val="446"/>
          <w:tblHeader/>
        </w:trPr>
        <w:tc>
          <w:tcPr>
            <w:tcW w:w="2252" w:type="dxa"/>
            <w:tcBorders>
              <w:top w:val="single" w:sz="8" w:space="0" w:color="auto"/>
              <w:bottom w:val="single" w:sz="8" w:space="0" w:color="auto"/>
            </w:tcBorders>
          </w:tcPr>
          <w:p>
            <w:pPr>
              <w:pStyle w:val="nTable"/>
              <w:spacing w:after="40"/>
              <w:ind w:right="113"/>
              <w:rPr>
                <w:b/>
              </w:rPr>
            </w:pPr>
            <w:r>
              <w:rPr>
                <w:b/>
              </w:rPr>
              <w:t>Short title</w:t>
            </w:r>
          </w:p>
        </w:tc>
        <w:tc>
          <w:tcPr>
            <w:tcW w:w="1130" w:type="dxa"/>
            <w:tcBorders>
              <w:top w:val="single" w:sz="8" w:space="0" w:color="auto"/>
              <w:bottom w:val="single" w:sz="8" w:space="0" w:color="auto"/>
            </w:tcBorders>
          </w:tcPr>
          <w:p>
            <w:pPr>
              <w:pStyle w:val="nTable"/>
              <w:spacing w:after="40"/>
              <w:rPr>
                <w:b/>
              </w:rPr>
            </w:pPr>
            <w:r>
              <w:rPr>
                <w:b/>
              </w:rPr>
              <w:t>Number and year</w:t>
            </w:r>
          </w:p>
        </w:tc>
        <w:tc>
          <w:tcPr>
            <w:tcW w:w="1127" w:type="dxa"/>
            <w:tcBorders>
              <w:top w:val="single" w:sz="8" w:space="0" w:color="auto"/>
              <w:bottom w:val="single" w:sz="8" w:space="0" w:color="auto"/>
            </w:tcBorders>
          </w:tcPr>
          <w:p>
            <w:pPr>
              <w:pStyle w:val="nTable"/>
              <w:spacing w:after="40"/>
              <w:rPr>
                <w:b/>
              </w:rPr>
            </w:pPr>
            <w:r>
              <w:rPr>
                <w:b/>
              </w:rPr>
              <w:t>Assent</w:t>
            </w:r>
          </w:p>
        </w:tc>
        <w:tc>
          <w:tcPr>
            <w:tcW w:w="2617"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252" w:type="dxa"/>
            <w:tcBorders>
              <w:top w:val="single" w:sz="8" w:space="0" w:color="auto"/>
              <w:bottom w:val="nil"/>
            </w:tcBorders>
          </w:tcPr>
          <w:p>
            <w:pPr>
              <w:pStyle w:val="nTable"/>
              <w:spacing w:after="40"/>
              <w:ind w:right="113"/>
            </w:pPr>
            <w:r>
              <w:rPr>
                <w:i/>
              </w:rPr>
              <w:t>Energy Coordination Act 1994</w:t>
            </w:r>
          </w:p>
        </w:tc>
        <w:tc>
          <w:tcPr>
            <w:tcW w:w="1130" w:type="dxa"/>
            <w:tcBorders>
              <w:top w:val="single" w:sz="8" w:space="0" w:color="auto"/>
              <w:bottom w:val="nil"/>
            </w:tcBorders>
          </w:tcPr>
          <w:p>
            <w:pPr>
              <w:pStyle w:val="nTable"/>
              <w:spacing w:after="40"/>
            </w:pPr>
            <w:r>
              <w:t>71 of 1994</w:t>
            </w:r>
          </w:p>
        </w:tc>
        <w:tc>
          <w:tcPr>
            <w:tcW w:w="1127" w:type="dxa"/>
            <w:tcBorders>
              <w:top w:val="single" w:sz="8" w:space="0" w:color="auto"/>
              <w:bottom w:val="nil"/>
            </w:tcBorders>
          </w:tcPr>
          <w:p>
            <w:pPr>
              <w:pStyle w:val="nTable"/>
              <w:spacing w:after="40"/>
            </w:pPr>
            <w:r>
              <w:t>9 Dec 1994</w:t>
            </w:r>
          </w:p>
        </w:tc>
        <w:tc>
          <w:tcPr>
            <w:tcW w:w="2617" w:type="dxa"/>
            <w:gridSpan w:val="3"/>
            <w:tcBorders>
              <w:top w:val="single" w:sz="8" w:space="0" w:color="auto"/>
              <w:bottom w:val="nil"/>
            </w:tcBorders>
          </w:tcPr>
          <w:p>
            <w:pPr>
              <w:pStyle w:val="nTable"/>
              <w:spacing w:after="40"/>
            </w:pPr>
            <w:r>
              <w:t>s. 1 and 2: 9 Dec 1994;</w:t>
            </w:r>
            <w:r>
              <w:br/>
              <w:t xml:space="preserve">Act other than s. 1 and 2: 1 Jan 1995 (see s. 2 and </w:t>
            </w:r>
            <w:r>
              <w:rPr>
                <w:i/>
              </w:rPr>
              <w:t>Gazette</w:t>
            </w:r>
            <w:r>
              <w:t xml:space="preserve"> 23 Dec 1994 p. 7069)</w:t>
            </w:r>
          </w:p>
        </w:tc>
      </w:tr>
      <w:tr>
        <w:trPr>
          <w:gridAfter w:val="2"/>
          <w:wAfter w:w="109" w:type="dxa"/>
          <w:cantSplit/>
        </w:trPr>
        <w:tc>
          <w:tcPr>
            <w:tcW w:w="2252" w:type="dxa"/>
            <w:tcBorders>
              <w:top w:val="nil"/>
              <w:bottom w:val="nil"/>
            </w:tcBorders>
          </w:tcPr>
          <w:p>
            <w:pPr>
              <w:pStyle w:val="nTable"/>
              <w:spacing w:after="40"/>
              <w:ind w:right="113"/>
            </w:pPr>
            <w:r>
              <w:rPr>
                <w:i/>
              </w:rPr>
              <w:t>Statutes (Repeals and Minor Amendments) Act 1997</w:t>
            </w:r>
            <w:r>
              <w:t xml:space="preserve"> s. 53</w:t>
            </w:r>
          </w:p>
        </w:tc>
        <w:tc>
          <w:tcPr>
            <w:tcW w:w="1130" w:type="dxa"/>
            <w:tcBorders>
              <w:top w:val="nil"/>
              <w:bottom w:val="nil"/>
            </w:tcBorders>
          </w:tcPr>
          <w:p>
            <w:pPr>
              <w:pStyle w:val="nTable"/>
              <w:spacing w:after="40"/>
            </w:pPr>
            <w:r>
              <w:t>57 of 1997</w:t>
            </w:r>
          </w:p>
        </w:tc>
        <w:tc>
          <w:tcPr>
            <w:tcW w:w="1127" w:type="dxa"/>
            <w:tcBorders>
              <w:top w:val="nil"/>
              <w:bottom w:val="nil"/>
            </w:tcBorders>
          </w:tcPr>
          <w:p>
            <w:pPr>
              <w:pStyle w:val="nTable"/>
              <w:spacing w:after="40"/>
            </w:pPr>
            <w:r>
              <w:t>15 Dec 1997</w:t>
            </w:r>
          </w:p>
        </w:tc>
        <w:tc>
          <w:tcPr>
            <w:tcW w:w="2508" w:type="dxa"/>
            <w:tcBorders>
              <w:top w:val="nil"/>
              <w:bottom w:val="nil"/>
            </w:tcBorders>
          </w:tcPr>
          <w:p>
            <w:pPr>
              <w:pStyle w:val="nTable"/>
              <w:spacing w:after="40"/>
            </w:pPr>
            <w:r>
              <w:t>15 Dec 1997 (see s. 2(1))</w:t>
            </w:r>
          </w:p>
        </w:tc>
      </w:tr>
      <w:tr>
        <w:trPr>
          <w:gridAfter w:val="2"/>
          <w:wAfter w:w="109" w:type="dxa"/>
          <w:cantSplit/>
        </w:trPr>
        <w:tc>
          <w:tcPr>
            <w:tcW w:w="2252" w:type="dxa"/>
            <w:tcBorders>
              <w:top w:val="nil"/>
              <w:bottom w:val="nil"/>
            </w:tcBorders>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 89</w:t>
            </w:r>
          </w:p>
        </w:tc>
        <w:tc>
          <w:tcPr>
            <w:tcW w:w="1130" w:type="dxa"/>
            <w:tcBorders>
              <w:top w:val="nil"/>
              <w:bottom w:val="nil"/>
            </w:tcBorders>
          </w:tcPr>
          <w:p>
            <w:pPr>
              <w:pStyle w:val="nTable"/>
              <w:spacing w:after="40"/>
            </w:pPr>
            <w:r>
              <w:t>65 of 1998</w:t>
            </w:r>
          </w:p>
        </w:tc>
        <w:tc>
          <w:tcPr>
            <w:tcW w:w="1127" w:type="dxa"/>
            <w:tcBorders>
              <w:top w:val="nil"/>
              <w:bottom w:val="nil"/>
            </w:tcBorders>
          </w:tcPr>
          <w:p>
            <w:pPr>
              <w:pStyle w:val="nTable"/>
              <w:spacing w:after="40"/>
            </w:pPr>
            <w:r>
              <w:t>15 Jan 1999</w:t>
            </w:r>
          </w:p>
        </w:tc>
        <w:tc>
          <w:tcPr>
            <w:tcW w:w="2508" w:type="dxa"/>
            <w:tcBorders>
              <w:top w:val="nil"/>
              <w:bottom w:val="nil"/>
            </w:tcBorders>
          </w:tcPr>
          <w:p>
            <w:pPr>
              <w:pStyle w:val="nTable"/>
              <w:spacing w:after="40"/>
            </w:pPr>
            <w:r>
              <w:t xml:space="preserve">9 Feb 1999 (see s. 2 and </w:t>
            </w:r>
            <w:r>
              <w:rPr>
                <w:i/>
              </w:rPr>
              <w:t>Gazette</w:t>
            </w:r>
            <w:r>
              <w:t xml:space="preserve"> 8 Feb 1999 p. 441)</w:t>
            </w:r>
          </w:p>
        </w:tc>
      </w:tr>
      <w:tr>
        <w:trPr>
          <w:gridAfter w:val="2"/>
          <w:wAfter w:w="109" w:type="dxa"/>
          <w:cantSplit/>
        </w:trPr>
        <w:tc>
          <w:tcPr>
            <w:tcW w:w="2252" w:type="dxa"/>
            <w:tcBorders>
              <w:top w:val="nil"/>
              <w:bottom w:val="nil"/>
            </w:tcBorders>
          </w:tcPr>
          <w:p>
            <w:pPr>
              <w:pStyle w:val="nTable"/>
              <w:spacing w:after="40"/>
              <w:ind w:right="113"/>
            </w:pPr>
            <w:r>
              <w:rPr>
                <w:i/>
              </w:rPr>
              <w:t>Energy Coordination Amendment Act 1999</w:t>
            </w:r>
          </w:p>
        </w:tc>
        <w:tc>
          <w:tcPr>
            <w:tcW w:w="1130" w:type="dxa"/>
            <w:tcBorders>
              <w:top w:val="nil"/>
              <w:bottom w:val="nil"/>
            </w:tcBorders>
          </w:tcPr>
          <w:p>
            <w:pPr>
              <w:pStyle w:val="nTable"/>
              <w:spacing w:after="40"/>
            </w:pPr>
            <w:r>
              <w:t>20 of 1999</w:t>
            </w:r>
          </w:p>
        </w:tc>
        <w:tc>
          <w:tcPr>
            <w:tcW w:w="1127" w:type="dxa"/>
            <w:tcBorders>
              <w:top w:val="nil"/>
              <w:bottom w:val="nil"/>
            </w:tcBorders>
          </w:tcPr>
          <w:p>
            <w:pPr>
              <w:pStyle w:val="nTable"/>
              <w:spacing w:after="40"/>
            </w:pPr>
            <w:r>
              <w:t>24 Jun 1999</w:t>
            </w:r>
          </w:p>
        </w:tc>
        <w:tc>
          <w:tcPr>
            <w:tcW w:w="2508" w:type="dxa"/>
            <w:tcBorders>
              <w:top w:val="nil"/>
              <w:bottom w:val="nil"/>
            </w:tcBorders>
          </w:tcPr>
          <w:p>
            <w:pPr>
              <w:pStyle w:val="nTable"/>
              <w:spacing w:after="40"/>
            </w:pPr>
            <w:r>
              <w:t xml:space="preserve">16 Oct 1999 (see s. 2 and </w:t>
            </w:r>
            <w:r>
              <w:rPr>
                <w:i/>
              </w:rPr>
              <w:t>Gazette</w:t>
            </w:r>
            <w:r>
              <w:t xml:space="preserve"> 15 Oct 1999 p. 4865)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pPr>
            <w:r>
              <w:rPr>
                <w:i/>
              </w:rPr>
              <w:t>Gas Corporation (Business Disposal) Act 1999</w:t>
            </w:r>
            <w:r>
              <w:t xml:space="preserve"> s. 47</w:t>
            </w:r>
            <w:r>
              <w:noBreakHyphen/>
              <w:t>52, 74, 75 and 109</w:t>
            </w:r>
          </w:p>
        </w:tc>
        <w:tc>
          <w:tcPr>
            <w:tcW w:w="1130" w:type="dxa"/>
          </w:tcPr>
          <w:p>
            <w:pPr>
              <w:pStyle w:val="nTable"/>
              <w:spacing w:after="40"/>
              <w:ind w:right="113"/>
            </w:pPr>
            <w:r>
              <w:t>58 of 1999</w:t>
            </w:r>
          </w:p>
        </w:tc>
        <w:tc>
          <w:tcPr>
            <w:tcW w:w="1127" w:type="dxa"/>
          </w:tcPr>
          <w:p>
            <w:pPr>
              <w:pStyle w:val="nTable"/>
              <w:spacing w:after="40"/>
            </w:pPr>
            <w:r>
              <w:t>24 Dec 1999</w:t>
            </w:r>
          </w:p>
        </w:tc>
        <w:tc>
          <w:tcPr>
            <w:tcW w:w="2508" w:type="dxa"/>
          </w:tcPr>
          <w:p>
            <w:pPr>
              <w:pStyle w:val="nTable"/>
              <w:spacing w:after="40"/>
            </w:pPr>
            <w:r>
              <w:t>s. 47</w:t>
            </w:r>
            <w:r>
              <w:noBreakHyphen/>
              <w:t>52: 24 Dec 1999 (see s. 2(1));</w:t>
            </w:r>
            <w:r>
              <w:br/>
              <w:t xml:space="preserve">s. 109: 1 Jan 2000 (see s. 2(7)); </w:t>
            </w:r>
            <w:r>
              <w:br/>
              <w:t>s. 74</w:t>
            </w:r>
            <w:r>
              <w:noBreakHyphen/>
              <w:t xml:space="preserve">75: 1 Jul 2000 (see s. 2(2) and </w:t>
            </w:r>
            <w:r>
              <w:rPr>
                <w:i/>
              </w:rPr>
              <w:t>Gazette</w:t>
            </w:r>
            <w:r>
              <w:t xml:space="preserve"> 4 Jul 2000 p. 3545)</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pPr>
            <w:r>
              <w:rPr>
                <w:b/>
              </w:rPr>
              <w:t xml:space="preserve">Reprint of the </w:t>
            </w:r>
            <w:r>
              <w:rPr>
                <w:b/>
                <w:i/>
              </w:rPr>
              <w:t>Energy Coordination Act 1994</w:t>
            </w:r>
            <w:r>
              <w:rPr>
                <w:b/>
              </w:rPr>
              <w:t xml:space="preserve"> as at 5 May 2000</w:t>
            </w:r>
            <w:r>
              <w:t xml:space="preserve"> (includes amendments listed above except those in the </w:t>
            </w:r>
            <w:r>
              <w:rPr>
                <w:i/>
              </w:rPr>
              <w:t>Gas Corporation (Business Disposal) Act 1999</w:t>
            </w:r>
            <w:r>
              <w:t xml:space="preserve"> s. 74</w:t>
            </w:r>
            <w:r>
              <w:noBreakHyphen/>
              <w:t>75)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rPr>
            </w:pPr>
            <w:r>
              <w:rPr>
                <w:i/>
              </w:rPr>
              <w:t>Corporations (Consequential Amendments) Act 2001</w:t>
            </w:r>
            <w:r>
              <w:t xml:space="preserve"> s. 220</w:t>
            </w:r>
          </w:p>
        </w:tc>
        <w:tc>
          <w:tcPr>
            <w:tcW w:w="1130" w:type="dxa"/>
          </w:tcPr>
          <w:p>
            <w:pPr>
              <w:pStyle w:val="nTable"/>
              <w:spacing w:after="40"/>
              <w:ind w:right="113"/>
            </w:pPr>
            <w:r>
              <w:t>10 of 2001</w:t>
            </w:r>
          </w:p>
        </w:tc>
        <w:tc>
          <w:tcPr>
            <w:tcW w:w="1127" w:type="dxa"/>
          </w:tcPr>
          <w:p>
            <w:pPr>
              <w:pStyle w:val="nTable"/>
              <w:spacing w:after="40"/>
            </w:pPr>
            <w:r>
              <w:t>28 Jun 2001</w:t>
            </w:r>
          </w:p>
        </w:tc>
        <w:tc>
          <w:tcPr>
            <w:tcW w:w="2508"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spacing w:after="40"/>
              <w:ind w:right="113"/>
              <w:rPr>
                <w:i/>
                <w:vertAlign w:val="superscript"/>
              </w:rPr>
            </w:pPr>
            <w:r>
              <w:rPr>
                <w:i/>
              </w:rPr>
              <w:t>Energy Legislation Amendment Act 2003</w:t>
            </w:r>
            <w:r>
              <w:t xml:space="preserve"> Pt. 2, Pt. 3 Div. 1</w:t>
            </w:r>
            <w:r>
              <w:noBreakHyphen/>
              <w:t>9 (other than s. 34) and 11, Pt. 4, 5 and 6 Div. 2 &amp; 3 and s. 118</w:t>
            </w:r>
            <w:r>
              <w:rPr>
                <w:i/>
              </w:rPr>
              <w:t> </w:t>
            </w:r>
            <w:r>
              <w:rPr>
                <w:vertAlign w:val="superscript"/>
              </w:rPr>
              <w:t>3-6</w:t>
            </w:r>
          </w:p>
        </w:tc>
        <w:tc>
          <w:tcPr>
            <w:tcW w:w="1130" w:type="dxa"/>
          </w:tcPr>
          <w:p>
            <w:pPr>
              <w:pStyle w:val="nTable"/>
              <w:spacing w:after="40"/>
              <w:ind w:right="113"/>
            </w:pPr>
            <w:r>
              <w:t>53 of 2003</w:t>
            </w:r>
            <w:r>
              <w:br/>
              <w:t>(as amended by No. 55 of 2004 s. 299)</w:t>
            </w:r>
          </w:p>
        </w:tc>
        <w:tc>
          <w:tcPr>
            <w:tcW w:w="1127" w:type="dxa"/>
          </w:tcPr>
          <w:p>
            <w:pPr>
              <w:pStyle w:val="nTable"/>
              <w:spacing w:after="40"/>
            </w:pPr>
            <w:r>
              <w:t>8 Oct 2003</w:t>
            </w:r>
          </w:p>
        </w:tc>
        <w:tc>
          <w:tcPr>
            <w:tcW w:w="2508" w:type="dxa"/>
          </w:tcPr>
          <w:p>
            <w:pPr>
              <w:pStyle w:val="nTable"/>
              <w:keepNext/>
              <w:keepLines/>
              <w:spacing w:after="40"/>
            </w:pPr>
            <w:r>
              <w:t>Pt. 3 Div. 11, Pt. 4, Pt. 5 and s. 97, 98 and 118: 8 Oct 2003 (see s. 2(1) and (2));</w:t>
            </w:r>
            <w:r>
              <w:br/>
              <w:t xml:space="preserve">Pt. 2 and Pt. 6 (other than s. 97 and 98): 19 Mar 2004 (see s. 2(2)(a) and (c) and </w:t>
            </w:r>
            <w:r>
              <w:rPr>
                <w:i/>
              </w:rPr>
              <w:t xml:space="preserve">Gazette </w:t>
            </w:r>
            <w:r>
              <w:t>19 Mar 2004 p. 913);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rPr>
            </w:pPr>
          </w:p>
        </w:tc>
        <w:tc>
          <w:tcPr>
            <w:tcW w:w="1130" w:type="dxa"/>
          </w:tcPr>
          <w:p>
            <w:pPr>
              <w:pStyle w:val="nTable"/>
              <w:spacing w:after="40"/>
              <w:ind w:right="113"/>
            </w:pPr>
          </w:p>
        </w:tc>
        <w:tc>
          <w:tcPr>
            <w:tcW w:w="1127" w:type="dxa"/>
          </w:tcPr>
          <w:p>
            <w:pPr>
              <w:pStyle w:val="nTable"/>
              <w:spacing w:after="40"/>
            </w:pPr>
          </w:p>
        </w:tc>
        <w:tc>
          <w:tcPr>
            <w:tcW w:w="2508" w:type="dxa"/>
          </w:tcPr>
          <w:p>
            <w:pPr>
              <w:pStyle w:val="nTable"/>
              <w:keepNext/>
              <w:keepLines/>
              <w:rPr>
                <w:spacing w:val="-2"/>
              </w:rPr>
            </w:pPr>
            <w:r>
              <w:t>Pt. 3 Div. 1, 2, 4</w:t>
            </w:r>
            <w:r>
              <w:noBreakHyphen/>
              <w:t xml:space="preserve">6 (other than s. 34), 7 and 9: 31 May 2004 (see s. 2(2)(b) and (3) and </w:t>
            </w:r>
            <w:r>
              <w:rPr>
                <w:i/>
              </w:rPr>
              <w:t>Gazette</w:t>
            </w:r>
            <w:r>
              <w:t xml:space="preserve"> 28 May 2004 p. 1827);</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keepNext/>
              <w:keepLines/>
              <w:spacing w:after="40"/>
              <w:ind w:right="113"/>
              <w:rPr>
                <w:i/>
              </w:rPr>
            </w:pPr>
          </w:p>
        </w:tc>
        <w:tc>
          <w:tcPr>
            <w:tcW w:w="1130" w:type="dxa"/>
          </w:tcPr>
          <w:p>
            <w:pPr>
              <w:pStyle w:val="nTable"/>
              <w:keepNext/>
              <w:keepLines/>
              <w:spacing w:after="40"/>
              <w:ind w:right="113"/>
            </w:pPr>
          </w:p>
        </w:tc>
        <w:tc>
          <w:tcPr>
            <w:tcW w:w="1127" w:type="dxa"/>
          </w:tcPr>
          <w:p>
            <w:pPr>
              <w:pStyle w:val="nTable"/>
              <w:keepNext/>
              <w:keepLines/>
              <w:spacing w:after="40"/>
            </w:pPr>
          </w:p>
        </w:tc>
        <w:tc>
          <w:tcPr>
            <w:tcW w:w="2508" w:type="dxa"/>
          </w:tcPr>
          <w:p>
            <w:pPr>
              <w:pStyle w:val="nTable"/>
              <w:keepLines/>
              <w:spacing w:after="40"/>
              <w:rPr>
                <w:spacing w:val="-2"/>
              </w:rPr>
            </w:pPr>
            <w:r>
              <w:t xml:space="preserve">Pt. 3 Div. 8: 14 May 2005 (see s. 2(2)(b) and </w:t>
            </w:r>
            <w:r>
              <w:rPr>
                <w:i/>
              </w:rPr>
              <w:t xml:space="preserve">Gazette </w:t>
            </w:r>
            <w:r>
              <w:t>13</w:t>
            </w:r>
            <w:r>
              <w:rPr>
                <w:i/>
              </w:rPr>
              <w:t> </w:t>
            </w:r>
            <w:r>
              <w:t>May 2005 p. 2073);</w:t>
            </w:r>
            <w:r>
              <w:br/>
            </w:r>
            <w:r>
              <w:rPr>
                <w:rFonts w:ascii="Times" w:hAnsi="Times"/>
                <w:spacing w:val="-2"/>
              </w:rPr>
              <w:t>Pt. 3 Div. 3: 31 May 2005 (see s. 2(4))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vertAlign w:val="superscript"/>
              </w:rPr>
            </w:pPr>
            <w:r>
              <w:rPr>
                <w:i/>
              </w:rPr>
              <w:t>Economic Regulation Authority Act 2003</w:t>
            </w:r>
            <w:r>
              <w:t xml:space="preserve"> s. 62 (Sch. 2 Div. 4) </w:t>
            </w:r>
            <w:r>
              <w:rPr>
                <w:vertAlign w:val="superscript"/>
              </w:rPr>
              <w:t xml:space="preserve"> 7, 8, 10</w:t>
            </w:r>
          </w:p>
        </w:tc>
        <w:tc>
          <w:tcPr>
            <w:tcW w:w="1130" w:type="dxa"/>
          </w:tcPr>
          <w:p>
            <w:pPr>
              <w:pStyle w:val="nTable"/>
              <w:spacing w:after="40"/>
              <w:ind w:right="113"/>
            </w:pPr>
            <w:r>
              <w:t>67 of 2003</w:t>
            </w:r>
          </w:p>
        </w:tc>
        <w:tc>
          <w:tcPr>
            <w:tcW w:w="1127" w:type="dxa"/>
          </w:tcPr>
          <w:p>
            <w:pPr>
              <w:pStyle w:val="nTable"/>
              <w:spacing w:after="40"/>
            </w:pPr>
            <w:r>
              <w:t>5 Dec 2003</w:t>
            </w:r>
          </w:p>
        </w:tc>
        <w:tc>
          <w:tcPr>
            <w:tcW w:w="2508" w:type="dxa"/>
          </w:tcPr>
          <w:p>
            <w:pPr>
              <w:pStyle w:val="nTable"/>
              <w:spacing w:after="40"/>
            </w:pPr>
            <w:r>
              <w:t xml:space="preserve">19 Mar 2004 (see s. 2(3) and </w:t>
            </w:r>
            <w:r>
              <w:rPr>
                <w:i/>
              </w:rPr>
              <w:t>Gazette</w:t>
            </w:r>
            <w:r>
              <w:t xml:space="preserve"> 19 Mar 2004 p. 914)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pPr>
            <w:r>
              <w:rPr>
                <w:i/>
              </w:rPr>
              <w:t>Statutes (Repeals and Minor Amendments) Act 2003</w:t>
            </w:r>
            <w:r>
              <w:t xml:space="preserve"> s. 10(3) and 50</w:t>
            </w:r>
          </w:p>
        </w:tc>
        <w:tc>
          <w:tcPr>
            <w:tcW w:w="1130" w:type="dxa"/>
          </w:tcPr>
          <w:p>
            <w:pPr>
              <w:pStyle w:val="nTable"/>
              <w:spacing w:after="40"/>
              <w:ind w:right="113"/>
            </w:pPr>
            <w:r>
              <w:t>74 of 2003</w:t>
            </w:r>
          </w:p>
        </w:tc>
        <w:tc>
          <w:tcPr>
            <w:tcW w:w="1127" w:type="dxa"/>
          </w:tcPr>
          <w:p>
            <w:pPr>
              <w:pStyle w:val="nTable"/>
              <w:spacing w:after="40"/>
            </w:pPr>
            <w:r>
              <w:t>15 Dec 2003</w:t>
            </w:r>
          </w:p>
        </w:tc>
        <w:tc>
          <w:tcPr>
            <w:tcW w:w="2508"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pPr>
            <w:r>
              <w:rPr>
                <w:b/>
              </w:rPr>
              <w:t xml:space="preserve">Reprint 2: The </w:t>
            </w:r>
            <w:r>
              <w:rPr>
                <w:b/>
                <w:i/>
              </w:rPr>
              <w:t>Energy Coordination Act 1994</w:t>
            </w:r>
            <w:r>
              <w:rPr>
                <w:b/>
              </w:rPr>
              <w:t xml:space="preserve"> as at 10 Sep 2004</w:t>
            </w:r>
            <w:r>
              <w:t xml:space="preserve"> (includes amendments listed above except those in the</w:t>
            </w:r>
            <w:r>
              <w:rPr>
                <w:i/>
              </w:rPr>
              <w:t xml:space="preserve"> Energy Legislation Amendment Act 2003</w:t>
            </w:r>
            <w:r>
              <w:t xml:space="preserve"> Pt. 3 Div. 3 &amp; 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napToGrid w:val="0"/>
              </w:rPr>
            </w:pPr>
            <w:r>
              <w:rPr>
                <w:i/>
                <w:snapToGrid w:val="0"/>
              </w:rPr>
              <w:t xml:space="preserve">Courts Legislation Amendment and Repeal Act 2004 </w:t>
            </w:r>
            <w:r>
              <w:rPr>
                <w:snapToGrid w:val="0"/>
              </w:rPr>
              <w:t>s. 141</w:t>
            </w:r>
          </w:p>
        </w:tc>
        <w:tc>
          <w:tcPr>
            <w:tcW w:w="1130" w:type="dxa"/>
          </w:tcPr>
          <w:p>
            <w:pPr>
              <w:pStyle w:val="nTable"/>
              <w:spacing w:after="40"/>
              <w:ind w:right="113"/>
            </w:pPr>
            <w:r>
              <w:rPr>
                <w:snapToGrid w:val="0"/>
              </w:rPr>
              <w:t>59 of 2004</w:t>
            </w:r>
          </w:p>
        </w:tc>
        <w:tc>
          <w:tcPr>
            <w:tcW w:w="1127" w:type="dxa"/>
          </w:tcPr>
          <w:p>
            <w:pPr>
              <w:pStyle w:val="nTable"/>
              <w:spacing w:after="40"/>
            </w:pPr>
            <w:r>
              <w:rPr>
                <w:snapToGrid w:val="0"/>
              </w:rPr>
              <w:t>23 Nov 2004</w:t>
            </w:r>
          </w:p>
        </w:tc>
        <w:tc>
          <w:tcPr>
            <w:tcW w:w="2508"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pPr>
            <w:r>
              <w:rPr>
                <w:i/>
                <w:snapToGrid w:val="0"/>
              </w:rPr>
              <w:t>State Administrative Tribunal (Conferral of Jurisdiction) Amendment and Repeal Act 2004</w:t>
            </w:r>
            <w:r>
              <w:rPr>
                <w:snapToGrid w:val="0"/>
              </w:rPr>
              <w:t xml:space="preserve"> Pt. 2 Div. 42</w:t>
            </w:r>
            <w:r>
              <w:rPr>
                <w:snapToGrid w:val="0"/>
                <w:vertAlign w:val="superscript"/>
              </w:rPr>
              <w:t> 9</w:t>
            </w:r>
          </w:p>
        </w:tc>
        <w:tc>
          <w:tcPr>
            <w:tcW w:w="1130" w:type="dxa"/>
          </w:tcPr>
          <w:p>
            <w:pPr>
              <w:pStyle w:val="nTable"/>
              <w:spacing w:after="40"/>
              <w:ind w:right="113"/>
            </w:pPr>
            <w:r>
              <w:t>55 of 2004</w:t>
            </w:r>
          </w:p>
        </w:tc>
        <w:tc>
          <w:tcPr>
            <w:tcW w:w="1127" w:type="dxa"/>
          </w:tcPr>
          <w:p>
            <w:pPr>
              <w:pStyle w:val="nTable"/>
              <w:spacing w:after="40"/>
            </w:pPr>
            <w:r>
              <w:t>24 Nov 2004</w:t>
            </w:r>
          </w:p>
        </w:tc>
        <w:tc>
          <w:tcPr>
            <w:tcW w:w="2508" w:type="dxa"/>
          </w:tcPr>
          <w:p>
            <w:pPr>
              <w:pStyle w:val="nTable"/>
              <w:spacing w:after="40"/>
            </w:pPr>
            <w:r>
              <w:t xml:space="preserve">1 Jan 2005 (see s. 2 and </w:t>
            </w:r>
            <w:r>
              <w:rPr>
                <w:i/>
              </w:rPr>
              <w:t>Gazette</w:t>
            </w:r>
            <w:r>
              <w:t xml:space="preserve"> 31 Dec 2004 p. 7130)</w:t>
            </w:r>
          </w:p>
        </w:tc>
      </w:tr>
      <w:tr>
        <w:trPr>
          <w:gridAfter w:val="2"/>
          <w:wAfter w:w="109" w:type="dxa"/>
        </w:trPr>
        <w:tc>
          <w:tcPr>
            <w:tcW w:w="2252" w:type="dxa"/>
            <w:tcBorders>
              <w:top w:val="nil"/>
              <w:bottom w:val="nil"/>
            </w:tcBorders>
          </w:tcPr>
          <w:p>
            <w:pPr>
              <w:pStyle w:val="nTable"/>
              <w:spacing w:after="40"/>
              <w:rPr>
                <w:snapToGrid w:val="0"/>
              </w:rPr>
            </w:pPr>
            <w:r>
              <w:rPr>
                <w:i/>
                <w:snapToGrid w:val="0"/>
              </w:rPr>
              <w:t>Financial Administration Legislation Amendment Act 2005</w:t>
            </w:r>
            <w:r>
              <w:rPr>
                <w:snapToGrid w:val="0"/>
              </w:rPr>
              <w:t xml:space="preserve"> s. 39</w:t>
            </w:r>
          </w:p>
        </w:tc>
        <w:tc>
          <w:tcPr>
            <w:tcW w:w="1130" w:type="dxa"/>
            <w:tcBorders>
              <w:top w:val="nil"/>
              <w:bottom w:val="nil"/>
            </w:tcBorders>
          </w:tcPr>
          <w:p>
            <w:pPr>
              <w:pStyle w:val="nTable"/>
              <w:spacing w:after="40"/>
              <w:rPr>
                <w:snapToGrid w:val="0"/>
              </w:rPr>
            </w:pPr>
            <w:r>
              <w:rPr>
                <w:snapToGrid w:val="0"/>
              </w:rPr>
              <w:t>5 of 2005</w:t>
            </w:r>
          </w:p>
        </w:tc>
        <w:tc>
          <w:tcPr>
            <w:tcW w:w="1127" w:type="dxa"/>
            <w:tcBorders>
              <w:top w:val="nil"/>
              <w:bottom w:val="nil"/>
            </w:tcBorders>
          </w:tcPr>
          <w:p>
            <w:pPr>
              <w:pStyle w:val="nTable"/>
              <w:spacing w:after="40"/>
              <w:ind w:left="12"/>
              <w:rPr>
                <w:snapToGrid w:val="0"/>
              </w:rPr>
            </w:pPr>
            <w:r>
              <w:t>27 Jun 2005</w:t>
            </w:r>
          </w:p>
        </w:tc>
        <w:tc>
          <w:tcPr>
            <w:tcW w:w="2508" w:type="dxa"/>
            <w:tcBorders>
              <w:top w:val="nil"/>
              <w:bottom w:val="nil"/>
            </w:tcBorders>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left="-28"/>
              <w:rPr>
                <w:snapToGrid w:val="0"/>
              </w:rPr>
            </w:pPr>
            <w:r>
              <w:rPr>
                <w:i/>
                <w:snapToGrid w:val="0"/>
              </w:rPr>
              <w:t>Machinery of Government (Miscellaneous Amendments) Act 2006</w:t>
            </w:r>
            <w:r>
              <w:rPr>
                <w:snapToGrid w:val="0"/>
              </w:rPr>
              <w:t xml:space="preserve"> Pt. 6 Div. 2</w:t>
            </w:r>
          </w:p>
        </w:tc>
        <w:tc>
          <w:tcPr>
            <w:tcW w:w="1130" w:type="dxa"/>
          </w:tcPr>
          <w:p>
            <w:pPr>
              <w:pStyle w:val="nTable"/>
              <w:spacing w:after="40"/>
              <w:rPr>
                <w:snapToGrid w:val="0"/>
              </w:rPr>
            </w:pPr>
            <w:r>
              <w:rPr>
                <w:snapToGrid w:val="0"/>
              </w:rPr>
              <w:t>28 of 2006</w:t>
            </w:r>
          </w:p>
        </w:tc>
        <w:tc>
          <w:tcPr>
            <w:tcW w:w="1127" w:type="dxa"/>
          </w:tcPr>
          <w:p>
            <w:pPr>
              <w:pStyle w:val="nTable"/>
              <w:spacing w:after="40"/>
            </w:pPr>
            <w:r>
              <w:t>26 Jun 2006</w:t>
            </w:r>
          </w:p>
        </w:tc>
        <w:tc>
          <w:tcPr>
            <w:tcW w:w="2508"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pPr>
            <w:r>
              <w:rPr>
                <w:b/>
              </w:rPr>
              <w:t xml:space="preserve">Reprint 3: The </w:t>
            </w:r>
            <w:r>
              <w:rPr>
                <w:b/>
                <w:i/>
              </w:rPr>
              <w:t>Energy Coordination Act 1994</w:t>
            </w:r>
            <w:r>
              <w:rPr>
                <w:b/>
              </w:rPr>
              <w:t xml:space="preserve"> as at 18 Aug 2006</w:t>
            </w:r>
            <w:r>
              <w:t xml:space="preserve"> (includes amendments listed above)</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rPr>
            </w:pPr>
            <w:r>
              <w:rPr>
                <w:i/>
                <w:snapToGrid w:val="0"/>
              </w:rPr>
              <w:t xml:space="preserve">Financial Legislation Amendment and Repeal Act 2006 </w:t>
            </w:r>
            <w:r>
              <w:rPr>
                <w:snapToGrid w:val="0"/>
              </w:rPr>
              <w:t xml:space="preserve">Sch. 1 cl. 57 </w:t>
            </w:r>
          </w:p>
        </w:tc>
        <w:tc>
          <w:tcPr>
            <w:tcW w:w="1130" w:type="dxa"/>
          </w:tcPr>
          <w:p>
            <w:pPr>
              <w:pStyle w:val="nTable"/>
              <w:spacing w:after="40"/>
            </w:pPr>
            <w:r>
              <w:rPr>
                <w:snapToGrid w:val="0"/>
              </w:rPr>
              <w:t xml:space="preserve">77 of 2006 </w:t>
            </w:r>
          </w:p>
        </w:tc>
        <w:tc>
          <w:tcPr>
            <w:tcW w:w="1127" w:type="dxa"/>
          </w:tcPr>
          <w:p>
            <w:pPr>
              <w:pStyle w:val="nTable"/>
              <w:spacing w:after="40"/>
            </w:pPr>
            <w:r>
              <w:rPr>
                <w:snapToGrid w:val="0"/>
              </w:rPr>
              <w:t>21 Dec 2006</w:t>
            </w:r>
          </w:p>
        </w:tc>
        <w:tc>
          <w:tcPr>
            <w:tcW w:w="2508"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After w:val="1"/>
          <w:wAfter w:w="81" w:type="dxa"/>
          <w:cantSplit/>
        </w:trPr>
        <w:tc>
          <w:tcPr>
            <w:tcW w:w="2252" w:type="dxa"/>
          </w:tcPr>
          <w:p>
            <w:pPr>
              <w:pStyle w:val="nTable"/>
              <w:spacing w:after="40"/>
              <w:ind w:right="113"/>
              <w:rPr>
                <w:i/>
                <w:snapToGrid w:val="0"/>
              </w:rPr>
            </w:pPr>
            <w:r>
              <w:rPr>
                <w:i/>
                <w:snapToGrid w:val="0"/>
              </w:rPr>
              <w:t>Gas and Electricity Safety Legislation Amendment Act 2007</w:t>
            </w:r>
            <w:r>
              <w:rPr>
                <w:snapToGrid w:val="0"/>
              </w:rPr>
              <w:t xml:space="preserve"> Pt. 3 </w:t>
            </w:r>
          </w:p>
        </w:tc>
        <w:tc>
          <w:tcPr>
            <w:tcW w:w="1130" w:type="dxa"/>
          </w:tcPr>
          <w:p>
            <w:pPr>
              <w:pStyle w:val="nTable"/>
              <w:spacing w:after="40"/>
              <w:rPr>
                <w:snapToGrid w:val="0"/>
              </w:rPr>
            </w:pPr>
            <w:r>
              <w:rPr>
                <w:snapToGrid w:val="0"/>
              </w:rPr>
              <w:t>5 of 2007</w:t>
            </w:r>
          </w:p>
        </w:tc>
        <w:tc>
          <w:tcPr>
            <w:tcW w:w="1127" w:type="dxa"/>
          </w:tcPr>
          <w:p>
            <w:pPr>
              <w:pStyle w:val="nTable"/>
              <w:spacing w:after="40"/>
              <w:rPr>
                <w:snapToGrid w:val="0"/>
              </w:rPr>
            </w:pPr>
            <w:r>
              <w:rPr>
                <w:snapToGrid w:val="0"/>
              </w:rPr>
              <w:t>18 Apr 2007</w:t>
            </w:r>
          </w:p>
        </w:tc>
        <w:tc>
          <w:tcPr>
            <w:tcW w:w="2536" w:type="dxa"/>
            <w:gridSpan w:val="2"/>
          </w:tcPr>
          <w:p>
            <w:pPr>
              <w:pStyle w:val="nTable"/>
              <w:spacing w:after="40"/>
              <w:rPr>
                <w:snapToGrid w:val="0"/>
              </w:rPr>
            </w:pPr>
            <w:r>
              <w:rPr>
                <w:snapToGrid w:val="0"/>
              </w:rPr>
              <w:t xml:space="preserve">1 Dec 2007 (see s. 2 and </w:t>
            </w:r>
            <w:r>
              <w:rPr>
                <w:i/>
                <w:snapToGrid w:val="0"/>
              </w:rPr>
              <w:t>Gazette</w:t>
            </w:r>
            <w:r>
              <w:rPr>
                <w:snapToGrid w:val="0"/>
              </w:rPr>
              <w:t xml:space="preserve"> 30 Nov 2007 p. 5927)</w:t>
            </w:r>
          </w:p>
        </w:tc>
      </w:tr>
      <w:tr>
        <w:tblPrEx>
          <w:tblBorders>
            <w:top w:val="none" w:sz="0" w:space="0" w:color="auto"/>
            <w:bottom w:val="none" w:sz="0" w:space="0" w:color="auto"/>
            <w:insideH w:val="none" w:sz="0" w:space="0" w:color="auto"/>
          </w:tblBorders>
        </w:tblPrEx>
        <w:trPr>
          <w:gridAfter w:val="1"/>
          <w:wAfter w:w="86" w:type="dxa"/>
          <w:cantSplit/>
        </w:trPr>
        <w:tc>
          <w:tcPr>
            <w:tcW w:w="2253" w:type="dxa"/>
          </w:tcPr>
          <w:p>
            <w:pPr>
              <w:pStyle w:val="nTable"/>
              <w:spacing w:after="40"/>
              <w:ind w:right="113"/>
              <w:rPr>
                <w:iCs/>
                <w:snapToGrid w:val="0"/>
              </w:rPr>
            </w:pPr>
            <w:r>
              <w:rPr>
                <w:i/>
                <w:snapToGrid w:val="0"/>
              </w:rPr>
              <w:t>Statutes (Repeals and Miscellaneous Amendments) Act 2009</w:t>
            </w:r>
            <w:r>
              <w:rPr>
                <w:iCs/>
                <w:snapToGrid w:val="0"/>
              </w:rPr>
              <w:t xml:space="preserve"> s. 52</w:t>
            </w:r>
          </w:p>
        </w:tc>
        <w:tc>
          <w:tcPr>
            <w:tcW w:w="1130" w:type="dxa"/>
          </w:tcPr>
          <w:p>
            <w:pPr>
              <w:pStyle w:val="nTable"/>
              <w:spacing w:after="40"/>
              <w:rPr>
                <w:snapToGrid w:val="0"/>
              </w:rPr>
            </w:pPr>
            <w:r>
              <w:rPr>
                <w:snapToGrid w:val="0"/>
              </w:rPr>
              <w:t>8 of 2009</w:t>
            </w:r>
          </w:p>
        </w:tc>
        <w:tc>
          <w:tcPr>
            <w:tcW w:w="1127" w:type="dxa"/>
          </w:tcPr>
          <w:p>
            <w:pPr>
              <w:pStyle w:val="nTable"/>
              <w:spacing w:after="40"/>
              <w:rPr>
                <w:snapToGrid w:val="0"/>
              </w:rPr>
            </w:pPr>
            <w:r>
              <w:rPr>
                <w:snapToGrid w:val="0"/>
              </w:rPr>
              <w:t>21 May 2009</w:t>
            </w:r>
          </w:p>
        </w:tc>
        <w:tc>
          <w:tcPr>
            <w:tcW w:w="2530" w:type="dxa"/>
            <w:gridSpan w:val="2"/>
          </w:tcPr>
          <w:p>
            <w:pPr>
              <w:pStyle w:val="nTable"/>
              <w:spacing w:after="40"/>
              <w:rPr>
                <w:snapToGrid w:val="0"/>
              </w:rPr>
            </w:pPr>
            <w:r>
              <w:rPr>
                <w:snapToGrid w:val="0"/>
              </w:rPr>
              <w:t>22 May 2009 (see s. 2(b))</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Cs/>
              </w:rPr>
            </w:pPr>
            <w:r>
              <w:rPr>
                <w:i/>
              </w:rPr>
              <w:t>National Gas Access (WA) Act 2009</w:t>
            </w:r>
            <w:r>
              <w:rPr>
                <w:iCs/>
              </w:rPr>
              <w:t xml:space="preserve"> Pt. 7 Div. 4</w:t>
            </w:r>
          </w:p>
        </w:tc>
        <w:tc>
          <w:tcPr>
            <w:tcW w:w="1130" w:type="dxa"/>
          </w:tcPr>
          <w:p>
            <w:pPr>
              <w:pStyle w:val="nTable"/>
              <w:spacing w:after="40"/>
            </w:pPr>
            <w:r>
              <w:t>16 of 2009</w:t>
            </w:r>
          </w:p>
        </w:tc>
        <w:tc>
          <w:tcPr>
            <w:tcW w:w="1127" w:type="dxa"/>
          </w:tcPr>
          <w:p>
            <w:pPr>
              <w:pStyle w:val="nTable"/>
              <w:spacing w:after="40"/>
            </w:pPr>
            <w:r>
              <w:t>1 Sep 2009</w:t>
            </w:r>
          </w:p>
        </w:tc>
        <w:tc>
          <w:tcPr>
            <w:tcW w:w="2535"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
              </w:rPr>
            </w:pPr>
            <w:r>
              <w:rPr>
                <w:i/>
                <w:snapToGrid w:val="0"/>
              </w:rPr>
              <w:t>Gas Supply (Gas Quality Specifications) Act 2009</w:t>
            </w:r>
            <w:r>
              <w:rPr>
                <w:iCs/>
                <w:snapToGrid w:val="0"/>
              </w:rPr>
              <w:t xml:space="preserve"> Pt. 7 Div. 1 </w:t>
            </w:r>
          </w:p>
        </w:tc>
        <w:tc>
          <w:tcPr>
            <w:tcW w:w="1130" w:type="dxa"/>
          </w:tcPr>
          <w:p>
            <w:pPr>
              <w:pStyle w:val="nTable"/>
              <w:spacing w:after="40"/>
            </w:pPr>
            <w:r>
              <w:t>35 of 2009</w:t>
            </w:r>
          </w:p>
        </w:tc>
        <w:tc>
          <w:tcPr>
            <w:tcW w:w="1127" w:type="dxa"/>
          </w:tcPr>
          <w:p>
            <w:pPr>
              <w:pStyle w:val="nTable"/>
              <w:spacing w:after="40"/>
            </w:pPr>
            <w:r>
              <w:t>3 Dec 2009</w:t>
            </w:r>
          </w:p>
        </w:tc>
        <w:tc>
          <w:tcPr>
            <w:tcW w:w="2535" w:type="dxa"/>
            <w:gridSpan w:val="2"/>
          </w:tcPr>
          <w:p>
            <w:pPr>
              <w:pStyle w:val="nTable"/>
              <w:spacing w:after="40"/>
            </w:pPr>
            <w:r>
              <w:t xml:space="preserve">27 Mar 2010 (see s. 2(b) and </w:t>
            </w:r>
            <w:r>
              <w:rPr>
                <w:i/>
                <w:iCs/>
              </w:rPr>
              <w:t>Gazette</w:t>
            </w:r>
            <w:r>
              <w:t xml:space="preserve"> 26 Mar 2010 p. 1133)</w:t>
            </w:r>
          </w:p>
        </w:tc>
      </w:tr>
      <w:tr>
        <w:tblPrEx>
          <w:tblBorders>
            <w:top w:val="none" w:sz="0" w:space="0" w:color="auto"/>
            <w:bottom w:val="none" w:sz="0" w:space="0" w:color="auto"/>
            <w:insideH w:val="none" w:sz="0" w:space="0" w:color="auto"/>
          </w:tblBorders>
        </w:tblPrEx>
        <w:trPr>
          <w:gridAfter w:val="1"/>
          <w:wAfter w:w="81" w:type="dxa"/>
          <w:cantSplit/>
        </w:trPr>
        <w:tc>
          <w:tcPr>
            <w:tcW w:w="7045" w:type="dxa"/>
            <w:gridSpan w:val="5"/>
          </w:tcPr>
          <w:p>
            <w:pPr>
              <w:pStyle w:val="nTable"/>
              <w:spacing w:after="40"/>
            </w:pPr>
            <w:r>
              <w:rPr>
                <w:b/>
              </w:rPr>
              <w:t xml:space="preserve">Reprint 4: The </w:t>
            </w:r>
            <w:r>
              <w:rPr>
                <w:b/>
                <w:i/>
              </w:rPr>
              <w:t>Energy Coordination Act 1994</w:t>
            </w:r>
            <w:r>
              <w:rPr>
                <w:b/>
              </w:rPr>
              <w:t xml:space="preserve"> as at 7 May 2010</w:t>
            </w:r>
            <w:r>
              <w:t xml:space="preserve"> (includes amendments listed above)</w:t>
            </w:r>
          </w:p>
        </w:tc>
      </w:tr>
      <w:tr>
        <w:tblPrEx>
          <w:tblBorders>
            <w:top w:val="none" w:sz="0" w:space="0" w:color="auto"/>
            <w:bottom w:val="none" w:sz="0" w:space="0" w:color="auto"/>
            <w:insideH w:val="none" w:sz="0" w:space="0" w:color="auto"/>
          </w:tblBorders>
        </w:tblPrEx>
        <w:trPr>
          <w:gridAfter w:val="1"/>
          <w:wAfter w:w="87" w:type="dxa"/>
          <w:cantSplit/>
        </w:trPr>
        <w:tc>
          <w:tcPr>
            <w:tcW w:w="2256" w:type="dxa"/>
          </w:tcPr>
          <w:p>
            <w:pPr>
              <w:pStyle w:val="nTable"/>
              <w:spacing w:after="40"/>
              <w:ind w:right="113"/>
              <w:rPr>
                <w:iCs/>
                <w:snapToGrid w:val="0"/>
                <w:u w:val="words"/>
              </w:rPr>
            </w:pPr>
            <w:r>
              <w:rPr>
                <w:i/>
                <w:snapToGrid w:val="0"/>
              </w:rPr>
              <w:t>Standardisation of Formatting Act 2010</w:t>
            </w:r>
            <w:r>
              <w:rPr>
                <w:iCs/>
                <w:snapToGrid w:val="0"/>
              </w:rPr>
              <w:t xml:space="preserve"> s. 51</w:t>
            </w:r>
          </w:p>
        </w:tc>
        <w:tc>
          <w:tcPr>
            <w:tcW w:w="1130" w:type="dxa"/>
          </w:tcPr>
          <w:p>
            <w:pPr>
              <w:pStyle w:val="nTable"/>
              <w:spacing w:after="40"/>
              <w:rPr>
                <w:snapToGrid w:val="0"/>
              </w:rPr>
            </w:pPr>
            <w:r>
              <w:rPr>
                <w:snapToGrid w:val="0"/>
              </w:rPr>
              <w:t>19 of 2010</w:t>
            </w:r>
          </w:p>
        </w:tc>
        <w:tc>
          <w:tcPr>
            <w:tcW w:w="1127" w:type="dxa"/>
          </w:tcPr>
          <w:p>
            <w:pPr>
              <w:pStyle w:val="nTable"/>
              <w:spacing w:after="40"/>
              <w:rPr>
                <w:snapToGrid w:val="0"/>
              </w:rPr>
            </w:pPr>
            <w:r>
              <w:rPr>
                <w:snapToGrid w:val="0"/>
              </w:rPr>
              <w:t>28 Jun 2010</w:t>
            </w:r>
          </w:p>
        </w:tc>
        <w:tc>
          <w:tcPr>
            <w:tcW w:w="253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After w:val="1"/>
          <w:wAfter w:w="87" w:type="dxa"/>
          <w:cantSplit/>
        </w:trPr>
        <w:tc>
          <w:tcPr>
            <w:tcW w:w="2256"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0" w:type="dxa"/>
          </w:tcPr>
          <w:p>
            <w:pPr>
              <w:pStyle w:val="nTable"/>
              <w:spacing w:after="40"/>
              <w:rPr>
                <w:snapToGrid w:val="0"/>
              </w:rPr>
            </w:pPr>
            <w:r>
              <w:rPr>
                <w:snapToGrid w:val="0"/>
              </w:rPr>
              <w:t>39 of 2010</w:t>
            </w:r>
          </w:p>
        </w:tc>
        <w:tc>
          <w:tcPr>
            <w:tcW w:w="1127" w:type="dxa"/>
          </w:tcPr>
          <w:p>
            <w:pPr>
              <w:pStyle w:val="nTable"/>
              <w:spacing w:after="40"/>
              <w:rPr>
                <w:snapToGrid w:val="0"/>
              </w:rPr>
            </w:pPr>
            <w:r>
              <w:rPr>
                <w:snapToGrid w:val="0"/>
              </w:rPr>
              <w:t>1 Oct 2010</w:t>
            </w:r>
          </w:p>
        </w:tc>
        <w:tc>
          <w:tcPr>
            <w:tcW w:w="253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gridAfter w:val="1"/>
          <w:wAfter w:w="87" w:type="dxa"/>
          <w:cantSplit/>
        </w:trPr>
        <w:tc>
          <w:tcPr>
            <w:tcW w:w="2256" w:type="dxa"/>
            <w:tcBorders>
              <w:bottom w:val="single" w:sz="4" w:space="0" w:color="auto"/>
            </w:tcBorders>
          </w:tcPr>
          <w:p>
            <w:pPr>
              <w:pStyle w:val="nTable"/>
              <w:spacing w:after="40"/>
              <w:ind w:right="113"/>
              <w:rPr>
                <w:i/>
                <w:iCs/>
                <w:snapToGrid w:val="0"/>
              </w:rPr>
            </w:pPr>
            <w:r>
              <w:rPr>
                <w:i/>
                <w:snapToGrid w:val="0"/>
              </w:rPr>
              <w:t>Personal Property Securities (Consequential Repeals and Amendments) Act 2011</w:t>
            </w:r>
            <w:r>
              <w:rPr>
                <w:snapToGrid w:val="0"/>
              </w:rPr>
              <w:t xml:space="preserve"> Pt. 5 Div. 2</w:t>
            </w:r>
          </w:p>
        </w:tc>
        <w:tc>
          <w:tcPr>
            <w:tcW w:w="1130" w:type="dxa"/>
            <w:tcBorders>
              <w:bottom w:val="single" w:sz="4" w:space="0" w:color="auto"/>
            </w:tcBorders>
          </w:tcPr>
          <w:p>
            <w:pPr>
              <w:pStyle w:val="nTable"/>
              <w:spacing w:after="40"/>
              <w:rPr>
                <w:snapToGrid w:val="0"/>
              </w:rPr>
            </w:pPr>
            <w:r>
              <w:rPr>
                <w:snapToGrid w:val="0"/>
              </w:rPr>
              <w:t>42 of 2011</w:t>
            </w:r>
          </w:p>
        </w:tc>
        <w:tc>
          <w:tcPr>
            <w:tcW w:w="1127" w:type="dxa"/>
            <w:tcBorders>
              <w:bottom w:val="single" w:sz="4" w:space="0" w:color="auto"/>
            </w:tcBorders>
          </w:tcPr>
          <w:p>
            <w:pPr>
              <w:pStyle w:val="nTable"/>
              <w:spacing w:after="40"/>
              <w:rPr>
                <w:snapToGrid w:val="0"/>
              </w:rPr>
            </w:pPr>
            <w:r>
              <w:t>4 Oct 2011</w:t>
            </w:r>
          </w:p>
        </w:tc>
        <w:tc>
          <w:tcPr>
            <w:tcW w:w="2531" w:type="dxa"/>
            <w:gridSpan w:val="2"/>
            <w:tcBorders>
              <w:bottom w:val="single" w:sz="4" w:space="0" w:color="auto"/>
            </w:tcBorders>
          </w:tcPr>
          <w:p>
            <w:pPr>
              <w:pStyle w:val="nTable"/>
              <w:spacing w:after="40"/>
              <w:rPr>
                <w:snapToGrid w:val="0"/>
              </w:rPr>
            </w:pPr>
            <w:r>
              <w:rPr>
                <w:snapToGrid w:val="0"/>
              </w:rPr>
              <w:t>30 Jan 2012 (see s. 2(c) and Cwlth Legislative Instrument No. F2011L02397 cl. 5 registered 21 Nov 2011)</w:t>
            </w:r>
          </w:p>
        </w:tc>
      </w:tr>
    </w:tbl>
    <w:p>
      <w:pPr>
        <w:pStyle w:val="nSubsection"/>
        <w:spacing w:before="160"/>
      </w:pPr>
      <w:r>
        <w:rPr>
          <w:vertAlign w:val="superscript"/>
        </w:rPr>
        <w:t>2</w:t>
      </w:r>
      <w:r>
        <w:rPr>
          <w:vertAlign w:val="superscript"/>
        </w:rPr>
        <w:tab/>
      </w:r>
      <w:r>
        <w:t>Expired 30 June 1988.</w:t>
      </w:r>
    </w:p>
    <w:p>
      <w:pPr>
        <w:pStyle w:val="nSubsection"/>
      </w:pPr>
      <w:r>
        <w:rPr>
          <w:vertAlign w:val="superscript"/>
        </w:rPr>
        <w:t>3</w:t>
      </w:r>
      <w:r>
        <w:rPr>
          <w:vertAlign w:val="superscript"/>
        </w:rPr>
        <w:tab/>
      </w:r>
      <w:r>
        <w:t>The </w:t>
      </w:r>
      <w:r>
        <w:rPr>
          <w:i/>
        </w:rPr>
        <w:t>Energy Legislation Amendment Act 2003</w:t>
      </w:r>
      <w:r>
        <w:t xml:space="preserve"> Pt. 3 Div. 3 (other than s. 19) reads as follows: </w:t>
      </w:r>
    </w:p>
    <w:p>
      <w:pPr>
        <w:pStyle w:val="BlankOpen"/>
      </w:pPr>
    </w:p>
    <w:p>
      <w:pPr>
        <w:pStyle w:val="nzHeading2"/>
        <w:spacing w:before="0"/>
      </w:pPr>
      <w:r>
        <w:rPr>
          <w:rStyle w:val="CharPartNo"/>
        </w:rPr>
        <w:t>Part 3</w:t>
      </w:r>
      <w:r>
        <w:t xml:space="preserve"> — </w:t>
      </w:r>
      <w:r>
        <w:rPr>
          <w:rStyle w:val="CharPartText"/>
        </w:rPr>
        <w:t>Amendments to facilitate a contestable retail gas market, and related transitional provisions</w:t>
      </w:r>
    </w:p>
    <w:p>
      <w:pPr>
        <w:pStyle w:val="nzHeading3"/>
      </w:pPr>
      <w:r>
        <w:rPr>
          <w:rStyle w:val="CharDivNo"/>
        </w:rPr>
        <w:t>Division 3</w:t>
      </w:r>
      <w:r>
        <w:rPr>
          <w:snapToGrid w:val="0"/>
        </w:rPr>
        <w:t xml:space="preserve"> — </w:t>
      </w:r>
      <w:r>
        <w:rPr>
          <w:rStyle w:val="CharDivText"/>
        </w:rPr>
        <w:t>Transfer of Minister’s functions under Part 2B of principal Act</w:t>
      </w:r>
    </w:p>
    <w:p>
      <w:pPr>
        <w:pStyle w:val="nzHeading5"/>
      </w:pPr>
      <w:r>
        <w:rPr>
          <w:rStyle w:val="CharSectno"/>
        </w:rPr>
        <w:t>17</w:t>
      </w:r>
      <w:r>
        <w:t>.</w:t>
      </w:r>
      <w:r>
        <w:tab/>
        <w:t>Definitions</w:t>
      </w:r>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r>
        <w:rPr>
          <w:rStyle w:val="CharSectno"/>
        </w:rPr>
        <w:t>18</w:t>
      </w:r>
      <w:r>
        <w:t>.</w:t>
      </w:r>
      <w:r>
        <w:tab/>
        <w:t>Purpose of this Division</w:t>
      </w:r>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r>
        <w:rPr>
          <w:rStyle w:val="CharSectno"/>
        </w:rPr>
        <w:t>20</w:t>
      </w:r>
      <w:r>
        <w:rPr>
          <w:snapToGrid w:val="0"/>
        </w:rPr>
        <w:t>.</w:t>
      </w:r>
      <w:r>
        <w:rPr>
          <w:snapToGrid w:val="0"/>
        </w:rPr>
        <w:tab/>
        <w:t>E</w:t>
      </w:r>
      <w:r>
        <w:t>ffect of things done</w:t>
      </w:r>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r>
        <w:rPr>
          <w:rStyle w:val="CharSectno"/>
        </w:rPr>
        <w:t>21</w:t>
      </w:r>
      <w:r>
        <w:t>.</w:t>
      </w:r>
      <w:r>
        <w:tab/>
        <w:t>Completion of things begun</w:t>
      </w:r>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r>
        <w:rPr>
          <w:rStyle w:val="CharSectno"/>
        </w:rPr>
        <w:t>22</w:t>
      </w:r>
      <w:r>
        <w:t>.</w:t>
      </w:r>
      <w:r>
        <w:tab/>
        <w:t>Proceedings etc.</w:t>
      </w:r>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r>
        <w:rPr>
          <w:rStyle w:val="CharSectno"/>
        </w:rPr>
        <w:t>23</w:t>
      </w:r>
      <w:r>
        <w:t>.</w:t>
      </w:r>
      <w:r>
        <w:tab/>
        <w:t>Records</w:t>
      </w:r>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r>
        <w:rPr>
          <w:rStyle w:val="CharSectno"/>
        </w:rPr>
        <w:t>24</w:t>
      </w:r>
      <w:r>
        <w:t>.</w:t>
      </w:r>
      <w:r>
        <w:tab/>
        <w:t>Instruments</w:t>
      </w:r>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r>
        <w:rPr>
          <w:rStyle w:val="CharSectno"/>
        </w:rPr>
        <w:t>25</w:t>
      </w:r>
      <w:r>
        <w:t>.</w:t>
      </w:r>
      <w:r>
        <w:tab/>
        <w:t>Reviews in progress etc.</w:t>
      </w:r>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r>
        <w:rPr>
          <w:rStyle w:val="CharSectno"/>
        </w:rPr>
        <w:t>26</w:t>
      </w:r>
      <w:r>
        <w:t>.</w:t>
      </w:r>
      <w:r>
        <w:tab/>
        <w:t>Regulations for transitional matters</w:t>
      </w:r>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BlankClose"/>
      </w:pPr>
    </w:p>
    <w:p>
      <w:pPr>
        <w:pStyle w:val="nSubsection"/>
      </w:pPr>
      <w:r>
        <w:rPr>
          <w:vertAlign w:val="superscript"/>
        </w:rPr>
        <w:t>4</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5</w:t>
      </w:r>
      <w:r>
        <w:rPr>
          <w:vertAlign w:val="superscript"/>
        </w:rPr>
        <w:tab/>
      </w:r>
      <w:r>
        <w:t xml:space="preserve">The </w:t>
      </w:r>
      <w:r>
        <w:rPr>
          <w:i/>
        </w:rPr>
        <w:t>Energy Legislation Amendment Act 2003</w:t>
      </w:r>
      <w:r>
        <w:t xml:space="preserve"> Pt. 3 Div. 11 reads as follows:</w:t>
      </w:r>
    </w:p>
    <w:p>
      <w:pPr>
        <w:pStyle w:val="BlankOpen"/>
      </w:pPr>
    </w:p>
    <w:p>
      <w:pPr>
        <w:pStyle w:val="nzHeading3"/>
        <w:keepLines/>
      </w:pPr>
      <w:r>
        <w:rPr>
          <w:rStyle w:val="CharDivNo"/>
        </w:rPr>
        <w:t>Division 11</w:t>
      </w:r>
      <w:r>
        <w:t> — </w:t>
      </w:r>
      <w:r>
        <w:rPr>
          <w:rStyle w:val="CharDivText"/>
        </w:rPr>
        <w:t>Transitional provisions for this Part</w:t>
      </w:r>
    </w:p>
    <w:p>
      <w:pPr>
        <w:pStyle w:val="nzHeading4"/>
      </w:pPr>
      <w:r>
        <w:t>Subdivision 1 — Preliminary</w:t>
      </w:r>
    </w:p>
    <w:p>
      <w:pPr>
        <w:pStyle w:val="nzHeading5"/>
      </w:pPr>
      <w:r>
        <w:rPr>
          <w:rStyle w:val="CharSectno"/>
        </w:rPr>
        <w:t>42</w:t>
      </w:r>
      <w:r>
        <w:t>.</w:t>
      </w:r>
      <w:r>
        <w:tab/>
        <w:t>Definitions for this Division</w:t>
      </w:r>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r>
        <w:t>Subdivision 2 — Retail market schemes</w:t>
      </w:r>
    </w:p>
    <w:p>
      <w:pPr>
        <w:pStyle w:val="nzHeading5"/>
      </w:pPr>
      <w:r>
        <w:rPr>
          <w:rStyle w:val="CharSectno"/>
        </w:rPr>
        <w:t>43</w:t>
      </w:r>
      <w:r>
        <w:t>.</w:t>
      </w:r>
      <w:r>
        <w:tab/>
        <w:t>Definitions</w:t>
      </w:r>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r>
        <w:rPr>
          <w:rStyle w:val="CharSectno"/>
        </w:rPr>
        <w:t>44</w:t>
      </w:r>
      <w:r>
        <w:t>.</w:t>
      </w:r>
      <w:r>
        <w:tab/>
        <w:t>Approval of retail market schemes before commencement of section 15</w:t>
      </w:r>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r>
        <w:rPr>
          <w:rStyle w:val="CharSectno"/>
        </w:rPr>
        <w:t>45</w:t>
      </w:r>
      <w:r>
        <w:t>.</w:t>
      </w:r>
      <w:r>
        <w:tab/>
        <w:t>Regulations for retail gas market</w:t>
      </w:r>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r>
        <w:rPr>
          <w:rStyle w:val="CharSectno"/>
        </w:rPr>
        <w:t>46</w:t>
      </w:r>
      <w:r>
        <w:t>.</w:t>
      </w:r>
      <w:r>
        <w:tab/>
        <w:t>Regulations for transitional matters</w:t>
      </w:r>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r>
        <w:t>Subdivision 3 — Gas supply contracts</w:t>
      </w:r>
    </w:p>
    <w:p>
      <w:pPr>
        <w:pStyle w:val="nzHeading5"/>
      </w:pPr>
      <w:r>
        <w:rPr>
          <w:rStyle w:val="CharSectno"/>
        </w:rPr>
        <w:t>47</w:t>
      </w:r>
      <w:r>
        <w:t>.</w:t>
      </w:r>
      <w:r>
        <w:tab/>
        <w:t>Definition</w:t>
      </w:r>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r>
        <w:rPr>
          <w:rStyle w:val="CharSectno"/>
        </w:rPr>
        <w:t>48</w:t>
      </w:r>
      <w:r>
        <w:t>.</w:t>
      </w:r>
      <w:r>
        <w:tab/>
        <w:t>Approval of standard form contract</w:t>
      </w:r>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r>
        <w:rPr>
          <w:rStyle w:val="CharSectno"/>
        </w:rPr>
        <w:t>49</w:t>
      </w:r>
      <w:r>
        <w:t>.</w:t>
      </w:r>
      <w:r>
        <w:tab/>
        <w:t>Existing contracts</w:t>
      </w:r>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r>
        <w:rPr>
          <w:rStyle w:val="CharSectno"/>
        </w:rPr>
        <w:t>50</w:t>
      </w:r>
      <w:r>
        <w:t>.</w:t>
      </w:r>
      <w:r>
        <w:tab/>
        <w:t>Non</w:t>
      </w:r>
      <w:r>
        <w:noBreakHyphen/>
        <w:t>standard contracts</w:t>
      </w:r>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r>
        <w:rPr>
          <w:rStyle w:val="CharSectno"/>
        </w:rPr>
        <w:t>51</w:t>
      </w:r>
      <w:r>
        <w:t>.</w:t>
      </w:r>
      <w:r>
        <w:tab/>
        <w:t>Regulations for transitional matters</w:t>
      </w:r>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keepLines/>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r>
        <w:t>Subdivision 4 — Initial marketing code of conduct</w:t>
      </w:r>
    </w:p>
    <w:p>
      <w:pPr>
        <w:pStyle w:val="nzHeading5"/>
      </w:pPr>
      <w:r>
        <w:rPr>
          <w:rStyle w:val="CharSectno"/>
        </w:rPr>
        <w:t>52</w:t>
      </w:r>
      <w:r>
        <w:t>.</w:t>
      </w:r>
      <w:r>
        <w:tab/>
        <w:t>Definition</w:t>
      </w:r>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r>
        <w:rPr>
          <w:rStyle w:val="CharSectno"/>
        </w:rPr>
        <w:t>53</w:t>
      </w:r>
      <w:r>
        <w:t>.</w:t>
      </w:r>
      <w:r>
        <w:tab/>
        <w:t>Approval of initial marketing code of conduct</w:t>
      </w:r>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r>
        <w:rPr>
          <w:rStyle w:val="CharSectno"/>
        </w:rPr>
        <w:t>54</w:t>
      </w:r>
      <w:r>
        <w:t>.</w:t>
      </w:r>
      <w:r>
        <w:tab/>
        <w:t>Appointment of initial committee</w:t>
      </w:r>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keepNext/>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r>
        <w:rPr>
          <w:rStyle w:val="CharSectno"/>
        </w:rPr>
        <w:t>55</w:t>
      </w:r>
      <w:r>
        <w:t>.</w:t>
      </w:r>
      <w:r>
        <w:tab/>
        <w:t>Regulations for transitional matters</w:t>
      </w:r>
    </w:p>
    <w:p>
      <w:pPr>
        <w:pStyle w:val="nzSubsection"/>
        <w:keepNext/>
        <w:keepLines/>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r>
        <w:t>Subdivision 5 — Initial gas industry ombudsman scheme</w:t>
      </w:r>
    </w:p>
    <w:p>
      <w:pPr>
        <w:pStyle w:val="nzHeading5"/>
      </w:pPr>
      <w:r>
        <w:rPr>
          <w:rStyle w:val="CharSectno"/>
        </w:rPr>
        <w:t>56</w:t>
      </w:r>
      <w:r>
        <w:t>.</w:t>
      </w:r>
      <w:r>
        <w:tab/>
        <w:t>Definition</w:t>
      </w:r>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r>
        <w:rPr>
          <w:rStyle w:val="CharSectno"/>
        </w:rPr>
        <w:t>57</w:t>
      </w:r>
      <w:r>
        <w:t>.</w:t>
      </w:r>
      <w:r>
        <w:tab/>
        <w:t>Approval of initial gas industry ombudsman scheme</w:t>
      </w:r>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r>
        <w:rPr>
          <w:rStyle w:val="CharSectno"/>
        </w:rPr>
        <w:t>58</w:t>
      </w:r>
      <w:r>
        <w:t>.</w:t>
      </w:r>
      <w:r>
        <w:tab/>
        <w:t>Regulations for transitional matters</w:t>
      </w:r>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keepNext/>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r>
        <w:t>Subdivision 6 — Initial last resort supply plan</w:t>
      </w:r>
    </w:p>
    <w:p>
      <w:pPr>
        <w:pStyle w:val="nzHeading5"/>
      </w:pPr>
      <w:r>
        <w:rPr>
          <w:rStyle w:val="CharSectno"/>
        </w:rPr>
        <w:t>59</w:t>
      </w:r>
      <w:r>
        <w:t>.</w:t>
      </w:r>
      <w:r>
        <w:tab/>
        <w:t>Definition</w:t>
      </w:r>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r>
        <w:rPr>
          <w:rStyle w:val="CharSectno"/>
        </w:rPr>
        <w:t>60</w:t>
      </w:r>
      <w:r>
        <w:t>.</w:t>
      </w:r>
      <w:r>
        <w:tab/>
        <w:t>Initial last resort supply plan</w:t>
      </w:r>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r>
        <w:rPr>
          <w:rStyle w:val="CharSectno"/>
        </w:rPr>
        <w:t>61</w:t>
      </w:r>
      <w:r>
        <w:t>.</w:t>
      </w:r>
      <w:r>
        <w:tab/>
        <w:t>Regulations for transitional matters</w:t>
      </w:r>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BlankClose"/>
      </w:pPr>
    </w:p>
    <w:p>
      <w:pPr>
        <w:pStyle w:val="nSubsection"/>
      </w:pPr>
      <w:r>
        <w:rPr>
          <w:vertAlign w:val="superscript"/>
        </w:rPr>
        <w:t>6</w:t>
      </w:r>
      <w:r>
        <w:tab/>
        <w:t xml:space="preserve">The </w:t>
      </w:r>
      <w:r>
        <w:rPr>
          <w:i/>
        </w:rPr>
        <w:t xml:space="preserve">Energy Legislation Amendment Act 2003 </w:t>
      </w:r>
      <w:r>
        <w:t>s. 97</w:t>
      </w:r>
      <w:r>
        <w:noBreakHyphen/>
        <w:t xml:space="preserve">101 read as follows: </w:t>
      </w:r>
    </w:p>
    <w:p>
      <w:pPr>
        <w:pStyle w:val="BlankOpen"/>
      </w:pP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p>
    <w:p>
      <w:pPr>
        <w:pStyle w:val="nzSubsection"/>
        <w:keepNext/>
      </w:pPr>
      <w:r>
        <w:tab/>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keepNext/>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99.</w:t>
      </w:r>
    </w:p>
    <w:p>
      <w:pPr>
        <w:pStyle w:val="nzHeading5"/>
      </w:pPr>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BlankClose"/>
      </w:pPr>
    </w:p>
    <w:p>
      <w:pPr>
        <w:pStyle w:val="nSubsection"/>
        <w:keepNext/>
        <w:keepLines/>
      </w:pPr>
      <w:r>
        <w:rPr>
          <w:vertAlign w:val="superscript"/>
        </w:rPr>
        <w:t>7</w:t>
      </w:r>
      <w:r>
        <w:tab/>
        <w:t xml:space="preserve">The </w:t>
      </w:r>
      <w:r>
        <w:rPr>
          <w:i/>
        </w:rPr>
        <w:t xml:space="preserve">Economic Regulation Authority Act 2003 </w:t>
      </w:r>
      <w:r>
        <w:t>s. 25(b) reads as follows:</w:t>
      </w:r>
    </w:p>
    <w:p>
      <w:pPr>
        <w:pStyle w:val="BlankOpen"/>
      </w:pP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BlankClose"/>
      </w:pPr>
    </w:p>
    <w:p>
      <w:pPr>
        <w:pStyle w:val="nSubsection"/>
        <w:keepNext/>
        <w:keepLines/>
      </w:pPr>
      <w:r>
        <w:rPr>
          <w:vertAlign w:val="superscript"/>
        </w:rPr>
        <w:t>8</w:t>
      </w:r>
      <w:r>
        <w:tab/>
        <w:t xml:space="preserve">The </w:t>
      </w:r>
      <w:r>
        <w:rPr>
          <w:i/>
        </w:rPr>
        <w:t xml:space="preserve">Economic Regulation Authority Act 2003 </w:t>
      </w:r>
      <w:r>
        <w:t>s. 63(2), which gives effect to Sch. 4, reads as follows:</w:t>
      </w:r>
    </w:p>
    <w:p>
      <w:pPr>
        <w:pStyle w:val="BlankOpen"/>
      </w:pPr>
    </w:p>
    <w:p>
      <w:pPr>
        <w:pStyle w:val="nzHeading5"/>
        <w:spacing w:before="0"/>
      </w:pPr>
      <w:r>
        <w:rPr>
          <w:rStyle w:val="CharSectno"/>
        </w:rPr>
        <w:t>63</w:t>
      </w:r>
      <w:r>
        <w:t>.</w:t>
      </w:r>
      <w:r>
        <w:tab/>
        <w:t>Transitional and saving provisions</w:t>
      </w:r>
    </w:p>
    <w:p>
      <w:pPr>
        <w:pStyle w:val="nzSubsection"/>
      </w:pPr>
      <w:r>
        <w:tab/>
        <w:t>(2)</w:t>
      </w:r>
      <w:r>
        <w:tab/>
        <w:t>Schedule 4 has effect to make transitional and saving provisions in respect of the amendments made in Schedule 2 Division 4.</w:t>
      </w:r>
    </w:p>
    <w:p>
      <w:pPr>
        <w:pStyle w:val="BlankClose"/>
      </w:pPr>
    </w:p>
    <w:p>
      <w:pPr>
        <w:pStyle w:val="nSubsection"/>
      </w:pPr>
      <w:r>
        <w:tab/>
        <w:t>Schedule 4 reads as follows:</w:t>
      </w:r>
    </w:p>
    <w:p>
      <w:pPr>
        <w:pStyle w:val="BlankOpen"/>
      </w:pPr>
    </w:p>
    <w:p>
      <w:pPr>
        <w:pStyle w:val="nzHeading2"/>
        <w:spacing w:before="0"/>
      </w:pPr>
      <w:r>
        <w:rPr>
          <w:rStyle w:val="CharSchNo"/>
        </w:rPr>
        <w:t>Schedule 4</w:t>
      </w:r>
      <w:r>
        <w:t> — </w:t>
      </w:r>
      <w:r>
        <w:rPr>
          <w:rStyle w:val="CharSchText"/>
        </w:rPr>
        <w:t>Transitional and saving provisions for amendments in Schedule 2 Division 4</w:t>
      </w:r>
    </w:p>
    <w:p>
      <w:pPr>
        <w:pStyle w:val="yShoulderClause"/>
      </w:pPr>
      <w:r>
        <w:t>[s. 63(2)]</w:t>
      </w:r>
    </w:p>
    <w:p>
      <w:pPr>
        <w:pStyle w:val="nzHeading5"/>
      </w:pPr>
      <w:r>
        <w:t>1.</w:t>
      </w:r>
      <w:r>
        <w:tab/>
        <w:t>Definitions</w:t>
      </w:r>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pPr>
      <w:r>
        <w:t>2.</w:t>
      </w:r>
      <w:r>
        <w:tab/>
      </w:r>
      <w:r>
        <w:rPr>
          <w:i/>
        </w:rPr>
        <w:t>Interpretation Act 1984</w:t>
      </w:r>
      <w:r>
        <w:t xml:space="preserve"> to apply</w:t>
      </w:r>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r>
        <w:t>3.</w:t>
      </w:r>
      <w:r>
        <w:tab/>
        <w:t>Licences under Part 2A</w:t>
      </w:r>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r>
        <w:t>4.</w:t>
      </w:r>
      <w:r>
        <w:tab/>
        <w:t>Continuing effect of things done</w:t>
      </w:r>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r>
        <w:t>5.</w:t>
      </w:r>
      <w:r>
        <w:tab/>
        <w:t>Completion of things begun</w:t>
      </w:r>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r>
        <w:t>6.</w:t>
      </w:r>
      <w:r>
        <w:tab/>
        <w:t>Proceedings etc.</w:t>
      </w:r>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r>
        <w:t>7.</w:t>
      </w:r>
      <w:r>
        <w:tab/>
        <w:t>Records</w:t>
      </w:r>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r>
        <w:t>8.</w:t>
      </w:r>
      <w:r>
        <w:tab/>
        <w:t>References to Coordinator in agreements and instruments</w:t>
      </w:r>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b/>
          <w:bCs/>
          <w:i/>
          <w:iCs/>
        </w:rPr>
        <w:t>agreement or instrument</w:t>
      </w:r>
      <w:r>
        <w:t xml:space="preserve"> means an agreement or instrument relating to licensing functions.</w:t>
      </w:r>
    </w:p>
    <w:p>
      <w:pPr>
        <w:pStyle w:val="nzHeading5"/>
      </w:pPr>
      <w:r>
        <w:t>9.</w:t>
      </w:r>
      <w:r>
        <w:tab/>
        <w:t>References to Coordinator in written law</w:t>
      </w:r>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r>
        <w:t>10.</w:t>
      </w:r>
      <w:r>
        <w:tab/>
        <w:t>Immunity to continue</w:t>
      </w:r>
    </w:p>
    <w:p>
      <w:pPr>
        <w:pStyle w:val="nzSubsection"/>
      </w:pPr>
      <w:r>
        <w:tab/>
      </w:r>
      <w:r>
        <w:tab/>
        <w:t>Despite the amendments made in Schedule 2 Division 4,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r>
        <w:t>11.</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10</w:t>
      </w:r>
      <w:r>
        <w:tab/>
        <w:t xml:space="preserve">The </w:t>
      </w:r>
      <w:r>
        <w:rPr>
          <w:i/>
        </w:rPr>
        <w:t>Economic Regulation Authority Act 2003</w:t>
      </w:r>
      <w:r>
        <w:t xml:space="preserve"> s. 10 is not included because the section it sought to amend was deleted by the </w:t>
      </w:r>
      <w:r>
        <w:rPr>
          <w:i/>
        </w:rPr>
        <w:t>Machinery of Government (Miscellaneous Amendments) Act 2006</w:t>
      </w:r>
      <w:r>
        <w:t xml:space="preserve"> s. 170 before the amendment purported to come into operation.</w:t>
      </w:r>
    </w:p>
    <w:p/>
    <w:p>
      <w:pPr>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p>
    <w:p>
      <w:pPr>
        <w:pStyle w:val="nHeading2"/>
        <w:rPr>
          <w:sz w:val="28"/>
        </w:rPr>
      </w:pPr>
      <w:bookmarkStart w:id="617" w:name="_Toc416788375"/>
      <w:r>
        <w:rPr>
          <w:sz w:val="28"/>
        </w:rPr>
        <w:t>Defined terms</w:t>
      </w:r>
      <w:bookmarkEnd w:id="6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w:t>
      </w:r>
      <w:r>
        <w:tab/>
        <w:t>11ZOL(5)</w:t>
      </w:r>
    </w:p>
    <w:p>
      <w:pPr>
        <w:pStyle w:val="DefinedTerms"/>
      </w:pPr>
      <w:r>
        <w:t>appropriate amendment</w:t>
      </w:r>
      <w:r>
        <w:tab/>
        <w:t>11WI(3)</w:t>
      </w:r>
    </w:p>
    <w:p>
      <w:pPr>
        <w:pStyle w:val="DefinedTerms"/>
      </w:pPr>
      <w:r>
        <w:t>approved</w:t>
      </w:r>
      <w:r>
        <w:tab/>
        <w:t>11ZOA</w:t>
      </w:r>
    </w:p>
    <w:p>
      <w:pPr>
        <w:pStyle w:val="DefinedTerms"/>
      </w:pPr>
      <w:r>
        <w:t>approved scheme</w:t>
      </w:r>
      <w:r>
        <w:tab/>
        <w:t>11ZPX</w:t>
      </w:r>
    </w:p>
    <w:p>
      <w:pPr>
        <w:pStyle w:val="DefinedTerms"/>
      </w:pPr>
      <w:r>
        <w:t>associate</w:t>
      </w:r>
      <w:r>
        <w:tab/>
        <w:t>11ZOW(2)</w:t>
      </w:r>
    </w:p>
    <w:p>
      <w:pPr>
        <w:pStyle w:val="DefinedTerms"/>
      </w:pPr>
      <w:r>
        <w:t>Authority</w:t>
      </w:r>
      <w:r>
        <w:tab/>
        <w:t>3(1)</w:t>
      </w:r>
    </w:p>
    <w:p>
      <w:pPr>
        <w:pStyle w:val="DefinedTerms"/>
      </w:pPr>
      <w:r>
        <w:t>business</w:t>
      </w:r>
      <w:r>
        <w:tab/>
        <w:t>11ZP(5)</w:t>
      </w:r>
    </w:p>
    <w:p>
      <w:pPr>
        <w:pStyle w:val="DefinedTerms"/>
      </w:pPr>
      <w:r>
        <w:t>classification</w:t>
      </w:r>
      <w:r>
        <w:tab/>
        <w:t>11N(2)</w:t>
      </w:r>
    </w:p>
    <w:p>
      <w:pPr>
        <w:pStyle w:val="DefinedTerms"/>
      </w:pPr>
      <w:r>
        <w:t>code of conduct</w:t>
      </w:r>
      <w:r>
        <w:tab/>
        <w:t>11ZPL</w:t>
      </w:r>
    </w:p>
    <w:p>
      <w:pPr>
        <w:pStyle w:val="DefinedTerms"/>
      </w:pPr>
      <w:r>
        <w:t>commercial information</w:t>
      </w:r>
      <w:r>
        <w:tab/>
        <w:t>3(1)</w:t>
      </w:r>
    </w:p>
    <w:p>
      <w:pPr>
        <w:pStyle w:val="DefinedTerms"/>
      </w:pPr>
      <w:r>
        <w:t>committee</w:t>
      </w:r>
      <w:r>
        <w:tab/>
        <w:t>11ZPL</w:t>
      </w:r>
    </w:p>
    <w:p>
      <w:pPr>
        <w:pStyle w:val="DefinedTerms"/>
      </w:pPr>
      <w:r>
        <w:t>component</w:t>
      </w:r>
      <w:r>
        <w:tab/>
        <w:t>3(1)</w:t>
      </w:r>
    </w:p>
    <w:p>
      <w:pPr>
        <w:pStyle w:val="DefinedTerms"/>
      </w:pPr>
      <w:r>
        <w:t>contravene</w:t>
      </w:r>
      <w:r>
        <w:tab/>
        <w:t>11ZOA</w:t>
      </w:r>
    </w:p>
    <w:p>
      <w:pPr>
        <w:pStyle w:val="DefinedTerms"/>
      </w:pPr>
      <w:r>
        <w:t>cooling</w:t>
      </w:r>
      <w:r>
        <w:noBreakHyphen/>
        <w:t>off period</w:t>
      </w:r>
      <w:r>
        <w:tab/>
        <w:t>11WC(1)</w:t>
      </w:r>
    </w:p>
    <w:p>
      <w:pPr>
        <w:pStyle w:val="DefinedTerms"/>
      </w:pPr>
      <w:r>
        <w:t>Coordinator</w:t>
      </w:r>
      <w:r>
        <w:tab/>
        <w:t>3(1)</w:t>
      </w:r>
    </w:p>
    <w:p>
      <w:pPr>
        <w:pStyle w:val="DefinedTerms"/>
      </w:pPr>
      <w:r>
        <w:t>Court</w:t>
      </w:r>
      <w:r>
        <w:tab/>
        <w:t>Sch. 2A cl. 1</w:t>
      </w:r>
    </w:p>
    <w:p>
      <w:pPr>
        <w:pStyle w:val="DefinedTerms"/>
      </w:pPr>
      <w:r>
        <w:t>customer</w:t>
      </w:r>
      <w:r>
        <w:tab/>
        <w:t>11WB, 11ZPL, 11ZPX</w:t>
      </w:r>
    </w:p>
    <w:p>
      <w:pPr>
        <w:pStyle w:val="DefinedTerms"/>
      </w:pPr>
      <w:r>
        <w:t>customer contract</w:t>
      </w:r>
      <w:r>
        <w:tab/>
        <w:t>11ZPX</w:t>
      </w:r>
    </w:p>
    <w:p>
      <w:pPr>
        <w:pStyle w:val="DefinedTerms"/>
      </w:pPr>
      <w:r>
        <w:t>decision</w:t>
      </w:r>
      <w:r>
        <w:tab/>
        <w:t>19B(1)</w:t>
      </w:r>
    </w:p>
    <w:p>
      <w:pPr>
        <w:pStyle w:val="DefinedTerms"/>
      </w:pPr>
      <w:r>
        <w:t>delivery point</w:t>
      </w:r>
      <w:r>
        <w:tab/>
        <w:t>11WJ</w:t>
      </w:r>
    </w:p>
    <w:p>
      <w:pPr>
        <w:pStyle w:val="DefinedTerms"/>
      </w:pPr>
      <w:r>
        <w:t>Director</w:t>
      </w:r>
      <w:r>
        <w:tab/>
        <w:t>3(1)</w:t>
      </w:r>
    </w:p>
    <w:p>
      <w:pPr>
        <w:pStyle w:val="DefinedTerms"/>
      </w:pPr>
      <w:r>
        <w:t>distribution licence</w:t>
      </w:r>
      <w:r>
        <w:tab/>
        <w:t>3(1)</w:t>
      </w:r>
    </w:p>
    <w:p>
      <w:pPr>
        <w:pStyle w:val="DefinedTerms"/>
      </w:pPr>
      <w:r>
        <w:t>distribution system</w:t>
      </w:r>
      <w:r>
        <w:tab/>
        <w:t>3(1)</w:t>
      </w:r>
    </w:p>
    <w:p>
      <w:pPr>
        <w:pStyle w:val="DefinedTerms"/>
      </w:pPr>
      <w:r>
        <w:t>distribution works</w:t>
      </w:r>
      <w:r>
        <w:tab/>
        <w:t>3(1)</w:t>
      </w:r>
    </w:p>
    <w:p>
      <w:pPr>
        <w:pStyle w:val="DefinedTerms"/>
      </w:pPr>
      <w:r>
        <w:t>document</w:t>
      </w:r>
      <w:r>
        <w:tab/>
        <w:t>4E(4), 11(4)</w:t>
      </w:r>
    </w:p>
    <w:p>
      <w:pPr>
        <w:pStyle w:val="DefinedTerms"/>
      </w:pPr>
      <w:r>
        <w:t>electricity</w:t>
      </w:r>
      <w:r>
        <w:tab/>
        <w:t>3(1)</w:t>
      </w:r>
    </w:p>
    <w:p>
      <w:pPr>
        <w:pStyle w:val="DefinedTerms"/>
      </w:pPr>
      <w:r>
        <w:t>emergency</w:t>
      </w:r>
      <w:r>
        <w:tab/>
        <w:t>Sch. 3 cl. 1(1)</w:t>
      </w:r>
    </w:p>
    <w:p>
      <w:pPr>
        <w:pStyle w:val="DefinedTerms"/>
      </w:pPr>
      <w:r>
        <w:t>emergency order</w:t>
      </w:r>
      <w:r>
        <w:tab/>
        <w:t>Sch. 3 cl. 1(1)</w:t>
      </w:r>
    </w:p>
    <w:p>
      <w:pPr>
        <w:pStyle w:val="DefinedTerms"/>
      </w:pPr>
      <w:r>
        <w:t>emergency plan</w:t>
      </w:r>
      <w:r>
        <w:tab/>
        <w:t>24C(1)</w:t>
      </w:r>
    </w:p>
    <w:p>
      <w:pPr>
        <w:pStyle w:val="DefinedTerms"/>
      </w:pPr>
      <w:r>
        <w:t>energy</w:t>
      </w:r>
      <w:r>
        <w:tab/>
        <w:t>3(1), 20A</w:t>
      </w:r>
    </w:p>
    <w:p>
      <w:pPr>
        <w:pStyle w:val="DefinedTerms"/>
      </w:pPr>
      <w:r>
        <w:t>energy research</w:t>
      </w:r>
      <w:r>
        <w:tab/>
        <w:t>Sch. 1 cl. 1</w:t>
      </w:r>
    </w:p>
    <w:p>
      <w:pPr>
        <w:pStyle w:val="DefinedTerms"/>
      </w:pPr>
      <w:r>
        <w:t>existing operator</w:t>
      </w:r>
      <w:r>
        <w:tab/>
        <w:t>11I(1)</w:t>
      </w:r>
    </w:p>
    <w:p>
      <w:pPr>
        <w:pStyle w:val="DefinedTerms"/>
      </w:pPr>
      <w:r>
        <w:t>formal entity</w:t>
      </w:r>
      <w:r>
        <w:tab/>
        <w:t>11ZOA</w:t>
      </w:r>
    </w:p>
    <w:p>
      <w:pPr>
        <w:pStyle w:val="DefinedTerms"/>
      </w:pPr>
      <w:r>
        <w:t>gas</w:t>
      </w:r>
      <w:r>
        <w:tab/>
        <w:t>3(1)</w:t>
      </w:r>
    </w:p>
    <w:p>
      <w:pPr>
        <w:pStyle w:val="DefinedTerms"/>
      </w:pPr>
      <w:r>
        <w:t>gas business operator</w:t>
      </w:r>
      <w:r>
        <w:tab/>
        <w:t>11ZOA</w:t>
      </w:r>
    </w:p>
    <w:p>
      <w:pPr>
        <w:pStyle w:val="DefinedTerms"/>
      </w:pPr>
      <w:r>
        <w:t>gas distribution operator</w:t>
      </w:r>
      <w:r>
        <w:tab/>
        <w:t>11ZOA, 11ZOC(1)</w:t>
      </w:r>
    </w:p>
    <w:p>
      <w:pPr>
        <w:pStyle w:val="DefinedTerms"/>
      </w:pPr>
      <w:r>
        <w:t>gas industry ombudsman</w:t>
      </w:r>
      <w:r>
        <w:tab/>
        <w:t>11ZPX, 11ZPZ(1)</w:t>
      </w:r>
    </w:p>
    <w:p>
      <w:pPr>
        <w:pStyle w:val="DefinedTerms"/>
      </w:pPr>
      <w:r>
        <w:t>gas market participant</w:t>
      </w:r>
      <w:r>
        <w:tab/>
        <w:t>11ZOA, 11ZOC(1)</w:t>
      </w:r>
    </w:p>
    <w:p>
      <w:pPr>
        <w:pStyle w:val="DefinedTerms"/>
      </w:pPr>
      <w:r>
        <w:t>gas marketing agent</w:t>
      </w:r>
      <w:r>
        <w:tab/>
        <w:t>11ZPL, 11ZPX</w:t>
      </w:r>
    </w:p>
    <w:p>
      <w:pPr>
        <w:pStyle w:val="DefinedTerms"/>
      </w:pPr>
      <w:r>
        <w:t>gas transmission operator</w:t>
      </w:r>
      <w:r>
        <w:tab/>
        <w:t>11ZOA, 11ZOD(1)</w:t>
      </w:r>
    </w:p>
    <w:p>
      <w:pPr>
        <w:pStyle w:val="DefinedTerms"/>
      </w:pPr>
      <w:r>
        <w:t>governing body of a scheme</w:t>
      </w:r>
      <w:r>
        <w:tab/>
        <w:t>11ZPA(7)</w:t>
      </w:r>
    </w:p>
    <w:p>
      <w:pPr>
        <w:pStyle w:val="DefinedTerms"/>
      </w:pPr>
      <w:r>
        <w:t>information</w:t>
      </w:r>
      <w:r>
        <w:tab/>
        <w:t>4E(4), 11(4)</w:t>
      </w:r>
    </w:p>
    <w:p>
      <w:pPr>
        <w:pStyle w:val="DefinedTerms"/>
      </w:pPr>
      <w:r>
        <w:t>inspector</w:t>
      </w:r>
      <w:r>
        <w:tab/>
        <w:t>3(1)</w:t>
      </w:r>
    </w:p>
    <w:p>
      <w:pPr>
        <w:pStyle w:val="DefinedTerms"/>
      </w:pPr>
      <w:r>
        <w:t>last resort supply plan</w:t>
      </w:r>
      <w:r>
        <w:tab/>
        <w:t>11ZAA</w:t>
      </w:r>
    </w:p>
    <w:p>
      <w:pPr>
        <w:pStyle w:val="DefinedTerms"/>
      </w:pPr>
      <w:r>
        <w:t>licence</w:t>
      </w:r>
      <w:r>
        <w:tab/>
        <w:t>3(1)</w:t>
      </w:r>
    </w:p>
    <w:p>
      <w:pPr>
        <w:pStyle w:val="DefinedTerms"/>
      </w:pPr>
      <w:r>
        <w:t>licensee</w:t>
      </w:r>
      <w:r>
        <w:tab/>
        <w:t>3(1), 11ZO(4), 11ZPL</w:t>
      </w:r>
    </w:p>
    <w:p>
      <w:pPr>
        <w:pStyle w:val="DefinedTerms"/>
      </w:pPr>
      <w:r>
        <w:t>marketing</w:t>
      </w:r>
      <w:r>
        <w:tab/>
        <w:t>11ZPL</w:t>
      </w:r>
    </w:p>
    <w:p>
      <w:pPr>
        <w:pStyle w:val="DefinedTerms"/>
      </w:pPr>
      <w:r>
        <w:t>member</w:t>
      </w:r>
      <w:r>
        <w:tab/>
        <w:t>11ZOA</w:t>
      </w:r>
    </w:p>
    <w:p>
      <w:pPr>
        <w:pStyle w:val="DefinedTerms"/>
      </w:pPr>
      <w:r>
        <w:t>Minister</w:t>
      </w:r>
      <w:r>
        <w:tab/>
        <w:t>3(1)</w:t>
      </w:r>
    </w:p>
    <w:p>
      <w:pPr>
        <w:pStyle w:val="DefinedTerms"/>
      </w:pPr>
      <w:r>
        <w:t>network operator</w:t>
      </w:r>
      <w:r>
        <w:tab/>
        <w:t>3(1)</w:t>
      </w:r>
    </w:p>
    <w:p>
      <w:pPr>
        <w:pStyle w:val="DefinedTerms"/>
      </w:pPr>
      <w:r>
        <w:t>non</w:t>
      </w:r>
      <w:r>
        <w:noBreakHyphen/>
        <w:t>standard contract</w:t>
      </w:r>
      <w:r>
        <w:tab/>
        <w:t>11WB</w:t>
      </w:r>
    </w:p>
    <w:p>
      <w:pPr>
        <w:pStyle w:val="DefinedTerms"/>
      </w:pPr>
      <w:r>
        <w:t>period of exclusivity</w:t>
      </w:r>
      <w:r>
        <w:tab/>
        <w:t>11WM(2)</w:t>
      </w:r>
    </w:p>
    <w:p>
      <w:pPr>
        <w:pStyle w:val="DefinedTerms"/>
      </w:pPr>
      <w:r>
        <w:t>prescribed person</w:t>
      </w:r>
      <w:r>
        <w:tab/>
        <w:t>11ZOD(1)</w:t>
      </w:r>
    </w:p>
    <w:p>
      <w:pPr>
        <w:pStyle w:val="DefinedTerms"/>
      </w:pPr>
      <w:r>
        <w:t>prescribed provision</w:t>
      </w:r>
      <w:r>
        <w:tab/>
        <w:t>11ZO(4)</w:t>
      </w:r>
    </w:p>
    <w:p>
      <w:pPr>
        <w:pStyle w:val="DefinedTerms"/>
      </w:pPr>
      <w:r>
        <w:t>prohibited conduct</w:t>
      </w:r>
      <w:r>
        <w:tab/>
        <w:t>11ZOV(1)</w:t>
      </w:r>
    </w:p>
    <w:p>
      <w:pPr>
        <w:pStyle w:val="DefinedTerms"/>
      </w:pPr>
      <w:r>
        <w:t>public authority</w:t>
      </w:r>
      <w:r>
        <w:tab/>
        <w:t>11ZJ(2)</w:t>
      </w:r>
    </w:p>
    <w:p>
      <w:pPr>
        <w:pStyle w:val="DefinedTerms"/>
      </w:pPr>
      <w:r>
        <w:t>relevant interest</w:t>
      </w:r>
      <w:r>
        <w:tab/>
        <w:t>11ZJ(2)</w:t>
      </w:r>
    </w:p>
    <w:p>
      <w:pPr>
        <w:pStyle w:val="DefinedTerms"/>
      </w:pPr>
      <w:r>
        <w:t>relevant official</w:t>
      </w:r>
      <w:r>
        <w:tab/>
        <w:t>24(1)</w:t>
      </w:r>
    </w:p>
    <w:p>
      <w:pPr>
        <w:pStyle w:val="DefinedTerms"/>
      </w:pPr>
      <w:r>
        <w:t>relevant provisions</w:t>
      </w:r>
      <w:r>
        <w:tab/>
        <w:t>11ZOA</w:t>
      </w:r>
    </w:p>
    <w:p>
      <w:pPr>
        <w:pStyle w:val="DefinedTerms"/>
      </w:pPr>
      <w:r>
        <w:t>researcher</w:t>
      </w:r>
      <w:r>
        <w:tab/>
        <w:t>Sch. 1 cl. 1</w:t>
      </w:r>
    </w:p>
    <w:p>
      <w:pPr>
        <w:pStyle w:val="DefinedTerms"/>
      </w:pPr>
      <w:r>
        <w:t>retail competition implementation costs</w:t>
      </w:r>
      <w:r>
        <w:tab/>
        <w:t>11Q(4)</w:t>
      </w:r>
    </w:p>
    <w:p>
      <w:pPr>
        <w:pStyle w:val="DefinedTerms"/>
      </w:pPr>
      <w:r>
        <w:t>retail gas operator</w:t>
      </w:r>
      <w:r>
        <w:tab/>
        <w:t>11ZOA, 11ZOC(1)</w:t>
      </w:r>
    </w:p>
    <w:p>
      <w:pPr>
        <w:pStyle w:val="DefinedTerms"/>
      </w:pPr>
      <w:r>
        <w:t>retail market rules</w:t>
      </w:r>
      <w:r>
        <w:tab/>
        <w:t>11WJ, 11ZOA</w:t>
      </w:r>
    </w:p>
    <w:p>
      <w:pPr>
        <w:pStyle w:val="DefinedTerms"/>
      </w:pPr>
      <w:r>
        <w:t>retail market scheme</w:t>
      </w:r>
      <w:r>
        <w:tab/>
        <w:t>11WJ, 11ZOA</w:t>
      </w:r>
    </w:p>
    <w:p>
      <w:pPr>
        <w:pStyle w:val="DefinedTerms"/>
      </w:pPr>
      <w:r>
        <w:t>safety provision</w:t>
      </w:r>
      <w:r>
        <w:tab/>
        <w:t>24A(3)</w:t>
      </w:r>
    </w:p>
    <w:p>
      <w:pPr>
        <w:pStyle w:val="DefinedTerms"/>
      </w:pPr>
      <w:r>
        <w:t>seriously affected</w:t>
      </w:r>
      <w:r>
        <w:tab/>
        <w:t>Sch. 3 cl. 1(1)</w:t>
      </w:r>
    </w:p>
    <w:p>
      <w:pPr>
        <w:pStyle w:val="DefinedTerms"/>
      </w:pPr>
      <w:r>
        <w:t>small use customer</w:t>
      </w:r>
      <w:r>
        <w:tab/>
        <w:t>3(1)</w:t>
      </w:r>
    </w:p>
    <w:p>
      <w:pPr>
        <w:pStyle w:val="DefinedTerms"/>
      </w:pPr>
      <w:r>
        <w:t>standard form contract</w:t>
      </w:r>
      <w:r>
        <w:tab/>
        <w:t>11WB</w:t>
      </w:r>
    </w:p>
    <w:p>
      <w:pPr>
        <w:pStyle w:val="DefinedTerms"/>
      </w:pPr>
      <w:r>
        <w:t>supplier of last resort</w:t>
      </w:r>
      <w:r>
        <w:tab/>
        <w:t>11ZAA, 11ZAC(1)</w:t>
      </w:r>
    </w:p>
    <w:p>
      <w:pPr>
        <w:pStyle w:val="DefinedTerms"/>
      </w:pPr>
      <w:r>
        <w:t>supply</w:t>
      </w:r>
      <w:r>
        <w:tab/>
        <w:t>3(1)</w:t>
      </w:r>
    </w:p>
    <w:p>
      <w:pPr>
        <w:pStyle w:val="DefinedTerms"/>
      </w:pPr>
      <w:r>
        <w:t>supply area</w:t>
      </w:r>
      <w:r>
        <w:tab/>
        <w:t>3(1), 11ZAA</w:t>
      </w:r>
    </w:p>
    <w:p>
      <w:pPr>
        <w:pStyle w:val="DefinedTerms"/>
      </w:pPr>
      <w:r>
        <w:t>supply authority</w:t>
      </w:r>
      <w:r>
        <w:tab/>
        <w:t>3(1)</w:t>
      </w:r>
    </w:p>
    <w:p>
      <w:pPr>
        <w:pStyle w:val="DefinedTerms"/>
      </w:pPr>
      <w:r>
        <w:t>supply system</w:t>
      </w:r>
      <w:r>
        <w:tab/>
        <w:t>Sch. 3 cl. 1(1)</w:t>
      </w:r>
    </w:p>
    <w:p>
      <w:pPr>
        <w:pStyle w:val="DefinedTerms"/>
      </w:pPr>
      <w:r>
        <w:t>trade secret</w:t>
      </w:r>
      <w:r>
        <w:tab/>
        <w:t>3(1)</w:t>
      </w:r>
    </w:p>
    <w:p>
      <w:pPr>
        <w:pStyle w:val="DefinedTerms"/>
      </w:pPr>
      <w:r>
        <w:t>trading licence</w:t>
      </w:r>
      <w:r>
        <w:tab/>
        <w:t>3(1)</w:t>
      </w:r>
    </w:p>
    <w:p>
      <w:pPr>
        <w:pStyle w:val="DefinedTerms"/>
      </w:pPr>
      <w:r>
        <w:t>transmission works</w:t>
      </w:r>
      <w:r>
        <w:tab/>
        <w:t>3(1)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Coordination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61" w:name="Schedule"/>
    <w:bookmarkEnd w:id="5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Coordinator’s functions in respect of sustainable energy research</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Coordinator’s functions in respect of sustainable energy research</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terms and conditions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Coordination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of Energy Operators (Powers) Act 1979 that apply to licensees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Provisions applicable in relation to trading licences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of Energy Operators (Powers) Act 1979 that apply to licensees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Provisions applicable in relation to trading licences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Remedies for contravention of section 11ZOV</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Remedies for contravention of section 11ZOV</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Coordination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Objectives to be met by gas industry ombudsman scheme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Objectives to be met by gas industry ombudsman scheme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16" w:name="Compilation"/>
    <w:bookmarkEnd w:id="616"/>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8" w:name="DefinedTerms"/>
    <w:bookmarkEnd w:id="618"/>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9" w:name="Coversheet"/>
    <w:bookmarkEnd w:id="6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Act 1994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B0A566"/>
    <w:lvl w:ilvl="0">
      <w:start w:val="1"/>
      <w:numFmt w:val="decimal"/>
      <w:lvlText w:val="%1."/>
      <w:lvlJc w:val="left"/>
      <w:pPr>
        <w:tabs>
          <w:tab w:val="num" w:pos="1492"/>
        </w:tabs>
        <w:ind w:left="1492" w:hanging="360"/>
      </w:pPr>
    </w:lvl>
  </w:abstractNum>
  <w:abstractNum w:abstractNumId="1">
    <w:nsid w:val="FFFFFF7D"/>
    <w:multiLevelType w:val="singleLevel"/>
    <w:tmpl w:val="1610B34A"/>
    <w:lvl w:ilvl="0">
      <w:start w:val="1"/>
      <w:numFmt w:val="decimal"/>
      <w:lvlText w:val="%1."/>
      <w:lvlJc w:val="left"/>
      <w:pPr>
        <w:tabs>
          <w:tab w:val="num" w:pos="1209"/>
        </w:tabs>
        <w:ind w:left="1209" w:hanging="360"/>
      </w:pPr>
    </w:lvl>
  </w:abstractNum>
  <w:abstractNum w:abstractNumId="2">
    <w:nsid w:val="FFFFFF7E"/>
    <w:multiLevelType w:val="singleLevel"/>
    <w:tmpl w:val="82A471EE"/>
    <w:lvl w:ilvl="0">
      <w:start w:val="1"/>
      <w:numFmt w:val="decimal"/>
      <w:lvlText w:val="%1."/>
      <w:lvlJc w:val="left"/>
      <w:pPr>
        <w:tabs>
          <w:tab w:val="num" w:pos="926"/>
        </w:tabs>
        <w:ind w:left="926" w:hanging="360"/>
      </w:pPr>
    </w:lvl>
  </w:abstractNum>
  <w:abstractNum w:abstractNumId="3">
    <w:nsid w:val="FFFFFF7F"/>
    <w:multiLevelType w:val="singleLevel"/>
    <w:tmpl w:val="2960BAD8"/>
    <w:lvl w:ilvl="0">
      <w:start w:val="1"/>
      <w:numFmt w:val="decimal"/>
      <w:lvlText w:val="%1."/>
      <w:lvlJc w:val="left"/>
      <w:pPr>
        <w:tabs>
          <w:tab w:val="num" w:pos="643"/>
        </w:tabs>
        <w:ind w:left="643" w:hanging="360"/>
      </w:pPr>
    </w:lvl>
  </w:abstractNum>
  <w:abstractNum w:abstractNumId="4">
    <w:nsid w:val="FFFFFF80"/>
    <w:multiLevelType w:val="singleLevel"/>
    <w:tmpl w:val="BCD259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440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4A7F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E61A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88CF24"/>
    <w:lvl w:ilvl="0">
      <w:start w:val="1"/>
      <w:numFmt w:val="decimal"/>
      <w:lvlText w:val="%1."/>
      <w:lvlJc w:val="left"/>
      <w:pPr>
        <w:tabs>
          <w:tab w:val="num" w:pos="360"/>
        </w:tabs>
        <w:ind w:left="360" w:hanging="360"/>
      </w:pPr>
    </w:lvl>
  </w:abstractNum>
  <w:abstractNum w:abstractNumId="9">
    <w:nsid w:val="FFFFFF89"/>
    <w:multiLevelType w:val="singleLevel"/>
    <w:tmpl w:val="A3B6FA6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5C99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2038"/>
    <w:docVar w:name="WAFER_20131218143911" w:val="RemoveTocBookmarks,RemoveUnusedBookmarks,RemoveLanguageTags,UsedStyles,ResetPageSize,UpdateArrangement"/>
    <w:docVar w:name="WAFER_20131218143911_GUID" w:val="58198e9b-56bf-4532-b0fc-e0aeb706e3f9"/>
    <w:docVar w:name="WAFER_20150414151014" w:val="ResetPageSize,UpdateArrangement,UpdateNTable"/>
    <w:docVar w:name="WAFER_20150414151014_GUID" w:val="c3bd0e3e-1a6f-4f10-a5f3-5438636cd174"/>
    <w:docVar w:name="WAFER_20151105120442" w:val="UpdateStyles,UsedStyles"/>
    <w:docVar w:name="WAFER_20151105120442_GUID" w:val="7f15b111-473c-4016-91b0-118ba7387322"/>
    <w:docVar w:name="WAFER_20151201112038" w:val="RemoveTrackChanges"/>
    <w:docVar w:name="WAFER_20151201112038_GUID" w:val="46637d5a-ef10-46f2-83e0-ae933fa33a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38304</Words>
  <Characters>184246</Characters>
  <Application>Microsoft Office Word</Application>
  <DocSecurity>0</DocSecurity>
  <Lines>5117</Lines>
  <Paragraphs>3371</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219179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1994 - 04-h0-10</dc:title>
  <dc:subject/>
  <dc:creator/>
  <cp:keywords/>
  <dc:description/>
  <cp:lastModifiedBy>svcMRProcess</cp:lastModifiedBy>
  <cp:revision>4</cp:revision>
  <cp:lastPrinted>2010-05-10T07:53:00Z</cp:lastPrinted>
  <dcterms:created xsi:type="dcterms:W3CDTF">2019-01-21T03:34:00Z</dcterms:created>
  <dcterms:modified xsi:type="dcterms:W3CDTF">2019-01-21T03:34:00Z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249</vt:i4>
  </property>
  <property fmtid="{D5CDD505-2E9C-101B-9397-08002B2CF9AE}" pid="6" name="ReprintNo">
    <vt:lpwstr>4</vt:lpwstr>
  </property>
  <property fmtid="{D5CDD505-2E9C-101B-9397-08002B2CF9AE}" pid="7" name="ThisVersion">
    <vt:lpwstr>04-f0-00</vt:lpwstr>
  </property>
  <property fmtid="{D5CDD505-2E9C-101B-9397-08002B2CF9AE}" pid="8" name="AsAtDate">
    <vt:lpwstr>30 Jan 2012</vt:lpwstr>
  </property>
  <property fmtid="{D5CDD505-2E9C-101B-9397-08002B2CF9AE}" pid="9" name="Suffix">
    <vt:lpwstr>04-h0-10</vt:lpwstr>
  </property>
</Properties>
</file>