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Growers Charge Act 1940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Growers Charge Act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_Toc419209674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_Toc419209675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Subject to priorities charge created in favour of grower of certain crops</w:t>
      </w:r>
      <w:r>
        <w:tab/>
      </w:r>
      <w:r>
        <w:fldChar w:fldCharType="begin"/>
      </w:r>
      <w:r>
        <w:instrText xml:space="preserve"> PAGEREF _Toc419209676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Grower’s interest in crops under this Act not to be charged or assigned by way of security</w:t>
      </w:r>
      <w:r>
        <w:tab/>
      </w:r>
      <w:r>
        <w:fldChar w:fldCharType="begin"/>
      </w:r>
      <w:r>
        <w:instrText xml:space="preserve"> PAGEREF _Toc419209677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Share</w:t>
      </w:r>
      <w:r>
        <w:rPr>
          <w:snapToGrid w:val="0"/>
        </w:rPr>
        <w:noBreakHyphen/>
        <w:t>farmers</w:t>
      </w:r>
      <w:r>
        <w:tab/>
      </w:r>
      <w:r>
        <w:fldChar w:fldCharType="begin"/>
      </w:r>
      <w:r>
        <w:instrText xml:space="preserve"> PAGEREF _Toc419209678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Offences</w:t>
      </w:r>
      <w:r>
        <w:tab/>
      </w:r>
      <w:r>
        <w:fldChar w:fldCharType="begin"/>
      </w:r>
      <w:r>
        <w:instrText xml:space="preserve"> PAGEREF _Toc419209679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Regulations</w:t>
      </w:r>
      <w:r>
        <w:tab/>
      </w:r>
      <w:r>
        <w:fldChar w:fldCharType="begin"/>
      </w:r>
      <w:r>
        <w:instrText xml:space="preserve"> PAGEREF _Toc419209680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Contracting out prohibited</w:t>
      </w:r>
      <w:r>
        <w:tab/>
      </w:r>
      <w:r>
        <w:fldChar w:fldCharType="begin"/>
      </w:r>
      <w:r>
        <w:instrText xml:space="preserve"> PAGEREF _Toc419209681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of Act</w:t>
      </w:r>
      <w:r>
        <w:tab/>
      </w:r>
      <w:r>
        <w:fldChar w:fldCharType="begin"/>
      </w:r>
      <w:r>
        <w:instrText xml:space="preserve"> PAGEREF _Toc419209682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_Toc419209684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Growers Charge Act 1940</w:t>
      </w:r>
    </w:p>
    <w:p>
      <w:pPr>
        <w:pStyle w:val="LongTitle"/>
        <w:rPr>
          <w:snapToGrid w:val="0"/>
        </w:rPr>
      </w:pPr>
      <w:r>
        <w:rPr>
          <w:snapToGrid w:val="0"/>
        </w:rPr>
        <w:t xml:space="preserve">An Act to reserve to the grower of certain crops which are subject to a </w:t>
      </w:r>
      <w:r>
        <w:rPr>
          <w:bCs/>
        </w:rPr>
        <w:t>security agreement</w:t>
      </w:r>
      <w:r>
        <w:rPr>
          <w:snapToGrid w:val="0"/>
        </w:rPr>
        <w:t xml:space="preserve"> an interest in such crops by creating a charge in his favour, and for other purposes.</w:t>
      </w:r>
    </w:p>
    <w:p>
      <w:pPr>
        <w:pStyle w:val="Footnotelongtitle"/>
      </w:pPr>
      <w:r>
        <w:tab/>
        <w:t>[Long title amended: No. 42 of 2011 s. 46.]</w:t>
      </w:r>
    </w:p>
    <w:p>
      <w:pPr>
        <w:pStyle w:val="Heading5"/>
        <w:spacing w:before="600"/>
        <w:rPr>
          <w:snapToGrid w:val="0"/>
        </w:rPr>
      </w:pPr>
      <w:bookmarkStart w:id="3" w:name="_Toc378668659"/>
      <w:bookmarkStart w:id="4" w:name="_Toc419209674"/>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called the </w:t>
      </w:r>
      <w:r>
        <w:rPr>
          <w:i/>
          <w:snapToGrid w:val="0"/>
        </w:rPr>
        <w:t>Growers Charge Act 1940</w:t>
      </w:r>
      <w:r>
        <w:rPr>
          <w:rFonts w:ascii="Times" w:hAnsi="Times"/>
          <w:iCs/>
          <w:snapToGrid w:val="0"/>
          <w:vertAlign w:val="superscript"/>
        </w:rPr>
        <w:t> 1</w:t>
      </w:r>
      <w:r>
        <w:rPr>
          <w:snapToGrid w:val="0"/>
        </w:rPr>
        <w:t>.</w:t>
      </w:r>
    </w:p>
    <w:p>
      <w:pPr>
        <w:pStyle w:val="Heading5"/>
        <w:rPr>
          <w:snapToGrid w:val="0"/>
        </w:rPr>
      </w:pPr>
      <w:bookmarkStart w:id="5" w:name="_Toc378668660"/>
      <w:bookmarkStart w:id="6" w:name="_Toc419209675"/>
      <w:r>
        <w:rPr>
          <w:rStyle w:val="CharSectno"/>
        </w:rPr>
        <w:t>2</w:t>
      </w:r>
      <w:r>
        <w:rPr>
          <w:snapToGrid w:val="0"/>
        </w:rPr>
        <w:t>.</w:t>
      </w:r>
      <w:r>
        <w:rPr>
          <w:snapToGrid w:val="0"/>
        </w:rPr>
        <w:tab/>
        <w:t>Terms used in this Act</w:t>
      </w:r>
      <w:bookmarkEnd w:id="5"/>
      <w:bookmarkEnd w:id="6"/>
    </w:p>
    <w:p>
      <w:pPr>
        <w:pStyle w:val="Subsection"/>
        <w:rPr>
          <w:snapToGrid w:val="0"/>
        </w:rPr>
      </w:pPr>
      <w:r>
        <w:rPr>
          <w:snapToGrid w:val="0"/>
        </w:rPr>
        <w:tab/>
      </w:r>
      <w:r>
        <w:rPr>
          <w:snapToGrid w:val="0"/>
        </w:rPr>
        <w:tab/>
        <w:t>In this Act and for the purposes thereof, if not inconsistent with the context —</w:t>
      </w:r>
    </w:p>
    <w:p>
      <w:pPr>
        <w:pStyle w:val="Defstart"/>
      </w:pPr>
      <w:r>
        <w:rPr>
          <w:b/>
        </w:rPr>
        <w:tab/>
      </w:r>
      <w:r>
        <w:rPr>
          <w:rStyle w:val="CharDefText"/>
        </w:rPr>
        <w:t>crops</w:t>
      </w:r>
      <w:r>
        <w:t xml:space="preserve"> means wheat or oats marketed for grain;</w:t>
      </w:r>
    </w:p>
    <w:p>
      <w:pPr>
        <w:pStyle w:val="Defstart"/>
      </w:pPr>
      <w:r>
        <w:tab/>
      </w:r>
      <w:r>
        <w:rPr>
          <w:rStyle w:val="CharDefText"/>
        </w:rPr>
        <w:t>secured party</w:t>
      </w:r>
      <w:r>
        <w:t xml:space="preserve"> has the meaning given in the </w:t>
      </w:r>
      <w:r>
        <w:rPr>
          <w:i/>
          <w:iCs/>
        </w:rPr>
        <w:t>Personal Property Securities Act 2009</w:t>
      </w:r>
      <w:r>
        <w:t xml:space="preserve"> (Commonwealth) section 10;</w:t>
      </w:r>
    </w:p>
    <w:p>
      <w:pPr>
        <w:pStyle w:val="Defstart"/>
      </w:pPr>
      <w:r>
        <w:tab/>
      </w:r>
      <w:r>
        <w:rPr>
          <w:rStyle w:val="CharDefText"/>
        </w:rPr>
        <w:t>security agreement</w:t>
      </w:r>
      <w:r>
        <w:t xml:space="preserve"> has the meaning given in the </w:t>
      </w:r>
      <w:r>
        <w:rPr>
          <w:i/>
          <w:iCs/>
        </w:rPr>
        <w:t>Personal Property Securities Act 2009</w:t>
      </w:r>
      <w:r>
        <w:t xml:space="preserve"> (Commonwealth) section 10;</w:t>
      </w:r>
    </w:p>
    <w:p>
      <w:pPr>
        <w:pStyle w:val="Footnotesection"/>
      </w:pPr>
      <w:r>
        <w:tab/>
        <w:t>[Section 2 amended: No. 42 of 2011 s. 47.]</w:t>
      </w:r>
    </w:p>
    <w:p>
      <w:pPr>
        <w:pStyle w:val="Heading5"/>
        <w:rPr>
          <w:snapToGrid w:val="0"/>
        </w:rPr>
      </w:pPr>
      <w:bookmarkStart w:id="7" w:name="_Toc378668661"/>
      <w:bookmarkStart w:id="8" w:name="_Toc419209676"/>
      <w:r>
        <w:rPr>
          <w:rStyle w:val="CharSectno"/>
        </w:rPr>
        <w:t>3</w:t>
      </w:r>
      <w:r>
        <w:rPr>
          <w:snapToGrid w:val="0"/>
        </w:rPr>
        <w:t>.</w:t>
      </w:r>
      <w:r>
        <w:rPr>
          <w:snapToGrid w:val="0"/>
        </w:rPr>
        <w:tab/>
        <w:t>Subject to priorities charge created in favour of grower of certain crops</w:t>
      </w:r>
      <w:bookmarkEnd w:id="7"/>
      <w:bookmarkEnd w:id="8"/>
    </w:p>
    <w:p>
      <w:pPr>
        <w:pStyle w:val="Subsection"/>
        <w:spacing w:before="120"/>
        <w:rPr>
          <w:snapToGrid w:val="0"/>
        </w:rPr>
      </w:pPr>
      <w:r>
        <w:tab/>
        <w:t>(1)</w:t>
      </w:r>
      <w:r>
        <w:tab/>
        <w:t>Whenever crops</w:t>
      </w:r>
      <w:r>
        <w:rPr>
          <w:snapToGrid w:val="0"/>
        </w:rPr>
        <w:t xml:space="preserve"> are subject to a </w:t>
      </w:r>
      <w:r>
        <w:t>security agreement then,</w:t>
      </w:r>
      <w:r>
        <w:rPr>
          <w:snapToGrid w:val="0"/>
        </w:rPr>
        <w:t xml:space="preserve"> notwithstanding the provisions of any other Act, there is hereby created in favour of the grower of such crops a charge on such crops to the extent of 30 cents per acre in respect of so much of the area sown with such crops as does not exceed 500 acres, and 10 cents per acre on so much of such area as exceeds 500 acres.</w:t>
      </w:r>
    </w:p>
    <w:p>
      <w:pPr>
        <w:pStyle w:val="Subsection"/>
        <w:spacing w:before="120"/>
        <w:rPr>
          <w:snapToGrid w:val="0"/>
        </w:rPr>
      </w:pPr>
      <w:r>
        <w:rPr>
          <w:snapToGrid w:val="0"/>
        </w:rPr>
        <w:tab/>
      </w:r>
      <w:r>
        <w:rPr>
          <w:snapToGrid w:val="0"/>
        </w:rPr>
        <w:tab/>
        <w:t>Provided that such charge in favour of the grower shall be subject to the following conditions:</w:t>
      </w:r>
    </w:p>
    <w:p>
      <w:pPr>
        <w:pStyle w:val="Indenta"/>
        <w:rPr>
          <w:snapToGrid w:val="0"/>
        </w:rPr>
      </w:pPr>
      <w:r>
        <w:rPr>
          <w:snapToGrid w:val="0"/>
        </w:rPr>
        <w:tab/>
        <w:t>(a)</w:t>
      </w:r>
      <w:r>
        <w:rPr>
          <w:snapToGrid w:val="0"/>
        </w:rPr>
        <w:tab/>
        <w:t xml:space="preserve">It shall rank immediately after any other statutory charge and any advance for or towards the cost (as ascertained in the prescribed manner) of growing, harvesting, and carting such crops made under any </w:t>
      </w:r>
      <w:r>
        <w:t>security agreement.</w:t>
      </w:r>
    </w:p>
    <w:p>
      <w:pPr>
        <w:pStyle w:val="Indenta"/>
        <w:rPr>
          <w:snapToGrid w:val="0"/>
        </w:rPr>
      </w:pPr>
      <w:r>
        <w:rPr>
          <w:snapToGrid w:val="0"/>
        </w:rPr>
        <w:tab/>
        <w:t>(b)</w:t>
      </w:r>
      <w:r>
        <w:rPr>
          <w:snapToGrid w:val="0"/>
        </w:rPr>
        <w:tab/>
        <w:t xml:space="preserve">It shall be paid or satisfied in priority to all other moneys secured by any </w:t>
      </w:r>
      <w:r>
        <w:t>security agreement.</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p>
    <w:p>
      <w:pPr>
        <w:pStyle w:val="Footnotesection"/>
      </w:pPr>
      <w:r>
        <w:tab/>
        <w:t>[Section 3 amended: No. 113 of 1965 s. 8; No. 42 of 2011 s. 48.]</w:t>
      </w:r>
    </w:p>
    <w:p>
      <w:pPr>
        <w:pStyle w:val="Heading5"/>
        <w:spacing w:before="180"/>
        <w:rPr>
          <w:snapToGrid w:val="0"/>
        </w:rPr>
      </w:pPr>
      <w:bookmarkStart w:id="9" w:name="_Toc378668662"/>
      <w:bookmarkStart w:id="10" w:name="_Toc419209677"/>
      <w:r>
        <w:rPr>
          <w:rStyle w:val="CharSectno"/>
        </w:rPr>
        <w:t>4</w:t>
      </w:r>
      <w:r>
        <w:rPr>
          <w:snapToGrid w:val="0"/>
        </w:rPr>
        <w:t>.</w:t>
      </w:r>
      <w:r>
        <w:rPr>
          <w:snapToGrid w:val="0"/>
        </w:rPr>
        <w:tab/>
        <w:t>Grower’s interest in crops under this Act not to be charged or assigned by way of security</w:t>
      </w:r>
      <w:bookmarkEnd w:id="9"/>
      <w:bookmarkEnd w:id="10"/>
    </w:p>
    <w:p>
      <w:pPr>
        <w:pStyle w:val="Subsection"/>
        <w:spacing w:before="120"/>
        <w:rPr>
          <w:snapToGrid w:val="0"/>
        </w:rPr>
      </w:pPr>
      <w:r>
        <w:rPr>
          <w:snapToGrid w:val="0"/>
        </w:rPr>
        <w:tab/>
      </w:r>
      <w:r>
        <w:rPr>
          <w:snapToGrid w:val="0"/>
        </w:rPr>
        <w:tab/>
        <w:t>The interest conferred on the grower by this Act in respect of crops grown by him shall not be capable of being charged, assigned, or otherwise dealt with by way of security, or attached, and shall not pass by operation of law to any other person, except the personal representative of a deceased grower, not shall any claim be set off against such interest.</w:t>
      </w:r>
    </w:p>
    <w:p>
      <w:pPr>
        <w:pStyle w:val="Heading5"/>
        <w:spacing w:before="180"/>
        <w:rPr>
          <w:snapToGrid w:val="0"/>
        </w:rPr>
      </w:pPr>
      <w:bookmarkStart w:id="11" w:name="_Toc378668663"/>
      <w:bookmarkStart w:id="12" w:name="_Toc419209678"/>
      <w:r>
        <w:rPr>
          <w:rStyle w:val="CharSectno"/>
        </w:rPr>
        <w:t>5</w:t>
      </w:r>
      <w:r>
        <w:rPr>
          <w:snapToGrid w:val="0"/>
        </w:rPr>
        <w:t>.</w:t>
      </w:r>
      <w:r>
        <w:rPr>
          <w:snapToGrid w:val="0"/>
        </w:rPr>
        <w:tab/>
        <w:t>Share</w:t>
      </w:r>
      <w:r>
        <w:rPr>
          <w:snapToGrid w:val="0"/>
        </w:rPr>
        <w:noBreakHyphen/>
        <w:t>farmers</w:t>
      </w:r>
      <w:bookmarkEnd w:id="11"/>
      <w:bookmarkEnd w:id="12"/>
    </w:p>
    <w:p>
      <w:pPr>
        <w:pStyle w:val="Subsection"/>
        <w:spacing w:before="120"/>
        <w:rPr>
          <w:snapToGrid w:val="0"/>
        </w:rPr>
      </w:pPr>
      <w:r>
        <w:rPr>
          <w:snapToGrid w:val="0"/>
        </w:rPr>
        <w:tab/>
        <w:t>(a)</w:t>
      </w:r>
      <w:r>
        <w:rPr>
          <w:snapToGrid w:val="0"/>
        </w:rPr>
        <w:tab/>
        <w:t>Where crops are grown under a share</w:t>
      </w:r>
      <w:r>
        <w:rPr>
          <w:snapToGrid w:val="0"/>
        </w:rPr>
        <w:noBreakHyphen/>
        <w:t>farming agreement and are affected by the charge created by this Act, any moneys accruing by reason of the charge shall be divided between the parties to the agreement in proportion to their respective interests thereunder in the crops or the proceeds thereof:</w:t>
      </w:r>
    </w:p>
    <w:p>
      <w:pPr>
        <w:pStyle w:val="Subsection"/>
        <w:spacing w:before="120"/>
        <w:rPr>
          <w:snapToGrid w:val="0"/>
        </w:rPr>
      </w:pPr>
      <w:r>
        <w:rPr>
          <w:snapToGrid w:val="0"/>
        </w:rPr>
        <w:tab/>
      </w:r>
      <w:r>
        <w:rPr>
          <w:snapToGrid w:val="0"/>
        </w:rPr>
        <w:tab/>
        <w:t>Provided that, where the agreement provides for the division of the crops or the proceeds thereof between the parties to the agreement on other than a proportionate basis, the moneys accruing by reason of the charge shall be divided between the parties and their respective interests in such moneys, determined in such manner as is prescribed.</w:t>
      </w:r>
    </w:p>
    <w:p>
      <w:pPr>
        <w:pStyle w:val="Subsection"/>
        <w:rPr>
          <w:snapToGrid w:val="0"/>
        </w:rPr>
      </w:pPr>
      <w:r>
        <w:rPr>
          <w:snapToGrid w:val="0"/>
        </w:rPr>
        <w:tab/>
        <w:t>(b)</w:t>
      </w:r>
      <w:r>
        <w:rPr>
          <w:snapToGrid w:val="0"/>
        </w:rPr>
        <w:tab/>
        <w:t>For the purposes of this section crops shall not be deemed to be grown in pursuance of a share</w:t>
      </w:r>
      <w:r>
        <w:rPr>
          <w:snapToGrid w:val="0"/>
        </w:rPr>
        <w:noBreakHyphen/>
        <w:t>farming agreement, unless 2 or more persons agree to contribute towards the growing of the crops by the provision of either land, labour, material, or plant, and to divide among them in such shares and proportions as such persons may mutually agree, the proceeds of the crops so grown.</w:t>
      </w:r>
    </w:p>
    <w:p>
      <w:pPr>
        <w:pStyle w:val="Heading5"/>
        <w:rPr>
          <w:snapToGrid w:val="0"/>
        </w:rPr>
      </w:pPr>
      <w:bookmarkStart w:id="13" w:name="_Toc378668664"/>
      <w:bookmarkStart w:id="14" w:name="_Toc419209679"/>
      <w:r>
        <w:rPr>
          <w:rStyle w:val="CharSectno"/>
        </w:rPr>
        <w:t>6</w:t>
      </w:r>
      <w:r>
        <w:rPr>
          <w:snapToGrid w:val="0"/>
        </w:rPr>
        <w:t>.</w:t>
      </w:r>
      <w:r>
        <w:rPr>
          <w:snapToGrid w:val="0"/>
        </w:rPr>
        <w:tab/>
        <w:t>Offences</w:t>
      </w:r>
      <w:bookmarkEnd w:id="13"/>
      <w:bookmarkEnd w:id="14"/>
    </w:p>
    <w:p>
      <w:pPr>
        <w:pStyle w:val="Subsection"/>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obtain payment of any moneys in pursuance of the provisions of this Act by means of any false or misleading statement; or</w:t>
      </w:r>
    </w:p>
    <w:p>
      <w:pPr>
        <w:pStyle w:val="Indenta"/>
        <w:rPr>
          <w:snapToGrid w:val="0"/>
        </w:rPr>
      </w:pPr>
      <w:r>
        <w:rPr>
          <w:snapToGrid w:val="0"/>
        </w:rPr>
        <w:tab/>
        <w:t>(b)</w:t>
      </w:r>
      <w:r>
        <w:rPr>
          <w:snapToGrid w:val="0"/>
        </w:rPr>
        <w:tab/>
        <w:t xml:space="preserve">present to any </w:t>
      </w:r>
      <w:r>
        <w:t>secured party</w:t>
      </w:r>
      <w:r>
        <w:rPr>
          <w:snapToGrid w:val="0"/>
        </w:rPr>
        <w:t xml:space="preserve"> or any authority or any person from or through whom any moneys in respect of the charge created by this Act are or might become payable, any document, or make to any such </w:t>
      </w:r>
      <w:r>
        <w:t>secured party,</w:t>
      </w:r>
      <w:r>
        <w:rPr>
          <w:snapToGrid w:val="0"/>
        </w:rPr>
        <w:t xml:space="preserve"> authority or person any statement which is false in any material particular.</w:t>
      </w:r>
    </w:p>
    <w:p>
      <w:pPr>
        <w:pStyle w:val="Penstart"/>
      </w:pPr>
      <w:r>
        <w:tab/>
        <w:t>Penalty: $1 000.</w:t>
      </w:r>
    </w:p>
    <w:p>
      <w:pPr>
        <w:pStyle w:val="Footnotesection"/>
      </w:pPr>
      <w:r>
        <w:tab/>
        <w:t>[Section 6 amended: No. 50 of 2003 s. 69(2); No. 42 of 2011 s. 49.]</w:t>
      </w:r>
    </w:p>
    <w:p>
      <w:pPr>
        <w:pStyle w:val="Heading5"/>
        <w:rPr>
          <w:snapToGrid w:val="0"/>
        </w:rPr>
      </w:pPr>
      <w:bookmarkStart w:id="15" w:name="_Toc378668665"/>
      <w:bookmarkStart w:id="16" w:name="_Toc419209680"/>
      <w:r>
        <w:rPr>
          <w:rStyle w:val="CharSectno"/>
        </w:rPr>
        <w:t>7</w:t>
      </w:r>
      <w:r>
        <w:rPr>
          <w:snapToGrid w:val="0"/>
        </w:rPr>
        <w:t>.</w:t>
      </w:r>
      <w:r>
        <w:rPr>
          <w:snapToGrid w:val="0"/>
        </w:rPr>
        <w:tab/>
        <w:t>Regulations</w:t>
      </w:r>
      <w:bookmarkEnd w:id="15"/>
      <w:bookmarkEnd w:id="16"/>
    </w:p>
    <w:p>
      <w:pPr>
        <w:pStyle w:val="Subsection"/>
        <w:rPr>
          <w:snapToGrid w:val="0"/>
        </w:rPr>
      </w:pPr>
      <w:r>
        <w:rPr>
          <w:snapToGrid w:val="0"/>
        </w:rPr>
        <w:tab/>
      </w:r>
      <w:r>
        <w:rPr>
          <w:snapToGrid w:val="0"/>
        </w:rPr>
        <w:tab/>
        <w:t>The Governor may make regulations, not inconsistent with this Act, prescribing all matters which by this Act are required or permitted to be prescribed, or which are necessary or convenient to be prescribed for carrying out or giving effect to this Act, and in particular —</w:t>
      </w:r>
    </w:p>
    <w:p>
      <w:pPr>
        <w:pStyle w:val="Indenta"/>
        <w:rPr>
          <w:snapToGrid w:val="0"/>
        </w:rPr>
      </w:pPr>
      <w:r>
        <w:rPr>
          <w:snapToGrid w:val="0"/>
        </w:rPr>
        <w:tab/>
        <w:t>(a)</w:t>
      </w:r>
      <w:r>
        <w:rPr>
          <w:snapToGrid w:val="0"/>
        </w:rPr>
        <w:tab/>
        <w:t>for prescribing penalties not exceeding $1 000 for any breach of the regulations; and</w:t>
      </w:r>
    </w:p>
    <w:p>
      <w:pPr>
        <w:pStyle w:val="Indenta"/>
        <w:rPr>
          <w:snapToGrid w:val="0"/>
        </w:rPr>
      </w:pPr>
      <w:r>
        <w:rPr>
          <w:snapToGrid w:val="0"/>
        </w:rPr>
        <w:tab/>
        <w:t>(b)</w:t>
      </w:r>
      <w:r>
        <w:rPr>
          <w:snapToGrid w:val="0"/>
        </w:rPr>
        <w:tab/>
        <w:t>for prescribing from time to time the items of expenditure and matters which shall be taken into account in ascertaining for the purposes of section 3, the cost of growing, harvesting, and carting crops; and</w:t>
      </w:r>
    </w:p>
    <w:p>
      <w:pPr>
        <w:pStyle w:val="Indenta"/>
        <w:rPr>
          <w:snapToGrid w:val="0"/>
        </w:rPr>
      </w:pPr>
      <w:r>
        <w:rPr>
          <w:snapToGrid w:val="0"/>
        </w:rPr>
        <w:tab/>
        <w:t>(c)</w:t>
      </w:r>
      <w:r>
        <w:rPr>
          <w:snapToGrid w:val="0"/>
        </w:rPr>
        <w:tab/>
        <w:t>for conferring upon any person any power or function incidental to or necessary or convenient for the effective operation of this Act; and</w:t>
      </w:r>
    </w:p>
    <w:p>
      <w:pPr>
        <w:pStyle w:val="Indenta"/>
        <w:rPr>
          <w:snapToGrid w:val="0"/>
        </w:rPr>
      </w:pPr>
      <w:r>
        <w:rPr>
          <w:snapToGrid w:val="0"/>
        </w:rPr>
        <w:tab/>
        <w:t>(d)</w:t>
      </w:r>
      <w:r>
        <w:rPr>
          <w:snapToGrid w:val="0"/>
        </w:rPr>
        <w:tab/>
        <w:t xml:space="preserve">for prescribing the rate of commission or deduction to be allowed to </w:t>
      </w:r>
      <w:r>
        <w:t>a secured party</w:t>
      </w:r>
      <w:r>
        <w:rPr>
          <w:snapToGrid w:val="0"/>
        </w:rPr>
        <w:t xml:space="preserve"> or any person as compensation for expense incurred or services rendered when moneys are paid to growers by or through such </w:t>
      </w:r>
      <w:r>
        <w:t>a secured party,</w:t>
      </w:r>
      <w:r>
        <w:rPr>
          <w:snapToGrid w:val="0"/>
        </w:rPr>
        <w:t xml:space="preserve"> or persons in respect of the charge arising under this Act; and</w:t>
      </w:r>
    </w:p>
    <w:p>
      <w:pPr>
        <w:pStyle w:val="Indenta"/>
        <w:rPr>
          <w:snapToGrid w:val="0"/>
        </w:rPr>
      </w:pPr>
      <w:r>
        <w:rPr>
          <w:snapToGrid w:val="0"/>
        </w:rPr>
        <w:tab/>
        <w:t>(e)</w:t>
      </w:r>
      <w:r>
        <w:rPr>
          <w:snapToGrid w:val="0"/>
        </w:rPr>
        <w:tab/>
        <w:t>for obtaining such books, documents and information as may be necessary in relation to compliance with this Act or any regulation made thereunder or any suspected contravention thereof.</w:t>
      </w:r>
    </w:p>
    <w:p>
      <w:pPr>
        <w:pStyle w:val="Footnotesection"/>
      </w:pPr>
      <w:r>
        <w:tab/>
        <w:t>[Section 7 amended: No. 78 of 1995 s. 147; No. 42 of 2011 s. 50.]</w:t>
      </w:r>
    </w:p>
    <w:p>
      <w:pPr>
        <w:pStyle w:val="Heading5"/>
        <w:rPr>
          <w:snapToGrid w:val="0"/>
        </w:rPr>
      </w:pPr>
      <w:bookmarkStart w:id="17" w:name="_Toc378668666"/>
      <w:bookmarkStart w:id="18" w:name="_Toc419209681"/>
      <w:r>
        <w:rPr>
          <w:rStyle w:val="CharSectno"/>
        </w:rPr>
        <w:t>8</w:t>
      </w:r>
      <w:r>
        <w:rPr>
          <w:snapToGrid w:val="0"/>
        </w:rPr>
        <w:t>.</w:t>
      </w:r>
      <w:r>
        <w:rPr>
          <w:snapToGrid w:val="0"/>
        </w:rPr>
        <w:tab/>
        <w:t>Contracting out prohibited</w:t>
      </w:r>
      <w:bookmarkEnd w:id="17"/>
      <w:bookmarkEnd w:id="18"/>
    </w:p>
    <w:p>
      <w:pPr>
        <w:pStyle w:val="Subsection"/>
        <w:rPr>
          <w:snapToGrid w:val="0"/>
        </w:rPr>
      </w:pPr>
      <w:r>
        <w:rPr>
          <w:snapToGrid w:val="0"/>
        </w:rPr>
        <w:tab/>
      </w:r>
      <w:r>
        <w:rPr>
          <w:snapToGrid w:val="0"/>
        </w:rPr>
        <w:tab/>
        <w:t>From and after the commencement of this Act its provisions shall apply and have effect in every case notwithstanding any contract or agreement to the contrary heretofore and hereafter made or entered into.</w:t>
      </w:r>
    </w:p>
    <w:p>
      <w:pPr>
        <w:pStyle w:val="Heading5"/>
        <w:rPr>
          <w:snapToGrid w:val="0"/>
        </w:rPr>
      </w:pPr>
      <w:bookmarkStart w:id="19" w:name="_Toc378668667"/>
      <w:bookmarkStart w:id="20" w:name="_Toc419209682"/>
      <w:r>
        <w:rPr>
          <w:rStyle w:val="CharSectno"/>
        </w:rPr>
        <w:t>9</w:t>
      </w:r>
      <w:r>
        <w:rPr>
          <w:snapToGrid w:val="0"/>
        </w:rPr>
        <w:t>.</w:t>
      </w:r>
      <w:r>
        <w:rPr>
          <w:snapToGrid w:val="0"/>
        </w:rPr>
        <w:tab/>
        <w:t>Application of Act</w:t>
      </w:r>
      <w:bookmarkEnd w:id="19"/>
      <w:bookmarkEnd w:id="20"/>
    </w:p>
    <w:p>
      <w:pPr>
        <w:pStyle w:val="Subsection"/>
        <w:rPr>
          <w:snapToGrid w:val="0"/>
        </w:rPr>
      </w:pPr>
      <w:r>
        <w:rPr>
          <w:snapToGrid w:val="0"/>
        </w:rPr>
        <w:tab/>
      </w:r>
      <w:r>
        <w:rPr>
          <w:snapToGrid w:val="0"/>
        </w:rPr>
        <w:tab/>
        <w:t>This Act shall apply to all crops sown after 1 March 1941.</w:t>
      </w:r>
    </w:p>
    <w:p>
      <w:pPr>
        <w:pStyle w:val="Subsection"/>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1" w:name="_Toc378668668"/>
      <w:bookmarkStart w:id="22" w:name="_Toc419209683"/>
      <w:r>
        <w:t>Notes</w:t>
      </w:r>
      <w:bookmarkEnd w:id="21"/>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Growers Charge Act 1940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 w:name="_Toc378668669"/>
      <w:bookmarkStart w:id="24" w:name="_Toc419209684"/>
      <w:r>
        <w:rPr>
          <w:snapToGrid w:val="0"/>
        </w:rPr>
        <w:t>Compilation table</w:t>
      </w:r>
      <w:bookmarkEnd w:id="23"/>
      <w:bookmarkEnd w:id="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Growers Charge Act 1940</w:t>
            </w:r>
          </w:p>
        </w:tc>
        <w:tc>
          <w:tcPr>
            <w:tcW w:w="1134" w:type="dxa"/>
            <w:tcBorders>
              <w:top w:val="single" w:sz="8" w:space="0" w:color="auto"/>
            </w:tcBorders>
          </w:tcPr>
          <w:p>
            <w:pPr>
              <w:pStyle w:val="nTable"/>
              <w:spacing w:after="40"/>
            </w:pPr>
            <w:r>
              <w:t>54 of 1940</w:t>
            </w:r>
            <w:r>
              <w:br/>
              <w:t>(4 and 5 Geo. VI No. 54)</w:t>
            </w:r>
          </w:p>
        </w:tc>
        <w:tc>
          <w:tcPr>
            <w:tcW w:w="1134" w:type="dxa"/>
            <w:tcBorders>
              <w:top w:val="single" w:sz="8" w:space="0" w:color="auto"/>
            </w:tcBorders>
          </w:tcPr>
          <w:p>
            <w:pPr>
              <w:pStyle w:val="nTable"/>
              <w:spacing w:after="40"/>
            </w:pPr>
            <w:r>
              <w:t>30 Dec 1940</w:t>
            </w:r>
          </w:p>
        </w:tc>
        <w:tc>
          <w:tcPr>
            <w:tcW w:w="2552" w:type="dxa"/>
            <w:tcBorders>
              <w:top w:val="single" w:sz="8" w:space="0" w:color="auto"/>
            </w:tcBorders>
          </w:tcPr>
          <w:p>
            <w:pPr>
              <w:pStyle w:val="nTable"/>
              <w:spacing w:after="40"/>
            </w:pPr>
            <w:r>
              <w:t>30 Dec 1940</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c>
          <w:tcPr>
            <w:tcW w:w="2268" w:type="dxa"/>
          </w:tcPr>
          <w:p>
            <w:pPr>
              <w:pStyle w:val="nTable"/>
              <w:spacing w:after="4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rPr>
                <w:i/>
              </w:rPr>
            </w:pPr>
            <w:r>
              <w:rPr>
                <w:i/>
              </w:rPr>
              <w:t xml:space="preserve">Sentencing Legislation Amendment and Repeal Act 2003 </w:t>
            </w:r>
            <w:r>
              <w:t>s. 69</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rPr>
          <w:cantSplit/>
        </w:trPr>
        <w:tc>
          <w:tcPr>
            <w:tcW w:w="7088" w:type="dxa"/>
            <w:gridSpan w:val="4"/>
          </w:tcPr>
          <w:p>
            <w:pPr>
              <w:pStyle w:val="nTable"/>
              <w:spacing w:after="40"/>
            </w:pPr>
            <w:r>
              <w:rPr>
                <w:b/>
                <w:bCs/>
              </w:rPr>
              <w:t xml:space="preserve">Reprint 1: The </w:t>
            </w:r>
            <w:r>
              <w:rPr>
                <w:b/>
                <w:bCs/>
                <w:i/>
              </w:rPr>
              <w:t>Growers Charge Act 1940</w:t>
            </w:r>
            <w:r>
              <w:rPr>
                <w:b/>
                <w:bCs/>
              </w:rPr>
              <w:t xml:space="preserve"> as at 22 Jun 2007</w:t>
            </w:r>
            <w:r>
              <w:t xml:space="preserve"> (includes amendments listed above)</w:t>
            </w:r>
          </w:p>
        </w:tc>
      </w:tr>
      <w:tr>
        <w:tc>
          <w:tcPr>
            <w:tcW w:w="2268" w:type="dxa"/>
            <w:tcBorders>
              <w:bottom w:val="single" w:sz="8" w:space="0" w:color="auto"/>
            </w:tcBorders>
          </w:tcPr>
          <w:p>
            <w:pPr>
              <w:pStyle w:val="nTable"/>
              <w:spacing w:after="40"/>
              <w:rPr>
                <w:i/>
              </w:rPr>
            </w:pPr>
            <w:r>
              <w:rPr>
                <w:i/>
                <w:snapToGrid w:val="0"/>
              </w:rPr>
              <w:t>Personal Property Securities (Consequential Repeals and Amendments) Act 2011</w:t>
            </w:r>
            <w:r>
              <w:rPr>
                <w:snapToGrid w:val="0"/>
              </w:rPr>
              <w:t xml:space="preserve"> Pt. 4 Div. 5</w:t>
            </w:r>
          </w:p>
        </w:tc>
        <w:tc>
          <w:tcPr>
            <w:tcW w:w="1134" w:type="dxa"/>
            <w:tcBorders>
              <w:bottom w:val="single" w:sz="8" w:space="0" w:color="auto"/>
            </w:tcBorders>
          </w:tcPr>
          <w:p>
            <w:pPr>
              <w:pStyle w:val="nTable"/>
              <w:spacing w:after="40"/>
            </w:pPr>
            <w:r>
              <w:rPr>
                <w:snapToGrid w:val="0"/>
              </w:rPr>
              <w:t>42 of 2011</w:t>
            </w:r>
          </w:p>
        </w:tc>
        <w:tc>
          <w:tcPr>
            <w:tcW w:w="1134" w:type="dxa"/>
            <w:tcBorders>
              <w:bottom w:val="single" w:sz="8" w:space="0" w:color="auto"/>
            </w:tcBorders>
          </w:tcPr>
          <w:p>
            <w:pPr>
              <w:pStyle w:val="nTable"/>
              <w:spacing w:after="40"/>
            </w:pPr>
            <w:r>
              <w:t>4 Oct 2011</w:t>
            </w:r>
          </w:p>
        </w:tc>
        <w:tc>
          <w:tcPr>
            <w:tcW w:w="2552" w:type="dxa"/>
            <w:tcBorders>
              <w:bottom w:val="single" w:sz="8" w:space="0" w:color="auto"/>
            </w:tcBorders>
          </w:tcPr>
          <w:p>
            <w:pPr>
              <w:pStyle w:val="nTable"/>
              <w:spacing w:after="40"/>
            </w:pPr>
            <w:r>
              <w:rPr>
                <w:snapToGrid w:val="0"/>
              </w:rPr>
              <w:t>30 Jan 2012 (see s. 2(c) and Cwlth Legislative Instrument No. F2011L02397 cl. 5 registered 21 Nov 2011)</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crops</w:t>
      </w:r>
      <w:r>
        <w:tab/>
        <w:t>2</w:t>
      </w:r>
    </w:p>
    <w:p>
      <w:pPr>
        <w:pStyle w:val="DefinedTerms"/>
      </w:pPr>
      <w:r>
        <w:t>secured party</w:t>
      </w:r>
      <w:r>
        <w:tab/>
        <w:t>2</w:t>
      </w:r>
    </w:p>
    <w:p>
      <w:pPr>
        <w:pStyle w:val="DefinedTerms"/>
      </w:pPr>
      <w:r>
        <w:t>security agreement</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Growers Charge Act 1940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Growers Charge Act 1940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Growers Charge Act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Growers Charge Act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Growers Charge Act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Growers Charge Act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Growers Charge Act 1940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Growers Charge Act 1940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547"/>
    <w:docVar w:name="WAFER_20140128102546" w:val="RemoveTocBookmarks,RemoveUnusedBookmarks,RemoveLanguageTags,UsedStyles,ResetPageSize,UpdateArrangement"/>
    <w:docVar w:name="WAFER_20140128102546_GUID" w:val="e0872e44-069d-4b23-9465-d884341bd257"/>
    <w:docVar w:name="WAFER_20140128102553" w:val="RemoveTocBookmarks,RunningHeaders"/>
    <w:docVar w:name="WAFER_20140128102553_GUID" w:val="9598c970-4808-42de-94a3-4ee358a27f51"/>
    <w:docVar w:name="WAFER_20150512151250" w:val="ResetPageSize,UpdateArrangement,UpdateNTable"/>
    <w:docVar w:name="WAFER_20150512151250_GUID" w:val="a2f7db42-ad9e-4fcc-8da0-f0ced8d867e7"/>
    <w:docVar w:name="WAFER_20151105132039" w:val="UpdateStyles,UsedStyles"/>
    <w:docVar w:name="WAFER_20151105132039_GUID" w:val="106f1207-8a50-436d-a41f-be8512fc1dc4"/>
    <w:docVar w:name="WAFER_20151201092547" w:val="RemoveTrackChanges"/>
    <w:docVar w:name="WAFER_20151201092547_GUID" w:val="4c41287b-e327-4bdc-ab38-c4b52f7fe5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Graphics">
    <w:name w:val="Graphics"/>
    <w:basedOn w:val="Equation"/>
  </w:style>
  <w:style w:type="paragraph" w:customStyle="1" w:styleId="Equation">
    <w:name w:val="Equation"/>
    <w:rPr>
      <w:noProof/>
      <w:sz w:val="24"/>
    </w:r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Graphics">
    <w:name w:val="Graphics"/>
    <w:basedOn w:val="Equation"/>
  </w:style>
  <w:style w:type="paragraph" w:customStyle="1" w:styleId="Equation">
    <w:name w:val="Equation"/>
    <w:rPr>
      <w:noProof/>
      <w:sz w:val="24"/>
    </w:r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1410</Words>
  <Characters>6575</Characters>
  <Application>Microsoft Office Word</Application>
  <DocSecurity>0</DocSecurity>
  <Lines>219</Lines>
  <Paragraphs>122</Paragraphs>
  <ScaleCrop>false</ScaleCrop>
  <HeadingPairs>
    <vt:vector size="2" baseType="variant">
      <vt:variant>
        <vt:lpstr>Title</vt:lpstr>
      </vt:variant>
      <vt:variant>
        <vt:i4>1</vt:i4>
      </vt:variant>
    </vt:vector>
  </HeadingPairs>
  <TitlesOfParts>
    <vt:vector size="1" baseType="lpstr">
      <vt:lpstr>Growers Charge Act 1940</vt:lpstr>
    </vt:vector>
  </TitlesOfParts>
  <Manager/>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Growers Charge Act 1940 - 01-c0-06</dc:title>
  <dc:subject/>
  <dc:creator/>
  <cp:keywords/>
  <dc:description/>
  <cp:lastModifiedBy>svcMRProcess</cp:lastModifiedBy>
  <cp:revision>4</cp:revision>
  <cp:lastPrinted>2007-06-19T06:49:00Z</cp:lastPrinted>
  <dcterms:created xsi:type="dcterms:W3CDTF">2019-01-22T01:33:00Z</dcterms:created>
  <dcterms:modified xsi:type="dcterms:W3CDTF">2019-01-22T01:33:00Z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1940</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335</vt:i4>
  </property>
  <property fmtid="{D5CDD505-2E9C-101B-9397-08002B2CF9AE}" pid="6" name="ReprintedAsAt">
    <vt:filetime>2007-06-21T16:00:00Z</vt:filetime>
  </property>
  <property fmtid="{D5CDD505-2E9C-101B-9397-08002B2CF9AE}" pid="7" name="ReprintNo">
    <vt:lpwstr>1</vt:lpwstr>
  </property>
  <property fmtid="{D5CDD505-2E9C-101B-9397-08002B2CF9AE}" pid="8" name="ThisVersion">
    <vt:lpwstr>01-a0-02</vt:lpwstr>
  </property>
  <property fmtid="{D5CDD505-2E9C-101B-9397-08002B2CF9AE}" pid="9" name="AsAtDate">
    <vt:lpwstr>30 Jan 2012</vt:lpwstr>
  </property>
  <property fmtid="{D5CDD505-2E9C-101B-9397-08002B2CF9AE}" pid="10" name="Suffix">
    <vt:lpwstr>01-c0-06</vt:lpwstr>
  </property>
</Properties>
</file>