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Hospitals and Health Services Act 1927</w:t>
      </w:r>
      <w:r>
        <w:rPr>
          <w:noProof/>
        </w:rPr>
        <w:br/>
        <w:t>Hospitals (Services Charges) Regulations 1984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Pathology Services) Determination 2012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Pathology Services) Determination 2012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_Toc419467427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_Toc419467428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_Toc419467429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Charges payable for pathology services</w:t>
      </w:r>
      <w:r>
        <w:tab/>
      </w:r>
      <w:r>
        <w:fldChar w:fldCharType="begin"/>
      </w:r>
      <w:r>
        <w:instrText xml:space="preserve"> PAGEREF _Toc419467430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Compilation table</w:t>
      </w:r>
      <w:r>
        <w:tab/>
      </w:r>
      <w:r>
        <w:fldChar w:fldCharType="begin"/>
      </w:r>
      <w:r>
        <w:instrText xml:space="preserve"> PAGEREF _Toc419467432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  <w:spacing w:after="0"/>
      </w:pPr>
      <w:r>
        <w:t>Hospitals and Health Services Act 1927</w:t>
      </w:r>
      <w:r>
        <w:br/>
      </w:r>
      <w:r>
        <w:rPr>
          <w:iCs/>
        </w:rPr>
        <w:t>Hospitals (Services Charges) Regulations 1984</w:t>
      </w:r>
    </w:p>
    <w:p>
      <w:pPr>
        <w:pStyle w:val="NameofActReg"/>
      </w:pPr>
      <w:r>
        <w:t>Hospitals (Services Charges for Pathology Services) Determination 2012</w:t>
      </w:r>
    </w:p>
    <w:p>
      <w:pPr>
        <w:pStyle w:val="Heading5"/>
      </w:pPr>
      <w:bookmarkStart w:id="3" w:name="_Toc375148663"/>
      <w:bookmarkStart w:id="4" w:name="_Toc419467427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(Services Charges for Pathology Services) Determination 2012</w:t>
      </w:r>
      <w:r>
        <w:t>.</w:t>
      </w:r>
    </w:p>
    <w:p>
      <w:pPr>
        <w:pStyle w:val="Heading5"/>
        <w:rPr>
          <w:spacing w:val="-2"/>
        </w:rPr>
      </w:pPr>
      <w:bookmarkStart w:id="6" w:name="_Toc375148664"/>
      <w:bookmarkStart w:id="7" w:name="_Toc41946742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This determination comes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  <w:t xml:space="preserve">clauses 1 and 2 — on the day on which this determination is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the rest of the determination — on the day after that day.</w:t>
      </w:r>
    </w:p>
    <w:p>
      <w:pPr>
        <w:pStyle w:val="Heading5"/>
      </w:pPr>
      <w:bookmarkStart w:id="8" w:name="_Toc375148665"/>
      <w:bookmarkStart w:id="9" w:name="_Toc419467429"/>
      <w:r>
        <w:rPr>
          <w:rStyle w:val="CharSectno"/>
        </w:rPr>
        <w:t>3</w:t>
      </w:r>
      <w:r>
        <w:t>.</w:t>
      </w:r>
      <w:r>
        <w:tab/>
        <w:t>Terms used</w:t>
      </w:r>
      <w:bookmarkEnd w:id="8"/>
      <w:bookmarkEnd w:id="9"/>
    </w:p>
    <w:p>
      <w:pPr>
        <w:pStyle w:val="Subsection"/>
      </w:pPr>
      <w:r>
        <w:tab/>
      </w:r>
      <w:r>
        <w:tab/>
        <w:t xml:space="preserve">In this determination — </w:t>
      </w:r>
    </w:p>
    <w:p>
      <w:pPr>
        <w:pStyle w:val="Defstart"/>
      </w:pPr>
      <w:r>
        <w:tab/>
      </w:r>
      <w:r>
        <w:rPr>
          <w:rStyle w:val="CharDefText"/>
        </w:rPr>
        <w:t>MBS amount</w:t>
      </w:r>
      <w:r>
        <w:t>, for a pathology service, means the amount of the fee specified in the item for that pathology service in the Medicare Benefits Schedule;</w:t>
      </w:r>
    </w:p>
    <w:p>
      <w:pPr>
        <w:pStyle w:val="Defstart"/>
      </w:pPr>
      <w:r>
        <w:tab/>
      </w:r>
      <w:r>
        <w:rPr>
          <w:rStyle w:val="CharDefText"/>
        </w:rPr>
        <w:t>Medicare Benefits Schedule</w:t>
      </w:r>
      <w:r>
        <w:t xml:space="preserve"> means the Medicare Benefits Schedule published by the Commonwealth, as that Schedule is in force on the day on which clause 4 comes into operation.</w:t>
      </w:r>
    </w:p>
    <w:p>
      <w:pPr>
        <w:pStyle w:val="Heading5"/>
      </w:pPr>
      <w:bookmarkStart w:id="10" w:name="_Toc375148666"/>
      <w:bookmarkStart w:id="11" w:name="_Toc419467430"/>
      <w:r>
        <w:rPr>
          <w:rStyle w:val="CharSectno"/>
        </w:rPr>
        <w:t>4</w:t>
      </w:r>
      <w:r>
        <w:t>.</w:t>
      </w:r>
      <w:r>
        <w:tab/>
        <w:t>Charges payable for pathology services</w:t>
      </w:r>
      <w:bookmarkEnd w:id="10"/>
      <w:bookmarkEnd w:id="11"/>
    </w:p>
    <w:p>
      <w:pPr>
        <w:pStyle w:val="Subsection"/>
      </w:pPr>
      <w:r>
        <w:tab/>
      </w:r>
      <w:r>
        <w:tab/>
        <w:t xml:space="preserve">The charge payable in respect of a pathology service specified in the Medicare Benefits Schedule is — </w:t>
      </w:r>
    </w:p>
    <w:p>
      <w:pPr>
        <w:pStyle w:val="Indenta"/>
      </w:pPr>
      <w:r>
        <w:tab/>
        <w:t>(a)</w:t>
      </w:r>
      <w:r>
        <w:tab/>
        <w:t xml:space="preserve">if the service is rendered to — </w:t>
      </w:r>
    </w:p>
    <w:p>
      <w:pPr>
        <w:pStyle w:val="Indenti"/>
      </w:pPr>
      <w:r>
        <w:tab/>
        <w:t>(i)</w:t>
      </w:r>
      <w:r>
        <w:tab/>
        <w:t>a private in</w:t>
      </w:r>
      <w:r>
        <w:noBreakHyphen/>
        <w:t>patient; or</w:t>
      </w:r>
    </w:p>
    <w:p>
      <w:pPr>
        <w:pStyle w:val="Indenti"/>
      </w:pPr>
      <w:r>
        <w:tab/>
        <w:t>(ii)</w:t>
      </w:r>
      <w:r>
        <w:tab/>
        <w:t>a compensable in</w:t>
      </w:r>
      <w:r>
        <w:noBreakHyphen/>
        <w:t>patient; or</w:t>
      </w:r>
    </w:p>
    <w:p>
      <w:pPr>
        <w:pStyle w:val="Indenti"/>
      </w:pPr>
      <w:r>
        <w:tab/>
        <w:t>(iii)</w:t>
      </w:r>
      <w:r>
        <w:tab/>
        <w:t>a private nursing home type patient; or</w:t>
      </w:r>
    </w:p>
    <w:p>
      <w:pPr>
        <w:pStyle w:val="Indenti"/>
      </w:pPr>
      <w:r>
        <w:tab/>
        <w:t>(iv)</w:t>
      </w:r>
      <w:r>
        <w:tab/>
        <w:t>an ineligible in</w:t>
      </w:r>
      <w:r>
        <w:noBreakHyphen/>
        <w:t>patient; or</w:t>
      </w:r>
    </w:p>
    <w:p>
      <w:pPr>
        <w:pStyle w:val="Indenti"/>
      </w:pPr>
      <w:r>
        <w:tab/>
        <w:t>(v)</w:t>
      </w:r>
      <w:r>
        <w:tab/>
        <w:t>a compensable day patient; or</w:t>
      </w:r>
    </w:p>
    <w:p>
      <w:pPr>
        <w:pStyle w:val="Indenti"/>
      </w:pPr>
      <w:r>
        <w:tab/>
        <w:t>(vi)</w:t>
      </w:r>
      <w:r>
        <w:tab/>
        <w:t>an ineligible day patient; or</w:t>
      </w:r>
    </w:p>
    <w:p>
      <w:pPr>
        <w:pStyle w:val="Indenti"/>
      </w:pPr>
      <w:r>
        <w:tab/>
        <w:t>(vii)</w:t>
      </w:r>
      <w:r>
        <w:tab/>
        <w:t>a compensable out</w:t>
      </w:r>
      <w:r>
        <w:noBreakHyphen/>
        <w:t>patient; or</w:t>
      </w:r>
    </w:p>
    <w:p>
      <w:pPr>
        <w:pStyle w:val="Indenti"/>
      </w:pPr>
      <w:r>
        <w:tab/>
        <w:t>(viii)</w:t>
      </w:r>
      <w:r>
        <w:tab/>
        <w:t>an ineligible out</w:t>
      </w:r>
      <w:r>
        <w:noBreakHyphen/>
        <w:t>patient; or</w:t>
      </w:r>
    </w:p>
    <w:p>
      <w:pPr>
        <w:pStyle w:val="Indenti"/>
      </w:pPr>
      <w:r>
        <w:tab/>
        <w:t>(ix)</w:t>
      </w:r>
      <w:r>
        <w:tab/>
        <w:t>a private same day patient; or</w:t>
      </w:r>
    </w:p>
    <w:p>
      <w:pPr>
        <w:pStyle w:val="Indenti"/>
      </w:pPr>
      <w:r>
        <w:tab/>
        <w:t>(x)</w:t>
      </w:r>
      <w:r>
        <w:tab/>
        <w:t>a compensable same day patient; or</w:t>
      </w:r>
    </w:p>
    <w:p>
      <w:pPr>
        <w:pStyle w:val="Indenti"/>
      </w:pPr>
      <w:r>
        <w:tab/>
        <w:t>(xi)</w:t>
      </w:r>
      <w:r>
        <w:tab/>
        <w:t>an ineligible same day patient,</w:t>
      </w:r>
    </w:p>
    <w:p>
      <w:pPr>
        <w:pStyle w:val="Indenta"/>
      </w:pPr>
      <w:r>
        <w:tab/>
      </w:r>
      <w:r>
        <w:tab/>
        <w:t>the MBS amount for the service; or</w:t>
      </w:r>
    </w:p>
    <w:p>
      <w:pPr>
        <w:pStyle w:val="Indenta"/>
      </w:pPr>
      <w:r>
        <w:tab/>
        <w:t>(b)</w:t>
      </w:r>
      <w:r>
        <w:tab/>
        <w:t>if the service is rendered to a private pathology out</w:t>
      </w:r>
      <w:r>
        <w:noBreakHyphen/>
        <w:t>patient — 85% of the MBS amount for the service.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2" w:name="_Toc375148667"/>
      <w:bookmarkStart w:id="13" w:name="_Toc419467431"/>
      <w:r>
        <w:t>Notes</w:t>
      </w:r>
      <w:bookmarkEnd w:id="12"/>
      <w:bookmarkEnd w:id="1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Hospitals (Services Charges for Pathology Services) Determination 2012.</w:t>
      </w:r>
      <w:r>
        <w:t xml:space="preserve">  </w:t>
      </w:r>
      <w:r>
        <w:rPr>
          <w:snapToGrid w:val="0"/>
        </w:rPr>
        <w:t>The following table contains information about that Determination.</w:t>
      </w:r>
    </w:p>
    <w:p>
      <w:pPr>
        <w:pStyle w:val="nHeading3"/>
      </w:pPr>
      <w:bookmarkStart w:id="14" w:name="_Toc375148668"/>
      <w:bookmarkStart w:id="15" w:name="_Toc419467432"/>
      <w:r>
        <w:t>Compilation table</w:t>
      </w:r>
      <w:bookmarkEnd w:id="14"/>
      <w:bookmarkEnd w:id="15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Hospitals (Services Charges for Pathology Services) Determination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16 Mar 2012 p. 1248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cl. 1 and 2: 16 Mar 2012 (see cl. 2(a));</w:t>
            </w:r>
            <w:r>
              <w:rPr>
                <w:snapToGrid w:val="0"/>
                <w:spacing w:val="-2"/>
              </w:rPr>
              <w:br/>
              <w:t>Determination other than cl. 1 and 2: 17 Mar 2012 (see cl. 2(b))</w:t>
            </w:r>
          </w:p>
        </w:tc>
      </w:tr>
    </w:tbl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r>
        <w:rPr>
          <w:sz w:val="28"/>
        </w:rPr>
        <w:t>Defined terms</w:t>
      </w:r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MBS amount</w:t>
      </w:r>
      <w:r>
        <w:tab/>
        <w:t>3</w:t>
      </w:r>
    </w:p>
    <w:p>
      <w:pPr>
        <w:pStyle w:val="DefinedTerms"/>
      </w:pPr>
      <w:r>
        <w:t>Medicare Benefits Schedule</w:t>
      </w:r>
      <w:r>
        <w:tab/>
        <w:t>3</w:t>
      </w:r>
    </w:p>
    <w:p>
      <w:pPr>
        <w:pStyle w:val="DefinedTerms"/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76" w:right="2404" w:bottom="3544" w:left="2404" w:header="720" w:footer="337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Mar 2012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Mar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Mar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Mar 2012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Mar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Mar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Pathology Services) Determination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Pathology Services) Determination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6" w:name="Compilation"/>
    <w:bookmarkEnd w:id="16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Pathology Services) Determination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Pathology Services) Determination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7" w:name="DefinedTerms"/>
    <w:bookmarkEnd w:id="17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8" w:name="Coversheet"/>
    <w:bookmarkEnd w:id="18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Pathology Services) Determination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Pathology Services) Determination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Pathology Services) Determination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Pathology Services) Determination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6085804"/>
    <w:docVar w:name="WAFER_20131218160507" w:val="RemoveTocBookmarks,RemoveUnusedBookmarks,RemoveLanguageTags,UsedStyles,ResetPageSize,UpdateArrangement"/>
    <w:docVar w:name="WAFER_20131218160507_GUID" w:val="09531b19-d686-411a-9a83-00a3f9a7503c"/>
    <w:docVar w:name="WAFER_20150515153128" w:val="ResetPageSize,UpdateArrangement,UpdateNTable"/>
    <w:docVar w:name="WAFER_20150515153128_GUID" w:val="b65f22fd-6b74-42b9-b7ab-be373ca6d78b"/>
    <w:docVar w:name="WAFER_20151106085804" w:val="UpdateStyles,UsedStyles"/>
    <w:docVar w:name="WAFER_20151106085804_GUID" w:val="f2ef2e4b-1e79-4b8f-ac71-194074a6495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500</Words>
  <Characters>2703</Characters>
  <Application>Microsoft Office Word</Application>
  <DocSecurity>0</DocSecurity>
  <Lines>108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Manager/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Pathology Services) Determination 2012 - 00-a0-05</dc:title>
  <dc:subject/>
  <dc:creator/>
  <cp:keywords/>
  <dc:description/>
  <cp:lastModifiedBy>svcMRProcess</cp:lastModifiedBy>
  <cp:revision>4</cp:revision>
  <cp:lastPrinted>2011-09-08T01:45:00Z</cp:lastPrinted>
  <dcterms:created xsi:type="dcterms:W3CDTF">2015-11-06T02:16:00Z</dcterms:created>
  <dcterms:modified xsi:type="dcterms:W3CDTF">2015-11-06T02:16:00Z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16 Mar 2012 p 1248-9</vt:lpwstr>
  </property>
  <property fmtid="{D5CDD505-2E9C-101B-9397-08002B2CF9AE}" pid="3" name="CommencementDate">
    <vt:lpwstr>20120317</vt:lpwstr>
  </property>
  <property fmtid="{D5CDD505-2E9C-101B-9397-08002B2CF9AE}" pid="4" name="StationID">
    <vt:lpwstr>12</vt:lpwstr>
  </property>
  <property fmtid="{D5CDD505-2E9C-101B-9397-08002B2CF9AE}" pid="5" name="DocumentType">
    <vt:lpwstr>Reg</vt:lpwstr>
  </property>
  <property fmtid="{D5CDD505-2E9C-101B-9397-08002B2CF9AE}" pid="6" name="AsAtDate">
    <vt:lpwstr>17 Mar 2012</vt:lpwstr>
  </property>
  <property fmtid="{D5CDD505-2E9C-101B-9397-08002B2CF9AE}" pid="7" name="Suffix">
    <vt:lpwstr>00-a0-05</vt:lpwstr>
  </property>
</Properties>
</file>