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_Toc320531608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_Toc320531609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_Toc320531610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_Toc320531611 \h </w:instrText>
      </w:r>
      <w:r>
        <w:fldChar w:fldCharType="separate"/>
      </w:r>
      <w:r>
        <w:t>2</w:t>
      </w:r>
      <w:r>
        <w:fldChar w:fldCharType="end"/>
      </w:r>
    </w:p>
    <w:p>
      <w:pPr>
        <w:pStyle w:val="TOC8"/>
        <w:rPr>
          <w:sz w:val="24"/>
          <w:szCs w:val="24"/>
          <w:lang w:val="en-US"/>
        </w:rPr>
      </w:pPr>
      <w:r>
        <w:t>5.</w:t>
      </w:r>
      <w:r>
        <w:tab/>
      </w:r>
      <w:r>
        <w:rPr>
          <w:snapToGrid w:val="0"/>
        </w:rPr>
        <w:t>Exemptions</w:t>
      </w:r>
      <w:r>
        <w:tab/>
      </w:r>
      <w:r>
        <w:fldChar w:fldCharType="begin"/>
      </w:r>
      <w:r>
        <w:instrText xml:space="preserve"> PAGEREF _Toc320531612 \h </w:instrText>
      </w:r>
      <w:r>
        <w:fldChar w:fldCharType="separate"/>
      </w:r>
      <w:r>
        <w:t>5</w:t>
      </w:r>
      <w:r>
        <w:fldChar w:fldCharType="end"/>
      </w:r>
    </w:p>
    <w:p>
      <w:pPr>
        <w:pStyle w:val="TOC8"/>
        <w:rPr>
          <w:sz w:val="24"/>
          <w:szCs w:val="24"/>
          <w:lang w:val="en-US"/>
        </w:rPr>
      </w:pPr>
      <w:r>
        <w:t>5A.</w:t>
      </w:r>
      <w:r>
        <w:tab/>
        <w:t>Disputes regarding fees</w:t>
      </w:r>
      <w:r>
        <w:tab/>
      </w:r>
      <w:r>
        <w:fldChar w:fldCharType="begin"/>
      </w:r>
      <w:r>
        <w:instrText xml:space="preserve"> PAGEREF _Toc320531613 \h </w:instrText>
      </w:r>
      <w:r>
        <w:fldChar w:fldCharType="separate"/>
      </w:r>
      <w:r>
        <w:t>6</w:t>
      </w:r>
      <w:r>
        <w:fldChar w:fldCharType="end"/>
      </w:r>
    </w:p>
    <w:p>
      <w:pPr>
        <w:pStyle w:val="TOC8"/>
        <w:rPr>
          <w:sz w:val="24"/>
          <w:szCs w:val="24"/>
          <w:lang w:val="en-US"/>
        </w:rPr>
      </w:pPr>
      <w:r>
        <w:t>6.</w:t>
      </w:r>
      <w:r>
        <w:tab/>
      </w:r>
      <w:r>
        <w:rPr>
          <w:snapToGrid w:val="0"/>
        </w:rPr>
        <w:t>Fees to be paid before documents filed or other things done</w:t>
      </w:r>
      <w:r>
        <w:tab/>
      </w:r>
      <w:r>
        <w:fldChar w:fldCharType="begin"/>
      </w:r>
      <w:r>
        <w:instrText xml:space="preserve"> PAGEREF _Toc320531614 \h </w:instrText>
      </w:r>
      <w:r>
        <w:fldChar w:fldCharType="separate"/>
      </w:r>
      <w:r>
        <w:t>6</w:t>
      </w:r>
      <w:r>
        <w:fldChar w:fldCharType="end"/>
      </w:r>
    </w:p>
    <w:p>
      <w:pPr>
        <w:pStyle w:val="TOC8"/>
        <w:rPr>
          <w:sz w:val="24"/>
          <w:szCs w:val="24"/>
          <w:lang w:val="en-US"/>
        </w:rPr>
      </w:pPr>
      <w:r>
        <w:t>7.</w:t>
      </w:r>
      <w:r>
        <w:tab/>
      </w:r>
      <w:r>
        <w:rPr>
          <w:snapToGrid w:val="0"/>
        </w:rPr>
        <w:t>Court or registrar may remit fees</w:t>
      </w:r>
      <w:r>
        <w:tab/>
      </w:r>
      <w:r>
        <w:fldChar w:fldCharType="begin"/>
      </w:r>
      <w:r>
        <w:instrText xml:space="preserve"> PAGEREF _Toc320531615 \h </w:instrText>
      </w:r>
      <w:r>
        <w:fldChar w:fldCharType="separate"/>
      </w:r>
      <w:r>
        <w:t>6</w:t>
      </w:r>
      <w:r>
        <w:fldChar w:fldCharType="end"/>
      </w:r>
    </w:p>
    <w:p>
      <w:pPr>
        <w:pStyle w:val="TOC8"/>
        <w:rPr>
          <w:sz w:val="24"/>
          <w:szCs w:val="24"/>
          <w:lang w:val="en-US"/>
        </w:rPr>
      </w:pPr>
      <w:r>
        <w:t>8.</w:t>
      </w:r>
      <w:r>
        <w:tab/>
      </w:r>
      <w:r>
        <w:rPr>
          <w:snapToGrid w:val="0"/>
        </w:rPr>
        <w:t>Conventions</w:t>
      </w:r>
      <w:r>
        <w:tab/>
      </w:r>
      <w:r>
        <w:fldChar w:fldCharType="begin"/>
      </w:r>
      <w:r>
        <w:instrText xml:space="preserve"> PAGEREF _Toc320531616 \h </w:instrText>
      </w:r>
      <w:r>
        <w:fldChar w:fldCharType="separate"/>
      </w:r>
      <w:r>
        <w:t>9</w:t>
      </w:r>
      <w:r>
        <w:fldChar w:fldCharType="end"/>
      </w:r>
    </w:p>
    <w:p>
      <w:pPr>
        <w:pStyle w:val="TOC8"/>
        <w:rPr>
          <w:sz w:val="24"/>
          <w:szCs w:val="24"/>
          <w:lang w:val="en-US"/>
        </w:rPr>
      </w:pPr>
      <w:r>
        <w:t>9.</w:t>
      </w:r>
      <w:r>
        <w:tab/>
        <w:t>Allocation of hearing date — Schedule 1 Division 1 item 5</w:t>
      </w:r>
      <w:r>
        <w:tab/>
      </w:r>
      <w:r>
        <w:fldChar w:fldCharType="begin"/>
      </w:r>
      <w:r>
        <w:instrText xml:space="preserve"> PAGEREF _Toc320531617 \h </w:instrText>
      </w:r>
      <w:r>
        <w:fldChar w:fldCharType="separate"/>
      </w:r>
      <w:r>
        <w:t>9</w:t>
      </w:r>
      <w:r>
        <w:fldChar w:fldCharType="end"/>
      </w:r>
    </w:p>
    <w:p>
      <w:pPr>
        <w:pStyle w:val="TOC8"/>
        <w:rPr>
          <w:sz w:val="24"/>
          <w:szCs w:val="24"/>
          <w:lang w:val="en-US"/>
        </w:rPr>
      </w:pPr>
      <w:r>
        <w:t>9A.</w:t>
      </w:r>
      <w:r>
        <w:tab/>
        <w:t>Court of Appeal allocation of hearing date — Schedule 1 Division 2 item 5</w:t>
      </w:r>
      <w:r>
        <w:tab/>
      </w:r>
      <w:r>
        <w:fldChar w:fldCharType="begin"/>
      </w:r>
      <w:r>
        <w:instrText xml:space="preserve"> PAGEREF _Toc320531618 \h </w:instrText>
      </w:r>
      <w:r>
        <w:fldChar w:fldCharType="separate"/>
      </w:r>
      <w:r>
        <w:t>11</w:t>
      </w:r>
      <w:r>
        <w:fldChar w:fldCharType="end"/>
      </w:r>
    </w:p>
    <w:p>
      <w:pPr>
        <w:pStyle w:val="TOC8"/>
        <w:rPr>
          <w:sz w:val="24"/>
          <w:szCs w:val="24"/>
          <w:lang w:val="en-US"/>
        </w:rPr>
      </w:pPr>
      <w:r>
        <w:t>10.</w:t>
      </w:r>
      <w:r>
        <w:tab/>
        <w:t>Schedule 1 Division 2 item 6 or Division 2 item 7 fee</w:t>
      </w:r>
      <w:r>
        <w:tab/>
      </w:r>
      <w:r>
        <w:fldChar w:fldCharType="begin"/>
      </w:r>
      <w:r>
        <w:instrText xml:space="preserve"> PAGEREF _Toc320531619 \h </w:instrText>
      </w:r>
      <w:r>
        <w:fldChar w:fldCharType="separate"/>
      </w:r>
      <w:r>
        <w:t>12</w:t>
      </w:r>
      <w:r>
        <w:fldChar w:fldCharType="end"/>
      </w:r>
    </w:p>
    <w:p>
      <w:pPr>
        <w:pStyle w:val="TOC8"/>
        <w:rPr>
          <w:sz w:val="24"/>
          <w:szCs w:val="24"/>
          <w:lang w:val="en-US"/>
        </w:rPr>
      </w:pPr>
      <w:r>
        <w:t>11.</w:t>
      </w:r>
      <w:r>
        <w:tab/>
        <w:t>Recovery of unpaid fees</w:t>
      </w:r>
      <w:r>
        <w:tab/>
      </w:r>
      <w:r>
        <w:fldChar w:fldCharType="begin"/>
      </w:r>
      <w:r>
        <w:instrText xml:space="preserve"> PAGEREF _Toc320531620 \h </w:instrText>
      </w:r>
      <w:r>
        <w:fldChar w:fldCharType="separate"/>
      </w:r>
      <w:r>
        <w:t>13</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w:t>
      </w:r>
      <w:r>
        <w:rPr>
          <w:b w:val="0"/>
        </w:rPr>
        <w:t> — </w:t>
      </w:r>
      <w:r>
        <w:t>General Division fees</w:t>
      </w:r>
    </w:p>
    <w:p>
      <w:pPr>
        <w:pStyle w:val="TOC4"/>
        <w:tabs>
          <w:tab w:val="right" w:leader="dot" w:pos="7086"/>
        </w:tabs>
        <w:rPr>
          <w:b w:val="0"/>
          <w:sz w:val="24"/>
          <w:szCs w:val="24"/>
          <w:lang w:val="en-US"/>
        </w:rPr>
      </w:pPr>
      <w:r>
        <w:t>Division 2</w:t>
      </w:r>
      <w:r>
        <w:rPr>
          <w:b w:val="0"/>
        </w:rPr>
        <w:t> — </w:t>
      </w:r>
      <w:r>
        <w:t>Court of Appeal fees</w:t>
      </w:r>
    </w:p>
    <w:p>
      <w:pPr>
        <w:pStyle w:val="TOC2"/>
        <w:tabs>
          <w:tab w:val="right" w:leader="dot" w:pos="7086"/>
        </w:tabs>
        <w:rPr>
          <w:b w:val="0"/>
          <w:sz w:val="24"/>
          <w:szCs w:val="24"/>
          <w:lang w:val="en-US"/>
        </w:rPr>
      </w:pPr>
      <w:r>
        <w:t>Schedule 2 — Sheriff’s fees</w:t>
      </w:r>
    </w:p>
    <w:p>
      <w:pPr>
        <w:pStyle w:val="TOC2"/>
        <w:tabs>
          <w:tab w:val="right" w:leader="dot" w:pos="7086"/>
        </w:tabs>
        <w:rPr>
          <w:b w:val="0"/>
          <w:sz w:val="24"/>
          <w:szCs w:val="24"/>
          <w:lang w:val="en-US"/>
        </w:rPr>
      </w:pPr>
      <w:r>
        <w:t>Schedule 3 — Probate fees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_Toc320531628 \h </w:instrText>
      </w:r>
      <w:r>
        <w:fldChar w:fldCharType="separate"/>
      </w:r>
      <w:r>
        <w:t>39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Supreme Court Act 1935</w:t>
      </w:r>
    </w:p>
    <w:p>
      <w:pPr>
        <w:pStyle w:val="NameofActReg"/>
        <w:spacing w:before="400" w:after="520"/>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320531608"/>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32053160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320531610"/>
      <w:r>
        <w:rPr>
          <w:rStyle w:val="CharSectno"/>
        </w:rPr>
        <w:t>3</w:t>
      </w:r>
      <w:r>
        <w:t>.</w:t>
      </w:r>
      <w:r>
        <w:tab/>
      </w:r>
      <w:bookmarkEnd w:id="21"/>
      <w:bookmarkEnd w:id="22"/>
      <w:bookmarkEnd w:id="23"/>
      <w:bookmarkEnd w:id="24"/>
      <w:bookmarkEnd w:id="25"/>
      <w:bookmarkEnd w:id="26"/>
      <w:r>
        <w:t>Terms used</w:t>
      </w:r>
      <w:bookmarkEnd w:id="2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320531611"/>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bookmarkStart w:id="48" w:name="_Toc107626234"/>
      <w:bookmarkStart w:id="49" w:name="_Toc145814154"/>
      <w:r>
        <w:tab/>
        <w:t>[Regulation 4 amended in Gazette 30 Dec 2003 p. 5693-4; 28 Apr 2005 p. 1758; 4 Sep 2009 p. 3461.]</w:t>
      </w:r>
    </w:p>
    <w:p>
      <w:pPr>
        <w:pStyle w:val="Heading5"/>
        <w:rPr>
          <w:snapToGrid w:val="0"/>
        </w:rPr>
      </w:pPr>
      <w:bookmarkStart w:id="50" w:name="_Toc320531612"/>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58" w:name="_Toc107626235"/>
      <w:bookmarkStart w:id="59" w:name="_Toc145814155"/>
      <w:r>
        <w:tab/>
        <w:t>[Regulation 5 amended in Gazette 28 Apr 2005 p. 1758; 23 Jun 2005 p. 2693; 27 Jun 2008 p. 3060; 4 Sep 2009 p. 3461; 27 Mar 2012 p. 1508.]</w:t>
      </w:r>
    </w:p>
    <w:p>
      <w:pPr>
        <w:pStyle w:val="Heading5"/>
      </w:pPr>
      <w:bookmarkStart w:id="60" w:name="_Toc320531613"/>
      <w:r>
        <w:rPr>
          <w:rStyle w:val="CharSectno"/>
        </w:rPr>
        <w:t>5A</w:t>
      </w:r>
      <w:r>
        <w:t>.</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320531614"/>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320531615"/>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82" w:name="_Toc107626238"/>
      <w:bookmarkStart w:id="83" w:name="_Toc145814158"/>
      <w:bookmarkStart w:id="84" w:name="_Toc320531616"/>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320531617"/>
      <w:bookmarkStart w:id="89" w:name="_Toc533218888"/>
      <w:bookmarkStart w:id="90" w:name="_Toc533480354"/>
      <w:r>
        <w:t>9.</w:t>
      </w:r>
      <w:r>
        <w:tab/>
        <w:t>Allocation of hearing date — Schedule 1 Division 1 item </w:t>
      </w:r>
      <w:bookmarkEnd w:id="86"/>
      <w:bookmarkEnd w:id="87"/>
      <w:r>
        <w:t>5</w:t>
      </w:r>
      <w:bookmarkEnd w:id="8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91" w:name="_Toc107626240"/>
      <w:bookmarkStart w:id="92" w:name="_Toc145814160"/>
      <w:r>
        <w:tab/>
        <w:t>[Regulation 9 inserted in Gazette 28 Apr 2005 p. 1760-1; amended in Gazette 23 Jun 2005 p. 2693; 4 Sep 2009 p. 3461</w:t>
      </w:r>
      <w:r>
        <w:noBreakHyphen/>
        <w:t>2.]</w:t>
      </w:r>
    </w:p>
    <w:p>
      <w:pPr>
        <w:pStyle w:val="Heading5"/>
      </w:pPr>
      <w:bookmarkStart w:id="93" w:name="_Toc320531618"/>
      <w:r>
        <w:rPr>
          <w:rStyle w:val="CharSectno"/>
        </w:rPr>
        <w:t>9A</w:t>
      </w:r>
      <w:r>
        <w:t>.</w:t>
      </w:r>
      <w:r>
        <w:tab/>
        <w:t>Court of Appeal allocation of hearing date — Schedule 1 Division 2 item </w:t>
      </w:r>
      <w:bookmarkEnd w:id="91"/>
      <w:bookmarkEnd w:id="92"/>
      <w:r>
        <w:t>5</w:t>
      </w:r>
      <w:bookmarkEnd w:id="93"/>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94" w:name="_Toc107626241"/>
      <w:bookmarkStart w:id="95" w:name="_Toc145814161"/>
      <w:bookmarkStart w:id="96" w:name="_Toc320531619"/>
      <w:r>
        <w:rPr>
          <w:rStyle w:val="CharSectno"/>
        </w:rPr>
        <w:t>10</w:t>
      </w:r>
      <w:r>
        <w:t>.</w:t>
      </w:r>
      <w:r>
        <w:tab/>
        <w:t>Schedule 1 Division 2 item 6 or Division 2 item 7 fee</w:t>
      </w:r>
      <w:bookmarkEnd w:id="89"/>
      <w:bookmarkEnd w:id="90"/>
      <w:bookmarkEnd w:id="94"/>
      <w:bookmarkEnd w:id="95"/>
      <w:bookmarkEnd w:id="96"/>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97" w:name="_Toc107626242"/>
      <w:bookmarkStart w:id="98" w:name="_Toc145814162"/>
      <w:bookmarkStart w:id="99" w:name="_Toc533218890"/>
      <w:bookmarkStart w:id="100" w:name="_Toc533480356"/>
      <w:r>
        <w:tab/>
        <w:t>[Regulation 10 amended in Gazette 23 Jun 2005 p. 2695; 4 Sep 2009 p. 3462.]</w:t>
      </w:r>
    </w:p>
    <w:p>
      <w:pPr>
        <w:pStyle w:val="Heading5"/>
      </w:pPr>
      <w:bookmarkStart w:id="101" w:name="_Toc320531620"/>
      <w:r>
        <w:rPr>
          <w:rStyle w:val="CharSectno"/>
        </w:rPr>
        <w:t>11</w:t>
      </w:r>
      <w:r>
        <w:t>.</w:t>
      </w:r>
      <w:r>
        <w:tab/>
        <w:t>Recovery of unpaid fees</w:t>
      </w:r>
      <w:bookmarkEnd w:id="97"/>
      <w:bookmarkEnd w:id="98"/>
      <w:bookmarkEnd w:id="10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02" w:name="_Toc533480357"/>
      <w:bookmarkEnd w:id="99"/>
      <w:bookmarkEnd w:id="100"/>
      <w:r>
        <w:t>[</w:t>
      </w:r>
      <w:r>
        <w:rPr>
          <w:b/>
          <w:bCs/>
        </w:rPr>
        <w:t>12.</w:t>
      </w:r>
      <w:r>
        <w:tab/>
        <w:t>Deleted in Gazette 4 Sep 2009 p. 3462.]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3" w:name="_Toc239758528"/>
      <w:bookmarkStart w:id="104" w:name="_Toc239761852"/>
      <w:bookmarkStart w:id="105" w:name="_Toc244333851"/>
      <w:bookmarkStart w:id="106" w:name="_Toc245873243"/>
      <w:bookmarkStart w:id="107" w:name="_Toc268173680"/>
      <w:bookmarkStart w:id="108" w:name="_Toc287360182"/>
      <w:bookmarkStart w:id="109" w:name="_Toc312141663"/>
      <w:bookmarkStart w:id="110" w:name="_Toc320525375"/>
      <w:bookmarkStart w:id="111" w:name="_Toc320531621"/>
      <w:bookmarkStart w:id="112" w:name="_Toc533218894"/>
      <w:bookmarkStart w:id="113" w:name="_Toc533480360"/>
      <w:bookmarkStart w:id="114" w:name="_Toc107626249"/>
      <w:bookmarkStart w:id="115" w:name="_Toc139175209"/>
      <w:bookmarkStart w:id="116" w:name="_Toc139365940"/>
      <w:bookmarkStart w:id="117" w:name="_Toc141847811"/>
      <w:bookmarkStart w:id="118" w:name="_Toc142382645"/>
      <w:bookmarkStart w:id="119" w:name="_Toc144009328"/>
      <w:bookmarkStart w:id="120" w:name="_Toc144009444"/>
      <w:bookmarkStart w:id="121" w:name="_Toc144010742"/>
      <w:bookmarkStart w:id="122" w:name="_Toc144616506"/>
      <w:bookmarkStart w:id="123" w:name="_Toc145814169"/>
      <w:bookmarkStart w:id="124" w:name="_Toc170790395"/>
      <w:bookmarkStart w:id="125" w:name="_Toc171051025"/>
      <w:bookmarkStart w:id="126" w:name="_Toc202265391"/>
      <w:bookmarkStart w:id="127" w:name="_Toc232310903"/>
      <w:bookmarkStart w:id="128" w:name="_Toc233086412"/>
      <w:bookmarkStart w:id="129" w:name="_Toc233519305"/>
      <w:bookmarkStart w:id="130" w:name="_Toc233526464"/>
      <w:bookmarkEnd w:id="102"/>
      <w:r>
        <w:rPr>
          <w:rStyle w:val="CharSchNo"/>
        </w:rPr>
        <w:t>Schedule 1</w:t>
      </w:r>
      <w:r>
        <w:t> — </w:t>
      </w:r>
      <w:r>
        <w:rPr>
          <w:rStyle w:val="CharSchText"/>
        </w:rPr>
        <w:t>Fees</w:t>
      </w:r>
      <w:bookmarkEnd w:id="103"/>
      <w:bookmarkEnd w:id="104"/>
      <w:bookmarkEnd w:id="105"/>
      <w:bookmarkEnd w:id="106"/>
      <w:bookmarkEnd w:id="107"/>
      <w:bookmarkEnd w:id="108"/>
      <w:bookmarkEnd w:id="109"/>
      <w:bookmarkEnd w:id="110"/>
      <w:bookmarkEnd w:id="111"/>
    </w:p>
    <w:p>
      <w:pPr>
        <w:pStyle w:val="yShoulderClause"/>
      </w:pPr>
      <w:r>
        <w:t>[r. 4]</w:t>
      </w:r>
    </w:p>
    <w:p>
      <w:pPr>
        <w:pStyle w:val="yFootnoteheading"/>
        <w:spacing w:before="100"/>
      </w:pPr>
      <w:r>
        <w:tab/>
        <w:t>[Heading inserted in Gazette 4 Sep 2009 p. 3462.]</w:t>
      </w:r>
    </w:p>
    <w:p>
      <w:pPr>
        <w:pStyle w:val="yHeading3"/>
      </w:pPr>
      <w:bookmarkStart w:id="131" w:name="_Toc239758529"/>
      <w:bookmarkStart w:id="132" w:name="_Toc239761853"/>
      <w:bookmarkStart w:id="133" w:name="_Toc244333852"/>
      <w:bookmarkStart w:id="134" w:name="_Toc245873244"/>
      <w:bookmarkStart w:id="135" w:name="_Toc268173681"/>
      <w:bookmarkStart w:id="136" w:name="_Toc287360183"/>
      <w:bookmarkStart w:id="137" w:name="_Toc312141664"/>
      <w:bookmarkStart w:id="138" w:name="_Toc320525376"/>
      <w:bookmarkStart w:id="139" w:name="_Toc320531622"/>
      <w:r>
        <w:rPr>
          <w:rStyle w:val="CharSDivNo"/>
        </w:rPr>
        <w:t>Division 1</w:t>
      </w:r>
      <w:r>
        <w:rPr>
          <w:b w:val="0"/>
        </w:rPr>
        <w:t> — </w:t>
      </w:r>
      <w:r>
        <w:rPr>
          <w:rStyle w:val="CharSDivText"/>
        </w:rPr>
        <w:t>General Division fees</w:t>
      </w:r>
      <w:bookmarkEnd w:id="131"/>
      <w:bookmarkEnd w:id="132"/>
      <w:bookmarkEnd w:id="133"/>
      <w:bookmarkEnd w:id="134"/>
      <w:bookmarkEnd w:id="135"/>
      <w:bookmarkEnd w:id="136"/>
      <w:bookmarkEnd w:id="137"/>
      <w:bookmarkEnd w:id="138"/>
      <w:bookmarkEnd w:id="139"/>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808.00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1 575.00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808.00</w:t>
            </w:r>
          </w:p>
          <w:p>
            <w:pPr>
              <w:pStyle w:val="yTableNAm"/>
              <w:tabs>
                <w:tab w:val="clear" w:pos="567"/>
              </w:tabs>
              <w:ind w:right="206"/>
              <w:jc w:val="right"/>
            </w:pPr>
            <w:r>
              <w:br/>
            </w:r>
            <w:r>
              <w:rPr>
                <w:szCs w:val="22"/>
              </w:rPr>
              <w:t>808.00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269.00</w:t>
            </w:r>
          </w:p>
          <w:p>
            <w:pPr>
              <w:pStyle w:val="yTableNAm"/>
              <w:tabs>
                <w:tab w:val="clear" w:pos="567"/>
              </w:tabs>
              <w:ind w:right="206"/>
              <w:jc w:val="right"/>
            </w:pPr>
            <w:r>
              <w:br/>
            </w:r>
            <w:r>
              <w:br/>
            </w:r>
            <w:r>
              <w:rPr>
                <w:szCs w:val="22"/>
              </w:rPr>
              <w:t>269.00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1 575.00</w:t>
            </w:r>
          </w:p>
          <w:p>
            <w:pPr>
              <w:pStyle w:val="yTableNAm"/>
              <w:tabs>
                <w:tab w:val="clear" w:pos="567"/>
              </w:tabs>
              <w:ind w:right="203"/>
              <w:jc w:val="right"/>
            </w:pPr>
            <w:r>
              <w:br/>
            </w:r>
            <w:r>
              <w:rPr>
                <w:szCs w:val="22"/>
              </w:rPr>
              <w:t>1 575.00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527.00</w:t>
            </w:r>
          </w:p>
          <w:p>
            <w:pPr>
              <w:pStyle w:val="yTableNAm"/>
              <w:tabs>
                <w:tab w:val="clear" w:pos="567"/>
              </w:tabs>
              <w:ind w:right="203"/>
              <w:jc w:val="right"/>
            </w:pPr>
            <w:r>
              <w:br/>
            </w:r>
            <w:r>
              <w:br/>
            </w:r>
            <w:r>
              <w:rPr>
                <w:szCs w:val="22"/>
              </w:rPr>
              <w:t>527.00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541.00</w:t>
            </w:r>
          </w:p>
        </w:tc>
        <w:tc>
          <w:tcPr>
            <w:tcW w:w="1239" w:type="dxa"/>
          </w:tcPr>
          <w:p>
            <w:pPr>
              <w:pStyle w:val="yTableNAm"/>
              <w:tabs>
                <w:tab w:val="clear" w:pos="567"/>
              </w:tabs>
              <w:ind w:right="203"/>
              <w:jc w:val="right"/>
            </w:pPr>
            <w:r>
              <w:br/>
            </w:r>
            <w:r>
              <w:rPr>
                <w:szCs w:val="22"/>
              </w:rPr>
              <w:t>1 054.00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808.00</w:t>
            </w:r>
          </w:p>
        </w:tc>
        <w:tc>
          <w:tcPr>
            <w:tcW w:w="1239" w:type="dxa"/>
          </w:tcPr>
          <w:p>
            <w:pPr>
              <w:pStyle w:val="yTableNAm"/>
              <w:tabs>
                <w:tab w:val="clear" w:pos="567"/>
              </w:tabs>
              <w:ind w:right="203"/>
              <w:jc w:val="right"/>
            </w:pPr>
            <w:r>
              <w:br/>
            </w:r>
            <w:r>
              <w:br/>
            </w:r>
            <w:r>
              <w:rPr>
                <w:szCs w:val="22"/>
              </w:rPr>
              <w:t>1 575.00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541.00</w:t>
            </w:r>
          </w:p>
        </w:tc>
        <w:tc>
          <w:tcPr>
            <w:tcW w:w="1239" w:type="dxa"/>
          </w:tcPr>
          <w:p>
            <w:pPr>
              <w:pStyle w:val="yTableNAm"/>
              <w:tabs>
                <w:tab w:val="clear" w:pos="567"/>
              </w:tabs>
              <w:ind w:right="203"/>
              <w:jc w:val="right"/>
            </w:pPr>
            <w:r>
              <w:br/>
            </w:r>
            <w:r>
              <w:rPr>
                <w:szCs w:val="22"/>
              </w:rPr>
              <w:t>1 405.00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541.00</w:t>
            </w:r>
          </w:p>
        </w:tc>
        <w:tc>
          <w:tcPr>
            <w:tcW w:w="1239" w:type="dxa"/>
          </w:tcPr>
          <w:p>
            <w:pPr>
              <w:pStyle w:val="yTableNAm"/>
              <w:keepNext/>
              <w:tabs>
                <w:tab w:val="clear" w:pos="567"/>
              </w:tabs>
              <w:ind w:right="203"/>
              <w:jc w:val="right"/>
            </w:pPr>
            <w:r>
              <w:br/>
            </w:r>
            <w:r>
              <w:br/>
            </w:r>
            <w:r>
              <w:rPr>
                <w:szCs w:val="22"/>
              </w:rPr>
              <w:t>1 405.00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190.00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369.00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rPr>
                <w:szCs w:val="22"/>
              </w:rPr>
              <w:t>190.00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rPr>
                <w:szCs w:val="22"/>
              </w:rPr>
              <w:t>369.00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$1.20.</w:t>
            </w:r>
          </w:p>
        </w:tc>
        <w:tc>
          <w:tcPr>
            <w:tcW w:w="1276" w:type="dxa"/>
          </w:tcPr>
          <w:p>
            <w:pPr>
              <w:pStyle w:val="yTableNAm"/>
              <w:tabs>
                <w:tab w:val="clear" w:pos="567"/>
              </w:tabs>
              <w:spacing w:before="100"/>
              <w:ind w:right="204"/>
              <w:jc w:val="right"/>
            </w:pPr>
            <w:r>
              <w:br/>
            </w:r>
            <w:r>
              <w:br/>
            </w:r>
            <w:r>
              <w:rPr>
                <w:szCs w:val="22"/>
              </w:rPr>
              <w:t>27.30</w:t>
            </w:r>
          </w:p>
        </w:tc>
        <w:tc>
          <w:tcPr>
            <w:tcW w:w="1239" w:type="dxa"/>
          </w:tcPr>
          <w:p>
            <w:pPr>
              <w:pStyle w:val="yTableNAm"/>
              <w:tabs>
                <w:tab w:val="clear" w:pos="567"/>
              </w:tabs>
              <w:spacing w:before="100"/>
              <w:ind w:right="204"/>
              <w:jc w:val="right"/>
            </w:pPr>
            <w:r>
              <w:br/>
            </w:r>
            <w:r>
              <w:br/>
            </w:r>
            <w:r>
              <w:rPr>
                <w:szCs w:val="22"/>
              </w:rPr>
              <w:t>27.30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40.20</w:t>
            </w:r>
          </w:p>
          <w:p>
            <w:pPr>
              <w:pStyle w:val="yTableNAm"/>
              <w:tabs>
                <w:tab w:val="clear" w:pos="567"/>
              </w:tabs>
              <w:spacing w:before="60"/>
              <w:ind w:right="204"/>
              <w:jc w:val="right"/>
            </w:pPr>
            <w:r>
              <w:br/>
            </w:r>
            <w:r>
              <w:br/>
            </w:r>
            <w:r>
              <w:br/>
            </w:r>
            <w:r>
              <w:br/>
            </w:r>
            <w:r>
              <w:br/>
            </w:r>
            <w:r>
              <w:br/>
            </w:r>
            <w:r>
              <w:br/>
            </w:r>
            <w:r>
              <w:rPr>
                <w:szCs w:val="22"/>
              </w:rPr>
              <w:t>67.50</w:t>
            </w:r>
          </w:p>
        </w:tc>
        <w:tc>
          <w:tcPr>
            <w:tcW w:w="1239" w:type="dxa"/>
          </w:tcPr>
          <w:p>
            <w:pPr>
              <w:pStyle w:val="yTableNAm"/>
              <w:tabs>
                <w:tab w:val="clear" w:pos="567"/>
              </w:tabs>
              <w:spacing w:before="100"/>
              <w:ind w:right="204"/>
              <w:jc w:val="right"/>
            </w:pPr>
            <w:r>
              <w:br/>
            </w:r>
            <w:r>
              <w:br/>
            </w:r>
            <w:r>
              <w:br/>
            </w:r>
            <w:r>
              <w:br/>
            </w:r>
            <w:r>
              <w:rPr>
                <w:szCs w:val="22"/>
              </w:rPr>
              <w:t>40.20</w:t>
            </w:r>
          </w:p>
          <w:p>
            <w:pPr>
              <w:pStyle w:val="yTableNAm"/>
              <w:tabs>
                <w:tab w:val="clear" w:pos="567"/>
              </w:tabs>
              <w:spacing w:before="60"/>
              <w:ind w:right="204"/>
              <w:jc w:val="right"/>
            </w:pPr>
            <w:r>
              <w:br/>
            </w:r>
            <w:r>
              <w:br/>
            </w:r>
            <w:r>
              <w:br/>
            </w:r>
            <w:r>
              <w:br/>
            </w:r>
            <w:r>
              <w:br/>
            </w:r>
            <w:r>
              <w:br/>
            </w:r>
            <w:r>
              <w:br/>
            </w:r>
            <w:r>
              <w:rPr>
                <w:szCs w:val="22"/>
              </w:rPr>
              <w:t>67.50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9.50</w:t>
            </w:r>
          </w:p>
          <w:p>
            <w:pPr>
              <w:pStyle w:val="yTableNAm"/>
              <w:tabs>
                <w:tab w:val="clear" w:pos="567"/>
              </w:tabs>
              <w:ind w:right="206"/>
              <w:jc w:val="right"/>
            </w:pPr>
            <w:r>
              <w:br/>
            </w:r>
            <w:r>
              <w:br/>
            </w:r>
            <w:r>
              <w:rPr>
                <w:szCs w:val="22"/>
              </w:rPr>
              <w:t>1.20</w:t>
            </w:r>
          </w:p>
          <w:p>
            <w:pPr>
              <w:pStyle w:val="yTableNAm"/>
              <w:tabs>
                <w:tab w:val="clear" w:pos="567"/>
              </w:tabs>
              <w:ind w:right="206"/>
              <w:jc w:val="right"/>
            </w:pPr>
            <w:r>
              <w:br/>
            </w:r>
            <w:r>
              <w:br/>
            </w:r>
            <w:r>
              <w:rPr>
                <w:szCs w:val="22"/>
              </w:rPr>
              <w:t>13.15</w:t>
            </w:r>
          </w:p>
          <w:p>
            <w:pPr>
              <w:pStyle w:val="yTableNAm"/>
              <w:tabs>
                <w:tab w:val="clear" w:pos="567"/>
              </w:tabs>
              <w:ind w:right="206"/>
              <w:jc w:val="right"/>
            </w:pPr>
            <w:r>
              <w:br/>
            </w:r>
            <w:r>
              <w:rPr>
                <w:szCs w:val="22"/>
              </w:rPr>
              <w:t>28.30</w:t>
            </w:r>
          </w:p>
          <w:p>
            <w:pPr>
              <w:pStyle w:val="yTableNAm"/>
              <w:tabs>
                <w:tab w:val="clear" w:pos="567"/>
              </w:tabs>
              <w:ind w:right="206"/>
              <w:jc w:val="right"/>
            </w:pPr>
            <w:r>
              <w:br/>
            </w:r>
            <w:r>
              <w:br/>
            </w:r>
            <w:r>
              <w:br/>
            </w:r>
            <w:r>
              <w:br/>
            </w:r>
            <w:r>
              <w:rPr>
                <w:szCs w:val="22"/>
              </w:rPr>
              <w:t>54.00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9.50</w:t>
            </w:r>
          </w:p>
          <w:p>
            <w:pPr>
              <w:pStyle w:val="yTableNAm"/>
              <w:tabs>
                <w:tab w:val="clear" w:pos="567"/>
              </w:tabs>
              <w:ind w:right="203"/>
              <w:jc w:val="right"/>
            </w:pPr>
            <w:r>
              <w:br/>
            </w:r>
            <w:r>
              <w:br/>
            </w:r>
            <w:r>
              <w:rPr>
                <w:szCs w:val="22"/>
              </w:rPr>
              <w:t>1.20</w:t>
            </w:r>
          </w:p>
          <w:p>
            <w:pPr>
              <w:pStyle w:val="yTableNAm"/>
              <w:tabs>
                <w:tab w:val="clear" w:pos="567"/>
              </w:tabs>
              <w:ind w:right="203"/>
              <w:jc w:val="right"/>
            </w:pPr>
            <w:r>
              <w:br/>
            </w:r>
            <w:r>
              <w:br/>
            </w:r>
            <w:r>
              <w:rPr>
                <w:szCs w:val="22"/>
              </w:rPr>
              <w:t>13.15</w:t>
            </w:r>
          </w:p>
          <w:p>
            <w:pPr>
              <w:pStyle w:val="yTableNAm"/>
              <w:tabs>
                <w:tab w:val="clear" w:pos="567"/>
              </w:tabs>
              <w:ind w:right="203"/>
              <w:jc w:val="right"/>
            </w:pPr>
            <w:r>
              <w:br/>
            </w:r>
            <w:r>
              <w:rPr>
                <w:szCs w:val="22"/>
              </w:rPr>
              <w:t>28.30</w:t>
            </w:r>
          </w:p>
          <w:p>
            <w:pPr>
              <w:pStyle w:val="yTableNAm"/>
              <w:tabs>
                <w:tab w:val="clear" w:pos="567"/>
              </w:tabs>
              <w:ind w:right="203"/>
              <w:jc w:val="right"/>
            </w:pPr>
            <w:r>
              <w:br/>
            </w:r>
            <w:r>
              <w:br/>
            </w:r>
            <w:r>
              <w:br/>
            </w:r>
            <w:r>
              <w:br/>
            </w:r>
            <w:r>
              <w:rPr>
                <w:szCs w:val="22"/>
              </w:rPr>
              <w:t>54.00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5.30</w:t>
            </w:r>
          </w:p>
          <w:p>
            <w:pPr>
              <w:pStyle w:val="yTableNAm"/>
              <w:tabs>
                <w:tab w:val="clear" w:pos="567"/>
              </w:tabs>
              <w:ind w:right="206"/>
              <w:jc w:val="right"/>
            </w:pPr>
            <w:r>
              <w:br/>
            </w:r>
            <w:r>
              <w:br/>
            </w:r>
            <w:r>
              <w:br/>
            </w:r>
            <w:r>
              <w:br/>
            </w:r>
            <w:r>
              <w:rPr>
                <w:szCs w:val="22"/>
              </w:rPr>
              <w:t>13.15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5.30</w:t>
            </w:r>
          </w:p>
          <w:p>
            <w:pPr>
              <w:pStyle w:val="yTableNAm"/>
              <w:tabs>
                <w:tab w:val="clear" w:pos="567"/>
              </w:tabs>
              <w:ind w:right="203"/>
              <w:jc w:val="right"/>
            </w:pPr>
            <w:r>
              <w:br/>
            </w:r>
            <w:r>
              <w:br/>
            </w:r>
            <w:r>
              <w:br/>
            </w:r>
            <w:r>
              <w:br/>
            </w:r>
            <w:r>
              <w:rPr>
                <w:szCs w:val="22"/>
              </w:rPr>
              <w:t>13.15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227.00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w:t>
      </w:r>
    </w:p>
    <w:p>
      <w:pPr>
        <w:pStyle w:val="yHeading3"/>
      </w:pPr>
      <w:bookmarkStart w:id="140" w:name="_Toc239758530"/>
      <w:bookmarkStart w:id="141" w:name="_Toc239761854"/>
      <w:bookmarkStart w:id="142" w:name="_Toc244333853"/>
      <w:bookmarkStart w:id="143" w:name="_Toc245873245"/>
      <w:bookmarkStart w:id="144" w:name="_Toc268173682"/>
      <w:bookmarkStart w:id="145" w:name="_Toc287360184"/>
      <w:bookmarkStart w:id="146" w:name="_Toc312141665"/>
      <w:bookmarkStart w:id="147" w:name="_Toc320525377"/>
      <w:bookmarkStart w:id="148" w:name="_Toc320531623"/>
      <w:r>
        <w:rPr>
          <w:rStyle w:val="CharSDivNo"/>
        </w:rPr>
        <w:t>Division 2</w:t>
      </w:r>
      <w:r>
        <w:rPr>
          <w:b w:val="0"/>
        </w:rPr>
        <w:t> — </w:t>
      </w:r>
      <w:r>
        <w:rPr>
          <w:rStyle w:val="CharSDivText"/>
        </w:rPr>
        <w:t>Court of Appeal fees</w:t>
      </w:r>
      <w:bookmarkEnd w:id="140"/>
      <w:bookmarkEnd w:id="141"/>
      <w:bookmarkEnd w:id="142"/>
      <w:bookmarkEnd w:id="143"/>
      <w:bookmarkEnd w:id="144"/>
      <w:bookmarkEnd w:id="145"/>
      <w:bookmarkEnd w:id="146"/>
      <w:bookmarkEnd w:id="147"/>
      <w:bookmarkEnd w:id="148"/>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134.50</w:t>
            </w:r>
          </w:p>
        </w:tc>
        <w:tc>
          <w:tcPr>
            <w:tcW w:w="1240" w:type="dxa"/>
          </w:tcPr>
          <w:p>
            <w:pPr>
              <w:pStyle w:val="yTableNAm"/>
              <w:tabs>
                <w:tab w:val="clear" w:pos="567"/>
              </w:tabs>
              <w:ind w:right="204"/>
              <w:jc w:val="right"/>
            </w:pPr>
            <w:r>
              <w:rPr>
                <w:szCs w:val="22"/>
              </w:rPr>
              <w:t>349.00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2 031.00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5 279.00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269.00</w:t>
            </w:r>
          </w:p>
        </w:tc>
        <w:tc>
          <w:tcPr>
            <w:tcW w:w="1240" w:type="dxa"/>
          </w:tcPr>
          <w:p>
            <w:pPr>
              <w:pStyle w:val="yTableNAm"/>
              <w:tabs>
                <w:tab w:val="clear" w:pos="567"/>
              </w:tabs>
              <w:ind w:right="204"/>
              <w:jc w:val="right"/>
            </w:pPr>
            <w:r>
              <w:br/>
            </w:r>
            <w:r>
              <w:br/>
            </w:r>
            <w:r>
              <w:br/>
            </w:r>
            <w:r>
              <w:br/>
            </w:r>
            <w:r>
              <w:rPr>
                <w:szCs w:val="22"/>
              </w:rPr>
              <w:t>527.00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190.00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369.00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677.00</w:t>
            </w:r>
          </w:p>
        </w:tc>
        <w:tc>
          <w:tcPr>
            <w:tcW w:w="1240" w:type="dxa"/>
          </w:tcPr>
          <w:p>
            <w:pPr>
              <w:pStyle w:val="yTableNAm"/>
              <w:keepNext/>
              <w:tabs>
                <w:tab w:val="clear" w:pos="567"/>
              </w:tabs>
              <w:ind w:right="204"/>
              <w:jc w:val="right"/>
            </w:pPr>
            <w:r>
              <w:rPr>
                <w:szCs w:val="22"/>
              </w:rPr>
              <w:t>1 318.00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541.00</w:t>
            </w:r>
          </w:p>
        </w:tc>
        <w:tc>
          <w:tcPr>
            <w:tcW w:w="1240" w:type="dxa"/>
          </w:tcPr>
          <w:p>
            <w:pPr>
              <w:pStyle w:val="yTableNAm"/>
              <w:tabs>
                <w:tab w:val="clear" w:pos="567"/>
              </w:tabs>
              <w:ind w:right="204"/>
              <w:jc w:val="right"/>
            </w:pPr>
            <w:r>
              <w:br/>
            </w:r>
            <w:r>
              <w:rPr>
                <w:szCs w:val="22"/>
              </w:rPr>
              <w:t>1 405.00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541.00</w:t>
            </w:r>
          </w:p>
        </w:tc>
        <w:tc>
          <w:tcPr>
            <w:tcW w:w="1240" w:type="dxa"/>
          </w:tcPr>
          <w:p>
            <w:pPr>
              <w:pStyle w:val="yTableNAm"/>
              <w:tabs>
                <w:tab w:val="clear" w:pos="567"/>
              </w:tabs>
              <w:ind w:right="204"/>
              <w:jc w:val="right"/>
            </w:pPr>
            <w:r>
              <w:rPr>
                <w:szCs w:val="22"/>
              </w:rPr>
              <w:t>1 405.00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$1.20.</w:t>
            </w:r>
          </w:p>
        </w:tc>
        <w:tc>
          <w:tcPr>
            <w:tcW w:w="1276" w:type="dxa"/>
          </w:tcPr>
          <w:p>
            <w:pPr>
              <w:pStyle w:val="yTableNAm"/>
              <w:tabs>
                <w:tab w:val="clear" w:pos="567"/>
              </w:tabs>
              <w:ind w:right="206"/>
              <w:jc w:val="right"/>
            </w:pPr>
            <w:r>
              <w:br/>
            </w:r>
            <w:r>
              <w:br/>
            </w:r>
            <w:r>
              <w:rPr>
                <w:szCs w:val="22"/>
              </w:rPr>
              <w:t>27.30</w:t>
            </w:r>
          </w:p>
        </w:tc>
        <w:tc>
          <w:tcPr>
            <w:tcW w:w="1240" w:type="dxa"/>
          </w:tcPr>
          <w:p>
            <w:pPr>
              <w:pStyle w:val="yTableNAm"/>
              <w:tabs>
                <w:tab w:val="clear" w:pos="567"/>
              </w:tabs>
              <w:ind w:right="204"/>
              <w:jc w:val="right"/>
            </w:pPr>
            <w:r>
              <w:br/>
            </w:r>
            <w:r>
              <w:br/>
            </w:r>
            <w:r>
              <w:rPr>
                <w:szCs w:val="22"/>
              </w:rPr>
              <w:t>27.30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9.50</w:t>
            </w:r>
          </w:p>
          <w:p>
            <w:pPr>
              <w:pStyle w:val="yTableNAm"/>
              <w:tabs>
                <w:tab w:val="clear" w:pos="567"/>
              </w:tabs>
              <w:ind w:right="206"/>
              <w:jc w:val="right"/>
            </w:pPr>
            <w:r>
              <w:br/>
            </w:r>
            <w:r>
              <w:br/>
            </w:r>
            <w:r>
              <w:rPr>
                <w:szCs w:val="22"/>
              </w:rPr>
              <w:t>1.20</w:t>
            </w:r>
          </w:p>
          <w:p>
            <w:pPr>
              <w:pStyle w:val="yTableNAm"/>
              <w:tabs>
                <w:tab w:val="clear" w:pos="567"/>
              </w:tabs>
              <w:ind w:right="206"/>
              <w:jc w:val="right"/>
            </w:pPr>
            <w:r>
              <w:br/>
            </w:r>
            <w:r>
              <w:br/>
            </w:r>
            <w:r>
              <w:rPr>
                <w:szCs w:val="22"/>
              </w:rPr>
              <w:t>13.15</w:t>
            </w:r>
          </w:p>
          <w:p>
            <w:pPr>
              <w:pStyle w:val="yTableNAm"/>
              <w:tabs>
                <w:tab w:val="clear" w:pos="567"/>
              </w:tabs>
              <w:ind w:right="206"/>
              <w:jc w:val="right"/>
            </w:pPr>
            <w:r>
              <w:br/>
            </w:r>
            <w:r>
              <w:rPr>
                <w:szCs w:val="22"/>
              </w:rPr>
              <w:t>28.30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9.50</w:t>
            </w:r>
          </w:p>
          <w:p>
            <w:pPr>
              <w:pStyle w:val="yTableNAm"/>
              <w:tabs>
                <w:tab w:val="clear" w:pos="567"/>
              </w:tabs>
              <w:ind w:right="204"/>
              <w:jc w:val="right"/>
            </w:pPr>
            <w:r>
              <w:br/>
            </w:r>
            <w:r>
              <w:br/>
            </w:r>
            <w:r>
              <w:rPr>
                <w:szCs w:val="22"/>
              </w:rPr>
              <w:t>1.20</w:t>
            </w:r>
          </w:p>
          <w:p>
            <w:pPr>
              <w:pStyle w:val="yTableNAm"/>
              <w:tabs>
                <w:tab w:val="clear" w:pos="567"/>
              </w:tabs>
              <w:ind w:right="204"/>
              <w:jc w:val="right"/>
            </w:pPr>
            <w:r>
              <w:br/>
            </w:r>
            <w:r>
              <w:br/>
            </w:r>
            <w:r>
              <w:rPr>
                <w:szCs w:val="22"/>
              </w:rPr>
              <w:t>13.15</w:t>
            </w:r>
          </w:p>
          <w:p>
            <w:pPr>
              <w:pStyle w:val="yTableNAm"/>
              <w:tabs>
                <w:tab w:val="clear" w:pos="567"/>
              </w:tabs>
              <w:ind w:right="204"/>
              <w:jc w:val="right"/>
            </w:pPr>
            <w:r>
              <w:br/>
            </w:r>
            <w:r>
              <w:rPr>
                <w:szCs w:val="22"/>
              </w:rPr>
              <w:t>28.30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5.30</w:t>
            </w:r>
          </w:p>
          <w:p>
            <w:pPr>
              <w:pStyle w:val="yTableNAm"/>
              <w:tabs>
                <w:tab w:val="clear" w:pos="567"/>
              </w:tabs>
              <w:ind w:right="206"/>
              <w:jc w:val="right"/>
            </w:pPr>
            <w:r>
              <w:br/>
            </w:r>
            <w:r>
              <w:br/>
            </w:r>
            <w:r>
              <w:br/>
            </w:r>
            <w:r>
              <w:br/>
            </w:r>
            <w:r>
              <w:br/>
            </w:r>
            <w:r>
              <w:rPr>
                <w:szCs w:val="22"/>
              </w:rPr>
              <w:t>13.15</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5.30</w:t>
            </w:r>
          </w:p>
          <w:p>
            <w:pPr>
              <w:pStyle w:val="yTableNAm"/>
              <w:tabs>
                <w:tab w:val="clear" w:pos="567"/>
              </w:tabs>
              <w:ind w:right="204"/>
              <w:jc w:val="right"/>
            </w:pPr>
            <w:r>
              <w:br/>
            </w:r>
            <w:r>
              <w:br/>
            </w:r>
            <w:r>
              <w:br/>
            </w:r>
            <w:r>
              <w:br/>
            </w:r>
            <w:r>
              <w:br/>
            </w:r>
            <w:r>
              <w:rPr>
                <w:szCs w:val="22"/>
              </w:rPr>
              <w:t>13.15</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w:t>
      </w:r>
    </w:p>
    <w:p>
      <w:pPr>
        <w:pStyle w:val="yScheduleHeading"/>
      </w:pPr>
      <w:bookmarkStart w:id="149" w:name="_Toc239758531"/>
      <w:bookmarkStart w:id="150" w:name="_Toc239761855"/>
      <w:bookmarkStart w:id="151" w:name="_Toc244333854"/>
      <w:bookmarkStart w:id="152" w:name="_Toc245873246"/>
      <w:bookmarkStart w:id="153" w:name="_Toc268173683"/>
      <w:bookmarkStart w:id="154" w:name="_Toc287360185"/>
      <w:bookmarkStart w:id="155" w:name="_Toc312141666"/>
      <w:bookmarkStart w:id="156" w:name="_Toc320525378"/>
      <w:bookmarkStart w:id="157" w:name="_Toc320531624"/>
      <w:r>
        <w:rPr>
          <w:rStyle w:val="CharSchNo"/>
        </w:rPr>
        <w:t>Schedule 2</w:t>
      </w:r>
      <w:r>
        <w:rPr>
          <w:rStyle w:val="CharSDivNo"/>
        </w:rPr>
        <w:t> </w:t>
      </w:r>
      <w:r>
        <w:t>—</w:t>
      </w:r>
      <w:r>
        <w:rPr>
          <w:rStyle w:val="CharSDivText"/>
        </w:rPr>
        <w:t> </w:t>
      </w:r>
      <w:r>
        <w:rPr>
          <w:rStyle w:val="CharSchText"/>
        </w:rPr>
        <w:t>Sheriff’s fees</w:t>
      </w:r>
      <w:bookmarkEnd w:id="149"/>
      <w:bookmarkEnd w:id="150"/>
      <w:bookmarkEnd w:id="151"/>
      <w:bookmarkEnd w:id="152"/>
      <w:bookmarkEnd w:id="153"/>
      <w:bookmarkEnd w:id="154"/>
      <w:bookmarkEnd w:id="155"/>
      <w:bookmarkEnd w:id="156"/>
      <w:bookmarkEnd w:id="157"/>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85.50</w:t>
            </w:r>
          </w:p>
          <w:p>
            <w:pPr>
              <w:pStyle w:val="yTableNAm"/>
              <w:tabs>
                <w:tab w:val="clear" w:pos="567"/>
              </w:tabs>
              <w:spacing w:before="80"/>
              <w:ind w:right="241"/>
              <w:jc w:val="right"/>
            </w:pPr>
            <w:r>
              <w:br/>
            </w:r>
            <w:r>
              <w:br/>
            </w:r>
            <w:r>
              <w:rPr>
                <w:szCs w:val="22"/>
              </w:rPr>
              <w:t>85.50</w:t>
            </w:r>
          </w:p>
          <w:p>
            <w:pPr>
              <w:pStyle w:val="yTableNAm"/>
              <w:tabs>
                <w:tab w:val="clear" w:pos="567"/>
              </w:tabs>
              <w:spacing w:before="80"/>
              <w:ind w:right="241"/>
              <w:jc w:val="right"/>
              <w:rPr>
                <w:b/>
              </w:rPr>
            </w:pPr>
            <w:r>
              <w:br/>
            </w:r>
            <w:r>
              <w:br/>
            </w:r>
            <w:r>
              <w:br/>
            </w:r>
            <w:r>
              <w:br/>
            </w:r>
            <w:r>
              <w:rPr>
                <w:szCs w:val="22"/>
              </w:rPr>
              <w:t>22.70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46.90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1.20</w:t>
            </w:r>
          </w:p>
          <w:p>
            <w:pPr>
              <w:pStyle w:val="yTableNAm"/>
              <w:ind w:right="246"/>
              <w:jc w:val="right"/>
            </w:pPr>
            <w:r>
              <w:br/>
            </w:r>
            <w:r>
              <w:rPr>
                <w:szCs w:val="22"/>
              </w:rPr>
              <w:t>1.30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45.30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145.50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w:t>
      </w:r>
    </w:p>
    <w:p>
      <w:pPr>
        <w:pStyle w:val="yScheduleHeading"/>
      </w:pPr>
      <w:bookmarkStart w:id="158" w:name="_Toc239758532"/>
      <w:bookmarkStart w:id="159" w:name="_Toc239761856"/>
      <w:bookmarkStart w:id="160" w:name="_Toc244333855"/>
      <w:bookmarkStart w:id="161" w:name="_Toc245873247"/>
      <w:bookmarkStart w:id="162" w:name="_Toc268173684"/>
      <w:bookmarkStart w:id="163" w:name="_Toc287360186"/>
      <w:bookmarkStart w:id="164" w:name="_Toc312141667"/>
      <w:bookmarkStart w:id="165" w:name="_Toc320525379"/>
      <w:bookmarkStart w:id="166" w:name="_Toc320531625"/>
      <w:r>
        <w:rPr>
          <w:rStyle w:val="CharSchNo"/>
        </w:rPr>
        <w:t>Schedule 3</w:t>
      </w:r>
      <w:r>
        <w:t> — </w:t>
      </w:r>
      <w:r>
        <w:rPr>
          <w:rStyle w:val="CharSchText"/>
        </w:rPr>
        <w:t>Probate fees</w:t>
      </w:r>
      <w:bookmarkEnd w:id="158"/>
      <w:bookmarkEnd w:id="159"/>
      <w:bookmarkEnd w:id="160"/>
      <w:bookmarkEnd w:id="161"/>
      <w:bookmarkEnd w:id="162"/>
      <w:bookmarkEnd w:id="163"/>
      <w:bookmarkEnd w:id="164"/>
      <w:bookmarkEnd w:id="165"/>
      <w:bookmarkEnd w:id="166"/>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54.00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54.00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13.15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67.50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27.30</w:t>
            </w:r>
          </w:p>
        </w:tc>
      </w:tr>
    </w:tbl>
    <w:p>
      <w:pPr>
        <w:pStyle w:val="yFootnotesection"/>
      </w:pPr>
      <w:r>
        <w:tab/>
        <w:t>[Schedule 3 inserted in Gazette 4 Sep 2009 p. 3471-2; amended in Gazette 8 Mar 2011 p. 784; 20 Dec 2011 p. 5379.]</w:t>
      </w:r>
    </w:p>
    <w:p>
      <w:pPr>
        <w:pStyle w:val="yScheduleHeading"/>
      </w:pPr>
      <w:bookmarkStart w:id="167" w:name="_Toc244333856"/>
      <w:bookmarkStart w:id="168" w:name="_Toc245873248"/>
      <w:bookmarkStart w:id="169" w:name="_Toc268173685"/>
      <w:bookmarkStart w:id="170" w:name="_Toc287360187"/>
      <w:bookmarkStart w:id="171" w:name="_Toc312141668"/>
      <w:bookmarkStart w:id="172" w:name="_Toc320525380"/>
      <w:bookmarkStart w:id="173" w:name="_Toc320531626"/>
      <w:r>
        <w:rPr>
          <w:rStyle w:val="CharSchNo"/>
        </w:rPr>
        <w:t>Schedule 4</w:t>
      </w:r>
      <w:r>
        <w:t xml:space="preserve"> — </w:t>
      </w:r>
      <w:r>
        <w:rPr>
          <w:rStyle w:val="CharSchText"/>
        </w:rPr>
        <w:t>Forms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67"/>
      <w:bookmarkEnd w:id="168"/>
      <w:bookmarkEnd w:id="169"/>
      <w:bookmarkEnd w:id="170"/>
      <w:bookmarkEnd w:id="171"/>
      <w:bookmarkEnd w:id="172"/>
      <w:bookmarkEnd w:id="173"/>
    </w:p>
    <w:p>
      <w:pPr>
        <w:pStyle w:val="yShoulderClause"/>
        <w:spacing w:after="120"/>
      </w:pPr>
      <w:r>
        <w:t xml:space="preserve">[r. </w:t>
      </w:r>
      <w:bookmarkStart w:id="174" w:name="_Hlt533327436"/>
      <w:r>
        <w:t>4(7)</w:t>
      </w:r>
      <w:bookmarkEnd w:id="174"/>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5" w:name="_Toc102891015"/>
      <w:bookmarkStart w:id="176" w:name="_Toc107626250"/>
      <w:bookmarkStart w:id="177" w:name="_Toc139175210"/>
      <w:bookmarkStart w:id="178" w:name="_Toc139365941"/>
      <w:bookmarkStart w:id="179" w:name="_Toc141847812"/>
      <w:bookmarkStart w:id="180" w:name="_Toc142382646"/>
      <w:bookmarkStart w:id="181" w:name="_Toc144009329"/>
      <w:bookmarkStart w:id="182" w:name="_Toc144009445"/>
      <w:bookmarkStart w:id="183" w:name="_Toc144010743"/>
      <w:bookmarkStart w:id="184" w:name="_Toc144616507"/>
      <w:bookmarkStart w:id="185" w:name="_Toc145814170"/>
      <w:bookmarkStart w:id="186" w:name="_Toc170790396"/>
      <w:bookmarkStart w:id="187" w:name="_Toc171051026"/>
      <w:bookmarkStart w:id="188" w:name="_Toc202265392"/>
      <w:bookmarkStart w:id="189" w:name="_Toc232310904"/>
      <w:bookmarkStart w:id="190" w:name="_Toc233086413"/>
      <w:bookmarkStart w:id="191" w:name="_Toc233519306"/>
      <w:bookmarkStart w:id="192" w:name="_Toc233526465"/>
      <w:bookmarkStart w:id="193" w:name="_Toc244333857"/>
      <w:bookmarkStart w:id="194" w:name="_Toc245873249"/>
      <w:bookmarkStart w:id="195" w:name="_Toc268173686"/>
      <w:bookmarkStart w:id="196" w:name="_Toc287360188"/>
      <w:bookmarkStart w:id="197" w:name="_Toc312141669"/>
      <w:bookmarkStart w:id="198" w:name="_Toc320525381"/>
      <w:bookmarkStart w:id="199" w:name="_Toc320531627"/>
      <w:r>
        <w:t>Notes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00" w:name="_Toc320531628"/>
      <w:r>
        <w:t>Compilation table</w:t>
      </w:r>
      <w:bookmarkEnd w:id="200"/>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2010</w:t>
            </w:r>
          </w:p>
        </w:tc>
        <w:tc>
          <w:tcPr>
            <w:tcW w:w="1288" w:type="dxa"/>
            <w:gridSpan w:val="2"/>
          </w:tcPr>
          <w:p>
            <w:pPr>
              <w:pStyle w:val="nTable"/>
              <w:spacing w:after="40"/>
              <w:rPr>
                <w:sz w:val="19"/>
              </w:rPr>
            </w:pPr>
            <w:r>
              <w:rPr>
                <w:sz w:val="19"/>
              </w:rPr>
              <w:t>30 Jul 2010 p. 3496-7</w:t>
            </w:r>
          </w:p>
        </w:tc>
        <w:tc>
          <w:tcPr>
            <w:tcW w:w="2694" w:type="dxa"/>
            <w:gridSpan w:val="2"/>
          </w:tcPr>
          <w:p>
            <w:pPr>
              <w:pStyle w:val="nTable"/>
              <w:spacing w:after="40"/>
              <w:rPr>
                <w:snapToGrid w:val="0"/>
                <w:spacing w:val="-2"/>
                <w:sz w:val="19"/>
                <w:lang w:val="en-US"/>
              </w:rPr>
            </w:pPr>
            <w:r>
              <w:rPr>
                <w:snapToGrid w:val="0"/>
                <w:spacing w:val="-2"/>
                <w:sz w:val="19"/>
                <w:lang w:val="en-US"/>
              </w:rPr>
              <w:t xml:space="preserve">r. 1 and 2: </w:t>
            </w:r>
            <w:r>
              <w:rPr>
                <w:sz w:val="19"/>
              </w:rPr>
              <w:t>30 Jul 2010</w:t>
            </w:r>
            <w:r>
              <w:rPr>
                <w:snapToGrid w:val="0"/>
                <w:spacing w:val="-2"/>
                <w:sz w:val="19"/>
                <w:lang w:val="en-US"/>
              </w:rPr>
              <w:t xml:space="preserve"> (see r. 2(a));</w:t>
            </w:r>
            <w:r>
              <w:rPr>
                <w:snapToGrid w:val="0"/>
                <w:spacing w:val="-2"/>
                <w:sz w:val="19"/>
                <w:lang w:val="en-US"/>
              </w:rPr>
              <w:br/>
              <w:t xml:space="preserve">Regulations other than r. 1 and 2: </w:t>
            </w:r>
            <w:r>
              <w:rPr>
                <w:sz w:val="19"/>
              </w:rPr>
              <w:t>31 Jul 2010</w:t>
            </w:r>
            <w:r>
              <w:rPr>
                <w:snapToGrid w:val="0"/>
                <w:spacing w:val="-2"/>
                <w:sz w:val="19"/>
                <w:lang w:val="en-US"/>
              </w:rPr>
              <w:t xml:space="preserve"> (see r. 2(b))</w:t>
            </w:r>
          </w:p>
        </w:tc>
      </w:tr>
      <w:tr>
        <w:trPr>
          <w:cantSplit/>
        </w:trPr>
        <w:tc>
          <w:tcPr>
            <w:tcW w:w="3122" w:type="dxa"/>
          </w:tcPr>
          <w:p>
            <w:pPr>
              <w:pStyle w:val="nTable"/>
              <w:spacing w:after="40"/>
              <w:ind w:right="113"/>
              <w:rPr>
                <w:i/>
                <w:sz w:val="19"/>
              </w:rPr>
            </w:pPr>
            <w:r>
              <w:rPr>
                <w:i/>
                <w:sz w:val="19"/>
              </w:rPr>
              <w:t>Supreme Court (Fees) Amendment Regulations 2011</w:t>
            </w:r>
          </w:p>
        </w:tc>
        <w:tc>
          <w:tcPr>
            <w:tcW w:w="1288" w:type="dxa"/>
            <w:gridSpan w:val="2"/>
          </w:tcPr>
          <w:p>
            <w:pPr>
              <w:pStyle w:val="nTable"/>
              <w:spacing w:after="40"/>
              <w:rPr>
                <w:sz w:val="19"/>
              </w:rPr>
            </w:pPr>
            <w:r>
              <w:rPr>
                <w:sz w:val="19"/>
              </w:rPr>
              <w:t>8 Mar 2011 p. 781</w:t>
            </w:r>
            <w:r>
              <w:rPr>
                <w:sz w:val="19"/>
              </w:rPr>
              <w:noBreakHyphen/>
              <w:t>4</w:t>
            </w:r>
          </w:p>
        </w:tc>
        <w:tc>
          <w:tcPr>
            <w:tcW w:w="2694" w:type="dxa"/>
            <w:gridSpan w:val="2"/>
          </w:tcPr>
          <w:p>
            <w:pPr>
              <w:pStyle w:val="nTable"/>
              <w:spacing w:after="40"/>
              <w:rPr>
                <w:snapToGrid w:val="0"/>
                <w:spacing w:val="-2"/>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rPr>
          <w:cantSplit/>
        </w:trPr>
        <w:tc>
          <w:tcPr>
            <w:tcW w:w="3122" w:type="dxa"/>
          </w:tcPr>
          <w:p>
            <w:pPr>
              <w:pStyle w:val="nTable"/>
              <w:spacing w:after="40"/>
              <w:ind w:right="113"/>
              <w:rPr>
                <w:i/>
                <w:sz w:val="19"/>
              </w:rPr>
            </w:pPr>
            <w:r>
              <w:rPr>
                <w:i/>
                <w:sz w:val="19"/>
              </w:rPr>
              <w:t>Supreme Court (Fees) Amendment Regulations (No. 2) 2011</w:t>
            </w:r>
          </w:p>
        </w:tc>
        <w:tc>
          <w:tcPr>
            <w:tcW w:w="1288" w:type="dxa"/>
            <w:gridSpan w:val="2"/>
          </w:tcPr>
          <w:p>
            <w:pPr>
              <w:pStyle w:val="nTable"/>
              <w:spacing w:after="40"/>
              <w:rPr>
                <w:sz w:val="19"/>
              </w:rPr>
            </w:pPr>
            <w:r>
              <w:rPr>
                <w:sz w:val="19"/>
              </w:rPr>
              <w:t>20 Dec 2011 p. 5376-9</w:t>
            </w:r>
          </w:p>
        </w:tc>
        <w:tc>
          <w:tcPr>
            <w:tcW w:w="2694" w:type="dxa"/>
            <w:gridSpan w:val="2"/>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rPr>
          <w:cantSplit/>
        </w:trPr>
        <w:tc>
          <w:tcPr>
            <w:tcW w:w="3122" w:type="dxa"/>
            <w:tcBorders>
              <w:bottom w:val="single" w:sz="8" w:space="0" w:color="auto"/>
            </w:tcBorders>
          </w:tcPr>
          <w:p>
            <w:pPr>
              <w:pStyle w:val="nTable"/>
              <w:spacing w:after="40"/>
              <w:ind w:right="113"/>
              <w:rPr>
                <w:i/>
                <w:sz w:val="19"/>
              </w:rPr>
            </w:pPr>
            <w:r>
              <w:rPr>
                <w:i/>
                <w:sz w:val="19"/>
              </w:rPr>
              <w:t>Supreme Court (Fees) Amendment Regulations 2012</w:t>
            </w:r>
          </w:p>
        </w:tc>
        <w:tc>
          <w:tcPr>
            <w:tcW w:w="1288" w:type="dxa"/>
            <w:gridSpan w:val="2"/>
            <w:tcBorders>
              <w:bottom w:val="single" w:sz="8" w:space="0" w:color="auto"/>
            </w:tcBorders>
          </w:tcPr>
          <w:p>
            <w:pPr>
              <w:pStyle w:val="nTable"/>
              <w:spacing w:after="40"/>
              <w:rPr>
                <w:sz w:val="19"/>
              </w:rPr>
            </w:pPr>
            <w:r>
              <w:rPr>
                <w:sz w:val="19"/>
              </w:rPr>
              <w:t>27 Mar 2012 p. 1508</w:t>
            </w:r>
          </w:p>
        </w:tc>
        <w:tc>
          <w:tcPr>
            <w:tcW w:w="2694" w:type="dxa"/>
            <w:gridSpan w:val="2"/>
            <w:tcBorders>
              <w:bottom w:val="single" w:sz="8" w:space="0" w:color="auto"/>
            </w:tcBorders>
          </w:tcPr>
          <w:p>
            <w:pPr>
              <w:pStyle w:val="nTable"/>
              <w:spacing w:after="40"/>
              <w:rPr>
                <w:snapToGrid w:val="0"/>
                <w:spacing w:val="-2"/>
                <w:sz w:val="19"/>
                <w:lang w:val="en-US"/>
              </w:rPr>
            </w:pPr>
            <w:r>
              <w:rPr>
                <w:snapToGrid w:val="0"/>
                <w:spacing w:val="-2"/>
                <w:sz w:val="19"/>
                <w:lang w:val="en-US"/>
              </w:rPr>
              <w:t>r. 1 and 2: 27 Mar 2012 (see r. 2(a));</w:t>
            </w:r>
            <w:r>
              <w:rPr>
                <w:snapToGrid w:val="0"/>
                <w:spacing w:val="-2"/>
                <w:sz w:val="19"/>
                <w:lang w:val="en-US"/>
              </w:rPr>
              <w:br/>
              <w:t>Regulations other than r. 1 and 2: 28 Mar 2012 (see r. 2(b))</w:t>
            </w:r>
          </w:p>
        </w:tc>
      </w:tr>
    </w:tbl>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rPr>
          <w:sz w:val="28"/>
        </w:rPr>
      </w:pPr>
      <w:bookmarkStart w:id="201" w:name="_Toc233526467"/>
      <w:bookmarkStart w:id="202" w:name="_Toc244333859"/>
      <w:bookmarkStart w:id="203" w:name="_Toc245873251"/>
      <w:bookmarkStart w:id="204" w:name="_Toc268173688"/>
      <w:bookmarkStart w:id="205" w:name="_Toc287360190"/>
      <w:bookmarkStart w:id="206" w:name="_Toc312141671"/>
      <w:bookmarkStart w:id="207" w:name="_Toc320525383"/>
      <w:bookmarkStart w:id="208" w:name="_Toc320531629"/>
      <w:r>
        <w:rPr>
          <w:sz w:val="28"/>
        </w:rPr>
        <w:t>Defined Terms</w:t>
      </w:r>
      <w:bookmarkEnd w:id="201"/>
      <w:bookmarkEnd w:id="202"/>
      <w:bookmarkEnd w:id="203"/>
      <w:bookmarkEnd w:id="204"/>
      <w:bookmarkEnd w:id="205"/>
      <w:bookmarkEnd w:id="206"/>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9" w:name="DefinedTerms"/>
      <w:bookmarkEnd w:id="209"/>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628"/>
    <w:docVar w:name="WAFER_20151210160628" w:val="RemoveTrackChanges"/>
    <w:docVar w:name="WAFER_20151210160628_GUID" w:val="f647c95a-909f-4616-9b3e-d04a3b8f49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8028</Words>
  <Characters>40868</Characters>
  <Application>Microsoft Office Word</Application>
  <DocSecurity>0</DocSecurity>
  <Lines>1857</Lines>
  <Paragraphs>958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2002 - 02-e0-02</dc:title>
  <dc:subject/>
  <dc:creator/>
  <cp:keywords/>
  <dc:description/>
  <cp:lastModifiedBy>svcMRProcess</cp:lastModifiedBy>
  <cp:revision>4</cp:revision>
  <cp:lastPrinted>2009-11-13T03:17:00Z</cp:lastPrinted>
  <dcterms:created xsi:type="dcterms:W3CDTF">2018-09-16T22:05:00Z</dcterms:created>
  <dcterms:modified xsi:type="dcterms:W3CDTF">2018-09-16T22:05:00Z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20120328</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AsAtDate">
    <vt:lpwstr>28 Mar 2012</vt:lpwstr>
  </property>
  <property fmtid="{D5CDD505-2E9C-101B-9397-08002B2CF9AE}" pid="8" name="Suffix">
    <vt:lpwstr>02-e0-02</vt:lpwstr>
  </property>
</Properties>
</file>