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Racing and Wagering Western Australia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State">
        <w:smartTag w:uri="urn:schemas-microsoft-com:office:smarttags" w:element="place">
          <w:r>
            <w:lastRenderedPageBreak/>
            <w:t>Western Australia</w:t>
          </w:r>
        </w:smartTag>
      </w:smartTag>
    </w:p>
    <w:p>
      <w:pPr>
        <w:pStyle w:val="NameofActRegPage1"/>
        <w:ind w:left="240" w:right="376"/>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_Toc378338165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_Toc378338166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_Toc378338167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Racing and Wagering Western Australia</w:t>
      </w:r>
    </w:p>
    <w:p>
      <w:pPr>
        <w:pStyle w:val="TOC4"/>
        <w:tabs>
          <w:tab w:val="right" w:leader="dot" w:pos="7086"/>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Racing and Wagering Western Australia established</w:t>
      </w:r>
      <w:r>
        <w:tab/>
      </w:r>
      <w:r>
        <w:fldChar w:fldCharType="begin"/>
      </w:r>
      <w:r>
        <w:instrText xml:space="preserve"> PAGEREF _Toc378338170 \h </w:instrText>
      </w:r>
      <w:r>
        <w:fldChar w:fldCharType="separate"/>
      </w:r>
      <w:r>
        <w:t>8</w:t>
      </w:r>
      <w:r>
        <w:fldChar w:fldCharType="end"/>
      </w:r>
    </w:p>
    <w:p>
      <w:pPr>
        <w:pStyle w:val="TOC8"/>
        <w:rPr>
          <w:rFonts w:asciiTheme="minorHAnsi" w:eastAsiaTheme="minorEastAsia" w:hAnsiTheme="minorHAnsi" w:cstheme="minorBidi"/>
          <w:szCs w:val="22"/>
        </w:rPr>
      </w:pPr>
      <w:r>
        <w:t>5.</w:t>
      </w:r>
      <w:r>
        <w:tab/>
        <w:t>RWWA not an agent of the Crown</w:t>
      </w:r>
      <w:r>
        <w:tab/>
      </w:r>
      <w:r>
        <w:fldChar w:fldCharType="begin"/>
      </w:r>
      <w:r>
        <w:instrText xml:space="preserve"> PAGEREF _Toc378338171 \h </w:instrText>
      </w:r>
      <w:r>
        <w:fldChar w:fldCharType="separate"/>
      </w:r>
      <w:r>
        <w:t>8</w:t>
      </w:r>
      <w:r>
        <w:fldChar w:fldCharType="end"/>
      </w:r>
    </w:p>
    <w:p>
      <w:pPr>
        <w:pStyle w:val="TOC8"/>
        <w:rPr>
          <w:rFonts w:asciiTheme="minorHAnsi" w:eastAsiaTheme="minorEastAsia" w:hAnsiTheme="minorHAnsi" w:cstheme="minorBidi"/>
          <w:szCs w:val="22"/>
        </w:rPr>
      </w:pPr>
      <w:r>
        <w:t>6.</w:t>
      </w:r>
      <w:r>
        <w:tab/>
        <w:t>RWWA and officers not part of public sector</w:t>
      </w:r>
      <w:r>
        <w:tab/>
      </w:r>
      <w:r>
        <w:fldChar w:fldCharType="begin"/>
      </w:r>
      <w:r>
        <w:instrText xml:space="preserve"> PAGEREF _Toc378338172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_Toc378338174 \h </w:instrText>
      </w:r>
      <w:r>
        <w:fldChar w:fldCharType="separate"/>
      </w:r>
      <w:r>
        <w:t>8</w:t>
      </w:r>
      <w:r>
        <w:fldChar w:fldCharType="end"/>
      </w:r>
    </w:p>
    <w:p>
      <w:pPr>
        <w:pStyle w:val="TOC8"/>
        <w:rPr>
          <w:rFonts w:asciiTheme="minorHAnsi" w:eastAsiaTheme="minorEastAsia" w:hAnsiTheme="minorHAnsi" w:cstheme="minorBidi"/>
          <w:szCs w:val="22"/>
        </w:rPr>
      </w:pPr>
      <w:r>
        <w:t>8.</w:t>
      </w:r>
      <w:r>
        <w:tab/>
        <w:t>How the board of directors is constituted</w:t>
      </w:r>
      <w:r>
        <w:tab/>
      </w:r>
      <w:r>
        <w:fldChar w:fldCharType="begin"/>
      </w:r>
      <w:r>
        <w:instrText xml:space="preserve"> PAGEREF _Toc378338175 \h </w:instrText>
      </w:r>
      <w:r>
        <w:fldChar w:fldCharType="separate"/>
      </w:r>
      <w:r>
        <w:t>8</w:t>
      </w:r>
      <w:r>
        <w:fldChar w:fldCharType="end"/>
      </w:r>
    </w:p>
    <w:p>
      <w:pPr>
        <w:pStyle w:val="TOC8"/>
        <w:rPr>
          <w:rFonts w:asciiTheme="minorHAnsi" w:eastAsiaTheme="minorEastAsia" w:hAnsiTheme="minorHAnsi" w:cstheme="minorBidi"/>
          <w:szCs w:val="22"/>
        </w:rPr>
      </w:pPr>
      <w:r>
        <w:t>9.</w:t>
      </w:r>
      <w:r>
        <w:tab/>
        <w:t>Nomination and selection procedure</w:t>
      </w:r>
      <w:r>
        <w:tab/>
      </w:r>
      <w:r>
        <w:fldChar w:fldCharType="begin"/>
      </w:r>
      <w:r>
        <w:instrText xml:space="preserve"> PAGEREF _Toc378338176 \h </w:instrText>
      </w:r>
      <w:r>
        <w:fldChar w:fldCharType="separate"/>
      </w:r>
      <w:r>
        <w:t>9</w:t>
      </w:r>
      <w:r>
        <w:fldChar w:fldCharType="end"/>
      </w:r>
    </w:p>
    <w:p>
      <w:pPr>
        <w:pStyle w:val="TOC8"/>
        <w:rPr>
          <w:rFonts w:asciiTheme="minorHAnsi" w:eastAsiaTheme="minorEastAsia" w:hAnsiTheme="minorHAnsi" w:cstheme="minorBidi"/>
          <w:szCs w:val="22"/>
        </w:rPr>
      </w:pPr>
      <w:r>
        <w:t>10.</w:t>
      </w:r>
      <w:r>
        <w:tab/>
        <w:t>Certain persons not eligible to be a director or a member of a selection panel</w:t>
      </w:r>
      <w:r>
        <w:tab/>
      </w:r>
      <w:r>
        <w:fldChar w:fldCharType="begin"/>
      </w:r>
      <w:r>
        <w:instrText xml:space="preserve"> PAGEREF _Toc378338177 \h </w:instrText>
      </w:r>
      <w:r>
        <w:fldChar w:fldCharType="separate"/>
      </w:r>
      <w:r>
        <w:t>10</w:t>
      </w:r>
      <w:r>
        <w:fldChar w:fldCharType="end"/>
      </w:r>
    </w:p>
    <w:p>
      <w:pPr>
        <w:pStyle w:val="TOC8"/>
        <w:rPr>
          <w:rFonts w:asciiTheme="minorHAnsi" w:eastAsiaTheme="minorEastAsia" w:hAnsiTheme="minorHAnsi" w:cstheme="minorBidi"/>
          <w:szCs w:val="22"/>
        </w:rPr>
      </w:pPr>
      <w:r>
        <w:t>11.</w:t>
      </w:r>
      <w:r>
        <w:tab/>
        <w:t>Selection panel</w:t>
      </w:r>
      <w:r>
        <w:tab/>
      </w:r>
      <w:r>
        <w:fldChar w:fldCharType="begin"/>
      </w:r>
      <w:r>
        <w:instrText xml:space="preserve"> PAGEREF _Toc378338178 \h </w:instrText>
      </w:r>
      <w:r>
        <w:fldChar w:fldCharType="separate"/>
      </w:r>
      <w:r>
        <w:t>11</w:t>
      </w:r>
      <w:r>
        <w:fldChar w:fldCharType="end"/>
      </w:r>
    </w:p>
    <w:p>
      <w:pPr>
        <w:pStyle w:val="TOC8"/>
        <w:rPr>
          <w:rFonts w:asciiTheme="minorHAnsi" w:eastAsiaTheme="minorEastAsia" w:hAnsiTheme="minorHAnsi" w:cstheme="minorBidi"/>
          <w:szCs w:val="22"/>
        </w:rPr>
      </w:pPr>
      <w:r>
        <w:t>12.</w:t>
      </w:r>
      <w:r>
        <w:tab/>
        <w:t>Eligible bodies</w:t>
      </w:r>
      <w:r>
        <w:tab/>
      </w:r>
      <w:r>
        <w:fldChar w:fldCharType="begin"/>
      </w:r>
      <w:r>
        <w:instrText xml:space="preserve"> PAGEREF _Toc378338179 \h </w:instrText>
      </w:r>
      <w:r>
        <w:fldChar w:fldCharType="separate"/>
      </w:r>
      <w:r>
        <w:t>12</w:t>
      </w:r>
      <w:r>
        <w:fldChar w:fldCharType="end"/>
      </w:r>
    </w:p>
    <w:p>
      <w:pPr>
        <w:pStyle w:val="TOC8"/>
        <w:rPr>
          <w:rFonts w:asciiTheme="minorHAnsi" w:eastAsiaTheme="minorEastAsia" w:hAnsiTheme="minorHAnsi" w:cstheme="minorBidi"/>
          <w:szCs w:val="22"/>
        </w:rPr>
      </w:pPr>
      <w:r>
        <w:t>13.</w:t>
      </w:r>
      <w:r>
        <w:tab/>
        <w:t>Failure to nominate, appoint or resign office</w:t>
      </w:r>
      <w:r>
        <w:tab/>
      </w:r>
      <w:r>
        <w:fldChar w:fldCharType="begin"/>
      </w:r>
      <w:r>
        <w:instrText xml:space="preserve"> PAGEREF _Toc378338180 \h </w:instrText>
      </w:r>
      <w:r>
        <w:fldChar w:fldCharType="separate"/>
      </w:r>
      <w:r>
        <w:t>12</w:t>
      </w:r>
      <w:r>
        <w:fldChar w:fldCharType="end"/>
      </w:r>
    </w:p>
    <w:p>
      <w:pPr>
        <w:pStyle w:val="TOC8"/>
        <w:rPr>
          <w:rFonts w:asciiTheme="minorHAnsi" w:eastAsiaTheme="minorEastAsia" w:hAnsiTheme="minorHAnsi" w:cstheme="minorBidi"/>
          <w:szCs w:val="22"/>
        </w:rPr>
      </w:pPr>
      <w:r>
        <w:t>14.</w:t>
      </w:r>
      <w:r>
        <w:tab/>
        <w:t>Licensing of directors</w:t>
      </w:r>
      <w:r>
        <w:tab/>
      </w:r>
      <w:r>
        <w:fldChar w:fldCharType="begin"/>
      </w:r>
      <w:r>
        <w:instrText xml:space="preserve"> PAGEREF _Toc378338181 \h </w:instrText>
      </w:r>
      <w:r>
        <w:fldChar w:fldCharType="separate"/>
      </w:r>
      <w:r>
        <w:t>13</w:t>
      </w:r>
      <w:r>
        <w:fldChar w:fldCharType="end"/>
      </w:r>
    </w:p>
    <w:p>
      <w:pPr>
        <w:pStyle w:val="TOC8"/>
        <w:rPr>
          <w:rFonts w:asciiTheme="minorHAnsi" w:eastAsiaTheme="minorEastAsia" w:hAnsiTheme="minorHAnsi" w:cstheme="minorBidi"/>
          <w:szCs w:val="22"/>
        </w:rPr>
      </w:pPr>
      <w:r>
        <w:t>15.</w:t>
      </w:r>
      <w:r>
        <w:tab/>
        <w:t>Certain provisions about the board of directors</w:t>
      </w:r>
      <w:r>
        <w:tab/>
      </w:r>
      <w:r>
        <w:fldChar w:fldCharType="begin"/>
      </w:r>
      <w:r>
        <w:instrText xml:space="preserve"> PAGEREF _Toc378338182 \h </w:instrText>
      </w:r>
      <w:r>
        <w:fldChar w:fldCharType="separate"/>
      </w:r>
      <w:r>
        <w:t>14</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_Toc378338183 \h </w:instrText>
      </w:r>
      <w:r>
        <w:fldChar w:fldCharType="separate"/>
      </w:r>
      <w:r>
        <w:t>14</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_Toc378338184 \h </w:instrText>
      </w:r>
      <w:r>
        <w:fldChar w:fldCharType="separate"/>
      </w:r>
      <w:r>
        <w:t>14</w:t>
      </w:r>
      <w:r>
        <w:fldChar w:fldCharType="end"/>
      </w:r>
    </w:p>
    <w:p>
      <w:pPr>
        <w:pStyle w:val="TOC8"/>
        <w:rPr>
          <w:rFonts w:asciiTheme="minorHAnsi" w:eastAsiaTheme="minorEastAsia" w:hAnsiTheme="minorHAnsi" w:cstheme="minorBidi"/>
          <w:szCs w:val="22"/>
        </w:rPr>
      </w:pPr>
      <w:r>
        <w:t>18.</w:t>
      </w:r>
      <w:r>
        <w:tab/>
        <w:t>Conflict of duties</w:t>
      </w:r>
      <w:r>
        <w:tab/>
      </w:r>
      <w:r>
        <w:fldChar w:fldCharType="begin"/>
      </w:r>
      <w:r>
        <w:instrText xml:space="preserve"> PAGEREF _Toc378338185 \h </w:instrText>
      </w:r>
      <w:r>
        <w:fldChar w:fldCharType="separate"/>
      </w:r>
      <w:r>
        <w:t>15</w:t>
      </w:r>
      <w:r>
        <w:fldChar w:fldCharType="end"/>
      </w:r>
    </w:p>
    <w:p>
      <w:pPr>
        <w:pStyle w:val="TOC8"/>
        <w:rPr>
          <w:rFonts w:asciiTheme="minorHAnsi" w:eastAsiaTheme="minorEastAsia" w:hAnsiTheme="minorHAnsi" w:cstheme="minorBidi"/>
          <w:szCs w:val="22"/>
        </w:rPr>
      </w:pPr>
      <w:r>
        <w:t>19.</w:t>
      </w:r>
      <w:r>
        <w:tab/>
        <w:t>Disclosure of material personal interests</w:t>
      </w:r>
      <w:r>
        <w:tab/>
      </w:r>
      <w:r>
        <w:fldChar w:fldCharType="begin"/>
      </w:r>
      <w:r>
        <w:instrText xml:space="preserve"> PAGEREF _Toc378338186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20.</w:t>
      </w:r>
      <w:r>
        <w:tab/>
        <w:t>Chief executive officer</w:t>
      </w:r>
      <w:r>
        <w:tab/>
      </w:r>
      <w:r>
        <w:fldChar w:fldCharType="begin"/>
      </w:r>
      <w:r>
        <w:instrText xml:space="preserve"> PAGEREF _Toc378338188 \h </w:instrText>
      </w:r>
      <w:r>
        <w:fldChar w:fldCharType="separate"/>
      </w:r>
      <w:r>
        <w:t>16</w:t>
      </w:r>
      <w:r>
        <w:fldChar w:fldCharType="end"/>
      </w:r>
    </w:p>
    <w:p>
      <w:pPr>
        <w:pStyle w:val="TOC8"/>
        <w:rPr>
          <w:rFonts w:asciiTheme="minorHAnsi" w:eastAsiaTheme="minorEastAsia" w:hAnsiTheme="minorHAnsi" w:cstheme="minorBidi"/>
          <w:szCs w:val="22"/>
        </w:rPr>
      </w:pPr>
      <w:r>
        <w:t>21.</w:t>
      </w:r>
      <w:r>
        <w:tab/>
        <w:t>Role of CEO</w:t>
      </w:r>
      <w:r>
        <w:tab/>
      </w:r>
      <w:r>
        <w:fldChar w:fldCharType="begin"/>
      </w:r>
      <w:r>
        <w:instrText xml:space="preserve"> PAGEREF _Toc378338189 \h </w:instrText>
      </w:r>
      <w:r>
        <w:fldChar w:fldCharType="separate"/>
      </w:r>
      <w:r>
        <w:t>17</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_Toc378338190 \h </w:instrText>
      </w:r>
      <w:r>
        <w:fldChar w:fldCharType="separate"/>
      </w:r>
      <w:r>
        <w:t>17</w:t>
      </w:r>
      <w:r>
        <w:fldChar w:fldCharType="end"/>
      </w:r>
    </w:p>
    <w:p>
      <w:pPr>
        <w:pStyle w:val="TOC8"/>
        <w:rPr>
          <w:rFonts w:asciiTheme="minorHAnsi" w:eastAsiaTheme="minorEastAsia" w:hAnsiTheme="minorHAnsi" w:cstheme="minorBidi"/>
          <w:szCs w:val="22"/>
        </w:rPr>
      </w:pPr>
      <w:r>
        <w:t>23.</w:t>
      </w:r>
      <w:r>
        <w:tab/>
        <w:t>Superannuation</w:t>
      </w:r>
      <w:r>
        <w:tab/>
      </w:r>
      <w:r>
        <w:fldChar w:fldCharType="begin"/>
      </w:r>
      <w:r>
        <w:instrText xml:space="preserve"> PAGEREF _Toc378338191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4 — Conduct and integrity of staff</w:t>
      </w:r>
    </w:p>
    <w:p>
      <w:pPr>
        <w:pStyle w:val="TOC8"/>
        <w:rPr>
          <w:rFonts w:asciiTheme="minorHAnsi" w:eastAsiaTheme="minorEastAsia" w:hAnsiTheme="minorHAnsi" w:cstheme="minorBidi"/>
          <w:szCs w:val="22"/>
        </w:rPr>
      </w:pPr>
      <w:r>
        <w:t>24.</w:t>
      </w:r>
      <w:r>
        <w:tab/>
        <w:t>Licensing of key employees</w:t>
      </w:r>
      <w:r>
        <w:tab/>
      </w:r>
      <w:r>
        <w:fldChar w:fldCharType="begin"/>
      </w:r>
      <w:r>
        <w:instrText xml:space="preserve"> PAGEREF _Toc378338193 \h </w:instrText>
      </w:r>
      <w:r>
        <w:fldChar w:fldCharType="separate"/>
      </w:r>
      <w:r>
        <w:t>18</w:t>
      </w:r>
      <w:r>
        <w:fldChar w:fldCharType="end"/>
      </w:r>
    </w:p>
    <w:p>
      <w:pPr>
        <w:pStyle w:val="TOC8"/>
        <w:rPr>
          <w:rFonts w:asciiTheme="minorHAnsi" w:eastAsiaTheme="minorEastAsia" w:hAnsiTheme="minorHAnsi" w:cstheme="minorBidi"/>
          <w:szCs w:val="22"/>
        </w:rPr>
      </w:pPr>
      <w:r>
        <w:t>25.</w:t>
      </w:r>
      <w:r>
        <w:tab/>
        <w:t>Duties of CEO and staff</w:t>
      </w:r>
      <w:r>
        <w:tab/>
      </w:r>
      <w:r>
        <w:fldChar w:fldCharType="begin"/>
      </w:r>
      <w:r>
        <w:instrText xml:space="preserve"> PAGEREF _Toc378338194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3 — Functions of RWWA</w:t>
      </w:r>
    </w:p>
    <w:p>
      <w:pPr>
        <w:pStyle w:val="TOC4"/>
        <w:tabs>
          <w:tab w:val="right" w:leader="dot" w:pos="7086"/>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w:t>
      </w:r>
      <w:r>
        <w:tab/>
        <w:t>General functions</w:t>
      </w:r>
      <w:r>
        <w:tab/>
      </w:r>
      <w:r>
        <w:fldChar w:fldCharType="begin"/>
      </w:r>
      <w:r>
        <w:instrText xml:space="preserve"> PAGEREF _Toc378338197 \h </w:instrText>
      </w:r>
      <w:r>
        <w:fldChar w:fldCharType="separate"/>
      </w:r>
      <w:r>
        <w:t>20</w:t>
      </w:r>
      <w:r>
        <w:fldChar w:fldCharType="end"/>
      </w:r>
    </w:p>
    <w:p>
      <w:pPr>
        <w:pStyle w:val="TOC8"/>
        <w:rPr>
          <w:rFonts w:asciiTheme="minorHAnsi" w:eastAsiaTheme="minorEastAsia" w:hAnsiTheme="minorHAnsi" w:cstheme="minorBidi"/>
          <w:szCs w:val="22"/>
        </w:rPr>
      </w:pPr>
      <w:r>
        <w:t>27.</w:t>
      </w:r>
      <w:r>
        <w:tab/>
        <w:t>RWWA can act at its discretion</w:t>
      </w:r>
      <w:r>
        <w:tab/>
      </w:r>
      <w:r>
        <w:fldChar w:fldCharType="begin"/>
      </w:r>
      <w:r>
        <w:instrText xml:space="preserve"> PAGEREF _Toc378338198 \h </w:instrText>
      </w:r>
      <w:r>
        <w:fldChar w:fldCharType="separate"/>
      </w:r>
      <w:r>
        <w:t>20</w:t>
      </w:r>
      <w:r>
        <w:fldChar w:fldCharType="end"/>
      </w:r>
    </w:p>
    <w:p>
      <w:pPr>
        <w:pStyle w:val="TOC8"/>
        <w:rPr>
          <w:rFonts w:asciiTheme="minorHAnsi" w:eastAsiaTheme="minorEastAsia" w:hAnsiTheme="minorHAnsi" w:cstheme="minorBidi"/>
          <w:szCs w:val="22"/>
        </w:rPr>
      </w:pPr>
      <w:r>
        <w:t>28.</w:t>
      </w:r>
      <w:r>
        <w:tab/>
        <w:t>Duty to observe policy instruments</w:t>
      </w:r>
      <w:r>
        <w:tab/>
      </w:r>
      <w:r>
        <w:fldChar w:fldCharType="begin"/>
      </w:r>
      <w:r>
        <w:instrText xml:space="preserve"> PAGEREF _Toc378338199 \h </w:instrText>
      </w:r>
      <w:r>
        <w:fldChar w:fldCharType="separate"/>
      </w:r>
      <w:r>
        <w:t>20</w:t>
      </w:r>
      <w:r>
        <w:fldChar w:fldCharType="end"/>
      </w:r>
    </w:p>
    <w:p>
      <w:pPr>
        <w:pStyle w:val="TOC8"/>
        <w:rPr>
          <w:rFonts w:asciiTheme="minorHAnsi" w:eastAsiaTheme="minorEastAsia" w:hAnsiTheme="minorHAnsi" w:cstheme="minorBidi"/>
          <w:szCs w:val="22"/>
        </w:rPr>
      </w:pPr>
      <w:r>
        <w:t>29.</w:t>
      </w:r>
      <w:r>
        <w:tab/>
        <w:t>Duty to act on commercial principles</w:t>
      </w:r>
      <w:r>
        <w:tab/>
      </w:r>
      <w:r>
        <w:fldChar w:fldCharType="begin"/>
      </w:r>
      <w:r>
        <w:instrText xml:space="preserve"> PAGEREF _Toc378338200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General powers and related provisions</w:t>
      </w:r>
    </w:p>
    <w:p>
      <w:pPr>
        <w:pStyle w:val="TOC8"/>
        <w:rPr>
          <w:rFonts w:asciiTheme="minorHAnsi" w:eastAsiaTheme="minorEastAsia" w:hAnsiTheme="minorHAnsi" w:cstheme="minorBidi"/>
          <w:szCs w:val="22"/>
        </w:rPr>
      </w:pPr>
      <w:r>
        <w:t>30.</w:t>
      </w:r>
      <w:r>
        <w:tab/>
        <w:t>Powers generally</w:t>
      </w:r>
      <w:r>
        <w:tab/>
      </w:r>
      <w:r>
        <w:fldChar w:fldCharType="begin"/>
      </w:r>
      <w:r>
        <w:instrText xml:space="preserve"> PAGEREF _Toc378338202 \h </w:instrText>
      </w:r>
      <w:r>
        <w:fldChar w:fldCharType="separate"/>
      </w:r>
      <w:r>
        <w:t>21</w:t>
      </w:r>
      <w:r>
        <w:fldChar w:fldCharType="end"/>
      </w:r>
    </w:p>
    <w:p>
      <w:pPr>
        <w:pStyle w:val="TOC8"/>
        <w:rPr>
          <w:rFonts w:asciiTheme="minorHAnsi" w:eastAsiaTheme="minorEastAsia" w:hAnsiTheme="minorHAnsi" w:cstheme="minorBidi"/>
          <w:szCs w:val="22"/>
        </w:rPr>
      </w:pPr>
      <w:r>
        <w:t>31.</w:t>
      </w:r>
      <w:r>
        <w:tab/>
        <w:t>Use of names for RWWA and its operations</w:t>
      </w:r>
      <w:r>
        <w:tab/>
      </w:r>
      <w:r>
        <w:fldChar w:fldCharType="begin"/>
      </w:r>
      <w:r>
        <w:instrText xml:space="preserve"> PAGEREF _Toc378338203 \h </w:instrText>
      </w:r>
      <w:r>
        <w:fldChar w:fldCharType="separate"/>
      </w:r>
      <w:r>
        <w:t>22</w:t>
      </w:r>
      <w:r>
        <w:fldChar w:fldCharType="end"/>
      </w:r>
    </w:p>
    <w:p>
      <w:pPr>
        <w:pStyle w:val="TOC8"/>
        <w:rPr>
          <w:rFonts w:asciiTheme="minorHAnsi" w:eastAsiaTheme="minorEastAsia" w:hAnsiTheme="minorHAnsi" w:cstheme="minorBidi"/>
          <w:szCs w:val="22"/>
        </w:rPr>
      </w:pPr>
      <w:r>
        <w:t>32.</w:t>
      </w:r>
      <w:r>
        <w:tab/>
        <w:t>Subsidiaries</w:t>
      </w:r>
      <w:r>
        <w:tab/>
      </w:r>
      <w:r>
        <w:fldChar w:fldCharType="begin"/>
      </w:r>
      <w:r>
        <w:instrText xml:space="preserve"> PAGEREF _Toc378338204 \h </w:instrText>
      </w:r>
      <w:r>
        <w:fldChar w:fldCharType="separate"/>
      </w:r>
      <w:r>
        <w:t>23</w:t>
      </w:r>
      <w:r>
        <w:fldChar w:fldCharType="end"/>
      </w:r>
    </w:p>
    <w:p>
      <w:pPr>
        <w:pStyle w:val="TOC8"/>
        <w:rPr>
          <w:rFonts w:asciiTheme="minorHAnsi" w:eastAsiaTheme="minorEastAsia" w:hAnsiTheme="minorHAnsi" w:cstheme="minorBidi"/>
          <w:szCs w:val="22"/>
        </w:rPr>
      </w:pPr>
      <w:r>
        <w:t>33.</w:t>
      </w:r>
      <w:r>
        <w:tab/>
        <w:t>Delegation</w:t>
      </w:r>
      <w:r>
        <w:tab/>
      </w:r>
      <w:r>
        <w:fldChar w:fldCharType="begin"/>
      </w:r>
      <w:r>
        <w:instrText xml:space="preserve"> PAGEREF _Toc378338205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4 — Specialised functions in relation to racing</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Terms used in this Part</w:t>
      </w:r>
      <w:r>
        <w:tab/>
      </w:r>
      <w:r>
        <w:fldChar w:fldCharType="begin"/>
      </w:r>
      <w:r>
        <w:instrText xml:space="preserve"> PAGEREF _Toc378338208 \h </w:instrText>
      </w:r>
      <w:r>
        <w:fldChar w:fldCharType="separate"/>
      </w:r>
      <w:r>
        <w:t>25</w:t>
      </w:r>
      <w:r>
        <w:fldChar w:fldCharType="end"/>
      </w:r>
    </w:p>
    <w:p>
      <w:pPr>
        <w:pStyle w:val="TOC8"/>
        <w:rPr>
          <w:rFonts w:asciiTheme="minorHAnsi" w:eastAsiaTheme="minorEastAsia" w:hAnsiTheme="minorHAnsi" w:cstheme="minorBidi"/>
          <w:szCs w:val="22"/>
        </w:rPr>
      </w:pPr>
      <w:r>
        <w:t>35.</w:t>
      </w:r>
      <w:r>
        <w:tab/>
        <w:t>Functions in relation to racing in general</w:t>
      </w:r>
      <w:r>
        <w:tab/>
      </w:r>
      <w:r>
        <w:fldChar w:fldCharType="begin"/>
      </w:r>
      <w:r>
        <w:instrText xml:space="preserve"> PAGEREF _Toc378338209 \h </w:instrText>
      </w:r>
      <w:r>
        <w:fldChar w:fldCharType="separate"/>
      </w:r>
      <w:r>
        <w:t>25</w:t>
      </w:r>
      <w:r>
        <w:fldChar w:fldCharType="end"/>
      </w:r>
    </w:p>
    <w:p>
      <w:pPr>
        <w:pStyle w:val="TOC8"/>
        <w:rPr>
          <w:rFonts w:asciiTheme="minorHAnsi" w:eastAsiaTheme="minorEastAsia" w:hAnsiTheme="minorHAnsi" w:cstheme="minorBidi"/>
          <w:szCs w:val="22"/>
        </w:rPr>
      </w:pPr>
      <w:r>
        <w:t>36.</w:t>
      </w:r>
      <w:r>
        <w:tab/>
        <w:t>Thoroughbred racing</w:t>
      </w:r>
      <w:r>
        <w:tab/>
      </w:r>
      <w:r>
        <w:fldChar w:fldCharType="begin"/>
      </w:r>
      <w:r>
        <w:instrText xml:space="preserve"> PAGEREF _Toc378338210 \h </w:instrText>
      </w:r>
      <w:r>
        <w:fldChar w:fldCharType="separate"/>
      </w:r>
      <w:r>
        <w:t>26</w:t>
      </w:r>
      <w:r>
        <w:fldChar w:fldCharType="end"/>
      </w:r>
    </w:p>
    <w:p>
      <w:pPr>
        <w:pStyle w:val="TOC8"/>
        <w:rPr>
          <w:rFonts w:asciiTheme="minorHAnsi" w:eastAsiaTheme="minorEastAsia" w:hAnsiTheme="minorHAnsi" w:cstheme="minorBidi"/>
          <w:szCs w:val="22"/>
        </w:rPr>
      </w:pPr>
      <w:r>
        <w:t>37.</w:t>
      </w:r>
      <w:r>
        <w:tab/>
        <w:t>Harness racing</w:t>
      </w:r>
      <w:r>
        <w:tab/>
      </w:r>
      <w:r>
        <w:fldChar w:fldCharType="begin"/>
      </w:r>
      <w:r>
        <w:instrText xml:space="preserve"> PAGEREF _Toc378338211 \h </w:instrText>
      </w:r>
      <w:r>
        <w:fldChar w:fldCharType="separate"/>
      </w:r>
      <w:r>
        <w:t>27</w:t>
      </w:r>
      <w:r>
        <w:fldChar w:fldCharType="end"/>
      </w:r>
    </w:p>
    <w:p>
      <w:pPr>
        <w:pStyle w:val="TOC8"/>
        <w:rPr>
          <w:rFonts w:asciiTheme="minorHAnsi" w:eastAsiaTheme="minorEastAsia" w:hAnsiTheme="minorHAnsi" w:cstheme="minorBidi"/>
          <w:szCs w:val="22"/>
        </w:rPr>
      </w:pPr>
      <w:r>
        <w:t>38.</w:t>
      </w:r>
      <w:r>
        <w:tab/>
        <w:t>Greyhound racing</w:t>
      </w:r>
      <w:r>
        <w:tab/>
      </w:r>
      <w:r>
        <w:fldChar w:fldCharType="begin"/>
      </w:r>
      <w:r>
        <w:instrText xml:space="preserve"> PAGEREF _Toc378338212 \h </w:instrText>
      </w:r>
      <w:r>
        <w:fldChar w:fldCharType="separate"/>
      </w:r>
      <w:r>
        <w:t>27</w:t>
      </w:r>
      <w:r>
        <w:fldChar w:fldCharType="end"/>
      </w:r>
    </w:p>
    <w:p>
      <w:pPr>
        <w:pStyle w:val="TOC8"/>
        <w:rPr>
          <w:rFonts w:asciiTheme="minorHAnsi" w:eastAsiaTheme="minorEastAsia" w:hAnsiTheme="minorHAnsi" w:cstheme="minorBidi"/>
          <w:szCs w:val="22"/>
        </w:rPr>
      </w:pPr>
      <w:r>
        <w:t>39.</w:t>
      </w:r>
      <w:r>
        <w:tab/>
        <w:t>Licensing of racecourses, race meetings, races and tracks</w:t>
      </w:r>
      <w:r>
        <w:tab/>
      </w:r>
      <w:r>
        <w:fldChar w:fldCharType="begin"/>
      </w:r>
      <w:r>
        <w:instrText xml:space="preserve"> PAGEREF _Toc378338213 \h </w:instrText>
      </w:r>
      <w:r>
        <w:fldChar w:fldCharType="separate"/>
      </w:r>
      <w:r>
        <w:t>27</w:t>
      </w:r>
      <w:r>
        <w:fldChar w:fldCharType="end"/>
      </w:r>
    </w:p>
    <w:p>
      <w:pPr>
        <w:pStyle w:val="TOC8"/>
        <w:rPr>
          <w:rFonts w:asciiTheme="minorHAnsi" w:eastAsiaTheme="minorEastAsia" w:hAnsiTheme="minorHAnsi" w:cstheme="minorBidi"/>
          <w:szCs w:val="22"/>
        </w:rPr>
      </w:pPr>
      <w:r>
        <w:t>40.</w:t>
      </w:r>
      <w:r>
        <w:tab/>
        <w:t>Registration of racing clubs</w:t>
      </w:r>
      <w:r>
        <w:tab/>
      </w:r>
      <w:r>
        <w:fldChar w:fldCharType="begin"/>
      </w:r>
      <w:r>
        <w:instrText xml:space="preserve"> PAGEREF _Toc378338214 \h </w:instrText>
      </w:r>
      <w:r>
        <w:fldChar w:fldCharType="separate"/>
      </w:r>
      <w:r>
        <w:t>28</w:t>
      </w:r>
      <w:r>
        <w:fldChar w:fldCharType="end"/>
      </w:r>
    </w:p>
    <w:p>
      <w:pPr>
        <w:pStyle w:val="TOC8"/>
        <w:rPr>
          <w:rFonts w:asciiTheme="minorHAnsi" w:eastAsiaTheme="minorEastAsia" w:hAnsiTheme="minorHAnsi" w:cstheme="minorBidi"/>
          <w:szCs w:val="22"/>
        </w:rPr>
      </w:pPr>
      <w:r>
        <w:t>41.</w:t>
      </w:r>
      <w:r>
        <w:tab/>
        <w:t>Registration of horses and greyhounds</w:t>
      </w:r>
      <w:r>
        <w:tab/>
      </w:r>
      <w:r>
        <w:fldChar w:fldCharType="begin"/>
      </w:r>
      <w:r>
        <w:instrText xml:space="preserve"> PAGEREF _Toc378338215 \h </w:instrText>
      </w:r>
      <w:r>
        <w:fldChar w:fldCharType="separate"/>
      </w:r>
      <w:r>
        <w:t>28</w:t>
      </w:r>
      <w:r>
        <w:fldChar w:fldCharType="end"/>
      </w:r>
    </w:p>
    <w:p>
      <w:pPr>
        <w:pStyle w:val="TOC8"/>
        <w:rPr>
          <w:rFonts w:asciiTheme="minorHAnsi" w:eastAsiaTheme="minorEastAsia" w:hAnsiTheme="minorHAnsi" w:cstheme="minorBidi"/>
          <w:szCs w:val="22"/>
        </w:rPr>
      </w:pPr>
      <w:r>
        <w:t>42.</w:t>
      </w:r>
      <w:r>
        <w:tab/>
        <w:t>Licensing of owners, trainers, jockeys, drivers and associated persons</w:t>
      </w:r>
      <w:r>
        <w:tab/>
      </w:r>
      <w:r>
        <w:fldChar w:fldCharType="begin"/>
      </w:r>
      <w:r>
        <w:instrText xml:space="preserve"> PAGEREF _Toc378338216 \h </w:instrText>
      </w:r>
      <w:r>
        <w:fldChar w:fldCharType="separate"/>
      </w:r>
      <w:r>
        <w:t>29</w:t>
      </w:r>
      <w:r>
        <w:fldChar w:fldCharType="end"/>
      </w:r>
    </w:p>
    <w:p>
      <w:pPr>
        <w:pStyle w:val="TOC8"/>
        <w:rPr>
          <w:rFonts w:asciiTheme="minorHAnsi" w:eastAsiaTheme="minorEastAsia" w:hAnsiTheme="minorHAnsi" w:cstheme="minorBidi"/>
          <w:szCs w:val="22"/>
        </w:rPr>
      </w:pPr>
      <w:r>
        <w:t>43.</w:t>
      </w:r>
      <w:r>
        <w:tab/>
        <w:t>Directions by RWWA</w:t>
      </w:r>
      <w:r>
        <w:tab/>
      </w:r>
      <w:r>
        <w:fldChar w:fldCharType="begin"/>
      </w:r>
      <w:r>
        <w:instrText xml:space="preserve"> PAGEREF _Toc378338217 \h </w:instrText>
      </w:r>
      <w:r>
        <w:fldChar w:fldCharType="separate"/>
      </w:r>
      <w:r>
        <w:t>29</w:t>
      </w:r>
      <w:r>
        <w:fldChar w:fldCharType="end"/>
      </w:r>
    </w:p>
    <w:p>
      <w:pPr>
        <w:pStyle w:val="TOC8"/>
        <w:rPr>
          <w:rFonts w:asciiTheme="minorHAnsi" w:eastAsiaTheme="minorEastAsia" w:hAnsiTheme="minorHAnsi" w:cstheme="minorBidi"/>
          <w:szCs w:val="22"/>
        </w:rPr>
      </w:pPr>
      <w:r>
        <w:t>44.</w:t>
      </w:r>
      <w:r>
        <w:tab/>
        <w:t>Other disciplinary action that may be taken by RWWA</w:t>
      </w:r>
      <w:r>
        <w:tab/>
      </w:r>
      <w:r>
        <w:fldChar w:fldCharType="begin"/>
      </w:r>
      <w:r>
        <w:instrText xml:space="preserve"> PAGEREF _Toc378338218 \h </w:instrText>
      </w:r>
      <w:r>
        <w:fldChar w:fldCharType="separate"/>
      </w:r>
      <w:r>
        <w:t>30</w:t>
      </w:r>
      <w:r>
        <w:fldChar w:fldCharType="end"/>
      </w:r>
    </w:p>
    <w:p>
      <w:pPr>
        <w:pStyle w:val="TOC8"/>
        <w:rPr>
          <w:rFonts w:asciiTheme="minorHAnsi" w:eastAsiaTheme="minorEastAsia" w:hAnsiTheme="minorHAnsi" w:cstheme="minorBidi"/>
          <w:szCs w:val="22"/>
        </w:rPr>
      </w:pPr>
      <w:r>
        <w:t>45.</w:t>
      </w:r>
      <w:r>
        <w:tab/>
        <w:t>Rules of racing</w:t>
      </w:r>
      <w:r>
        <w:tab/>
      </w:r>
      <w:r>
        <w:fldChar w:fldCharType="begin"/>
      </w:r>
      <w:r>
        <w:instrText xml:space="preserve"> PAGEREF _Toc378338219 \h </w:instrText>
      </w:r>
      <w:r>
        <w:fldChar w:fldCharType="separate"/>
      </w:r>
      <w:r>
        <w:t>31</w:t>
      </w:r>
      <w:r>
        <w:fldChar w:fldCharType="end"/>
      </w:r>
    </w:p>
    <w:p>
      <w:pPr>
        <w:pStyle w:val="TOC8"/>
        <w:rPr>
          <w:rFonts w:asciiTheme="minorHAnsi" w:eastAsiaTheme="minorEastAsia" w:hAnsiTheme="minorHAnsi" w:cstheme="minorBidi"/>
          <w:szCs w:val="22"/>
        </w:rPr>
      </w:pPr>
      <w:r>
        <w:t>46.</w:t>
      </w:r>
      <w:r>
        <w:tab/>
        <w:t>Production of racing club records to RWWA</w:t>
      </w:r>
      <w:r>
        <w:tab/>
      </w:r>
      <w:r>
        <w:fldChar w:fldCharType="begin"/>
      </w:r>
      <w:r>
        <w:instrText xml:space="preserve"> PAGEREF _Toc378338220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Integrity Assurance Committee</w:t>
      </w:r>
    </w:p>
    <w:p>
      <w:pPr>
        <w:pStyle w:val="TOC8"/>
        <w:rPr>
          <w:rFonts w:asciiTheme="minorHAnsi" w:eastAsiaTheme="minorEastAsia" w:hAnsiTheme="minorHAnsi" w:cstheme="minorBidi"/>
          <w:szCs w:val="22"/>
        </w:rPr>
      </w:pPr>
      <w:r>
        <w:t>47.</w:t>
      </w:r>
      <w:r>
        <w:tab/>
        <w:t>Integrity Assurance Committee</w:t>
      </w:r>
      <w:r>
        <w:tab/>
      </w:r>
      <w:r>
        <w:fldChar w:fldCharType="begin"/>
      </w:r>
      <w:r>
        <w:instrText xml:space="preserve"> PAGEREF _Toc378338222 \h </w:instrText>
      </w:r>
      <w:r>
        <w:fldChar w:fldCharType="separate"/>
      </w:r>
      <w:r>
        <w:t>35</w:t>
      </w:r>
      <w:r>
        <w:fldChar w:fldCharType="end"/>
      </w:r>
    </w:p>
    <w:p>
      <w:pPr>
        <w:pStyle w:val="TOC8"/>
        <w:rPr>
          <w:rFonts w:asciiTheme="minorHAnsi" w:eastAsiaTheme="minorEastAsia" w:hAnsiTheme="minorHAnsi" w:cstheme="minorBidi"/>
          <w:szCs w:val="22"/>
        </w:rPr>
      </w:pPr>
      <w:r>
        <w:t>48.</w:t>
      </w:r>
      <w:r>
        <w:tab/>
        <w:t>Constitution of IAC</w:t>
      </w:r>
      <w:r>
        <w:tab/>
      </w:r>
      <w:r>
        <w:fldChar w:fldCharType="begin"/>
      </w:r>
      <w:r>
        <w:instrText xml:space="preserve"> PAGEREF _Toc378338223 \h </w:instrText>
      </w:r>
      <w:r>
        <w:fldChar w:fldCharType="separate"/>
      </w:r>
      <w:r>
        <w:t>35</w:t>
      </w:r>
      <w:r>
        <w:fldChar w:fldCharType="end"/>
      </w:r>
    </w:p>
    <w:p>
      <w:pPr>
        <w:pStyle w:val="TOC8"/>
        <w:rPr>
          <w:rFonts w:asciiTheme="minorHAnsi" w:eastAsiaTheme="minorEastAsia" w:hAnsiTheme="minorHAnsi" w:cstheme="minorBidi"/>
          <w:szCs w:val="22"/>
        </w:rPr>
      </w:pPr>
      <w:r>
        <w:t>49.</w:t>
      </w:r>
      <w:r>
        <w:tab/>
        <w:t>Functions of IAC</w:t>
      </w:r>
      <w:r>
        <w:tab/>
      </w:r>
      <w:r>
        <w:fldChar w:fldCharType="begin"/>
      </w:r>
      <w:r>
        <w:instrText xml:space="preserve"> PAGEREF _Toc378338224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Specialised functions in relation to gambling</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Functions of RWWA in relation to gambling</w:t>
      </w:r>
      <w:r>
        <w:tab/>
      </w:r>
      <w:r>
        <w:fldChar w:fldCharType="begin"/>
      </w:r>
      <w:r>
        <w:instrText xml:space="preserve"> PAGEREF _Toc378338227 \h </w:instrText>
      </w:r>
      <w:r>
        <w:fldChar w:fldCharType="separate"/>
      </w:r>
      <w:r>
        <w:t>37</w:t>
      </w:r>
      <w:r>
        <w:fldChar w:fldCharType="end"/>
      </w:r>
    </w:p>
    <w:p>
      <w:pPr>
        <w:pStyle w:val="TOC8"/>
        <w:rPr>
          <w:rFonts w:asciiTheme="minorHAnsi" w:eastAsiaTheme="minorEastAsia" w:hAnsiTheme="minorHAnsi" w:cstheme="minorBidi"/>
          <w:szCs w:val="22"/>
        </w:rPr>
      </w:pPr>
      <w:r>
        <w:t>51.</w:t>
      </w:r>
      <w:r>
        <w:tab/>
        <w:t>Establishment of offices and agencies</w:t>
      </w:r>
      <w:r>
        <w:tab/>
      </w:r>
      <w:r>
        <w:fldChar w:fldCharType="begin"/>
      </w:r>
      <w:r>
        <w:instrText xml:space="preserve"> PAGEREF _Toc378338228 \h </w:instrText>
      </w:r>
      <w:r>
        <w:fldChar w:fldCharType="separate"/>
      </w:r>
      <w:r>
        <w:t>38</w:t>
      </w:r>
      <w:r>
        <w:fldChar w:fldCharType="end"/>
      </w:r>
    </w:p>
    <w:p>
      <w:pPr>
        <w:pStyle w:val="TOC8"/>
        <w:rPr>
          <w:rFonts w:asciiTheme="minorHAnsi" w:eastAsiaTheme="minorEastAsia" w:hAnsiTheme="minorHAnsi" w:cstheme="minorBidi"/>
          <w:szCs w:val="22"/>
        </w:rPr>
      </w:pPr>
      <w:r>
        <w:t>52.</w:t>
      </w:r>
      <w:r>
        <w:tab/>
        <w:t>Commission may direct RWWA not to establish agency</w:t>
      </w:r>
      <w:r>
        <w:tab/>
      </w:r>
      <w:r>
        <w:fldChar w:fldCharType="begin"/>
      </w:r>
      <w:r>
        <w:instrText xml:space="preserve"> PAGEREF _Toc378338229 \h </w:instrText>
      </w:r>
      <w:r>
        <w:fldChar w:fldCharType="separate"/>
      </w:r>
      <w:r>
        <w:t>38</w:t>
      </w:r>
      <w:r>
        <w:fldChar w:fldCharType="end"/>
      </w:r>
    </w:p>
    <w:p>
      <w:pPr>
        <w:pStyle w:val="TOC8"/>
        <w:rPr>
          <w:rFonts w:asciiTheme="minorHAnsi" w:eastAsiaTheme="minorEastAsia" w:hAnsiTheme="minorHAnsi" w:cstheme="minorBidi"/>
          <w:szCs w:val="22"/>
        </w:rPr>
      </w:pPr>
      <w:r>
        <w:t>53.</w:t>
      </w:r>
      <w:r>
        <w:tab/>
        <w:t>Payments to Commission</w:t>
      </w:r>
      <w:r>
        <w:tab/>
      </w:r>
      <w:r>
        <w:fldChar w:fldCharType="begin"/>
      </w:r>
      <w:r>
        <w:instrText xml:space="preserve"> PAGEREF _Toc378338230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Conduct of wagering</w:t>
      </w:r>
    </w:p>
    <w:p>
      <w:pPr>
        <w:pStyle w:val="TOC8"/>
        <w:rPr>
          <w:rFonts w:asciiTheme="minorHAnsi" w:eastAsiaTheme="minorEastAsia" w:hAnsiTheme="minorHAnsi" w:cstheme="minorBidi"/>
          <w:szCs w:val="22"/>
        </w:rPr>
      </w:pPr>
      <w:r>
        <w:t>54.</w:t>
      </w:r>
      <w:r>
        <w:tab/>
        <w:t>RWWA may conduct wagering</w:t>
      </w:r>
      <w:r>
        <w:tab/>
      </w:r>
      <w:r>
        <w:fldChar w:fldCharType="begin"/>
      </w:r>
      <w:r>
        <w:instrText xml:space="preserve"> PAGEREF _Toc378338232 \h </w:instrText>
      </w:r>
      <w:r>
        <w:fldChar w:fldCharType="separate"/>
      </w:r>
      <w:r>
        <w:t>39</w:t>
      </w:r>
      <w:r>
        <w:fldChar w:fldCharType="end"/>
      </w:r>
    </w:p>
    <w:p>
      <w:pPr>
        <w:pStyle w:val="TOC8"/>
        <w:rPr>
          <w:rFonts w:asciiTheme="minorHAnsi" w:eastAsiaTheme="minorEastAsia" w:hAnsiTheme="minorHAnsi" w:cstheme="minorBidi"/>
          <w:szCs w:val="22"/>
        </w:rPr>
      </w:pPr>
      <w:r>
        <w:t>55.</w:t>
      </w:r>
      <w:r>
        <w:tab/>
        <w:t>Totalisator and fixed odds wagers authorised</w:t>
      </w:r>
      <w:r>
        <w:tab/>
      </w:r>
      <w:r>
        <w:fldChar w:fldCharType="begin"/>
      </w:r>
      <w:r>
        <w:instrText xml:space="preserve"> PAGEREF _Toc378338233 \h </w:instrText>
      </w:r>
      <w:r>
        <w:fldChar w:fldCharType="separate"/>
      </w:r>
      <w:r>
        <w:t>40</w:t>
      </w:r>
      <w:r>
        <w:fldChar w:fldCharType="end"/>
      </w:r>
    </w:p>
    <w:p>
      <w:pPr>
        <w:pStyle w:val="TOC8"/>
        <w:rPr>
          <w:rFonts w:asciiTheme="minorHAnsi" w:eastAsiaTheme="minorEastAsia" w:hAnsiTheme="minorHAnsi" w:cstheme="minorBidi"/>
          <w:szCs w:val="22"/>
        </w:rPr>
      </w:pPr>
      <w:r>
        <w:t>56.</w:t>
      </w:r>
      <w:r>
        <w:tab/>
        <w:t>Wagering on RWWA totalisator or with RWWA is not an offence</w:t>
      </w:r>
      <w:r>
        <w:tab/>
      </w:r>
      <w:r>
        <w:fldChar w:fldCharType="begin"/>
      </w:r>
      <w:r>
        <w:instrText xml:space="preserve"> PAGEREF _Toc378338234 \h </w:instrText>
      </w:r>
      <w:r>
        <w:fldChar w:fldCharType="separate"/>
      </w:r>
      <w:r>
        <w:t>41</w:t>
      </w:r>
      <w:r>
        <w:fldChar w:fldCharType="end"/>
      </w:r>
    </w:p>
    <w:p>
      <w:pPr>
        <w:pStyle w:val="TOC8"/>
        <w:rPr>
          <w:rFonts w:asciiTheme="minorHAnsi" w:eastAsiaTheme="minorEastAsia" w:hAnsiTheme="minorHAnsi" w:cstheme="minorBidi"/>
          <w:szCs w:val="22"/>
        </w:rPr>
      </w:pPr>
      <w:r>
        <w:t>57.</w:t>
      </w:r>
      <w:r>
        <w:tab/>
        <w:t>RWWA not precluded from not accepting, or from refunding, wagers</w:t>
      </w:r>
      <w:r>
        <w:tab/>
      </w:r>
      <w:r>
        <w:fldChar w:fldCharType="begin"/>
      </w:r>
      <w:r>
        <w:instrText xml:space="preserve"> PAGEREF _Toc378338235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3 — Totalisator wagering</w:t>
      </w:r>
    </w:p>
    <w:p>
      <w:pPr>
        <w:pStyle w:val="TOC8"/>
        <w:rPr>
          <w:rFonts w:asciiTheme="minorHAnsi" w:eastAsiaTheme="minorEastAsia" w:hAnsiTheme="minorHAnsi" w:cstheme="minorBidi"/>
          <w:szCs w:val="22"/>
        </w:rPr>
      </w:pPr>
      <w:r>
        <w:t>58.</w:t>
      </w:r>
      <w:r>
        <w:tab/>
        <w:t>Wagers transmitted from racing club to RWWA</w:t>
      </w:r>
      <w:r>
        <w:tab/>
      </w:r>
      <w:r>
        <w:fldChar w:fldCharType="begin"/>
      </w:r>
      <w:r>
        <w:instrText xml:space="preserve"> PAGEREF _Toc378338237 \h </w:instrText>
      </w:r>
      <w:r>
        <w:fldChar w:fldCharType="separate"/>
      </w:r>
      <w:r>
        <w:t>42</w:t>
      </w:r>
      <w:r>
        <w:fldChar w:fldCharType="end"/>
      </w:r>
    </w:p>
    <w:p>
      <w:pPr>
        <w:pStyle w:val="TOC8"/>
        <w:rPr>
          <w:rFonts w:asciiTheme="minorHAnsi" w:eastAsiaTheme="minorEastAsia" w:hAnsiTheme="minorHAnsi" w:cstheme="minorBidi"/>
          <w:szCs w:val="22"/>
        </w:rPr>
      </w:pPr>
      <w:r>
        <w:t>59.</w:t>
      </w:r>
      <w:r>
        <w:tab/>
        <w:t>Combined totalisator pool schemes</w:t>
      </w:r>
      <w:r>
        <w:tab/>
      </w:r>
      <w:r>
        <w:fldChar w:fldCharType="begin"/>
      </w:r>
      <w:r>
        <w:instrText xml:space="preserve"> PAGEREF _Toc378338238 \h </w:instrText>
      </w:r>
      <w:r>
        <w:fldChar w:fldCharType="separate"/>
      </w:r>
      <w:r>
        <w:t>43</w:t>
      </w:r>
      <w:r>
        <w:fldChar w:fldCharType="end"/>
      </w:r>
    </w:p>
    <w:p>
      <w:pPr>
        <w:pStyle w:val="TOC8"/>
        <w:rPr>
          <w:rFonts w:asciiTheme="minorHAnsi" w:eastAsiaTheme="minorEastAsia" w:hAnsiTheme="minorHAnsi" w:cstheme="minorBidi"/>
          <w:szCs w:val="22"/>
        </w:rPr>
      </w:pPr>
      <w:r>
        <w:t>60.</w:t>
      </w:r>
      <w:r>
        <w:tab/>
        <w:t>Payment of refunds and dividends by RWWA</w:t>
      </w:r>
      <w:r>
        <w:tab/>
      </w:r>
      <w:r>
        <w:fldChar w:fldCharType="begin"/>
      </w:r>
      <w:r>
        <w:instrText xml:space="preserve"> PAGEREF _Toc378338239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4 — Fixed odds wagering</w:t>
      </w:r>
    </w:p>
    <w:p>
      <w:pPr>
        <w:pStyle w:val="TOC8"/>
        <w:rPr>
          <w:rFonts w:asciiTheme="minorHAnsi" w:eastAsiaTheme="minorEastAsia" w:hAnsiTheme="minorHAnsi" w:cstheme="minorBidi"/>
          <w:szCs w:val="22"/>
        </w:rPr>
      </w:pPr>
      <w:r>
        <w:t>61.</w:t>
      </w:r>
      <w:r>
        <w:tab/>
        <w:t>Fixed odds wagering arrangements with other persons</w:t>
      </w:r>
      <w:r>
        <w:tab/>
      </w:r>
      <w:r>
        <w:fldChar w:fldCharType="begin"/>
      </w:r>
      <w:r>
        <w:instrText xml:space="preserve"> PAGEREF _Toc378338241 \h </w:instrText>
      </w:r>
      <w:r>
        <w:fldChar w:fldCharType="separate"/>
      </w:r>
      <w:r>
        <w:t>45</w:t>
      </w:r>
      <w:r>
        <w:fldChar w:fldCharType="end"/>
      </w:r>
    </w:p>
    <w:p>
      <w:pPr>
        <w:pStyle w:val="TOC8"/>
        <w:rPr>
          <w:rFonts w:asciiTheme="minorHAnsi" w:eastAsiaTheme="minorEastAsia" w:hAnsiTheme="minorHAnsi" w:cstheme="minorBidi"/>
          <w:szCs w:val="22"/>
        </w:rPr>
      </w:pPr>
      <w:r>
        <w:t>62.</w:t>
      </w:r>
      <w:r>
        <w:tab/>
        <w:t>Payment of fixed odds winning by RWWA</w:t>
      </w:r>
      <w:r>
        <w:tab/>
      </w:r>
      <w:r>
        <w:fldChar w:fldCharType="begin"/>
      </w:r>
      <w:r>
        <w:instrText xml:space="preserve"> PAGEREF _Toc378338242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63.</w:t>
      </w:r>
      <w:r>
        <w:tab/>
        <w:t>Provisions relating to wagers through RWWA</w:t>
      </w:r>
      <w:r>
        <w:tab/>
      </w:r>
      <w:r>
        <w:fldChar w:fldCharType="begin"/>
      </w:r>
      <w:r>
        <w:instrText xml:space="preserve"> PAGEREF _Toc378338244 \h </w:instrText>
      </w:r>
      <w:r>
        <w:fldChar w:fldCharType="separate"/>
      </w:r>
      <w:r>
        <w:t>46</w:t>
      </w:r>
      <w:r>
        <w:fldChar w:fldCharType="end"/>
      </w:r>
    </w:p>
    <w:p>
      <w:pPr>
        <w:pStyle w:val="TOC8"/>
        <w:rPr>
          <w:rFonts w:asciiTheme="minorHAnsi" w:eastAsiaTheme="minorEastAsia" w:hAnsiTheme="minorHAnsi" w:cstheme="minorBidi"/>
          <w:szCs w:val="22"/>
        </w:rPr>
      </w:pPr>
      <w:r>
        <w:t>64.</w:t>
      </w:r>
      <w:r>
        <w:tab/>
        <w:t>Wagering accounts</w:t>
      </w:r>
      <w:r>
        <w:tab/>
      </w:r>
      <w:r>
        <w:fldChar w:fldCharType="begin"/>
      </w:r>
      <w:r>
        <w:instrText xml:space="preserve"> PAGEREF _Toc378338245 \h </w:instrText>
      </w:r>
      <w:r>
        <w:fldChar w:fldCharType="separate"/>
      </w:r>
      <w:r>
        <w:t>47</w:t>
      </w:r>
      <w:r>
        <w:fldChar w:fldCharType="end"/>
      </w:r>
    </w:p>
    <w:p>
      <w:pPr>
        <w:pStyle w:val="TOC8"/>
        <w:rPr>
          <w:rFonts w:asciiTheme="minorHAnsi" w:eastAsiaTheme="minorEastAsia" w:hAnsiTheme="minorHAnsi" w:cstheme="minorBidi"/>
          <w:szCs w:val="22"/>
        </w:rPr>
      </w:pPr>
      <w:r>
        <w:t>65.</w:t>
      </w:r>
      <w:r>
        <w:tab/>
        <w:t>Minimum amount of a wager</w:t>
      </w:r>
      <w:r>
        <w:tab/>
      </w:r>
      <w:r>
        <w:fldChar w:fldCharType="begin"/>
      </w:r>
      <w:r>
        <w:instrText xml:space="preserve"> PAGEREF _Toc378338246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6 — Accountability</w:t>
      </w:r>
    </w:p>
    <w:p>
      <w:pPr>
        <w:pStyle w:val="TOC4"/>
        <w:tabs>
          <w:tab w:val="right" w:leader="dot" w:pos="7086"/>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66.</w:t>
      </w:r>
      <w:r>
        <w:tab/>
        <w:t>Draft strategic development plan to be submitted to Minister</w:t>
      </w:r>
      <w:r>
        <w:tab/>
      </w:r>
      <w:r>
        <w:fldChar w:fldCharType="begin"/>
      </w:r>
      <w:r>
        <w:instrText xml:space="preserve"> PAGEREF _Toc378338249 \h </w:instrText>
      </w:r>
      <w:r>
        <w:fldChar w:fldCharType="separate"/>
      </w:r>
      <w:r>
        <w:t>49</w:t>
      </w:r>
      <w:r>
        <w:fldChar w:fldCharType="end"/>
      </w:r>
    </w:p>
    <w:p>
      <w:pPr>
        <w:pStyle w:val="TOC8"/>
        <w:rPr>
          <w:rFonts w:asciiTheme="minorHAnsi" w:eastAsiaTheme="minorEastAsia" w:hAnsiTheme="minorHAnsi" w:cstheme="minorBidi"/>
          <w:szCs w:val="22"/>
        </w:rPr>
      </w:pPr>
      <w:r>
        <w:t>67.</w:t>
      </w:r>
      <w:r>
        <w:tab/>
        <w:t>Period to which strategic development plan relates</w:t>
      </w:r>
      <w:r>
        <w:tab/>
      </w:r>
      <w:r>
        <w:fldChar w:fldCharType="begin"/>
      </w:r>
      <w:r>
        <w:instrText xml:space="preserve"> PAGEREF _Toc378338250 \h </w:instrText>
      </w:r>
      <w:r>
        <w:fldChar w:fldCharType="separate"/>
      </w:r>
      <w:r>
        <w:t>49</w:t>
      </w:r>
      <w:r>
        <w:fldChar w:fldCharType="end"/>
      </w:r>
    </w:p>
    <w:p>
      <w:pPr>
        <w:pStyle w:val="TOC8"/>
        <w:rPr>
          <w:rFonts w:asciiTheme="minorHAnsi" w:eastAsiaTheme="minorEastAsia" w:hAnsiTheme="minorHAnsi" w:cstheme="minorBidi"/>
          <w:szCs w:val="22"/>
        </w:rPr>
      </w:pPr>
      <w:r>
        <w:t>68.</w:t>
      </w:r>
      <w:r>
        <w:tab/>
        <w:t>Matters to be included in strategic development plan</w:t>
      </w:r>
      <w:r>
        <w:tab/>
      </w:r>
      <w:r>
        <w:fldChar w:fldCharType="begin"/>
      </w:r>
      <w:r>
        <w:instrText xml:space="preserve"> PAGEREF _Toc378338251 \h </w:instrText>
      </w:r>
      <w:r>
        <w:fldChar w:fldCharType="separate"/>
      </w:r>
      <w:r>
        <w:t>49</w:t>
      </w:r>
      <w:r>
        <w:fldChar w:fldCharType="end"/>
      </w:r>
    </w:p>
    <w:p>
      <w:pPr>
        <w:pStyle w:val="TOC8"/>
        <w:rPr>
          <w:rFonts w:asciiTheme="minorHAnsi" w:eastAsiaTheme="minorEastAsia" w:hAnsiTheme="minorHAnsi" w:cstheme="minorBidi"/>
          <w:szCs w:val="22"/>
        </w:rPr>
      </w:pPr>
      <w:r>
        <w:t>69.</w:t>
      </w:r>
      <w:r>
        <w:tab/>
        <w:t>Strategic development plan to be agreed if possible</w:t>
      </w:r>
      <w:r>
        <w:tab/>
      </w:r>
      <w:r>
        <w:fldChar w:fldCharType="begin"/>
      </w:r>
      <w:r>
        <w:instrText xml:space="preserve"> PAGEREF _Toc378338252 \h </w:instrText>
      </w:r>
      <w:r>
        <w:fldChar w:fldCharType="separate"/>
      </w:r>
      <w:r>
        <w:t>50</w:t>
      </w:r>
      <w:r>
        <w:fldChar w:fldCharType="end"/>
      </w:r>
    </w:p>
    <w:p>
      <w:pPr>
        <w:pStyle w:val="TOC8"/>
        <w:rPr>
          <w:rFonts w:asciiTheme="minorHAnsi" w:eastAsiaTheme="minorEastAsia" w:hAnsiTheme="minorHAnsi" w:cstheme="minorBidi"/>
          <w:szCs w:val="22"/>
        </w:rPr>
      </w:pPr>
      <w:r>
        <w:t>70.</w:t>
      </w:r>
      <w:r>
        <w:tab/>
        <w:t>Minister’s powers in relation to draft strategic development plan</w:t>
      </w:r>
      <w:r>
        <w:tab/>
      </w:r>
      <w:r>
        <w:fldChar w:fldCharType="begin"/>
      </w:r>
      <w:r>
        <w:instrText xml:space="preserve"> PAGEREF _Toc378338253 \h </w:instrText>
      </w:r>
      <w:r>
        <w:fldChar w:fldCharType="separate"/>
      </w:r>
      <w:r>
        <w:t>50</w:t>
      </w:r>
      <w:r>
        <w:fldChar w:fldCharType="end"/>
      </w:r>
    </w:p>
    <w:p>
      <w:pPr>
        <w:pStyle w:val="TOC8"/>
        <w:rPr>
          <w:rFonts w:asciiTheme="minorHAnsi" w:eastAsiaTheme="minorEastAsia" w:hAnsiTheme="minorHAnsi" w:cstheme="minorBidi"/>
          <w:szCs w:val="22"/>
        </w:rPr>
      </w:pPr>
      <w:r>
        <w:t>71.</w:t>
      </w:r>
      <w:r>
        <w:tab/>
        <w:t>Strategic development plan pending agreement</w:t>
      </w:r>
      <w:r>
        <w:tab/>
      </w:r>
      <w:r>
        <w:fldChar w:fldCharType="begin"/>
      </w:r>
      <w:r>
        <w:instrText xml:space="preserve"> PAGEREF _Toc378338254 \h </w:instrText>
      </w:r>
      <w:r>
        <w:fldChar w:fldCharType="separate"/>
      </w:r>
      <w:r>
        <w:t>51</w:t>
      </w:r>
      <w:r>
        <w:fldChar w:fldCharType="end"/>
      </w:r>
    </w:p>
    <w:p>
      <w:pPr>
        <w:pStyle w:val="TOC8"/>
        <w:rPr>
          <w:rFonts w:asciiTheme="minorHAnsi" w:eastAsiaTheme="minorEastAsia" w:hAnsiTheme="minorHAnsi" w:cstheme="minorBidi"/>
          <w:szCs w:val="22"/>
        </w:rPr>
      </w:pPr>
      <w:r>
        <w:t>72.</w:t>
      </w:r>
      <w:r>
        <w:tab/>
        <w:t>Minister’s agreement to draft strategic development plan</w:t>
      </w:r>
      <w:r>
        <w:tab/>
      </w:r>
      <w:r>
        <w:fldChar w:fldCharType="begin"/>
      </w:r>
      <w:r>
        <w:instrText xml:space="preserve"> PAGEREF _Toc378338255 \h </w:instrText>
      </w:r>
      <w:r>
        <w:fldChar w:fldCharType="separate"/>
      </w:r>
      <w:r>
        <w:t>51</w:t>
      </w:r>
      <w:r>
        <w:fldChar w:fldCharType="end"/>
      </w:r>
    </w:p>
    <w:p>
      <w:pPr>
        <w:pStyle w:val="TOC8"/>
        <w:rPr>
          <w:rFonts w:asciiTheme="minorHAnsi" w:eastAsiaTheme="minorEastAsia" w:hAnsiTheme="minorHAnsi" w:cstheme="minorBidi"/>
          <w:szCs w:val="22"/>
        </w:rPr>
      </w:pPr>
      <w:r>
        <w:t>73.</w:t>
      </w:r>
      <w:r>
        <w:tab/>
        <w:t>Modifications of strategic development plan</w:t>
      </w:r>
      <w:r>
        <w:tab/>
      </w:r>
      <w:r>
        <w:fldChar w:fldCharType="begin"/>
      </w:r>
      <w:r>
        <w:instrText xml:space="preserve"> PAGEREF _Toc378338256 \h </w:instrText>
      </w:r>
      <w:r>
        <w:fldChar w:fldCharType="separate"/>
      </w:r>
      <w:r>
        <w:t>52</w:t>
      </w:r>
      <w:r>
        <w:fldChar w:fldCharType="end"/>
      </w:r>
    </w:p>
    <w:p>
      <w:pPr>
        <w:pStyle w:val="TOC8"/>
        <w:rPr>
          <w:rFonts w:asciiTheme="minorHAnsi" w:eastAsiaTheme="minorEastAsia" w:hAnsiTheme="minorHAnsi" w:cstheme="minorBidi"/>
          <w:szCs w:val="22"/>
        </w:rPr>
      </w:pPr>
      <w:r>
        <w:t>74.</w:t>
      </w:r>
      <w:r>
        <w:tab/>
        <w:t>Concurrence of Treasurer</w:t>
      </w:r>
      <w:r>
        <w:tab/>
      </w:r>
      <w:r>
        <w:fldChar w:fldCharType="begin"/>
      </w:r>
      <w:r>
        <w:instrText xml:space="preserve"> PAGEREF _Toc378338257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75.</w:t>
      </w:r>
      <w:r>
        <w:tab/>
        <w:t>Statement of corporate intent to be submitted to Minister</w:t>
      </w:r>
      <w:r>
        <w:tab/>
      </w:r>
      <w:r>
        <w:fldChar w:fldCharType="begin"/>
      </w:r>
      <w:r>
        <w:instrText xml:space="preserve"> PAGEREF _Toc378338259 \h </w:instrText>
      </w:r>
      <w:r>
        <w:fldChar w:fldCharType="separate"/>
      </w:r>
      <w:r>
        <w:t>52</w:t>
      </w:r>
      <w:r>
        <w:fldChar w:fldCharType="end"/>
      </w:r>
    </w:p>
    <w:p>
      <w:pPr>
        <w:pStyle w:val="TOC8"/>
        <w:rPr>
          <w:rFonts w:asciiTheme="minorHAnsi" w:eastAsiaTheme="minorEastAsia" w:hAnsiTheme="minorHAnsi" w:cstheme="minorBidi"/>
          <w:szCs w:val="22"/>
        </w:rPr>
      </w:pPr>
      <w:r>
        <w:t>76.</w:t>
      </w:r>
      <w:r>
        <w:tab/>
        <w:t>Period to which statement of corporate intent relates</w:t>
      </w:r>
      <w:r>
        <w:tab/>
      </w:r>
      <w:r>
        <w:fldChar w:fldCharType="begin"/>
      </w:r>
      <w:r>
        <w:instrText xml:space="preserve"> PAGEREF _Toc378338260 \h </w:instrText>
      </w:r>
      <w:r>
        <w:fldChar w:fldCharType="separate"/>
      </w:r>
      <w:r>
        <w:t>53</w:t>
      </w:r>
      <w:r>
        <w:fldChar w:fldCharType="end"/>
      </w:r>
    </w:p>
    <w:p>
      <w:pPr>
        <w:pStyle w:val="TOC8"/>
        <w:rPr>
          <w:rFonts w:asciiTheme="minorHAnsi" w:eastAsiaTheme="minorEastAsia" w:hAnsiTheme="minorHAnsi" w:cstheme="minorBidi"/>
          <w:szCs w:val="22"/>
        </w:rPr>
      </w:pPr>
      <w:r>
        <w:t>77.</w:t>
      </w:r>
      <w:r>
        <w:tab/>
        <w:t>Matters to be included in statement of corporate intent</w:t>
      </w:r>
      <w:r>
        <w:tab/>
      </w:r>
      <w:r>
        <w:fldChar w:fldCharType="begin"/>
      </w:r>
      <w:r>
        <w:instrText xml:space="preserve"> PAGEREF _Toc378338261 \h </w:instrText>
      </w:r>
      <w:r>
        <w:fldChar w:fldCharType="separate"/>
      </w:r>
      <w:r>
        <w:t>53</w:t>
      </w:r>
      <w:r>
        <w:fldChar w:fldCharType="end"/>
      </w:r>
    </w:p>
    <w:p>
      <w:pPr>
        <w:pStyle w:val="TOC8"/>
        <w:rPr>
          <w:rFonts w:asciiTheme="minorHAnsi" w:eastAsiaTheme="minorEastAsia" w:hAnsiTheme="minorHAnsi" w:cstheme="minorBidi"/>
          <w:szCs w:val="22"/>
        </w:rPr>
      </w:pPr>
      <w:r>
        <w:t>78.</w:t>
      </w:r>
      <w:r>
        <w:tab/>
        <w:t>Minister may request revision of statement of corporate intent</w:t>
      </w:r>
      <w:r>
        <w:tab/>
      </w:r>
      <w:r>
        <w:fldChar w:fldCharType="begin"/>
      </w:r>
      <w:r>
        <w:instrText xml:space="preserve"> PAGEREF _Toc378338262 \h </w:instrText>
      </w:r>
      <w:r>
        <w:fldChar w:fldCharType="separate"/>
      </w:r>
      <w:r>
        <w:t>54</w:t>
      </w:r>
      <w:r>
        <w:fldChar w:fldCharType="end"/>
      </w:r>
    </w:p>
    <w:p>
      <w:pPr>
        <w:pStyle w:val="TOC8"/>
        <w:rPr>
          <w:rFonts w:asciiTheme="minorHAnsi" w:eastAsiaTheme="minorEastAsia" w:hAnsiTheme="minorHAnsi" w:cstheme="minorBidi"/>
          <w:szCs w:val="22"/>
        </w:rPr>
      </w:pPr>
      <w:r>
        <w:t>79.</w:t>
      </w:r>
      <w:r>
        <w:tab/>
        <w:t>Statement of corporate intent laid before Parliament</w:t>
      </w:r>
      <w:r>
        <w:tab/>
      </w:r>
      <w:r>
        <w:fldChar w:fldCharType="begin"/>
      </w:r>
      <w:r>
        <w:instrText xml:space="preserve"> PAGEREF _Toc378338263 \h </w:instrText>
      </w:r>
      <w:r>
        <w:fldChar w:fldCharType="separate"/>
      </w:r>
      <w:r>
        <w:t>54</w:t>
      </w:r>
      <w:r>
        <w:fldChar w:fldCharType="end"/>
      </w:r>
    </w:p>
    <w:p>
      <w:pPr>
        <w:pStyle w:val="TOC8"/>
        <w:rPr>
          <w:rFonts w:asciiTheme="minorHAnsi" w:eastAsiaTheme="minorEastAsia" w:hAnsiTheme="minorHAnsi" w:cstheme="minorBidi"/>
          <w:szCs w:val="22"/>
        </w:rPr>
      </w:pPr>
      <w:r>
        <w:t>80.</w:t>
      </w:r>
      <w:r>
        <w:tab/>
        <w:t>Modifications of statement of corporate intent</w:t>
      </w:r>
      <w:r>
        <w:tab/>
      </w:r>
      <w:r>
        <w:fldChar w:fldCharType="begin"/>
      </w:r>
      <w:r>
        <w:instrText xml:space="preserve"> PAGEREF _Toc378338264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3 — Directions, consultation and provision of information</w:t>
      </w:r>
    </w:p>
    <w:p>
      <w:pPr>
        <w:pStyle w:val="TOC8"/>
        <w:rPr>
          <w:rFonts w:asciiTheme="minorHAnsi" w:eastAsiaTheme="minorEastAsia" w:hAnsiTheme="minorHAnsi" w:cstheme="minorBidi"/>
          <w:szCs w:val="22"/>
        </w:rPr>
      </w:pPr>
      <w:r>
        <w:t>81.</w:t>
      </w:r>
      <w:r>
        <w:tab/>
        <w:t>Directions to RWWA</w:t>
      </w:r>
      <w:r>
        <w:tab/>
      </w:r>
      <w:r>
        <w:fldChar w:fldCharType="begin"/>
      </w:r>
      <w:r>
        <w:instrText xml:space="preserve"> PAGEREF _Toc378338266 \h </w:instrText>
      </w:r>
      <w:r>
        <w:fldChar w:fldCharType="separate"/>
      </w:r>
      <w:r>
        <w:t>55</w:t>
      </w:r>
      <w:r>
        <w:fldChar w:fldCharType="end"/>
      </w:r>
    </w:p>
    <w:p>
      <w:pPr>
        <w:pStyle w:val="TOC8"/>
        <w:rPr>
          <w:rFonts w:asciiTheme="minorHAnsi" w:eastAsiaTheme="minorEastAsia" w:hAnsiTheme="minorHAnsi" w:cstheme="minorBidi"/>
          <w:szCs w:val="22"/>
        </w:rPr>
      </w:pPr>
      <w:r>
        <w:t>82.</w:t>
      </w:r>
      <w:r>
        <w:tab/>
        <w:t>Consultation</w:t>
      </w:r>
      <w:r>
        <w:tab/>
      </w:r>
      <w:r>
        <w:fldChar w:fldCharType="begin"/>
      </w:r>
      <w:r>
        <w:instrText xml:space="preserve"> PAGEREF _Toc378338267 \h </w:instrText>
      </w:r>
      <w:r>
        <w:fldChar w:fldCharType="separate"/>
      </w:r>
      <w:r>
        <w:t>55</w:t>
      </w:r>
      <w:r>
        <w:fldChar w:fldCharType="end"/>
      </w:r>
    </w:p>
    <w:p>
      <w:pPr>
        <w:pStyle w:val="TOC8"/>
        <w:rPr>
          <w:rFonts w:asciiTheme="minorHAnsi" w:eastAsiaTheme="minorEastAsia" w:hAnsiTheme="minorHAnsi" w:cstheme="minorBidi"/>
          <w:szCs w:val="22"/>
        </w:rPr>
      </w:pPr>
      <w:r>
        <w:t>83.</w:t>
      </w:r>
      <w:r>
        <w:tab/>
        <w:t>Minister to have access to information</w:t>
      </w:r>
      <w:r>
        <w:tab/>
      </w:r>
      <w:r>
        <w:fldChar w:fldCharType="begin"/>
      </w:r>
      <w:r>
        <w:instrText xml:space="preserve"> PAGEREF _Toc378338268 \h </w:instrText>
      </w:r>
      <w:r>
        <w:fldChar w:fldCharType="separate"/>
      </w:r>
      <w:r>
        <w:t>55</w:t>
      </w:r>
      <w:r>
        <w:fldChar w:fldCharType="end"/>
      </w:r>
    </w:p>
    <w:p>
      <w:pPr>
        <w:pStyle w:val="TOC8"/>
        <w:rPr>
          <w:rFonts w:asciiTheme="minorHAnsi" w:eastAsiaTheme="minorEastAsia" w:hAnsiTheme="minorHAnsi" w:cstheme="minorBidi"/>
          <w:szCs w:val="22"/>
        </w:rPr>
      </w:pPr>
      <w:r>
        <w:t>84.</w:t>
      </w:r>
      <w:r>
        <w:tab/>
        <w:t>Minister to be kept informed</w:t>
      </w:r>
      <w:r>
        <w:tab/>
      </w:r>
      <w:r>
        <w:fldChar w:fldCharType="begin"/>
      </w:r>
      <w:r>
        <w:instrText xml:space="preserve"> PAGEREF _Toc378338269 \h </w:instrText>
      </w:r>
      <w:r>
        <w:fldChar w:fldCharType="separate"/>
      </w:r>
      <w:r>
        <w:t>56</w:t>
      </w:r>
      <w:r>
        <w:fldChar w:fldCharType="end"/>
      </w:r>
    </w:p>
    <w:p>
      <w:pPr>
        <w:pStyle w:val="TOC8"/>
        <w:rPr>
          <w:rFonts w:asciiTheme="minorHAnsi" w:eastAsiaTheme="minorEastAsia" w:hAnsiTheme="minorHAnsi" w:cstheme="minorBidi"/>
          <w:szCs w:val="22"/>
        </w:rPr>
      </w:pPr>
      <w:r>
        <w:t>85.</w:t>
      </w:r>
      <w:r>
        <w:tab/>
        <w:t>Notice of financial difficulty</w:t>
      </w:r>
      <w:r>
        <w:tab/>
      </w:r>
      <w:r>
        <w:fldChar w:fldCharType="begin"/>
      </w:r>
      <w:r>
        <w:instrText xml:space="preserve"> PAGEREF _Toc378338270 \h </w:instrText>
      </w:r>
      <w:r>
        <w:fldChar w:fldCharType="separate"/>
      </w:r>
      <w:r>
        <w:t>57</w:t>
      </w:r>
      <w:r>
        <w:fldChar w:fldCharType="end"/>
      </w:r>
    </w:p>
    <w:p>
      <w:pPr>
        <w:pStyle w:val="TOC8"/>
        <w:rPr>
          <w:rFonts w:asciiTheme="minorHAnsi" w:eastAsiaTheme="minorEastAsia" w:hAnsiTheme="minorHAnsi" w:cstheme="minorBidi"/>
          <w:szCs w:val="22"/>
        </w:rPr>
      </w:pPr>
      <w:r>
        <w:t>86.</w:t>
      </w:r>
      <w:r>
        <w:tab/>
        <w:t>RWWA records</w:t>
      </w:r>
      <w:r>
        <w:tab/>
      </w:r>
      <w:r>
        <w:fldChar w:fldCharType="begin"/>
      </w:r>
      <w:r>
        <w:instrText xml:space="preserve"> PAGEREF _Toc378338271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87.</w:t>
      </w:r>
      <w:r>
        <w:tab/>
        <w:t>Protection for disclosure</w:t>
      </w:r>
      <w:r>
        <w:tab/>
      </w:r>
      <w:r>
        <w:fldChar w:fldCharType="begin"/>
      </w:r>
      <w:r>
        <w:instrText xml:space="preserve"> PAGEREF _Toc378338273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7 — Financial provisions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88.</w:t>
      </w:r>
      <w:r>
        <w:tab/>
        <w:t>Bank account</w:t>
      </w:r>
      <w:r>
        <w:tab/>
      </w:r>
      <w:r>
        <w:fldChar w:fldCharType="begin"/>
      </w:r>
      <w:r>
        <w:instrText xml:space="preserve"> PAGEREF _Toc378338276 \h </w:instrText>
      </w:r>
      <w:r>
        <w:fldChar w:fldCharType="separate"/>
      </w:r>
      <w:r>
        <w:t>59</w:t>
      </w:r>
      <w:r>
        <w:fldChar w:fldCharType="end"/>
      </w:r>
    </w:p>
    <w:p>
      <w:pPr>
        <w:pStyle w:val="TOC8"/>
        <w:rPr>
          <w:rFonts w:asciiTheme="minorHAnsi" w:eastAsiaTheme="minorEastAsia" w:hAnsiTheme="minorHAnsi" w:cstheme="minorBidi"/>
          <w:szCs w:val="22"/>
        </w:rPr>
      </w:pPr>
      <w:r>
        <w:t>89.</w:t>
      </w:r>
      <w:r>
        <w:tab/>
        <w:t>Investment</w:t>
      </w:r>
      <w:r>
        <w:tab/>
      </w:r>
      <w:r>
        <w:fldChar w:fldCharType="begin"/>
      </w:r>
      <w:r>
        <w:instrText xml:space="preserve"> PAGEREF _Toc378338277 \h </w:instrText>
      </w:r>
      <w:r>
        <w:fldChar w:fldCharType="separate"/>
      </w:r>
      <w:r>
        <w:t>59</w:t>
      </w:r>
      <w:r>
        <w:fldChar w:fldCharType="end"/>
      </w:r>
    </w:p>
    <w:p>
      <w:pPr>
        <w:pStyle w:val="TOC8"/>
        <w:rPr>
          <w:rFonts w:asciiTheme="minorHAnsi" w:eastAsiaTheme="minorEastAsia" w:hAnsiTheme="minorHAnsi" w:cstheme="minorBidi"/>
          <w:szCs w:val="22"/>
        </w:rPr>
      </w:pPr>
      <w:r>
        <w:t>90.</w:t>
      </w:r>
      <w:r>
        <w:tab/>
        <w:t>Reserve accounts</w:t>
      </w:r>
      <w:r>
        <w:tab/>
      </w:r>
      <w:r>
        <w:fldChar w:fldCharType="begin"/>
      </w:r>
      <w:r>
        <w:instrText xml:space="preserve"> PAGEREF _Toc378338278 \h </w:instrText>
      </w:r>
      <w:r>
        <w:fldChar w:fldCharType="separate"/>
      </w:r>
      <w:r>
        <w:t>59</w:t>
      </w:r>
      <w:r>
        <w:fldChar w:fldCharType="end"/>
      </w:r>
    </w:p>
    <w:p>
      <w:pPr>
        <w:pStyle w:val="TOC8"/>
        <w:rPr>
          <w:rFonts w:asciiTheme="minorHAnsi" w:eastAsiaTheme="minorEastAsia" w:hAnsiTheme="minorHAnsi" w:cstheme="minorBidi"/>
          <w:szCs w:val="22"/>
        </w:rPr>
      </w:pPr>
      <w:r>
        <w:t>91.</w:t>
      </w:r>
      <w:r>
        <w:tab/>
        <w:t>Payment of outgoings and expenses</w:t>
      </w:r>
      <w:r>
        <w:tab/>
      </w:r>
      <w:r>
        <w:fldChar w:fldCharType="begin"/>
      </w:r>
      <w:r>
        <w:instrText xml:space="preserve"> PAGEREF _Toc378338279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Loans and grants</w:t>
      </w:r>
    </w:p>
    <w:p>
      <w:pPr>
        <w:pStyle w:val="TOC8"/>
        <w:rPr>
          <w:rFonts w:asciiTheme="minorHAnsi" w:eastAsiaTheme="minorEastAsia" w:hAnsiTheme="minorHAnsi" w:cstheme="minorBidi"/>
          <w:szCs w:val="22"/>
        </w:rPr>
      </w:pPr>
      <w:r>
        <w:t>92.</w:t>
      </w:r>
      <w:r>
        <w:tab/>
        <w:t>RWWA may lend or grant money to racing clubs and allied bodies</w:t>
      </w:r>
      <w:r>
        <w:tab/>
      </w:r>
      <w:r>
        <w:fldChar w:fldCharType="begin"/>
      </w:r>
      <w:r>
        <w:instrText xml:space="preserve"> PAGEREF _Toc378338281 \h </w:instrText>
      </w:r>
      <w:r>
        <w:fldChar w:fldCharType="separate"/>
      </w:r>
      <w:r>
        <w:t>60</w:t>
      </w:r>
      <w:r>
        <w:fldChar w:fldCharType="end"/>
      </w:r>
    </w:p>
    <w:p>
      <w:pPr>
        <w:pStyle w:val="TOC8"/>
        <w:rPr>
          <w:rFonts w:asciiTheme="minorHAnsi" w:eastAsiaTheme="minorEastAsia" w:hAnsiTheme="minorHAnsi" w:cstheme="minorBidi"/>
          <w:szCs w:val="22"/>
        </w:rPr>
      </w:pPr>
      <w:r>
        <w:t>93.</w:t>
      </w:r>
      <w:r>
        <w:tab/>
        <w:t>Terms and conditions of loan</w:t>
      </w:r>
      <w:r>
        <w:tab/>
      </w:r>
      <w:r>
        <w:fldChar w:fldCharType="begin"/>
      </w:r>
      <w:r>
        <w:instrText xml:space="preserve"> PAGEREF _Toc378338282 \h </w:instrText>
      </w:r>
      <w:r>
        <w:fldChar w:fldCharType="separate"/>
      </w:r>
      <w:r>
        <w:t>61</w:t>
      </w:r>
      <w:r>
        <w:fldChar w:fldCharType="end"/>
      </w:r>
    </w:p>
    <w:p>
      <w:pPr>
        <w:pStyle w:val="TOC8"/>
        <w:rPr>
          <w:rFonts w:asciiTheme="minorHAnsi" w:eastAsiaTheme="minorEastAsia" w:hAnsiTheme="minorHAnsi" w:cstheme="minorBidi"/>
          <w:szCs w:val="22"/>
        </w:rPr>
      </w:pPr>
      <w:r>
        <w:t>94.</w:t>
      </w:r>
      <w:r>
        <w:tab/>
        <w:t>Failure to comply with terms and conditions</w:t>
      </w:r>
      <w:r>
        <w:tab/>
      </w:r>
      <w:r>
        <w:fldChar w:fldCharType="begin"/>
      </w:r>
      <w:r>
        <w:instrText xml:space="preserve"> PAGEREF _Toc378338283 \h </w:instrText>
      </w:r>
      <w:r>
        <w:fldChar w:fldCharType="separate"/>
      </w:r>
      <w:r>
        <w:t>61</w:t>
      </w:r>
      <w:r>
        <w:fldChar w:fldCharType="end"/>
      </w:r>
    </w:p>
    <w:p>
      <w:pPr>
        <w:pStyle w:val="TOC8"/>
        <w:rPr>
          <w:rFonts w:asciiTheme="minorHAnsi" w:eastAsiaTheme="minorEastAsia" w:hAnsiTheme="minorHAnsi" w:cstheme="minorBidi"/>
          <w:szCs w:val="22"/>
        </w:rPr>
      </w:pPr>
      <w:r>
        <w:t>95.</w:t>
      </w:r>
      <w:r>
        <w:tab/>
        <w:t>Application and security for loan or grant</w:t>
      </w:r>
      <w:r>
        <w:tab/>
      </w:r>
      <w:r>
        <w:fldChar w:fldCharType="begin"/>
      </w:r>
      <w:r>
        <w:instrText xml:space="preserve"> PAGEREF _Toc378338284 \h </w:instrText>
      </w:r>
      <w:r>
        <w:fldChar w:fldCharType="separate"/>
      </w:r>
      <w:r>
        <w:t>62</w:t>
      </w:r>
      <w:r>
        <w:fldChar w:fldCharType="end"/>
      </w:r>
    </w:p>
    <w:p>
      <w:pPr>
        <w:pStyle w:val="TOC8"/>
        <w:rPr>
          <w:rFonts w:asciiTheme="minorHAnsi" w:eastAsiaTheme="minorEastAsia" w:hAnsiTheme="minorHAnsi" w:cstheme="minorBidi"/>
          <w:szCs w:val="22"/>
        </w:rPr>
      </w:pPr>
      <w:r>
        <w:t>96.</w:t>
      </w:r>
      <w:r>
        <w:tab/>
        <w:t>Club or allied body may make representations to board</w:t>
      </w:r>
      <w:r>
        <w:tab/>
      </w:r>
      <w:r>
        <w:fldChar w:fldCharType="begin"/>
      </w:r>
      <w:r>
        <w:instrText xml:space="preserve"> PAGEREF _Toc378338285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97.</w:t>
      </w:r>
      <w:r>
        <w:tab/>
        <w:t>Borrowing</w:t>
      </w:r>
      <w:r>
        <w:tab/>
      </w:r>
      <w:r>
        <w:fldChar w:fldCharType="begin"/>
      </w:r>
      <w:r>
        <w:instrText xml:space="preserve"> PAGEREF _Toc378338287 \h </w:instrText>
      </w:r>
      <w:r>
        <w:fldChar w:fldCharType="separate"/>
      </w:r>
      <w:r>
        <w:t>62</w:t>
      </w:r>
      <w:r>
        <w:fldChar w:fldCharType="end"/>
      </w:r>
    </w:p>
    <w:p>
      <w:pPr>
        <w:pStyle w:val="TOC8"/>
        <w:rPr>
          <w:rFonts w:asciiTheme="minorHAnsi" w:eastAsiaTheme="minorEastAsia" w:hAnsiTheme="minorHAnsi" w:cstheme="minorBidi"/>
          <w:szCs w:val="22"/>
        </w:rPr>
      </w:pPr>
      <w:r>
        <w:t>98.</w:t>
      </w:r>
      <w:r>
        <w:tab/>
        <w:t>Borrowing restrictions</w:t>
      </w:r>
      <w:r>
        <w:tab/>
      </w:r>
      <w:r>
        <w:fldChar w:fldCharType="begin"/>
      </w:r>
      <w:r>
        <w:instrText xml:space="preserve"> PAGEREF _Toc378338288 \h </w:instrText>
      </w:r>
      <w:r>
        <w:fldChar w:fldCharType="separate"/>
      </w:r>
      <w:r>
        <w:t>63</w:t>
      </w:r>
      <w:r>
        <w:fldChar w:fldCharType="end"/>
      </w:r>
    </w:p>
    <w:p>
      <w:pPr>
        <w:pStyle w:val="TOC8"/>
        <w:rPr>
          <w:rFonts w:asciiTheme="minorHAnsi" w:eastAsiaTheme="minorEastAsia" w:hAnsiTheme="minorHAnsi" w:cstheme="minorBidi"/>
          <w:szCs w:val="22"/>
        </w:rPr>
      </w:pPr>
      <w:r>
        <w:t>99.</w:t>
      </w:r>
      <w:r>
        <w:tab/>
        <w:t>Hedging transactions</w:t>
      </w:r>
      <w:r>
        <w:tab/>
      </w:r>
      <w:r>
        <w:fldChar w:fldCharType="begin"/>
      </w:r>
      <w:r>
        <w:instrText xml:space="preserve"> PAGEREF _Toc378338289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100.</w:t>
      </w:r>
      <w:r>
        <w:tab/>
        <w:t>Guarantees</w:t>
      </w:r>
      <w:r>
        <w:tab/>
      </w:r>
      <w:r>
        <w:fldChar w:fldCharType="begin"/>
      </w:r>
      <w:r>
        <w:instrText xml:space="preserve"> PAGEREF _Toc378338291 \h </w:instrText>
      </w:r>
      <w:r>
        <w:fldChar w:fldCharType="separate"/>
      </w:r>
      <w:r>
        <w:t>64</w:t>
      </w:r>
      <w:r>
        <w:fldChar w:fldCharType="end"/>
      </w:r>
    </w:p>
    <w:p>
      <w:pPr>
        <w:pStyle w:val="TOC8"/>
        <w:rPr>
          <w:rFonts w:asciiTheme="minorHAnsi" w:eastAsiaTheme="minorEastAsia" w:hAnsiTheme="minorHAnsi" w:cstheme="minorBidi"/>
          <w:szCs w:val="22"/>
        </w:rPr>
      </w:pPr>
      <w:r>
        <w:t>101.</w:t>
      </w:r>
      <w:r>
        <w:tab/>
        <w:t>Charges for guarantee</w:t>
      </w:r>
      <w:r>
        <w:tab/>
      </w:r>
      <w:r>
        <w:fldChar w:fldCharType="begin"/>
      </w:r>
      <w:r>
        <w:instrText xml:space="preserve"> PAGEREF _Toc378338292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5 — Financial provisions in relation to wagering</w:t>
      </w:r>
    </w:p>
    <w:p>
      <w:pPr>
        <w:pStyle w:val="TOC8"/>
        <w:rPr>
          <w:rFonts w:asciiTheme="minorHAnsi" w:eastAsiaTheme="minorEastAsia" w:hAnsiTheme="minorHAnsi" w:cstheme="minorBidi"/>
          <w:szCs w:val="22"/>
        </w:rPr>
      </w:pPr>
      <w:r>
        <w:t>102.</w:t>
      </w:r>
      <w:r>
        <w:tab/>
        <w:t>RWWA wagering tax</w:t>
      </w:r>
      <w:r>
        <w:tab/>
      </w:r>
      <w:r>
        <w:fldChar w:fldCharType="begin"/>
      </w:r>
      <w:r>
        <w:instrText xml:space="preserve"> PAGEREF _Toc378338294 \h </w:instrText>
      </w:r>
      <w:r>
        <w:fldChar w:fldCharType="separate"/>
      </w:r>
      <w:r>
        <w:t>65</w:t>
      </w:r>
      <w:r>
        <w:fldChar w:fldCharType="end"/>
      </w:r>
    </w:p>
    <w:p>
      <w:pPr>
        <w:pStyle w:val="TOC8"/>
        <w:rPr>
          <w:rFonts w:asciiTheme="minorHAnsi" w:eastAsiaTheme="minorEastAsia" w:hAnsiTheme="minorHAnsi" w:cstheme="minorBidi"/>
          <w:szCs w:val="22"/>
        </w:rPr>
      </w:pPr>
      <w:r>
        <w:t>103.</w:t>
      </w:r>
      <w:r>
        <w:tab/>
        <w:t>Supplementary pool schemes</w:t>
      </w:r>
      <w:r>
        <w:tab/>
      </w:r>
      <w:r>
        <w:fldChar w:fldCharType="begin"/>
      </w:r>
      <w:r>
        <w:instrText xml:space="preserve"> PAGEREF _Toc378338295 \h </w:instrText>
      </w:r>
      <w:r>
        <w:fldChar w:fldCharType="separate"/>
      </w:r>
      <w:r>
        <w:t>66</w:t>
      </w:r>
      <w:r>
        <w:fldChar w:fldCharType="end"/>
      </w:r>
    </w:p>
    <w:p>
      <w:pPr>
        <w:pStyle w:val="TOC8"/>
        <w:rPr>
          <w:rFonts w:asciiTheme="minorHAnsi" w:eastAsiaTheme="minorEastAsia" w:hAnsiTheme="minorHAnsi" w:cstheme="minorBidi"/>
          <w:szCs w:val="22"/>
        </w:rPr>
      </w:pPr>
      <w:r>
        <w:t>104.</w:t>
      </w:r>
      <w:r>
        <w:tab/>
        <w:t>Unclaimed dividends, fixed odds winnings and refunds</w:t>
      </w:r>
      <w:r>
        <w:tab/>
      </w:r>
      <w:r>
        <w:fldChar w:fldCharType="begin"/>
      </w:r>
      <w:r>
        <w:instrText xml:space="preserve"> PAGEREF _Toc378338296 \h </w:instrText>
      </w:r>
      <w:r>
        <w:fldChar w:fldCharType="separate"/>
      </w:r>
      <w:r>
        <w:t>66</w:t>
      </w:r>
      <w:r>
        <w:fldChar w:fldCharType="end"/>
      </w:r>
    </w:p>
    <w:p>
      <w:pPr>
        <w:pStyle w:val="TOC8"/>
        <w:rPr>
          <w:rFonts w:asciiTheme="minorHAnsi" w:eastAsiaTheme="minorEastAsia" w:hAnsiTheme="minorHAnsi" w:cstheme="minorBidi"/>
          <w:szCs w:val="22"/>
        </w:rPr>
      </w:pPr>
      <w:r>
        <w:t>105.</w:t>
      </w:r>
      <w:r>
        <w:tab/>
        <w:t>Allocation of RWWA’s funds before 1 August 2006</w:t>
      </w:r>
      <w:r>
        <w:tab/>
      </w:r>
      <w:r>
        <w:fldChar w:fldCharType="begin"/>
      </w:r>
      <w:r>
        <w:instrText xml:space="preserve"> PAGEREF _Toc378338297 \h </w:instrText>
      </w:r>
      <w:r>
        <w:fldChar w:fldCharType="separate"/>
      </w:r>
      <w:r>
        <w:t>67</w:t>
      </w:r>
      <w:r>
        <w:fldChar w:fldCharType="end"/>
      </w:r>
    </w:p>
    <w:p>
      <w:pPr>
        <w:pStyle w:val="TOC8"/>
        <w:rPr>
          <w:rFonts w:asciiTheme="minorHAnsi" w:eastAsiaTheme="minorEastAsia" w:hAnsiTheme="minorHAnsi" w:cstheme="minorBidi"/>
          <w:szCs w:val="22"/>
        </w:rPr>
      </w:pPr>
      <w:r>
        <w:t>106.</w:t>
      </w:r>
      <w:r>
        <w:tab/>
        <w:t>Allocation of RWWA’s funds after 31 July 2006</w:t>
      </w:r>
      <w:r>
        <w:tab/>
      </w:r>
      <w:r>
        <w:fldChar w:fldCharType="begin"/>
      </w:r>
      <w:r>
        <w:instrText xml:space="preserve"> PAGEREF _Toc378338298 \h </w:instrText>
      </w:r>
      <w:r>
        <w:fldChar w:fldCharType="separate"/>
      </w:r>
      <w:r>
        <w:t>69</w:t>
      </w:r>
      <w:r>
        <w:fldChar w:fldCharType="end"/>
      </w:r>
    </w:p>
    <w:p>
      <w:pPr>
        <w:pStyle w:val="TOC8"/>
        <w:rPr>
          <w:rFonts w:asciiTheme="minorHAnsi" w:eastAsiaTheme="minorEastAsia" w:hAnsiTheme="minorHAnsi" w:cstheme="minorBidi"/>
          <w:szCs w:val="22"/>
        </w:rPr>
      </w:pPr>
      <w:r>
        <w:t>107A.</w:t>
      </w:r>
      <w:r>
        <w:tab/>
        <w:t>Distribution of funds from the racing bets levy</w:t>
      </w:r>
      <w:r>
        <w:tab/>
      </w:r>
      <w:r>
        <w:fldChar w:fldCharType="begin"/>
      </w:r>
      <w:r>
        <w:instrText xml:space="preserve"> PAGEREF _Toc378338299 \h </w:instrText>
      </w:r>
      <w:r>
        <w:fldChar w:fldCharType="separate"/>
      </w:r>
      <w:r>
        <w:t>70</w:t>
      </w:r>
      <w:r>
        <w:fldChar w:fldCharType="end"/>
      </w:r>
    </w:p>
    <w:p>
      <w:pPr>
        <w:pStyle w:val="TOC8"/>
        <w:rPr>
          <w:rFonts w:asciiTheme="minorHAnsi" w:eastAsiaTheme="minorEastAsia" w:hAnsiTheme="minorHAnsi" w:cstheme="minorBidi"/>
          <w:szCs w:val="22"/>
        </w:rPr>
      </w:pPr>
      <w:r>
        <w:t>107.</w:t>
      </w:r>
      <w:r>
        <w:tab/>
        <w:t>Allocation of RWWA’s funds in respect of sporting events</w:t>
      </w:r>
      <w:r>
        <w:tab/>
      </w:r>
      <w:r>
        <w:fldChar w:fldCharType="begin"/>
      </w:r>
      <w:r>
        <w:instrText xml:space="preserve"> PAGEREF _Toc378338300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108.</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_Toc378338302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4"/>
        <w:tabs>
          <w:tab w:val="right" w:leader="dot" w:pos="7086"/>
        </w:tabs>
        <w:rPr>
          <w:rFonts w:asciiTheme="minorHAnsi" w:eastAsiaTheme="minorEastAsia" w:hAnsiTheme="minorHAnsi" w:cstheme="minorBidi"/>
          <w:b w:val="0"/>
          <w:szCs w:val="22"/>
        </w:rPr>
      </w:pPr>
      <w:r>
        <w:t>Division 1 — Protection of people dealing with RWWA</w:t>
      </w:r>
    </w:p>
    <w:p>
      <w:pPr>
        <w:pStyle w:val="TOC8"/>
        <w:rPr>
          <w:rFonts w:asciiTheme="minorHAnsi" w:eastAsiaTheme="minorEastAsia" w:hAnsiTheme="minorHAnsi" w:cstheme="minorBidi"/>
          <w:szCs w:val="22"/>
        </w:rPr>
      </w:pPr>
      <w:r>
        <w:t>109.</w:t>
      </w:r>
      <w:r>
        <w:tab/>
        <w:t>People dealing with RWWA may make assumptions</w:t>
      </w:r>
      <w:r>
        <w:tab/>
      </w:r>
      <w:r>
        <w:fldChar w:fldCharType="begin"/>
      </w:r>
      <w:r>
        <w:instrText xml:space="preserve"> PAGEREF _Toc378338305 \h </w:instrText>
      </w:r>
      <w:r>
        <w:fldChar w:fldCharType="separate"/>
      </w:r>
      <w:r>
        <w:t>72</w:t>
      </w:r>
      <w:r>
        <w:fldChar w:fldCharType="end"/>
      </w:r>
    </w:p>
    <w:p>
      <w:pPr>
        <w:pStyle w:val="TOC8"/>
        <w:rPr>
          <w:rFonts w:asciiTheme="minorHAnsi" w:eastAsiaTheme="minorEastAsia" w:hAnsiTheme="minorHAnsi" w:cstheme="minorBidi"/>
          <w:szCs w:val="22"/>
        </w:rPr>
      </w:pPr>
      <w:r>
        <w:t>110.</w:t>
      </w:r>
      <w:r>
        <w:tab/>
        <w:t>Third parties may make assumptions</w:t>
      </w:r>
      <w:r>
        <w:tab/>
      </w:r>
      <w:r>
        <w:fldChar w:fldCharType="begin"/>
      </w:r>
      <w:r>
        <w:instrText xml:space="preserve"> PAGEREF _Toc378338306 \h </w:instrText>
      </w:r>
      <w:r>
        <w:fldChar w:fldCharType="separate"/>
      </w:r>
      <w:r>
        <w:t>72</w:t>
      </w:r>
      <w:r>
        <w:fldChar w:fldCharType="end"/>
      </w:r>
    </w:p>
    <w:p>
      <w:pPr>
        <w:pStyle w:val="TOC8"/>
        <w:rPr>
          <w:rFonts w:asciiTheme="minorHAnsi" w:eastAsiaTheme="minorEastAsia" w:hAnsiTheme="minorHAnsi" w:cstheme="minorBidi"/>
          <w:szCs w:val="22"/>
        </w:rPr>
      </w:pPr>
      <w:r>
        <w:t>111.</w:t>
      </w:r>
      <w:r>
        <w:tab/>
        <w:t>Things that can be assumed</w:t>
      </w:r>
      <w:r>
        <w:tab/>
      </w:r>
      <w:r>
        <w:fldChar w:fldCharType="begin"/>
      </w:r>
      <w:r>
        <w:instrText xml:space="preserve"> PAGEREF _Toc378338307 \h </w:instrText>
      </w:r>
      <w:r>
        <w:fldChar w:fldCharType="separate"/>
      </w:r>
      <w:r>
        <w:t>72</w:t>
      </w:r>
      <w:r>
        <w:fldChar w:fldCharType="end"/>
      </w:r>
    </w:p>
    <w:p>
      <w:pPr>
        <w:pStyle w:val="TOC8"/>
        <w:rPr>
          <w:rFonts w:asciiTheme="minorHAnsi" w:eastAsiaTheme="minorEastAsia" w:hAnsiTheme="minorHAnsi" w:cstheme="minorBidi"/>
          <w:szCs w:val="22"/>
        </w:rPr>
      </w:pPr>
      <w:r>
        <w:t>112.</w:t>
      </w:r>
      <w:r>
        <w:tab/>
        <w:t>When those things cannot be assumed</w:t>
      </w:r>
      <w:r>
        <w:tab/>
      </w:r>
      <w:r>
        <w:fldChar w:fldCharType="begin"/>
      </w:r>
      <w:r>
        <w:instrText xml:space="preserve"> PAGEREF _Toc378338308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113.</w:t>
      </w:r>
      <w:r>
        <w:tab/>
        <w:t>Entry and inspection of premises</w:t>
      </w:r>
      <w:r>
        <w:tab/>
      </w:r>
      <w:r>
        <w:fldChar w:fldCharType="begin"/>
      </w:r>
      <w:r>
        <w:instrText xml:space="preserve"> PAGEREF _Toc378338310 \h </w:instrText>
      </w:r>
      <w:r>
        <w:fldChar w:fldCharType="separate"/>
      </w:r>
      <w:r>
        <w:t>74</w:t>
      </w:r>
      <w:r>
        <w:fldChar w:fldCharType="end"/>
      </w:r>
    </w:p>
    <w:p>
      <w:pPr>
        <w:pStyle w:val="TOC8"/>
        <w:rPr>
          <w:rFonts w:asciiTheme="minorHAnsi" w:eastAsiaTheme="minorEastAsia" w:hAnsiTheme="minorHAnsi" w:cstheme="minorBidi"/>
          <w:szCs w:val="22"/>
        </w:rPr>
      </w:pPr>
      <w:r>
        <w:t>114.</w:t>
      </w:r>
      <w:r>
        <w:tab/>
        <w:t>Commissioner of State Revenue may enter and inspect RWWA premises</w:t>
      </w:r>
      <w:r>
        <w:tab/>
      </w:r>
      <w:r>
        <w:fldChar w:fldCharType="begin"/>
      </w:r>
      <w:r>
        <w:instrText xml:space="preserve"> PAGEREF _Toc378338311 \h </w:instrText>
      </w:r>
      <w:r>
        <w:fldChar w:fldCharType="separate"/>
      </w:r>
      <w:r>
        <w:t>76</w:t>
      </w:r>
      <w:r>
        <w:fldChar w:fldCharType="end"/>
      </w:r>
    </w:p>
    <w:p>
      <w:pPr>
        <w:pStyle w:val="TOC8"/>
        <w:rPr>
          <w:rFonts w:asciiTheme="minorHAnsi" w:eastAsiaTheme="minorEastAsia" w:hAnsiTheme="minorHAnsi" w:cstheme="minorBidi"/>
          <w:szCs w:val="22"/>
        </w:rPr>
      </w:pPr>
      <w:r>
        <w:t>115.</w:t>
      </w:r>
      <w:r>
        <w:tab/>
        <w:t>Miscellaneous offences</w:t>
      </w:r>
      <w:r>
        <w:tab/>
      </w:r>
      <w:r>
        <w:fldChar w:fldCharType="begin"/>
      </w:r>
      <w:r>
        <w:instrText xml:space="preserve"> PAGEREF _Toc378338312 \h </w:instrText>
      </w:r>
      <w:r>
        <w:fldChar w:fldCharType="separate"/>
      </w:r>
      <w:r>
        <w:t>76</w:t>
      </w:r>
      <w:r>
        <w:fldChar w:fldCharType="end"/>
      </w:r>
    </w:p>
    <w:p>
      <w:pPr>
        <w:pStyle w:val="TOC8"/>
        <w:rPr>
          <w:rFonts w:asciiTheme="minorHAnsi" w:eastAsiaTheme="minorEastAsia" w:hAnsiTheme="minorHAnsi" w:cstheme="minorBidi"/>
          <w:szCs w:val="22"/>
        </w:rPr>
      </w:pPr>
      <w:r>
        <w:t>116.</w:t>
      </w:r>
      <w:r>
        <w:tab/>
        <w:t>Immunity from certain claims</w:t>
      </w:r>
      <w:r>
        <w:tab/>
      </w:r>
      <w:r>
        <w:fldChar w:fldCharType="begin"/>
      </w:r>
      <w:r>
        <w:instrText xml:space="preserve"> PAGEREF _Toc378338313 \h </w:instrText>
      </w:r>
      <w:r>
        <w:fldChar w:fldCharType="separate"/>
      </w:r>
      <w:r>
        <w:t>77</w:t>
      </w:r>
      <w:r>
        <w:fldChar w:fldCharType="end"/>
      </w:r>
    </w:p>
    <w:p>
      <w:pPr>
        <w:pStyle w:val="TOC8"/>
        <w:rPr>
          <w:rFonts w:asciiTheme="minorHAnsi" w:eastAsiaTheme="minorEastAsia" w:hAnsiTheme="minorHAnsi" w:cstheme="minorBidi"/>
          <w:szCs w:val="22"/>
        </w:rPr>
      </w:pPr>
      <w:r>
        <w:t>117.</w:t>
      </w:r>
      <w:r>
        <w:tab/>
        <w:t>Laying documents before House of Parliament that is not sitting</w:t>
      </w:r>
      <w:r>
        <w:tab/>
      </w:r>
      <w:r>
        <w:fldChar w:fldCharType="begin"/>
      </w:r>
      <w:r>
        <w:instrText xml:space="preserve"> PAGEREF _Toc378338314 \h </w:instrText>
      </w:r>
      <w:r>
        <w:fldChar w:fldCharType="separate"/>
      </w:r>
      <w:r>
        <w:t>77</w:t>
      </w:r>
      <w:r>
        <w:fldChar w:fldCharType="end"/>
      </w:r>
    </w:p>
    <w:p>
      <w:pPr>
        <w:pStyle w:val="TOC8"/>
        <w:rPr>
          <w:rFonts w:asciiTheme="minorHAnsi" w:eastAsiaTheme="minorEastAsia" w:hAnsiTheme="minorHAnsi" w:cstheme="minorBidi"/>
          <w:szCs w:val="22"/>
        </w:rPr>
      </w:pPr>
      <w:r>
        <w:t>118.</w:t>
      </w:r>
      <w:r>
        <w:tab/>
        <w:t>Execution of documents by RWWA</w:t>
      </w:r>
      <w:r>
        <w:tab/>
      </w:r>
      <w:r>
        <w:fldChar w:fldCharType="begin"/>
      </w:r>
      <w:r>
        <w:instrText xml:space="preserve"> PAGEREF _Toc378338315 \h </w:instrText>
      </w:r>
      <w:r>
        <w:fldChar w:fldCharType="separate"/>
      </w:r>
      <w:r>
        <w:t>77</w:t>
      </w:r>
      <w:r>
        <w:fldChar w:fldCharType="end"/>
      </w:r>
    </w:p>
    <w:p>
      <w:pPr>
        <w:pStyle w:val="TOC8"/>
        <w:rPr>
          <w:rFonts w:asciiTheme="minorHAnsi" w:eastAsiaTheme="minorEastAsia" w:hAnsiTheme="minorHAnsi" w:cstheme="minorBidi"/>
          <w:szCs w:val="22"/>
        </w:rPr>
      </w:pPr>
      <w:r>
        <w:t>119.</w:t>
      </w:r>
      <w:r>
        <w:tab/>
        <w:t>Contract formalities</w:t>
      </w:r>
      <w:r>
        <w:tab/>
      </w:r>
      <w:r>
        <w:fldChar w:fldCharType="begin"/>
      </w:r>
      <w:r>
        <w:instrText xml:space="preserve"> PAGEREF _Toc378338316 \h </w:instrText>
      </w:r>
      <w:r>
        <w:fldChar w:fldCharType="separate"/>
      </w:r>
      <w:r>
        <w:t>79</w:t>
      </w:r>
      <w:r>
        <w:fldChar w:fldCharType="end"/>
      </w:r>
    </w:p>
    <w:p>
      <w:pPr>
        <w:pStyle w:val="TOC8"/>
        <w:rPr>
          <w:rFonts w:asciiTheme="minorHAnsi" w:eastAsiaTheme="minorEastAsia" w:hAnsiTheme="minorHAnsi" w:cstheme="minorBidi"/>
          <w:szCs w:val="22"/>
        </w:rPr>
      </w:pPr>
      <w:r>
        <w:t>120.</w:t>
      </w:r>
      <w:r>
        <w:tab/>
        <w:t>Rules of wagering</w:t>
      </w:r>
      <w:r>
        <w:tab/>
      </w:r>
      <w:r>
        <w:fldChar w:fldCharType="begin"/>
      </w:r>
      <w:r>
        <w:instrText xml:space="preserve"> PAGEREF _Toc378338317 \h </w:instrText>
      </w:r>
      <w:r>
        <w:fldChar w:fldCharType="separate"/>
      </w:r>
      <w:r>
        <w:t>79</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_Toc378338318 \h </w:instrText>
      </w:r>
      <w:r>
        <w:fldChar w:fldCharType="separate"/>
      </w:r>
      <w:r>
        <w:t>80</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_Toc378338319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about the constitution and proceedings of RWWA’s board of directors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_Toc378338321 \h </w:instrText>
      </w:r>
      <w:r>
        <w:fldChar w:fldCharType="separate"/>
      </w:r>
      <w:r>
        <w:t>83</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_Toc378338322 \h </w:instrText>
      </w:r>
      <w:r>
        <w:fldChar w:fldCharType="separate"/>
      </w:r>
      <w:r>
        <w:t>83</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_Toc378338323 \h </w:instrText>
      </w:r>
      <w:r>
        <w:fldChar w:fldCharType="separate"/>
      </w:r>
      <w:r>
        <w:t>84</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_Toc378338324 \h </w:instrText>
      </w:r>
      <w:r>
        <w:fldChar w:fldCharType="separate"/>
      </w:r>
      <w:r>
        <w:t>84</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_Toc378338325 \h </w:instrText>
      </w:r>
      <w:r>
        <w:fldChar w:fldCharType="separate"/>
      </w:r>
      <w:r>
        <w:t>85</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_Toc378338326 \h </w:instrText>
      </w:r>
      <w:r>
        <w:fldChar w:fldCharType="separate"/>
      </w:r>
      <w:r>
        <w:t>85</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_Toc378338327 \h </w:instrText>
      </w:r>
      <w:r>
        <w:fldChar w:fldCharType="separate"/>
      </w:r>
      <w:r>
        <w:t>85</w:t>
      </w:r>
      <w:r>
        <w:fldChar w:fldCharType="end"/>
      </w:r>
    </w:p>
    <w:p>
      <w:pPr>
        <w:pStyle w:val="TOC8"/>
        <w:rPr>
          <w:rFonts w:asciiTheme="minorHAnsi" w:eastAsiaTheme="minorEastAsia" w:hAnsiTheme="minorHAnsi" w:cstheme="minorBidi"/>
          <w:szCs w:val="22"/>
        </w:rPr>
      </w:pPr>
      <w:r>
        <w:t>8.</w:t>
      </w:r>
      <w:r>
        <w:tab/>
        <w:t>Voting by interested directors</w:t>
      </w:r>
      <w:r>
        <w:tab/>
      </w:r>
      <w:r>
        <w:fldChar w:fldCharType="begin"/>
      </w:r>
      <w:r>
        <w:instrText xml:space="preserve"> PAGEREF _Toc378338328 \h </w:instrText>
      </w:r>
      <w:r>
        <w:fldChar w:fldCharType="separate"/>
      </w:r>
      <w:r>
        <w:t>86</w:t>
      </w:r>
      <w:r>
        <w:fldChar w:fldCharType="end"/>
      </w:r>
    </w:p>
    <w:p>
      <w:pPr>
        <w:pStyle w:val="TOC8"/>
        <w:rPr>
          <w:rFonts w:asciiTheme="minorHAnsi" w:eastAsiaTheme="minorEastAsia" w:hAnsiTheme="minorHAnsi" w:cstheme="minorBidi"/>
          <w:szCs w:val="22"/>
        </w:rPr>
      </w:pPr>
      <w:r>
        <w:t>9.</w:t>
      </w:r>
      <w:r>
        <w:tab/>
        <w:t>Minutes of meetings and resolutions</w:t>
      </w:r>
      <w:r>
        <w:tab/>
      </w:r>
      <w:r>
        <w:fldChar w:fldCharType="begin"/>
      </w:r>
      <w:r>
        <w:instrText xml:space="preserve"> PAGEREF _Toc378338329 \h </w:instrText>
      </w:r>
      <w:r>
        <w:fldChar w:fldCharType="separate"/>
      </w:r>
      <w:r>
        <w:t>87</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_Toc378338330 \h </w:instrText>
      </w:r>
      <w:r>
        <w:fldChar w:fldCharType="separate"/>
      </w:r>
      <w:r>
        <w:t>88</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_Toc378338331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Schedule 2 — Provisions about CEO and staff</w:t>
      </w:r>
    </w:p>
    <w:p>
      <w:pPr>
        <w:pStyle w:val="TOC4"/>
        <w:tabs>
          <w:tab w:val="right" w:leader="dot" w:pos="7086"/>
        </w:tabs>
        <w:rPr>
          <w:rFonts w:asciiTheme="minorHAnsi" w:eastAsiaTheme="minorEastAsia" w:hAnsiTheme="minorHAnsi" w:cstheme="minorBidi"/>
          <w:b w:val="0"/>
          <w:szCs w:val="22"/>
        </w:rPr>
      </w:pPr>
      <w:r>
        <w:t>Division 1</w:t>
      </w:r>
      <w:r>
        <w:rPr>
          <w:b w:val="0"/>
        </w:rPr>
        <w:t> — </w:t>
      </w:r>
      <w:r>
        <w:t>General duties of CEO</w:t>
      </w:r>
    </w:p>
    <w:p>
      <w:pPr>
        <w:pStyle w:val="TOC8"/>
        <w:rPr>
          <w:rFonts w:asciiTheme="minorHAnsi" w:eastAsiaTheme="minorEastAsia" w:hAnsiTheme="minorHAnsi" w:cstheme="minorBidi"/>
          <w:szCs w:val="22"/>
        </w:rPr>
      </w:pPr>
      <w:r>
        <w:t>1.</w:t>
      </w:r>
      <w:r>
        <w:tab/>
        <w:t>Duties of CEO</w:t>
      </w:r>
      <w:r>
        <w:tab/>
      </w:r>
      <w:r>
        <w:fldChar w:fldCharType="begin"/>
      </w:r>
      <w:r>
        <w:instrText xml:space="preserve"> PAGEREF _Toc378338334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Particular duties stated</w:t>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_Toc378338336 \h </w:instrText>
      </w:r>
      <w:r>
        <w:fldChar w:fldCharType="separate"/>
      </w:r>
      <w:r>
        <w:t>89</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_Toc378338337 \h </w:instrText>
      </w:r>
      <w:r>
        <w:fldChar w:fldCharType="separate"/>
      </w:r>
      <w:r>
        <w:t>89</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_Toc378338338 \h </w:instrText>
      </w:r>
      <w:r>
        <w:fldChar w:fldCharType="separate"/>
      </w:r>
      <w:r>
        <w:t>90</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_Toc378338339 \h </w:instrText>
      </w:r>
      <w:r>
        <w:fldChar w:fldCharType="separate"/>
      </w:r>
      <w:r>
        <w:t>90</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_Toc378338340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3 </w:t>
      </w:r>
      <w:r>
        <w:rPr>
          <w:b w:val="0"/>
        </w:rPr>
        <w:t>— </w:t>
      </w:r>
      <w: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_Toc378338342 \h </w:instrText>
      </w:r>
      <w:r>
        <w:fldChar w:fldCharType="separate"/>
      </w:r>
      <w:r>
        <w:t>91</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_Toc378338343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_Toc378338345 \h </w:instrText>
      </w:r>
      <w:r>
        <w:fldChar w:fldCharType="separate"/>
      </w:r>
      <w:r>
        <w:t>91</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_Toc378338346 \h </w:instrText>
      </w:r>
      <w:r>
        <w:fldChar w:fldCharType="separate"/>
      </w:r>
      <w:r>
        <w:t>92</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_Toc378338347 \h </w:instrText>
      </w:r>
      <w:r>
        <w:fldChar w:fldCharType="separate"/>
      </w:r>
      <w:r>
        <w:t>92</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_Toc378338348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Restrictions on indemnities and exemptions</w:t>
      </w:r>
    </w:p>
    <w:p>
      <w:pPr>
        <w:pStyle w:val="TOC8"/>
        <w:rPr>
          <w:rFonts w:asciiTheme="minorHAnsi" w:eastAsiaTheme="minorEastAsia" w:hAnsiTheme="minorHAnsi" w:cstheme="minorBidi"/>
          <w:szCs w:val="22"/>
        </w:rPr>
      </w:pPr>
      <w:r>
        <w:t>13.</w:t>
      </w:r>
      <w:r>
        <w:tab/>
        <w:t>Indemnification and exemption of CEO and executive officers</w:t>
      </w:r>
      <w:r>
        <w:tab/>
      </w:r>
      <w:r>
        <w:fldChar w:fldCharType="begin"/>
      </w:r>
      <w:r>
        <w:instrText xml:space="preserve"> PAGEREF _Toc378338350 \h </w:instrText>
      </w:r>
      <w:r>
        <w:fldChar w:fldCharType="separate"/>
      </w:r>
      <w:r>
        <w:t>93</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_Toc378338351 \h </w:instrText>
      </w:r>
      <w:r>
        <w:fldChar w:fldCharType="separate"/>
      </w:r>
      <w:r>
        <w:t>94</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_Toc378338352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_Toc378338354 \h </w:instrText>
      </w:r>
      <w:r>
        <w:fldChar w:fldCharType="separate"/>
      </w:r>
      <w:r>
        <w:t>95</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_Toc378338355 \h </w:instrText>
      </w:r>
      <w:r>
        <w:fldChar w:fldCharType="separate"/>
      </w:r>
      <w:r>
        <w:t>95</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_Toc378338356 \h </w:instrText>
      </w:r>
      <w:r>
        <w:fldChar w:fldCharType="separate"/>
      </w:r>
      <w:r>
        <w:t>95</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_Toc378338357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_Toc378338359 \h </w:instrText>
      </w:r>
      <w:r>
        <w:fldChar w:fldCharType="separate"/>
      </w:r>
      <w:r>
        <w:t>97</w:t>
      </w:r>
      <w:r>
        <w:fldChar w:fldCharType="end"/>
      </w:r>
    </w:p>
    <w:p>
      <w:pPr>
        <w:pStyle w:val="TOC2"/>
        <w:keepLine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State">
        <w:smartTag w:uri="urn:schemas-microsoft-com:office:smarttags" w:element="place">
          <w:r>
            <w:t>Western Australia</w:t>
          </w:r>
        </w:smartTag>
      </w:smartTag>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378338164"/>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78338165"/>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3" w:name="_Toc378338166"/>
      <w:r>
        <w:rPr>
          <w:rStyle w:val="CharSectno"/>
        </w:rPr>
        <w:t>2</w:t>
      </w:r>
      <w:r>
        <w:t>.</w:t>
      </w:r>
      <w:r>
        <w:tab/>
      </w:r>
      <w:r>
        <w:rPr>
          <w:snapToGrid w:val="0"/>
        </w:rPr>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78338167"/>
      <w:r>
        <w:rPr>
          <w:rStyle w:val="CharSectno"/>
        </w:rPr>
        <w:t>3</w:t>
      </w:r>
      <w:r>
        <w:t>.</w:t>
      </w:r>
      <w:r>
        <w:tab/>
        <w:t>Terms used in this Act</w:t>
      </w:r>
      <w:bookmarkEnd w:id="4"/>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5" w:name="_Toc378338168"/>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5"/>
    </w:p>
    <w:p>
      <w:pPr>
        <w:pStyle w:val="Heading3"/>
      </w:pPr>
      <w:bookmarkStart w:id="6" w:name="_Toc378338169"/>
      <w:r>
        <w:rPr>
          <w:rStyle w:val="CharDivNo"/>
        </w:rPr>
        <w:t>Division 1</w:t>
      </w:r>
      <w:r>
        <w:t xml:space="preserve"> — </w:t>
      </w:r>
      <w:r>
        <w:rPr>
          <w:rStyle w:val="CharDivText"/>
        </w:rPr>
        <w:t>Establishment</w:t>
      </w:r>
      <w:bookmarkEnd w:id="6"/>
    </w:p>
    <w:p>
      <w:pPr>
        <w:pStyle w:val="Heading5"/>
      </w:pPr>
      <w:bookmarkStart w:id="7" w:name="_Toc378338170"/>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7"/>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8" w:name="_Toc378338171"/>
      <w:r>
        <w:rPr>
          <w:rStyle w:val="CharSectno"/>
        </w:rPr>
        <w:t>5</w:t>
      </w:r>
      <w:r>
        <w:t>.</w:t>
      </w:r>
      <w:r>
        <w:tab/>
        <w:t>RWWA not an agent of the Crown</w:t>
      </w:r>
      <w:bookmarkEnd w:id="8"/>
    </w:p>
    <w:p>
      <w:pPr>
        <w:pStyle w:val="Subsection"/>
      </w:pPr>
      <w:r>
        <w:tab/>
      </w:r>
      <w:r>
        <w:tab/>
        <w:t>RWWA is not an agent of the Crown and does not have the status, immunity, and privileges of the Crown.</w:t>
      </w:r>
    </w:p>
    <w:p>
      <w:pPr>
        <w:pStyle w:val="Heading5"/>
        <w:spacing w:before="180"/>
      </w:pPr>
      <w:bookmarkStart w:id="9" w:name="_Toc378338172"/>
      <w:r>
        <w:rPr>
          <w:rStyle w:val="CharSectno"/>
        </w:rPr>
        <w:t>6</w:t>
      </w:r>
      <w:r>
        <w:t>.</w:t>
      </w:r>
      <w:r>
        <w:tab/>
        <w:t>RWWA and officers not part of public sector</w:t>
      </w:r>
      <w:bookmarkEnd w:id="9"/>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10" w:name="_Toc378338173"/>
      <w:r>
        <w:rPr>
          <w:rStyle w:val="CharDivNo"/>
        </w:rPr>
        <w:t>Division 2</w:t>
      </w:r>
      <w:r>
        <w:t xml:space="preserve"> — </w:t>
      </w:r>
      <w:r>
        <w:rPr>
          <w:rStyle w:val="CharDivText"/>
        </w:rPr>
        <w:t>Board of directors</w:t>
      </w:r>
      <w:bookmarkEnd w:id="10"/>
    </w:p>
    <w:p>
      <w:pPr>
        <w:pStyle w:val="Heading5"/>
        <w:spacing w:before="180"/>
      </w:pPr>
      <w:bookmarkStart w:id="11" w:name="_Toc378338174"/>
      <w:r>
        <w:rPr>
          <w:rStyle w:val="CharSectno"/>
        </w:rPr>
        <w:t>7</w:t>
      </w:r>
      <w:r>
        <w:t>.</w:t>
      </w:r>
      <w:r>
        <w:tab/>
        <w:t>Board of directors</w:t>
      </w:r>
      <w:bookmarkEnd w:id="11"/>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12" w:name="_Toc378338175"/>
      <w:r>
        <w:rPr>
          <w:rStyle w:val="CharSectno"/>
        </w:rPr>
        <w:t>8</w:t>
      </w:r>
      <w:r>
        <w:t>.</w:t>
      </w:r>
      <w:r>
        <w:tab/>
        <w:t>How the board of directors is constituted</w:t>
      </w:r>
      <w:bookmarkEnd w:id="12"/>
    </w:p>
    <w:p>
      <w:pPr>
        <w:pStyle w:val="Subsection"/>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13" w:name="_Toc378338176"/>
      <w:r>
        <w:rPr>
          <w:rStyle w:val="CharSectno"/>
        </w:rPr>
        <w:t>9</w:t>
      </w:r>
      <w:r>
        <w:t>.</w:t>
      </w:r>
      <w:r>
        <w:tab/>
        <w:t>Nomination and selection procedure</w:t>
      </w:r>
      <w:bookmarkEnd w:id="13"/>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4" w:name="_Toc378338177"/>
      <w:r>
        <w:rPr>
          <w:rStyle w:val="CharSectno"/>
        </w:rPr>
        <w:t>10</w:t>
      </w:r>
      <w:r>
        <w:t>.</w:t>
      </w:r>
      <w:r>
        <w:tab/>
        <w:t>Certain persons not eligible to be a director or a member of a selection panel</w:t>
      </w:r>
      <w:bookmarkEnd w:id="14"/>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5" w:name="_Toc378338178"/>
      <w:r>
        <w:rPr>
          <w:rStyle w:val="CharSectno"/>
        </w:rPr>
        <w:t>11</w:t>
      </w:r>
      <w:r>
        <w:t>.</w:t>
      </w:r>
      <w:r>
        <w:tab/>
        <w:t>Selection panel</w:t>
      </w:r>
      <w:bookmarkEnd w:id="15"/>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6" w:name="_Toc378338179"/>
      <w:r>
        <w:rPr>
          <w:rStyle w:val="CharSectno"/>
        </w:rPr>
        <w:t>12</w:t>
      </w:r>
      <w:r>
        <w:t>.</w:t>
      </w:r>
      <w:r>
        <w:tab/>
        <w:t>Eligible bodies</w:t>
      </w:r>
      <w:bookmarkEnd w:id="16"/>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7" w:name="_Toc378338180"/>
      <w:r>
        <w:rPr>
          <w:rStyle w:val="CharSectno"/>
        </w:rPr>
        <w:t>13</w:t>
      </w:r>
      <w:r>
        <w:t>.</w:t>
      </w:r>
      <w:r>
        <w:tab/>
        <w:t>Failure to nominate, appoint or resign office</w:t>
      </w:r>
      <w:bookmarkEnd w:id="17"/>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18" w:name="_Toc378338181"/>
      <w:r>
        <w:rPr>
          <w:rStyle w:val="CharSectno"/>
        </w:rPr>
        <w:t>14</w:t>
      </w:r>
      <w:r>
        <w:t>.</w:t>
      </w:r>
      <w:r>
        <w:tab/>
        <w:t>Licensing of directors</w:t>
      </w:r>
      <w:bookmarkEnd w:id="18"/>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9" w:name="_Toc378338182"/>
      <w:r>
        <w:rPr>
          <w:rStyle w:val="CharSectno"/>
        </w:rPr>
        <w:t>15</w:t>
      </w:r>
      <w:r>
        <w:t>.</w:t>
      </w:r>
      <w:r>
        <w:tab/>
        <w:t>Certain provisions about the board of directors</w:t>
      </w:r>
      <w:bookmarkEnd w:id="19"/>
    </w:p>
    <w:p>
      <w:pPr>
        <w:pStyle w:val="Subsection"/>
      </w:pPr>
      <w:r>
        <w:tab/>
      </w:r>
      <w:r>
        <w:tab/>
        <w:t>Schedule 1 applies in relation to the board of directors.</w:t>
      </w:r>
    </w:p>
    <w:p>
      <w:pPr>
        <w:pStyle w:val="Heading5"/>
      </w:pPr>
      <w:bookmarkStart w:id="20" w:name="_Toc378338183"/>
      <w:r>
        <w:rPr>
          <w:rStyle w:val="CharSectno"/>
        </w:rPr>
        <w:t>16</w:t>
      </w:r>
      <w:r>
        <w:t>.</w:t>
      </w:r>
      <w:r>
        <w:tab/>
        <w:t>Committees</w:t>
      </w:r>
      <w:bookmarkEnd w:id="20"/>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21" w:name="_Toc378338184"/>
      <w:r>
        <w:rPr>
          <w:rStyle w:val="CharSectno"/>
        </w:rPr>
        <w:t>17</w:t>
      </w:r>
      <w:r>
        <w:t>.</w:t>
      </w:r>
      <w:r>
        <w:tab/>
        <w:t>Remuneration and allowances</w:t>
      </w:r>
      <w:bookmarkEnd w:id="21"/>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22" w:name="_Toc378338185"/>
      <w:r>
        <w:rPr>
          <w:rStyle w:val="CharSectno"/>
        </w:rPr>
        <w:t>18</w:t>
      </w:r>
      <w:r>
        <w:t>.</w:t>
      </w:r>
      <w:r>
        <w:tab/>
        <w:t>Conflict of duties</w:t>
      </w:r>
      <w:bookmarkEnd w:id="22"/>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23" w:name="_Toc378338186"/>
      <w:r>
        <w:rPr>
          <w:rStyle w:val="CharSectno"/>
        </w:rPr>
        <w:t>19</w:t>
      </w:r>
      <w:r>
        <w:t>.</w:t>
      </w:r>
      <w:r>
        <w:tab/>
        <w:t>Disclosure of material personal interests</w:t>
      </w:r>
      <w:bookmarkEnd w:id="23"/>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4" w:name="_Toc378338187"/>
      <w:r>
        <w:rPr>
          <w:rStyle w:val="CharDivNo"/>
        </w:rPr>
        <w:t>Division 3</w:t>
      </w:r>
      <w:r>
        <w:t xml:space="preserve"> — </w:t>
      </w:r>
      <w:r>
        <w:rPr>
          <w:rStyle w:val="CharDivText"/>
        </w:rPr>
        <w:t>Staff</w:t>
      </w:r>
      <w:bookmarkEnd w:id="24"/>
    </w:p>
    <w:p>
      <w:pPr>
        <w:pStyle w:val="Heading5"/>
      </w:pPr>
      <w:bookmarkStart w:id="25" w:name="_Toc378338188"/>
      <w:r>
        <w:rPr>
          <w:rStyle w:val="CharSectno"/>
        </w:rPr>
        <w:t>20</w:t>
      </w:r>
      <w:r>
        <w:t>.</w:t>
      </w:r>
      <w:r>
        <w:tab/>
        <w:t>Chief executive officer</w:t>
      </w:r>
      <w:bookmarkEnd w:id="25"/>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6" w:name="_Toc378338189"/>
      <w:r>
        <w:rPr>
          <w:rStyle w:val="CharSectno"/>
        </w:rPr>
        <w:t>21</w:t>
      </w:r>
      <w:r>
        <w:t>.</w:t>
      </w:r>
      <w:r>
        <w:tab/>
        <w:t>Role of CEO</w:t>
      </w:r>
      <w:bookmarkEnd w:id="26"/>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7" w:name="_Toc378338190"/>
      <w:r>
        <w:rPr>
          <w:rStyle w:val="CharSectno"/>
        </w:rPr>
        <w:t>22</w:t>
      </w:r>
      <w:r>
        <w:t>.</w:t>
      </w:r>
      <w:r>
        <w:tab/>
        <w:t>Staff</w:t>
      </w:r>
      <w:bookmarkEnd w:id="27"/>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8" w:name="_Toc378338191"/>
      <w:r>
        <w:rPr>
          <w:rStyle w:val="CharSectno"/>
        </w:rPr>
        <w:t>23</w:t>
      </w:r>
      <w:r>
        <w:t>.</w:t>
      </w:r>
      <w:r>
        <w:tab/>
        <w:t>Superannuation</w:t>
      </w:r>
      <w:bookmarkEnd w:id="28"/>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9" w:name="_Toc378338192"/>
      <w:r>
        <w:rPr>
          <w:rStyle w:val="CharDivNo"/>
        </w:rPr>
        <w:t>Division 4</w:t>
      </w:r>
      <w:r>
        <w:t xml:space="preserve"> — </w:t>
      </w:r>
      <w:r>
        <w:rPr>
          <w:rStyle w:val="CharDivText"/>
        </w:rPr>
        <w:t>Conduct and integrity of staff</w:t>
      </w:r>
      <w:bookmarkEnd w:id="29"/>
    </w:p>
    <w:p>
      <w:pPr>
        <w:pStyle w:val="Heading5"/>
      </w:pPr>
      <w:bookmarkStart w:id="30" w:name="_Toc378338193"/>
      <w:r>
        <w:rPr>
          <w:rStyle w:val="CharSectno"/>
        </w:rPr>
        <w:t>24</w:t>
      </w:r>
      <w:r>
        <w:t>.</w:t>
      </w:r>
      <w:r>
        <w:tab/>
        <w:t>Licensing of key employees</w:t>
      </w:r>
      <w:bookmarkEnd w:id="30"/>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31" w:name="_Toc378338194"/>
      <w:r>
        <w:rPr>
          <w:rStyle w:val="CharSectno"/>
        </w:rPr>
        <w:t>25</w:t>
      </w:r>
      <w:r>
        <w:t>.</w:t>
      </w:r>
      <w:r>
        <w:tab/>
        <w:t>Duties of CEO and staff</w:t>
      </w:r>
      <w:bookmarkEnd w:id="31"/>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32" w:name="_Toc378338195"/>
      <w:r>
        <w:rPr>
          <w:rStyle w:val="CharPartNo"/>
        </w:rPr>
        <w:t>Part 3</w:t>
      </w:r>
      <w:r>
        <w:t xml:space="preserve"> — </w:t>
      </w:r>
      <w:r>
        <w:rPr>
          <w:rStyle w:val="CharPartText"/>
        </w:rPr>
        <w:t>Functions of RWWA</w:t>
      </w:r>
      <w:bookmarkEnd w:id="32"/>
    </w:p>
    <w:p>
      <w:pPr>
        <w:pStyle w:val="Heading3"/>
      </w:pPr>
      <w:bookmarkStart w:id="33" w:name="_Toc378338196"/>
      <w:r>
        <w:rPr>
          <w:rStyle w:val="CharDivNo"/>
        </w:rPr>
        <w:t>Division 1</w:t>
      </w:r>
      <w:r>
        <w:t xml:space="preserve"> — </w:t>
      </w:r>
      <w:r>
        <w:rPr>
          <w:rStyle w:val="CharDivText"/>
        </w:rPr>
        <w:t>General provisions</w:t>
      </w:r>
      <w:bookmarkEnd w:id="33"/>
    </w:p>
    <w:p>
      <w:pPr>
        <w:pStyle w:val="Heading5"/>
      </w:pPr>
      <w:bookmarkStart w:id="34" w:name="_Toc378338197"/>
      <w:r>
        <w:rPr>
          <w:rStyle w:val="CharSectno"/>
        </w:rPr>
        <w:t>26</w:t>
      </w:r>
      <w:r>
        <w:t>.</w:t>
      </w:r>
      <w:r>
        <w:tab/>
        <w:t>General functions</w:t>
      </w:r>
      <w:bookmarkEnd w:id="34"/>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5" w:name="_Toc378338198"/>
      <w:r>
        <w:rPr>
          <w:rStyle w:val="CharSectno"/>
        </w:rPr>
        <w:t>27</w:t>
      </w:r>
      <w:r>
        <w:t>.</w:t>
      </w:r>
      <w:r>
        <w:tab/>
        <w:t>RWWA can act at its discretion</w:t>
      </w:r>
      <w:bookmarkEnd w:id="35"/>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36" w:name="_Toc378338199"/>
      <w:r>
        <w:rPr>
          <w:rStyle w:val="CharSectno"/>
        </w:rPr>
        <w:t>28</w:t>
      </w:r>
      <w:r>
        <w:t>.</w:t>
      </w:r>
      <w:r>
        <w:tab/>
        <w:t>Duty to observe policy instruments</w:t>
      </w:r>
      <w:bookmarkEnd w:id="36"/>
    </w:p>
    <w:p>
      <w:pPr>
        <w:pStyle w:val="Subsection"/>
      </w:pPr>
      <w:r>
        <w:tab/>
      </w:r>
      <w:r>
        <w:tab/>
        <w:t>RWWA is to perform its functions in accordance with its strategic development plan and its statement of corporate intent as existing from time to time.</w:t>
      </w:r>
    </w:p>
    <w:p>
      <w:pPr>
        <w:pStyle w:val="Heading5"/>
      </w:pPr>
      <w:bookmarkStart w:id="37" w:name="_Toc378338200"/>
      <w:r>
        <w:rPr>
          <w:rStyle w:val="CharSectno"/>
        </w:rPr>
        <w:t>29</w:t>
      </w:r>
      <w:r>
        <w:t>.</w:t>
      </w:r>
      <w:r>
        <w:tab/>
        <w:t>Duty to act on commercial principles</w:t>
      </w:r>
      <w:bookmarkEnd w:id="37"/>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38" w:name="_Toc378338201"/>
      <w:r>
        <w:rPr>
          <w:rStyle w:val="CharDivNo"/>
        </w:rPr>
        <w:t>Division 2</w:t>
      </w:r>
      <w:r>
        <w:t xml:space="preserve"> — </w:t>
      </w:r>
      <w:r>
        <w:rPr>
          <w:rStyle w:val="CharDivText"/>
        </w:rPr>
        <w:t>General powers and related provisions</w:t>
      </w:r>
      <w:bookmarkEnd w:id="38"/>
    </w:p>
    <w:p>
      <w:pPr>
        <w:pStyle w:val="Heading5"/>
      </w:pPr>
      <w:bookmarkStart w:id="39" w:name="_Toc378338202"/>
      <w:r>
        <w:rPr>
          <w:rStyle w:val="CharSectno"/>
        </w:rPr>
        <w:t>30</w:t>
      </w:r>
      <w:r>
        <w:t>.</w:t>
      </w:r>
      <w:r>
        <w:tab/>
        <w:t>Powers generally</w:t>
      </w:r>
      <w:bookmarkEnd w:id="39"/>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 No. 29 of 2009 s. 23.]</w:t>
      </w:r>
    </w:p>
    <w:p>
      <w:pPr>
        <w:pStyle w:val="Heading5"/>
      </w:pPr>
      <w:bookmarkStart w:id="40" w:name="_Toc378338203"/>
      <w:r>
        <w:rPr>
          <w:rStyle w:val="CharSectno"/>
        </w:rPr>
        <w:t>31</w:t>
      </w:r>
      <w:r>
        <w:t>.</w:t>
      </w:r>
      <w:r>
        <w:tab/>
        <w:t>Use of names for RWWA and its operations</w:t>
      </w:r>
      <w:bookmarkEnd w:id="40"/>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41" w:name="_Toc378338204"/>
      <w:r>
        <w:rPr>
          <w:rStyle w:val="CharSectno"/>
        </w:rPr>
        <w:t>32</w:t>
      </w:r>
      <w:r>
        <w:t>.</w:t>
      </w:r>
      <w:r>
        <w:tab/>
        <w:t>Subsidiaries</w:t>
      </w:r>
      <w:bookmarkEnd w:id="41"/>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Heading5"/>
      </w:pPr>
      <w:bookmarkStart w:id="42" w:name="_Toc378338205"/>
      <w:r>
        <w:rPr>
          <w:rStyle w:val="CharSectno"/>
        </w:rPr>
        <w:t>33</w:t>
      </w:r>
      <w:r>
        <w:t>.</w:t>
      </w:r>
      <w:r>
        <w:tab/>
        <w:t>Delegation</w:t>
      </w:r>
      <w:bookmarkEnd w:id="42"/>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43" w:name="_Toc378338206"/>
      <w:r>
        <w:rPr>
          <w:rStyle w:val="CharPartNo"/>
        </w:rPr>
        <w:t>Part 4</w:t>
      </w:r>
      <w:r>
        <w:t xml:space="preserve"> — </w:t>
      </w:r>
      <w:r>
        <w:rPr>
          <w:rStyle w:val="CharPartText"/>
        </w:rPr>
        <w:t>Specialised functions in relation to racing</w:t>
      </w:r>
      <w:bookmarkEnd w:id="43"/>
    </w:p>
    <w:p>
      <w:pPr>
        <w:pStyle w:val="Heading3"/>
      </w:pPr>
      <w:bookmarkStart w:id="44" w:name="_Toc378338207"/>
      <w:r>
        <w:rPr>
          <w:rStyle w:val="CharDivNo"/>
        </w:rPr>
        <w:t>Division 1</w:t>
      </w:r>
      <w:r>
        <w:t> — </w:t>
      </w:r>
      <w:r>
        <w:rPr>
          <w:rStyle w:val="CharDivText"/>
        </w:rPr>
        <w:t>General</w:t>
      </w:r>
      <w:bookmarkEnd w:id="44"/>
    </w:p>
    <w:p>
      <w:pPr>
        <w:pStyle w:val="Heading5"/>
      </w:pPr>
      <w:bookmarkStart w:id="45" w:name="_Toc378338208"/>
      <w:r>
        <w:rPr>
          <w:rStyle w:val="CharSectno"/>
        </w:rPr>
        <w:t>34</w:t>
      </w:r>
      <w:r>
        <w:t>.</w:t>
      </w:r>
      <w:r>
        <w:tab/>
        <w:t>Terms used in this Part</w:t>
      </w:r>
      <w:bookmarkEnd w:id="45"/>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46" w:name="_Toc378338209"/>
      <w:r>
        <w:rPr>
          <w:rStyle w:val="CharSectno"/>
        </w:rPr>
        <w:t>35</w:t>
      </w:r>
      <w:r>
        <w:t>.</w:t>
      </w:r>
      <w:r>
        <w:tab/>
        <w:t>Functions in relation to racing in general</w:t>
      </w:r>
      <w:bookmarkEnd w:id="46"/>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by No. 70 of 2006 s. 15.]</w:t>
      </w:r>
    </w:p>
    <w:p>
      <w:pPr>
        <w:pStyle w:val="Heading5"/>
      </w:pPr>
      <w:bookmarkStart w:id="47" w:name="_Toc378338210"/>
      <w:r>
        <w:rPr>
          <w:rStyle w:val="CharSectno"/>
        </w:rPr>
        <w:t>36</w:t>
      </w:r>
      <w:r>
        <w:t>.</w:t>
      </w:r>
      <w:r>
        <w:tab/>
        <w:t>Thoroughbred racing</w:t>
      </w:r>
      <w:bookmarkEnd w:id="47"/>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48" w:name="_Toc378338211"/>
      <w:r>
        <w:rPr>
          <w:rStyle w:val="CharSectno"/>
        </w:rPr>
        <w:t>37</w:t>
      </w:r>
      <w:r>
        <w:t>.</w:t>
      </w:r>
      <w:r>
        <w:tab/>
        <w:t>Harness racing</w:t>
      </w:r>
      <w:bookmarkEnd w:id="48"/>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49" w:name="_Toc378338212"/>
      <w:r>
        <w:rPr>
          <w:rStyle w:val="CharSectno"/>
        </w:rPr>
        <w:t>38</w:t>
      </w:r>
      <w:r>
        <w:t>.</w:t>
      </w:r>
      <w:r>
        <w:tab/>
        <w:t>Greyhound racing</w:t>
      </w:r>
      <w:bookmarkEnd w:id="49"/>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50" w:name="_Toc378338213"/>
      <w:r>
        <w:rPr>
          <w:rStyle w:val="CharSectno"/>
        </w:rPr>
        <w:t>39</w:t>
      </w:r>
      <w:r>
        <w:t>.</w:t>
      </w:r>
      <w:r>
        <w:tab/>
        <w:t>Licensing of racecourses, race meetings, races and tracks</w:t>
      </w:r>
      <w:bookmarkEnd w:id="50"/>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51" w:name="_Toc378338214"/>
      <w:r>
        <w:rPr>
          <w:rStyle w:val="CharSectno"/>
        </w:rPr>
        <w:t>40</w:t>
      </w:r>
      <w:r>
        <w:t>.</w:t>
      </w:r>
      <w:r>
        <w:tab/>
        <w:t>Registration of racing clubs</w:t>
      </w:r>
      <w:bookmarkEnd w:id="51"/>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52" w:name="_Toc378338215"/>
      <w:r>
        <w:rPr>
          <w:rStyle w:val="CharSectno"/>
        </w:rPr>
        <w:t>41</w:t>
      </w:r>
      <w:r>
        <w:t>.</w:t>
      </w:r>
      <w:r>
        <w:tab/>
        <w:t>Registration of horses and greyhounds</w:t>
      </w:r>
      <w:bookmarkEnd w:id="52"/>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53" w:name="_Toc378338216"/>
      <w:r>
        <w:rPr>
          <w:rStyle w:val="CharSectno"/>
        </w:rPr>
        <w:t>42</w:t>
      </w:r>
      <w:r>
        <w:t>.</w:t>
      </w:r>
      <w:r>
        <w:tab/>
        <w:t>Licensing of owners, trainers, jockeys, drivers and associated persons</w:t>
      </w:r>
      <w:bookmarkEnd w:id="53"/>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54" w:name="_Toc378338217"/>
      <w:r>
        <w:rPr>
          <w:rStyle w:val="CharSectno"/>
        </w:rPr>
        <w:t>43</w:t>
      </w:r>
      <w:r>
        <w:t>.</w:t>
      </w:r>
      <w:r>
        <w:tab/>
        <w:t>Directions by RWWA</w:t>
      </w:r>
      <w:bookmarkEnd w:id="54"/>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55" w:name="_Toc378338218"/>
      <w:r>
        <w:rPr>
          <w:rStyle w:val="CharSectno"/>
        </w:rPr>
        <w:t>44</w:t>
      </w:r>
      <w:r>
        <w:t>.</w:t>
      </w:r>
      <w:r>
        <w:tab/>
        <w:t>Other disciplinary action that may be taken by RWWA</w:t>
      </w:r>
      <w:bookmarkEnd w:id="55"/>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56" w:name="_Toc378338219"/>
      <w:r>
        <w:rPr>
          <w:rStyle w:val="CharSectno"/>
        </w:rPr>
        <w:t>45</w:t>
      </w:r>
      <w:r>
        <w:t>.</w:t>
      </w:r>
      <w:r>
        <w:tab/>
        <w:t>Rules of racing</w:t>
      </w:r>
      <w:bookmarkEnd w:id="56"/>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57" w:name="_Toc378338220"/>
      <w:r>
        <w:rPr>
          <w:rStyle w:val="CharSectno"/>
        </w:rPr>
        <w:t>46</w:t>
      </w:r>
      <w:r>
        <w:t>.</w:t>
      </w:r>
      <w:r>
        <w:tab/>
        <w:t>Production of racing club records to RWWA</w:t>
      </w:r>
      <w:bookmarkEnd w:id="57"/>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58" w:name="_Toc378338221"/>
      <w:r>
        <w:rPr>
          <w:rStyle w:val="CharDivNo"/>
        </w:rPr>
        <w:t>Division 2</w:t>
      </w:r>
      <w:r>
        <w:t> — </w:t>
      </w:r>
      <w:r>
        <w:rPr>
          <w:rStyle w:val="CharDivText"/>
        </w:rPr>
        <w:t>Integrity Assurance Committee</w:t>
      </w:r>
      <w:bookmarkEnd w:id="58"/>
    </w:p>
    <w:p>
      <w:pPr>
        <w:pStyle w:val="Heading5"/>
      </w:pPr>
      <w:bookmarkStart w:id="59" w:name="_Toc378338222"/>
      <w:r>
        <w:rPr>
          <w:rStyle w:val="CharSectno"/>
        </w:rPr>
        <w:t>47</w:t>
      </w:r>
      <w:r>
        <w:t>.</w:t>
      </w:r>
      <w:r>
        <w:tab/>
        <w:t>Integrity Assurance Committee</w:t>
      </w:r>
      <w:bookmarkEnd w:id="59"/>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60" w:name="_Toc378338223"/>
      <w:r>
        <w:rPr>
          <w:rStyle w:val="CharSectno"/>
        </w:rPr>
        <w:t>48</w:t>
      </w:r>
      <w:r>
        <w:t>.</w:t>
      </w:r>
      <w:r>
        <w:tab/>
        <w:t>Constitution of IAC</w:t>
      </w:r>
      <w:bookmarkEnd w:id="60"/>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61" w:name="_Toc378338224"/>
      <w:r>
        <w:rPr>
          <w:rStyle w:val="CharSectno"/>
        </w:rPr>
        <w:t>49</w:t>
      </w:r>
      <w:r>
        <w:t>.</w:t>
      </w:r>
      <w:r>
        <w:tab/>
        <w:t>Functions of IAC</w:t>
      </w:r>
      <w:bookmarkEnd w:id="61"/>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62" w:name="_Toc378338225"/>
      <w:r>
        <w:rPr>
          <w:rStyle w:val="CharPartNo"/>
        </w:rPr>
        <w:t>Part 5</w:t>
      </w:r>
      <w:r>
        <w:t> — </w:t>
      </w:r>
      <w:r>
        <w:rPr>
          <w:rStyle w:val="CharPartText"/>
        </w:rPr>
        <w:t>Specialised functions in relation to gambling</w:t>
      </w:r>
      <w:bookmarkEnd w:id="62"/>
    </w:p>
    <w:p>
      <w:pPr>
        <w:pStyle w:val="Heading3"/>
      </w:pPr>
      <w:bookmarkStart w:id="63" w:name="_Toc378338226"/>
      <w:r>
        <w:rPr>
          <w:rStyle w:val="CharDivNo"/>
        </w:rPr>
        <w:t>Division 1</w:t>
      </w:r>
      <w:r>
        <w:t> — </w:t>
      </w:r>
      <w:r>
        <w:rPr>
          <w:rStyle w:val="CharDivText"/>
        </w:rPr>
        <w:t>General</w:t>
      </w:r>
      <w:bookmarkEnd w:id="63"/>
    </w:p>
    <w:p>
      <w:pPr>
        <w:pStyle w:val="Heading5"/>
      </w:pPr>
      <w:bookmarkStart w:id="64" w:name="_Toc378338227"/>
      <w:r>
        <w:rPr>
          <w:rStyle w:val="CharSectno"/>
        </w:rPr>
        <w:t>50</w:t>
      </w:r>
      <w:r>
        <w:t>.</w:t>
      </w:r>
      <w:r>
        <w:tab/>
        <w:t>Functions of RWWA in relation to gambling</w:t>
      </w:r>
      <w:bookmarkEnd w:id="64"/>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pPr>
      <w:bookmarkStart w:id="65" w:name="_Toc378338228"/>
      <w:r>
        <w:rPr>
          <w:rStyle w:val="CharSectno"/>
        </w:rPr>
        <w:t>51</w:t>
      </w:r>
      <w:r>
        <w:t>.</w:t>
      </w:r>
      <w:r>
        <w:tab/>
        <w:t>Establishment of offices and agencies</w:t>
      </w:r>
      <w:bookmarkEnd w:id="65"/>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66" w:name="_Toc378338229"/>
      <w:r>
        <w:rPr>
          <w:rStyle w:val="CharSectno"/>
        </w:rPr>
        <w:t>52</w:t>
      </w:r>
      <w:r>
        <w:t>.</w:t>
      </w:r>
      <w:r>
        <w:tab/>
        <w:t>Commission may direct RWWA not to establish agency</w:t>
      </w:r>
      <w:bookmarkEnd w:id="66"/>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67" w:name="_Toc378338230"/>
      <w:r>
        <w:rPr>
          <w:rStyle w:val="CharSectno"/>
        </w:rPr>
        <w:t>53</w:t>
      </w:r>
      <w:r>
        <w:t>.</w:t>
      </w:r>
      <w:r>
        <w:tab/>
        <w:t>Payments to Commission</w:t>
      </w:r>
      <w:bookmarkEnd w:id="67"/>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68" w:name="_Toc378338231"/>
      <w:r>
        <w:rPr>
          <w:rStyle w:val="CharDivNo"/>
        </w:rPr>
        <w:t>Division 2</w:t>
      </w:r>
      <w:r>
        <w:t> — </w:t>
      </w:r>
      <w:r>
        <w:rPr>
          <w:rStyle w:val="CharDivText"/>
        </w:rPr>
        <w:t>Conduct of wagering</w:t>
      </w:r>
      <w:bookmarkEnd w:id="68"/>
    </w:p>
    <w:p>
      <w:pPr>
        <w:pStyle w:val="Heading5"/>
      </w:pPr>
      <w:bookmarkStart w:id="69" w:name="_Toc378338232"/>
      <w:r>
        <w:rPr>
          <w:rStyle w:val="CharSectno"/>
        </w:rPr>
        <w:t>54</w:t>
      </w:r>
      <w:r>
        <w:t>.</w:t>
      </w:r>
      <w:r>
        <w:tab/>
        <w:t>RWWA may conduct wagering</w:t>
      </w:r>
      <w:bookmarkEnd w:id="69"/>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70" w:name="_Toc378338233"/>
      <w:r>
        <w:rPr>
          <w:rStyle w:val="CharSectno"/>
        </w:rPr>
        <w:t>55</w:t>
      </w:r>
      <w:r>
        <w:t>.</w:t>
      </w:r>
      <w:r>
        <w:tab/>
        <w:t>Totalisator and fixed odds wagers authorised</w:t>
      </w:r>
      <w:bookmarkEnd w:id="70"/>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71" w:name="_Toc378338234"/>
      <w:r>
        <w:rPr>
          <w:rStyle w:val="CharSectno"/>
        </w:rPr>
        <w:t>56</w:t>
      </w:r>
      <w:r>
        <w:t>.</w:t>
      </w:r>
      <w:r>
        <w:tab/>
        <w:t>Wagering on RWWA totalisator or with RWWA is not an offence</w:t>
      </w:r>
      <w:bookmarkEnd w:id="71"/>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72" w:name="_Toc378338235"/>
      <w:r>
        <w:rPr>
          <w:rStyle w:val="CharSectno"/>
        </w:rPr>
        <w:t>57</w:t>
      </w:r>
      <w:r>
        <w:t>.</w:t>
      </w:r>
      <w:r>
        <w:tab/>
        <w:t>RWWA not precluded from not accepting, or from refunding, wagers</w:t>
      </w:r>
      <w:bookmarkEnd w:id="72"/>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73" w:name="_Toc378338236"/>
      <w:r>
        <w:rPr>
          <w:rStyle w:val="CharDivNo"/>
        </w:rPr>
        <w:t>Division 3</w:t>
      </w:r>
      <w:r>
        <w:t> — </w:t>
      </w:r>
      <w:r>
        <w:rPr>
          <w:rStyle w:val="CharDivText"/>
        </w:rPr>
        <w:t>Totalisator wagering</w:t>
      </w:r>
      <w:bookmarkEnd w:id="73"/>
    </w:p>
    <w:p>
      <w:pPr>
        <w:pStyle w:val="Heading5"/>
      </w:pPr>
      <w:bookmarkStart w:id="74" w:name="_Toc378338237"/>
      <w:r>
        <w:rPr>
          <w:rStyle w:val="CharSectno"/>
        </w:rPr>
        <w:t>58</w:t>
      </w:r>
      <w:r>
        <w:t>.</w:t>
      </w:r>
      <w:r>
        <w:tab/>
        <w:t>Wagers transmitted from racing club to RWWA</w:t>
      </w:r>
      <w:bookmarkEnd w:id="74"/>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75" w:name="_Toc378338238"/>
      <w:r>
        <w:rPr>
          <w:rStyle w:val="CharSectno"/>
        </w:rPr>
        <w:t>59</w:t>
      </w:r>
      <w:r>
        <w:t>.</w:t>
      </w:r>
      <w:r>
        <w:tab/>
        <w:t>Combined totalisator pool schemes</w:t>
      </w:r>
      <w:bookmarkEnd w:id="75"/>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by No. 29 of 2009 s. 24.]</w:t>
      </w:r>
    </w:p>
    <w:p>
      <w:pPr>
        <w:pStyle w:val="Heading5"/>
      </w:pPr>
      <w:bookmarkStart w:id="76" w:name="_Toc378338239"/>
      <w:r>
        <w:rPr>
          <w:rStyle w:val="CharSectno"/>
        </w:rPr>
        <w:t>60</w:t>
      </w:r>
      <w:r>
        <w:t>.</w:t>
      </w:r>
      <w:r>
        <w:tab/>
        <w:t>Payment of refunds and dividends by RWWA</w:t>
      </w:r>
      <w:bookmarkEnd w:id="76"/>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77" w:name="_Toc378338240"/>
      <w:r>
        <w:rPr>
          <w:rStyle w:val="CharDivNo"/>
        </w:rPr>
        <w:t>Division 4</w:t>
      </w:r>
      <w:r>
        <w:t> — </w:t>
      </w:r>
      <w:r>
        <w:rPr>
          <w:rStyle w:val="CharDivText"/>
        </w:rPr>
        <w:t>Fixed odds wagering</w:t>
      </w:r>
      <w:bookmarkEnd w:id="77"/>
    </w:p>
    <w:p>
      <w:pPr>
        <w:pStyle w:val="Heading5"/>
      </w:pPr>
      <w:bookmarkStart w:id="78" w:name="_Toc378338241"/>
      <w:r>
        <w:rPr>
          <w:rStyle w:val="CharSectno"/>
        </w:rPr>
        <w:t>61</w:t>
      </w:r>
      <w:r>
        <w:t>.</w:t>
      </w:r>
      <w:r>
        <w:tab/>
        <w:t>Fixed odds wagering arrangements with other persons</w:t>
      </w:r>
      <w:bookmarkEnd w:id="78"/>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by No. 29 of 2009 s. 25.]</w:t>
      </w:r>
    </w:p>
    <w:p>
      <w:pPr>
        <w:pStyle w:val="Heading5"/>
        <w:spacing w:before="240"/>
      </w:pPr>
      <w:bookmarkStart w:id="79" w:name="_Toc378338242"/>
      <w:r>
        <w:rPr>
          <w:rStyle w:val="CharSectno"/>
        </w:rPr>
        <w:t>62</w:t>
      </w:r>
      <w:r>
        <w:t>.</w:t>
      </w:r>
      <w:r>
        <w:tab/>
        <w:t>Payment of fixed odds winning by RWWA</w:t>
      </w:r>
      <w:bookmarkEnd w:id="79"/>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80" w:name="_Toc378338243"/>
      <w:r>
        <w:rPr>
          <w:rStyle w:val="CharDivNo"/>
        </w:rPr>
        <w:t>Division 5</w:t>
      </w:r>
      <w:r>
        <w:t> — </w:t>
      </w:r>
      <w:r>
        <w:rPr>
          <w:rStyle w:val="CharDivText"/>
        </w:rPr>
        <w:t>Miscellaneous</w:t>
      </w:r>
      <w:bookmarkEnd w:id="80"/>
    </w:p>
    <w:p>
      <w:pPr>
        <w:pStyle w:val="Heading5"/>
        <w:spacing w:before="240"/>
      </w:pPr>
      <w:bookmarkStart w:id="81" w:name="_Toc378338244"/>
      <w:r>
        <w:rPr>
          <w:rStyle w:val="CharSectno"/>
        </w:rPr>
        <w:t>63</w:t>
      </w:r>
      <w:r>
        <w:t>.</w:t>
      </w:r>
      <w:r>
        <w:tab/>
        <w:t>Provisions relating to wagers through RWWA</w:t>
      </w:r>
      <w:bookmarkEnd w:id="81"/>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82" w:name="_Toc378338245"/>
      <w:r>
        <w:rPr>
          <w:rStyle w:val="CharSectno"/>
        </w:rPr>
        <w:t>64</w:t>
      </w:r>
      <w:r>
        <w:t>.</w:t>
      </w:r>
      <w:r>
        <w:tab/>
        <w:t>Wagering accounts</w:t>
      </w:r>
      <w:bookmarkEnd w:id="82"/>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83" w:name="_Toc378338246"/>
      <w:r>
        <w:rPr>
          <w:rStyle w:val="CharSectno"/>
        </w:rPr>
        <w:t>65</w:t>
      </w:r>
      <w:r>
        <w:t>.</w:t>
      </w:r>
      <w:r>
        <w:tab/>
        <w:t>Minimum amount of a wager</w:t>
      </w:r>
      <w:bookmarkEnd w:id="83"/>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84" w:name="_Toc378338247"/>
      <w:r>
        <w:rPr>
          <w:rStyle w:val="CharPartNo"/>
        </w:rPr>
        <w:t>Part 6</w:t>
      </w:r>
      <w:r>
        <w:t xml:space="preserve"> — </w:t>
      </w:r>
      <w:r>
        <w:rPr>
          <w:rStyle w:val="CharPartText"/>
        </w:rPr>
        <w:t>Accountability</w:t>
      </w:r>
      <w:bookmarkEnd w:id="84"/>
    </w:p>
    <w:p>
      <w:pPr>
        <w:pStyle w:val="Heading3"/>
      </w:pPr>
      <w:bookmarkStart w:id="85" w:name="_Toc378338248"/>
      <w:r>
        <w:rPr>
          <w:rStyle w:val="CharDivNo"/>
        </w:rPr>
        <w:t>Division 1</w:t>
      </w:r>
      <w:r>
        <w:t xml:space="preserve"> — </w:t>
      </w:r>
      <w:r>
        <w:rPr>
          <w:rStyle w:val="CharDivText"/>
        </w:rPr>
        <w:t>Strategic development plans</w:t>
      </w:r>
      <w:bookmarkEnd w:id="85"/>
      <w:r>
        <w:rPr>
          <w:rStyle w:val="CharDivText"/>
        </w:rPr>
        <w:t xml:space="preserve"> </w:t>
      </w:r>
    </w:p>
    <w:p>
      <w:pPr>
        <w:pStyle w:val="Heading5"/>
        <w:spacing w:before="240"/>
      </w:pPr>
      <w:bookmarkStart w:id="86" w:name="_Toc378338249"/>
      <w:r>
        <w:rPr>
          <w:rStyle w:val="CharSectno"/>
        </w:rPr>
        <w:t>66</w:t>
      </w:r>
      <w:r>
        <w:t>.</w:t>
      </w:r>
      <w:r>
        <w:tab/>
        <w:t>Draft strategic development plan to be submitted to Minister</w:t>
      </w:r>
      <w:bookmarkEnd w:id="86"/>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87" w:name="_Toc378338250"/>
      <w:r>
        <w:rPr>
          <w:rStyle w:val="CharSectno"/>
        </w:rPr>
        <w:t>67</w:t>
      </w:r>
      <w:r>
        <w:t>.</w:t>
      </w:r>
      <w:r>
        <w:tab/>
        <w:t>Period to which strategic development plan relates</w:t>
      </w:r>
      <w:bookmarkEnd w:id="87"/>
    </w:p>
    <w:p>
      <w:pPr>
        <w:pStyle w:val="Subsection"/>
        <w:spacing w:before="180"/>
      </w:pPr>
      <w:r>
        <w:tab/>
      </w:r>
      <w:r>
        <w:tab/>
        <w:t>A strategic development plan is to cover a forecast period of 5 years or a lesser period agreed with the Minister.</w:t>
      </w:r>
    </w:p>
    <w:p>
      <w:pPr>
        <w:pStyle w:val="Heading5"/>
        <w:spacing w:before="240"/>
      </w:pPr>
      <w:bookmarkStart w:id="88" w:name="_Toc378338251"/>
      <w:r>
        <w:rPr>
          <w:rStyle w:val="CharSectno"/>
        </w:rPr>
        <w:t>68</w:t>
      </w:r>
      <w:r>
        <w:t>.</w:t>
      </w:r>
      <w:r>
        <w:tab/>
        <w:t>Matters to be included in strategic development plan</w:t>
      </w:r>
      <w:bookmarkEnd w:id="88"/>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 107A(2).</w:t>
      </w:r>
    </w:p>
    <w:p>
      <w:pPr>
        <w:pStyle w:val="Footnotesection"/>
      </w:pPr>
      <w:r>
        <w:tab/>
        <w:t>[Section 68 amended by No. 38 of 2005 s. 15; No. 29 of 2009 s. 26.]</w:t>
      </w:r>
    </w:p>
    <w:p>
      <w:pPr>
        <w:pStyle w:val="Heading5"/>
      </w:pPr>
      <w:bookmarkStart w:id="89" w:name="_Toc378338252"/>
      <w:r>
        <w:rPr>
          <w:rStyle w:val="CharSectno"/>
        </w:rPr>
        <w:t>69</w:t>
      </w:r>
      <w:r>
        <w:t>.</w:t>
      </w:r>
      <w:r>
        <w:tab/>
        <w:t>Strategic development plan to be agreed if possible</w:t>
      </w:r>
      <w:bookmarkEnd w:id="89"/>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90" w:name="_Toc378338253"/>
      <w:r>
        <w:rPr>
          <w:rStyle w:val="CharSectno"/>
        </w:rPr>
        <w:t>70</w:t>
      </w:r>
      <w:r>
        <w:t>.</w:t>
      </w:r>
      <w:r>
        <w:tab/>
        <w:t>Minister’s powers in relation to draft strategic development plan</w:t>
      </w:r>
      <w:bookmarkEnd w:id="90"/>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91" w:name="_Toc378338254"/>
      <w:r>
        <w:rPr>
          <w:rStyle w:val="CharSectno"/>
        </w:rPr>
        <w:t>71</w:t>
      </w:r>
      <w:r>
        <w:t>.</w:t>
      </w:r>
      <w:r>
        <w:tab/>
        <w:t>Strategic development plan pending agreement</w:t>
      </w:r>
      <w:bookmarkEnd w:id="91"/>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92" w:name="_Toc378338255"/>
      <w:r>
        <w:rPr>
          <w:rStyle w:val="CharSectno"/>
        </w:rPr>
        <w:t>72</w:t>
      </w:r>
      <w:r>
        <w:t>.</w:t>
      </w:r>
      <w:r>
        <w:tab/>
        <w:t>Minister’s agreement to draft strategic development plan</w:t>
      </w:r>
      <w:bookmarkEnd w:id="92"/>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93" w:name="_Toc378338256"/>
      <w:r>
        <w:rPr>
          <w:rStyle w:val="CharSectno"/>
        </w:rPr>
        <w:t>73</w:t>
      </w:r>
      <w:r>
        <w:t>.</w:t>
      </w:r>
      <w:r>
        <w:tab/>
        <w:t>Modifications of strategic development plan</w:t>
      </w:r>
      <w:bookmarkEnd w:id="93"/>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94" w:name="_Toc378338257"/>
      <w:r>
        <w:rPr>
          <w:rStyle w:val="CharSectno"/>
        </w:rPr>
        <w:t>74</w:t>
      </w:r>
      <w:r>
        <w:t>.</w:t>
      </w:r>
      <w:r>
        <w:tab/>
        <w:t>Concurrence of Treasurer</w:t>
      </w:r>
      <w:bookmarkEnd w:id="94"/>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95" w:name="_Toc378338258"/>
      <w:r>
        <w:rPr>
          <w:rStyle w:val="CharDivNo"/>
        </w:rPr>
        <w:t>Division 2</w:t>
      </w:r>
      <w:r>
        <w:t xml:space="preserve"> — </w:t>
      </w:r>
      <w:r>
        <w:rPr>
          <w:rStyle w:val="CharDivText"/>
        </w:rPr>
        <w:t>Statement of corporate intent</w:t>
      </w:r>
      <w:bookmarkEnd w:id="95"/>
    </w:p>
    <w:p>
      <w:pPr>
        <w:pStyle w:val="Heading5"/>
      </w:pPr>
      <w:bookmarkStart w:id="96" w:name="_Toc378338259"/>
      <w:r>
        <w:rPr>
          <w:rStyle w:val="CharSectno"/>
        </w:rPr>
        <w:t>75</w:t>
      </w:r>
      <w:r>
        <w:t>.</w:t>
      </w:r>
      <w:r>
        <w:tab/>
        <w:t>Statement of corporate intent to be submitted to Minister</w:t>
      </w:r>
      <w:bookmarkEnd w:id="96"/>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97" w:name="_Toc378338260"/>
      <w:r>
        <w:rPr>
          <w:rStyle w:val="CharSectno"/>
        </w:rPr>
        <w:t>76</w:t>
      </w:r>
      <w:r>
        <w:t>.</w:t>
      </w:r>
      <w:r>
        <w:tab/>
        <w:t>Period to which statement of corporate intent relates</w:t>
      </w:r>
      <w:bookmarkEnd w:id="97"/>
    </w:p>
    <w:p>
      <w:pPr>
        <w:pStyle w:val="Subsection"/>
      </w:pPr>
      <w:r>
        <w:tab/>
      </w:r>
      <w:r>
        <w:tab/>
        <w:t>A statement of corporate intent is to cover a financial year.</w:t>
      </w:r>
    </w:p>
    <w:p>
      <w:pPr>
        <w:pStyle w:val="Heading5"/>
      </w:pPr>
      <w:bookmarkStart w:id="98" w:name="_Toc378338261"/>
      <w:r>
        <w:rPr>
          <w:rStyle w:val="CharSectno"/>
        </w:rPr>
        <w:t>77</w:t>
      </w:r>
      <w:r>
        <w:t>.</w:t>
      </w:r>
      <w:r>
        <w:tab/>
        <w:t>Matters to be included in statement of corporate intent</w:t>
      </w:r>
      <w:bookmarkEnd w:id="98"/>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 107A(2);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 No. 29 of 2009 s. 27.]</w:t>
      </w:r>
    </w:p>
    <w:p>
      <w:pPr>
        <w:pStyle w:val="Heading5"/>
      </w:pPr>
      <w:bookmarkStart w:id="99" w:name="_Toc378338262"/>
      <w:r>
        <w:rPr>
          <w:rStyle w:val="CharSectno"/>
        </w:rPr>
        <w:t>78</w:t>
      </w:r>
      <w:r>
        <w:t>.</w:t>
      </w:r>
      <w:r>
        <w:tab/>
        <w:t>Minister may request revision of statement of corporate intent</w:t>
      </w:r>
      <w:bookmarkEnd w:id="99"/>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100" w:name="_Toc378338263"/>
      <w:r>
        <w:rPr>
          <w:rStyle w:val="CharSectno"/>
        </w:rPr>
        <w:t>79</w:t>
      </w:r>
      <w:r>
        <w:t>.</w:t>
      </w:r>
      <w:r>
        <w:tab/>
        <w:t>Statement of corporate intent laid before Parliament</w:t>
      </w:r>
      <w:bookmarkEnd w:id="100"/>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101" w:name="_Toc378338264"/>
      <w:r>
        <w:rPr>
          <w:rStyle w:val="CharSectno"/>
        </w:rPr>
        <w:t>80</w:t>
      </w:r>
      <w:r>
        <w:t>.</w:t>
      </w:r>
      <w:r>
        <w:tab/>
        <w:t>Modifications of statement of corporate intent</w:t>
      </w:r>
      <w:bookmarkEnd w:id="101"/>
    </w:p>
    <w:p>
      <w:pPr>
        <w:pStyle w:val="Subsection"/>
      </w:pPr>
      <w:r>
        <w:tab/>
      </w:r>
      <w:r>
        <w:tab/>
        <w:t>A statement of corporate intent may be modified by the board.</w:t>
      </w:r>
    </w:p>
    <w:p>
      <w:pPr>
        <w:pStyle w:val="Heading3"/>
      </w:pPr>
      <w:bookmarkStart w:id="102" w:name="_Toc378338265"/>
      <w:r>
        <w:rPr>
          <w:rStyle w:val="CharDivNo"/>
        </w:rPr>
        <w:t>Division 3</w:t>
      </w:r>
      <w:r>
        <w:t> — </w:t>
      </w:r>
      <w:r>
        <w:rPr>
          <w:rStyle w:val="CharDivText"/>
        </w:rPr>
        <w:t>Directions, consultation and provision of information</w:t>
      </w:r>
      <w:bookmarkEnd w:id="102"/>
    </w:p>
    <w:p>
      <w:pPr>
        <w:pStyle w:val="Heading5"/>
      </w:pPr>
      <w:bookmarkStart w:id="103" w:name="_Toc378338266"/>
      <w:r>
        <w:rPr>
          <w:rStyle w:val="CharSectno"/>
        </w:rPr>
        <w:t>81</w:t>
      </w:r>
      <w:r>
        <w:t>.</w:t>
      </w:r>
      <w:r>
        <w:tab/>
        <w:t>Directions to RWWA</w:t>
      </w:r>
      <w:bookmarkEnd w:id="103"/>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104" w:name="_Toc378338267"/>
      <w:r>
        <w:rPr>
          <w:rStyle w:val="CharSectno"/>
        </w:rPr>
        <w:t>82</w:t>
      </w:r>
      <w:r>
        <w:t>.</w:t>
      </w:r>
      <w:r>
        <w:tab/>
        <w:t>Consultation</w:t>
      </w:r>
      <w:bookmarkEnd w:id="104"/>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105" w:name="_Toc378338268"/>
      <w:r>
        <w:rPr>
          <w:rStyle w:val="CharSectno"/>
        </w:rPr>
        <w:t>83</w:t>
      </w:r>
      <w:r>
        <w:t>.</w:t>
      </w:r>
      <w:r>
        <w:tab/>
        <w:t>Minister to have access to information</w:t>
      </w:r>
      <w:bookmarkEnd w:id="105"/>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106" w:name="_Toc378338269"/>
      <w:r>
        <w:rPr>
          <w:rStyle w:val="CharSectno"/>
        </w:rPr>
        <w:t>84</w:t>
      </w:r>
      <w:r>
        <w:t>.</w:t>
      </w:r>
      <w:r>
        <w:tab/>
        <w:t>Minister to be kept informed</w:t>
      </w:r>
      <w:bookmarkEnd w:id="106"/>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107" w:name="_Toc378338270"/>
      <w:r>
        <w:rPr>
          <w:rStyle w:val="CharSectno"/>
        </w:rPr>
        <w:t>85</w:t>
      </w:r>
      <w:r>
        <w:t>.</w:t>
      </w:r>
      <w:r>
        <w:tab/>
        <w:t>Notice of financial difficulty</w:t>
      </w:r>
      <w:bookmarkEnd w:id="107"/>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108" w:name="_Toc378338271"/>
      <w:r>
        <w:rPr>
          <w:rStyle w:val="CharSectno"/>
        </w:rPr>
        <w:t>86</w:t>
      </w:r>
      <w:r>
        <w:t>.</w:t>
      </w:r>
      <w:r>
        <w:tab/>
        <w:t>RWWA records</w:t>
      </w:r>
      <w:bookmarkEnd w:id="108"/>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109" w:name="_Toc378338272"/>
      <w:r>
        <w:rPr>
          <w:rStyle w:val="CharDivNo"/>
        </w:rPr>
        <w:t>Division 4</w:t>
      </w:r>
      <w:r>
        <w:t xml:space="preserve"> — </w:t>
      </w:r>
      <w:r>
        <w:rPr>
          <w:rStyle w:val="CharDivText"/>
        </w:rPr>
        <w:t>Protection from liability</w:t>
      </w:r>
      <w:bookmarkEnd w:id="109"/>
    </w:p>
    <w:p>
      <w:pPr>
        <w:pStyle w:val="Heading5"/>
      </w:pPr>
      <w:bookmarkStart w:id="110" w:name="_Toc378338273"/>
      <w:r>
        <w:rPr>
          <w:rStyle w:val="CharSectno"/>
        </w:rPr>
        <w:t>87</w:t>
      </w:r>
      <w:r>
        <w:t>.</w:t>
      </w:r>
      <w:r>
        <w:tab/>
        <w:t>Protection for disclosure</w:t>
      </w:r>
      <w:bookmarkEnd w:id="110"/>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111" w:name="_Toc378338274"/>
      <w:r>
        <w:rPr>
          <w:rStyle w:val="CharPartNo"/>
        </w:rPr>
        <w:t>Part 7</w:t>
      </w:r>
      <w:r>
        <w:t xml:space="preserve"> — </w:t>
      </w:r>
      <w:r>
        <w:rPr>
          <w:rStyle w:val="CharPartText"/>
        </w:rPr>
        <w:t>Financial provisions</w:t>
      </w:r>
      <w:bookmarkEnd w:id="111"/>
    </w:p>
    <w:p>
      <w:pPr>
        <w:pStyle w:val="Heading3"/>
      </w:pPr>
      <w:bookmarkStart w:id="112" w:name="_Toc378338275"/>
      <w:r>
        <w:rPr>
          <w:rStyle w:val="CharDivNo"/>
        </w:rPr>
        <w:t>Division 1</w:t>
      </w:r>
      <w:r>
        <w:t xml:space="preserve"> — </w:t>
      </w:r>
      <w:r>
        <w:rPr>
          <w:rStyle w:val="CharDivText"/>
        </w:rPr>
        <w:t>General</w:t>
      </w:r>
      <w:bookmarkEnd w:id="112"/>
    </w:p>
    <w:p>
      <w:pPr>
        <w:pStyle w:val="Heading5"/>
      </w:pPr>
      <w:bookmarkStart w:id="113" w:name="_Toc378338276"/>
      <w:r>
        <w:rPr>
          <w:rStyle w:val="CharSectno"/>
        </w:rPr>
        <w:t>88</w:t>
      </w:r>
      <w:r>
        <w:t>.</w:t>
      </w:r>
      <w:r>
        <w:tab/>
        <w:t>Bank account</w:t>
      </w:r>
      <w:bookmarkEnd w:id="113"/>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114" w:name="_Toc378338277"/>
      <w:r>
        <w:rPr>
          <w:rStyle w:val="CharSectno"/>
        </w:rPr>
        <w:t>89</w:t>
      </w:r>
      <w:r>
        <w:t>.</w:t>
      </w:r>
      <w:r>
        <w:tab/>
        <w:t>Investment</w:t>
      </w:r>
      <w:bookmarkEnd w:id="114"/>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115" w:name="_Toc378338278"/>
      <w:r>
        <w:rPr>
          <w:rStyle w:val="CharSectno"/>
        </w:rPr>
        <w:t>90</w:t>
      </w:r>
      <w:r>
        <w:t>.</w:t>
      </w:r>
      <w:r>
        <w:tab/>
        <w:t>Reserve accounts</w:t>
      </w:r>
      <w:bookmarkEnd w:id="115"/>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116" w:name="_Toc378338279"/>
      <w:r>
        <w:rPr>
          <w:rStyle w:val="CharSectno"/>
        </w:rPr>
        <w:t>91</w:t>
      </w:r>
      <w:r>
        <w:t>.</w:t>
      </w:r>
      <w:r>
        <w:tab/>
        <w:t>Payment of outgoings and expenses</w:t>
      </w:r>
      <w:bookmarkEnd w:id="116"/>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17" w:name="_Toc378338280"/>
      <w:r>
        <w:rPr>
          <w:rStyle w:val="CharDivNo"/>
        </w:rPr>
        <w:t>Division 2</w:t>
      </w:r>
      <w:r>
        <w:t> — </w:t>
      </w:r>
      <w:r>
        <w:rPr>
          <w:rStyle w:val="CharDivText"/>
        </w:rPr>
        <w:t>Loans and grants</w:t>
      </w:r>
      <w:bookmarkEnd w:id="117"/>
    </w:p>
    <w:p>
      <w:pPr>
        <w:pStyle w:val="Heading5"/>
      </w:pPr>
      <w:bookmarkStart w:id="118" w:name="_Toc378338281"/>
      <w:r>
        <w:rPr>
          <w:rStyle w:val="CharSectno"/>
        </w:rPr>
        <w:t>92</w:t>
      </w:r>
      <w:r>
        <w:t>.</w:t>
      </w:r>
      <w:r>
        <w:tab/>
        <w:t>RWWA may lend or grant money to racing clubs and allied bodies</w:t>
      </w:r>
      <w:bookmarkEnd w:id="118"/>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19" w:name="_Toc378338282"/>
      <w:r>
        <w:rPr>
          <w:rStyle w:val="CharSectno"/>
        </w:rPr>
        <w:t>93</w:t>
      </w:r>
      <w:r>
        <w:t>.</w:t>
      </w:r>
      <w:r>
        <w:tab/>
        <w:t>Terms and conditions of loan</w:t>
      </w:r>
      <w:bookmarkEnd w:id="119"/>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20" w:name="_Toc378338283"/>
      <w:r>
        <w:rPr>
          <w:rStyle w:val="CharSectno"/>
        </w:rPr>
        <w:t>94</w:t>
      </w:r>
      <w:r>
        <w:t>.</w:t>
      </w:r>
      <w:r>
        <w:tab/>
        <w:t>Failure to comply with terms and conditions</w:t>
      </w:r>
      <w:bookmarkEnd w:id="120"/>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121" w:name="_Toc378338284"/>
      <w:r>
        <w:rPr>
          <w:rStyle w:val="CharSectno"/>
        </w:rPr>
        <w:t>95</w:t>
      </w:r>
      <w:r>
        <w:t>.</w:t>
      </w:r>
      <w:r>
        <w:tab/>
        <w:t>Application and security for loan or grant</w:t>
      </w:r>
      <w:bookmarkEnd w:id="121"/>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22" w:name="_Toc378338285"/>
      <w:r>
        <w:rPr>
          <w:rStyle w:val="CharSectno"/>
        </w:rPr>
        <w:t>96</w:t>
      </w:r>
      <w:r>
        <w:t>.</w:t>
      </w:r>
      <w:r>
        <w:tab/>
        <w:t>Club or allied body may make representations to board</w:t>
      </w:r>
      <w:bookmarkEnd w:id="122"/>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23" w:name="_Toc378338286"/>
      <w:r>
        <w:rPr>
          <w:rStyle w:val="CharDivNo"/>
        </w:rPr>
        <w:t>Division 3</w:t>
      </w:r>
      <w:r>
        <w:t xml:space="preserve"> — </w:t>
      </w:r>
      <w:r>
        <w:rPr>
          <w:rStyle w:val="CharDivText"/>
        </w:rPr>
        <w:t>Borrowing</w:t>
      </w:r>
      <w:bookmarkEnd w:id="123"/>
    </w:p>
    <w:p>
      <w:pPr>
        <w:pStyle w:val="Heading5"/>
      </w:pPr>
      <w:bookmarkStart w:id="124" w:name="_Toc378338287"/>
      <w:r>
        <w:rPr>
          <w:rStyle w:val="CharSectno"/>
        </w:rPr>
        <w:t>97</w:t>
      </w:r>
      <w:r>
        <w:t>.</w:t>
      </w:r>
      <w:r>
        <w:tab/>
        <w:t>Borrowing</w:t>
      </w:r>
      <w:bookmarkEnd w:id="124"/>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25" w:name="_Toc378338288"/>
      <w:r>
        <w:rPr>
          <w:rStyle w:val="CharSectno"/>
        </w:rPr>
        <w:t>98</w:t>
      </w:r>
      <w:r>
        <w:t>.</w:t>
      </w:r>
      <w:r>
        <w:tab/>
        <w:t>Borrowing restrictions</w:t>
      </w:r>
      <w:bookmarkEnd w:id="125"/>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26" w:name="_Toc378338289"/>
      <w:r>
        <w:rPr>
          <w:rStyle w:val="CharSectno"/>
        </w:rPr>
        <w:t>99</w:t>
      </w:r>
      <w:r>
        <w:t>.</w:t>
      </w:r>
      <w:r>
        <w:tab/>
        <w:t>Hedging transactions</w:t>
      </w:r>
      <w:bookmarkEnd w:id="126"/>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27" w:name="_Toc378338290"/>
      <w:r>
        <w:rPr>
          <w:rStyle w:val="CharDivNo"/>
        </w:rPr>
        <w:t>Division 4</w:t>
      </w:r>
      <w:r>
        <w:t> — </w:t>
      </w:r>
      <w:r>
        <w:rPr>
          <w:rStyle w:val="CharDivText"/>
        </w:rPr>
        <w:t>Guarantees</w:t>
      </w:r>
      <w:bookmarkEnd w:id="127"/>
    </w:p>
    <w:p>
      <w:pPr>
        <w:pStyle w:val="Heading5"/>
      </w:pPr>
      <w:bookmarkStart w:id="128" w:name="_Toc378338291"/>
      <w:r>
        <w:rPr>
          <w:rStyle w:val="CharSectno"/>
        </w:rPr>
        <w:t>100</w:t>
      </w:r>
      <w:r>
        <w:t>.</w:t>
      </w:r>
      <w:r>
        <w:tab/>
        <w:t>Guarantees</w:t>
      </w:r>
      <w:bookmarkEnd w:id="128"/>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29" w:name="_Toc378338292"/>
      <w:r>
        <w:rPr>
          <w:rStyle w:val="CharSectno"/>
        </w:rPr>
        <w:t>101</w:t>
      </w:r>
      <w:r>
        <w:t>.</w:t>
      </w:r>
      <w:r>
        <w:tab/>
        <w:t>Charges for guarantee</w:t>
      </w:r>
      <w:bookmarkEnd w:id="129"/>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30" w:name="_Toc378338293"/>
      <w:r>
        <w:rPr>
          <w:rStyle w:val="CharDivNo"/>
        </w:rPr>
        <w:t>Division 5</w:t>
      </w:r>
      <w:r>
        <w:t> — </w:t>
      </w:r>
      <w:r>
        <w:rPr>
          <w:rStyle w:val="CharDivText"/>
        </w:rPr>
        <w:t>Financial provisions in relation to wagering</w:t>
      </w:r>
      <w:bookmarkEnd w:id="130"/>
    </w:p>
    <w:p>
      <w:pPr>
        <w:pStyle w:val="Heading5"/>
      </w:pPr>
      <w:bookmarkStart w:id="131" w:name="_Toc378338294"/>
      <w:r>
        <w:rPr>
          <w:rStyle w:val="CharSectno"/>
        </w:rPr>
        <w:t>102</w:t>
      </w:r>
      <w:r>
        <w:t>.</w:t>
      </w:r>
      <w:r>
        <w:tab/>
        <w:t>RWWA wagering tax</w:t>
      </w:r>
      <w:bookmarkEnd w:id="131"/>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32" w:name="_Toc378338295"/>
      <w:r>
        <w:rPr>
          <w:rStyle w:val="CharSectno"/>
        </w:rPr>
        <w:t>103</w:t>
      </w:r>
      <w:r>
        <w:t>.</w:t>
      </w:r>
      <w:r>
        <w:tab/>
        <w:t>Supplementary pool schemes</w:t>
      </w:r>
      <w:bookmarkEnd w:id="132"/>
    </w:p>
    <w:p>
      <w:pPr>
        <w:pStyle w:val="Subsection"/>
      </w:pPr>
      <w:r>
        <w:tab/>
      </w:r>
      <w:r>
        <w:tab/>
        <w:t>RWWA may supplement the amount in any totalisator pool using moneys set aside for that purpose.</w:t>
      </w:r>
    </w:p>
    <w:p>
      <w:pPr>
        <w:pStyle w:val="Heading5"/>
      </w:pPr>
      <w:bookmarkStart w:id="133" w:name="_Toc378338296"/>
      <w:r>
        <w:rPr>
          <w:rStyle w:val="CharSectno"/>
        </w:rPr>
        <w:t>104</w:t>
      </w:r>
      <w:r>
        <w:t>.</w:t>
      </w:r>
      <w:r>
        <w:tab/>
        <w:t>Unclaimed dividends, fixed odds winnings and refunds</w:t>
      </w:r>
      <w:bookmarkEnd w:id="133"/>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by No. 35 of 2003 s. 174(2).]</w:t>
      </w:r>
    </w:p>
    <w:p>
      <w:pPr>
        <w:pStyle w:val="Heading5"/>
      </w:pPr>
      <w:bookmarkStart w:id="134" w:name="_Toc378338297"/>
      <w:r>
        <w:rPr>
          <w:rStyle w:val="CharSectno"/>
        </w:rPr>
        <w:t>105</w:t>
      </w:r>
      <w:r>
        <w:t>.</w:t>
      </w:r>
      <w:r>
        <w:tab/>
        <w:t>Allocation of RWWA’s funds before 1 August 2006</w:t>
      </w:r>
      <w:bookmarkEnd w:id="134"/>
    </w:p>
    <w:p>
      <w:pPr>
        <w:pStyle w:val="Subsection"/>
      </w:pPr>
      <w:r>
        <w:tab/>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or $50 million, whichever is the lesser amount, is to be paid or credited by RWWA as follows — </w:t>
      </w:r>
    </w:p>
    <w:p>
      <w:pPr>
        <w:pStyle w:val="Indenta"/>
      </w:pPr>
      <w:r>
        <w:tab/>
        <w:t>(a)</w:t>
      </w:r>
      <w:r>
        <w:tab/>
        <w:t>55.26% to thoroughbred racing clubs registered with RWWA;</w:t>
      </w:r>
    </w:p>
    <w:p>
      <w:pPr>
        <w:pStyle w:val="Indenta"/>
      </w:pPr>
      <w:r>
        <w:tab/>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t>(4)</w:t>
      </w:r>
      <w:r>
        <w:tab/>
        <w:t xml:space="preserve">Of the funds referred to in subsection (2)(b) — </w:t>
      </w:r>
    </w:p>
    <w:p>
      <w:pPr>
        <w:pStyle w:val="Indenta"/>
      </w:pPr>
      <w:r>
        <w:tab/>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35" w:name="_Toc378338298"/>
      <w:r>
        <w:rPr>
          <w:rStyle w:val="CharSectno"/>
        </w:rPr>
        <w:t>106</w:t>
      </w:r>
      <w:r>
        <w:t>.</w:t>
      </w:r>
      <w:r>
        <w:tab/>
        <w:t>Allocation of RWWA’s funds after 31 July 2006</w:t>
      </w:r>
      <w:bookmarkEnd w:id="135"/>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pPr>
      <w:bookmarkStart w:id="136" w:name="_Toc378338299"/>
      <w:r>
        <w:rPr>
          <w:rStyle w:val="CharSectno"/>
        </w:rPr>
        <w:t>107A</w:t>
      </w:r>
      <w:r>
        <w:t>.</w:t>
      </w:r>
      <w:r>
        <w:tab/>
        <w:t>Distribution of funds from the racing bets levy</w:t>
      </w:r>
      <w:bookmarkEnd w:id="136"/>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by No. 29 of 2009 s. 28.]</w:t>
      </w:r>
    </w:p>
    <w:p>
      <w:pPr>
        <w:pStyle w:val="Heading5"/>
        <w:spacing w:before="200"/>
      </w:pPr>
      <w:bookmarkStart w:id="137" w:name="_Toc378338300"/>
      <w:r>
        <w:rPr>
          <w:rStyle w:val="CharSectno"/>
        </w:rPr>
        <w:t>107</w:t>
      </w:r>
      <w:r>
        <w:t>.</w:t>
      </w:r>
      <w:r>
        <w:tab/>
        <w:t>Allocation of RWWA’s funds in respect of sporting events</w:t>
      </w:r>
      <w:bookmarkEnd w:id="137"/>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38" w:name="_Toc378338301"/>
      <w:r>
        <w:rPr>
          <w:rStyle w:val="CharDivNo"/>
        </w:rPr>
        <w:t>Division 6</w:t>
      </w:r>
      <w:r>
        <w:t> — </w:t>
      </w:r>
      <w:r>
        <w:rPr>
          <w:rStyle w:val="CharDivText"/>
        </w:rPr>
        <w:t>General</w:t>
      </w:r>
      <w:bookmarkEnd w:id="138"/>
    </w:p>
    <w:p>
      <w:pPr>
        <w:pStyle w:val="Heading5"/>
        <w:rPr>
          <w:i/>
        </w:rPr>
      </w:pPr>
      <w:bookmarkStart w:id="139" w:name="_Toc378338302"/>
      <w:r>
        <w:rPr>
          <w:rStyle w:val="CharSectno"/>
        </w:rPr>
        <w:t>108</w:t>
      </w:r>
      <w:r>
        <w:t>.</w:t>
      </w:r>
      <w:r>
        <w:tab/>
        <w:t xml:space="preserve">Application of </w:t>
      </w:r>
      <w:r>
        <w:rPr>
          <w:i/>
          <w:iCs/>
        </w:rPr>
        <w:t>Financial Management Act 2006</w:t>
      </w:r>
      <w:r>
        <w:t xml:space="preserve"> and </w:t>
      </w:r>
      <w:r>
        <w:rPr>
          <w:i/>
          <w:iCs/>
        </w:rPr>
        <w:t>Auditor General Act 2006</w:t>
      </w:r>
      <w:bookmarkEnd w:id="13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40" w:name="_Toc378338303"/>
      <w:r>
        <w:rPr>
          <w:rStyle w:val="CharPartNo"/>
        </w:rPr>
        <w:t>Part 8</w:t>
      </w:r>
      <w:r>
        <w:t xml:space="preserve"> — </w:t>
      </w:r>
      <w:r>
        <w:rPr>
          <w:rStyle w:val="CharPartText"/>
        </w:rPr>
        <w:t>Miscellaneous</w:t>
      </w:r>
      <w:bookmarkEnd w:id="140"/>
    </w:p>
    <w:p>
      <w:pPr>
        <w:pStyle w:val="Heading3"/>
      </w:pPr>
      <w:bookmarkStart w:id="141" w:name="_Toc378338304"/>
      <w:r>
        <w:rPr>
          <w:rStyle w:val="CharDivNo"/>
        </w:rPr>
        <w:t>Division 1</w:t>
      </w:r>
      <w:r>
        <w:t xml:space="preserve"> — </w:t>
      </w:r>
      <w:r>
        <w:rPr>
          <w:rStyle w:val="CharDivText"/>
        </w:rPr>
        <w:t>Protection of people dealing with RWWA</w:t>
      </w:r>
      <w:bookmarkEnd w:id="141"/>
    </w:p>
    <w:p>
      <w:pPr>
        <w:pStyle w:val="Heading5"/>
      </w:pPr>
      <w:bookmarkStart w:id="142" w:name="_Toc378338305"/>
      <w:r>
        <w:rPr>
          <w:rStyle w:val="CharSectno"/>
        </w:rPr>
        <w:t>109</w:t>
      </w:r>
      <w:r>
        <w:t>.</w:t>
      </w:r>
      <w:r>
        <w:tab/>
        <w:t>People dealing with RWWA may make assumptions</w:t>
      </w:r>
      <w:bookmarkEnd w:id="142"/>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143" w:name="_Toc378338306"/>
      <w:r>
        <w:rPr>
          <w:rStyle w:val="CharSectno"/>
        </w:rPr>
        <w:t>110</w:t>
      </w:r>
      <w:r>
        <w:t>.</w:t>
      </w:r>
      <w:r>
        <w:tab/>
        <w:t>Third parties may make assumptions</w:t>
      </w:r>
      <w:bookmarkEnd w:id="143"/>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44" w:name="_Toc378338307"/>
      <w:r>
        <w:rPr>
          <w:rStyle w:val="CharSectno"/>
        </w:rPr>
        <w:t>111</w:t>
      </w:r>
      <w:r>
        <w:t>.</w:t>
      </w:r>
      <w:r>
        <w:tab/>
        <w:t>Things that can be assumed</w:t>
      </w:r>
      <w:bookmarkEnd w:id="144"/>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45" w:name="_Toc378338308"/>
      <w:r>
        <w:rPr>
          <w:rStyle w:val="CharSectno"/>
        </w:rPr>
        <w:t>112</w:t>
      </w:r>
      <w:r>
        <w:t>.</w:t>
      </w:r>
      <w:r>
        <w:tab/>
        <w:t>When those things cannot be assumed</w:t>
      </w:r>
      <w:bookmarkEnd w:id="145"/>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46" w:name="_Toc378338309"/>
      <w:r>
        <w:rPr>
          <w:rStyle w:val="CharDivNo"/>
        </w:rPr>
        <w:t>Division 2</w:t>
      </w:r>
      <w:r>
        <w:t xml:space="preserve"> — </w:t>
      </w:r>
      <w:r>
        <w:rPr>
          <w:rStyle w:val="CharDivText"/>
        </w:rPr>
        <w:t>Other provisions</w:t>
      </w:r>
      <w:bookmarkEnd w:id="146"/>
    </w:p>
    <w:p>
      <w:pPr>
        <w:pStyle w:val="Heading5"/>
      </w:pPr>
      <w:bookmarkStart w:id="147" w:name="_Toc378338310"/>
      <w:r>
        <w:rPr>
          <w:rStyle w:val="CharSectno"/>
        </w:rPr>
        <w:t>113</w:t>
      </w:r>
      <w:r>
        <w:t>.</w:t>
      </w:r>
      <w:r>
        <w:tab/>
        <w:t>Entry and inspection of premises</w:t>
      </w:r>
      <w:bookmarkEnd w:id="147"/>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48" w:name="_Toc378338311"/>
      <w:r>
        <w:rPr>
          <w:rStyle w:val="CharSectno"/>
        </w:rPr>
        <w:t>114</w:t>
      </w:r>
      <w:r>
        <w:t>.</w:t>
      </w:r>
      <w:r>
        <w:tab/>
        <w:t>Commissioner of State Revenue may enter and inspect RWWA premises</w:t>
      </w:r>
      <w:bookmarkEnd w:id="148"/>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49" w:name="_Toc378338312"/>
      <w:r>
        <w:rPr>
          <w:rStyle w:val="CharSectno"/>
        </w:rPr>
        <w:t>115</w:t>
      </w:r>
      <w:r>
        <w:t>.</w:t>
      </w:r>
      <w:r>
        <w:tab/>
        <w:t>Miscellaneous offences</w:t>
      </w:r>
      <w:bookmarkEnd w:id="149"/>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50" w:name="_Toc378338313"/>
      <w:r>
        <w:rPr>
          <w:rStyle w:val="CharSectno"/>
        </w:rPr>
        <w:t>116</w:t>
      </w:r>
      <w:r>
        <w:t>.</w:t>
      </w:r>
      <w:r>
        <w:tab/>
        <w:t>Immunity from certain claims</w:t>
      </w:r>
      <w:bookmarkEnd w:id="150"/>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51" w:name="_Toc378338314"/>
      <w:r>
        <w:rPr>
          <w:rStyle w:val="CharSectno"/>
        </w:rPr>
        <w:t>117</w:t>
      </w:r>
      <w:r>
        <w:t>.</w:t>
      </w:r>
      <w:r>
        <w:tab/>
        <w:t>Laying documents before House of Parliament that is not sitting</w:t>
      </w:r>
      <w:bookmarkEnd w:id="151"/>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152" w:name="_Toc378338315"/>
      <w:r>
        <w:rPr>
          <w:rStyle w:val="CharSectno"/>
        </w:rPr>
        <w:t>118</w:t>
      </w:r>
      <w:r>
        <w:t>.</w:t>
      </w:r>
      <w:r>
        <w:tab/>
        <w:t>Execution of documents by RWWA</w:t>
      </w:r>
      <w:bookmarkEnd w:id="152"/>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53" w:name="_Toc378338316"/>
      <w:r>
        <w:rPr>
          <w:rStyle w:val="CharSectno"/>
        </w:rPr>
        <w:t>119</w:t>
      </w:r>
      <w:r>
        <w:t>.</w:t>
      </w:r>
      <w:r>
        <w:tab/>
        <w:t>Contract formalities</w:t>
      </w:r>
      <w:bookmarkEnd w:id="153"/>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54" w:name="_Toc378338317"/>
      <w:r>
        <w:rPr>
          <w:rStyle w:val="CharSectno"/>
        </w:rPr>
        <w:t>120</w:t>
      </w:r>
      <w:r>
        <w:t>.</w:t>
      </w:r>
      <w:r>
        <w:tab/>
        <w:t>Rules of wagering</w:t>
      </w:r>
      <w:bookmarkEnd w:id="154"/>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55" w:name="_Toc378338318"/>
      <w:r>
        <w:rPr>
          <w:rStyle w:val="CharSectno"/>
        </w:rPr>
        <w:t>121</w:t>
      </w:r>
      <w:r>
        <w:t>.</w:t>
      </w:r>
      <w:r>
        <w:tab/>
        <w:t>Regulations</w:t>
      </w:r>
      <w:bookmarkEnd w:id="1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56" w:name="_Toc378338319"/>
      <w:r>
        <w:rPr>
          <w:rStyle w:val="CharSectno"/>
        </w:rPr>
        <w:t>122</w:t>
      </w:r>
      <w:r>
        <w:t>.</w:t>
      </w:r>
      <w:r>
        <w:tab/>
        <w:t>Review of Act</w:t>
      </w:r>
      <w:bookmarkEnd w:id="156"/>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57" w:name="_Toc378338320"/>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57"/>
    </w:p>
    <w:p>
      <w:pPr>
        <w:pStyle w:val="yShoulderClause"/>
      </w:pPr>
      <w:r>
        <w:t>[s. 15]</w:t>
      </w:r>
    </w:p>
    <w:p>
      <w:pPr>
        <w:pStyle w:val="yHeading5"/>
        <w:outlineLvl w:val="0"/>
      </w:pPr>
      <w:bookmarkStart w:id="158" w:name="_Toc378338321"/>
      <w:r>
        <w:rPr>
          <w:rStyle w:val="CharSClsNo"/>
        </w:rPr>
        <w:t>1</w:t>
      </w:r>
      <w:r>
        <w:t>.</w:t>
      </w:r>
      <w:r>
        <w:tab/>
        <w:t>Term of office</w:t>
      </w:r>
      <w:bookmarkEnd w:id="158"/>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59" w:name="_Toc378338322"/>
      <w:r>
        <w:rPr>
          <w:rStyle w:val="CharSClsNo"/>
        </w:rPr>
        <w:t>2</w:t>
      </w:r>
      <w:r>
        <w:t>.</w:t>
      </w:r>
      <w:r>
        <w:tab/>
        <w:t>Casual vacancies</w:t>
      </w:r>
      <w:bookmarkEnd w:id="159"/>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160" w:name="_Toc378338323"/>
      <w:r>
        <w:rPr>
          <w:rStyle w:val="CharSClsNo"/>
        </w:rPr>
        <w:t>3</w:t>
      </w:r>
      <w:r>
        <w:t>.</w:t>
      </w:r>
      <w:r>
        <w:tab/>
        <w:t>Deputy chairperson</w:t>
      </w:r>
      <w:bookmarkEnd w:id="160"/>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61" w:name="_Toc378338324"/>
      <w:r>
        <w:rPr>
          <w:rStyle w:val="CharSClsNo"/>
        </w:rPr>
        <w:t>4</w:t>
      </w:r>
      <w:r>
        <w:t>.</w:t>
      </w:r>
      <w:r>
        <w:tab/>
        <w:t>Alternate directors</w:t>
      </w:r>
      <w:bookmarkEnd w:id="161"/>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162" w:name="_Toc378338325"/>
      <w:r>
        <w:rPr>
          <w:rStyle w:val="CharSClsNo"/>
        </w:rPr>
        <w:t>5</w:t>
      </w:r>
      <w:r>
        <w:t>.</w:t>
      </w:r>
      <w:r>
        <w:tab/>
        <w:t>Meetings</w:t>
      </w:r>
      <w:bookmarkEnd w:id="162"/>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63" w:name="_Toc378338326"/>
      <w:r>
        <w:rPr>
          <w:rStyle w:val="CharSClsNo"/>
        </w:rPr>
        <w:t>6</w:t>
      </w:r>
      <w:r>
        <w:t>.</w:t>
      </w:r>
      <w:r>
        <w:tab/>
        <w:t>Telephone and video meetings</w:t>
      </w:r>
      <w:bookmarkEnd w:id="163"/>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64" w:name="_Toc378338327"/>
      <w:r>
        <w:rPr>
          <w:rStyle w:val="CharSClsNo"/>
        </w:rPr>
        <w:t>7</w:t>
      </w:r>
      <w:r>
        <w:t>.</w:t>
      </w:r>
      <w:r>
        <w:tab/>
        <w:t>Resolution may be passed without meeting</w:t>
      </w:r>
      <w:bookmarkEnd w:id="164"/>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65" w:name="_Toc378338328"/>
      <w:r>
        <w:rPr>
          <w:rStyle w:val="CharSClsNo"/>
        </w:rPr>
        <w:t>8</w:t>
      </w:r>
      <w:r>
        <w:t>.</w:t>
      </w:r>
      <w:r>
        <w:tab/>
        <w:t>Voting by interested directors</w:t>
      </w:r>
      <w:bookmarkEnd w:id="165"/>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166" w:name="_Toc378338329"/>
      <w:r>
        <w:rPr>
          <w:rStyle w:val="CharSClsNo"/>
        </w:rPr>
        <w:t>9</w:t>
      </w:r>
      <w:r>
        <w:t>.</w:t>
      </w:r>
      <w:r>
        <w:tab/>
        <w:t>Minutes of meetings and resolutions</w:t>
      </w:r>
      <w:bookmarkEnd w:id="166"/>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167" w:name="_Toc378338330"/>
      <w:r>
        <w:rPr>
          <w:rStyle w:val="CharSClsNo"/>
        </w:rPr>
        <w:t>10</w:t>
      </w:r>
      <w:r>
        <w:t>.</w:t>
      </w:r>
      <w:r>
        <w:tab/>
        <w:t>Leave of absence</w:t>
      </w:r>
      <w:bookmarkEnd w:id="167"/>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68" w:name="_Toc378338331"/>
      <w:r>
        <w:rPr>
          <w:rStyle w:val="CharSClsNo"/>
        </w:rPr>
        <w:t>11</w:t>
      </w:r>
      <w:r>
        <w:t>.</w:t>
      </w:r>
      <w:r>
        <w:tab/>
        <w:t>Board to determine own procedures</w:t>
      </w:r>
      <w:bookmarkEnd w:id="168"/>
    </w:p>
    <w:p>
      <w:pPr>
        <w:pStyle w:val="ySubsection"/>
      </w:pPr>
      <w:r>
        <w:tab/>
      </w:r>
      <w:r>
        <w:tab/>
        <w:t>Subject to this Act, the board may determine its own procedures.</w:t>
      </w:r>
    </w:p>
    <w:p>
      <w:pPr>
        <w:pStyle w:val="yFootnotesection"/>
      </w:pPr>
    </w:p>
    <w:p>
      <w:pPr>
        <w:pStyle w:val="yScheduleHeading"/>
        <w:outlineLvl w:val="0"/>
      </w:pPr>
      <w:bookmarkStart w:id="169" w:name="_Toc378338332"/>
      <w:r>
        <w:rPr>
          <w:rStyle w:val="CharSchNo"/>
        </w:rPr>
        <w:t>Schedule 2</w:t>
      </w:r>
      <w:r>
        <w:t> — </w:t>
      </w:r>
      <w:r>
        <w:rPr>
          <w:rStyle w:val="CharSchText"/>
        </w:rPr>
        <w:t>Provisions about CEO and staff</w:t>
      </w:r>
      <w:bookmarkEnd w:id="169"/>
    </w:p>
    <w:p>
      <w:pPr>
        <w:pStyle w:val="yShoulderClause"/>
      </w:pPr>
      <w:r>
        <w:t>[s. 25]</w:t>
      </w:r>
    </w:p>
    <w:p>
      <w:pPr>
        <w:pStyle w:val="yHeading3"/>
        <w:outlineLvl w:val="0"/>
      </w:pPr>
      <w:bookmarkStart w:id="170" w:name="_Toc378338333"/>
      <w:r>
        <w:rPr>
          <w:rStyle w:val="CharSDivNo"/>
        </w:rPr>
        <w:t>Division 1</w:t>
      </w:r>
      <w:r>
        <w:rPr>
          <w:b w:val="0"/>
        </w:rPr>
        <w:t> — </w:t>
      </w:r>
      <w:r>
        <w:rPr>
          <w:rStyle w:val="CharSDivText"/>
        </w:rPr>
        <w:t>General duties of CEO</w:t>
      </w:r>
      <w:bookmarkEnd w:id="170"/>
    </w:p>
    <w:p>
      <w:pPr>
        <w:pStyle w:val="yHeading5"/>
        <w:outlineLvl w:val="0"/>
      </w:pPr>
      <w:bookmarkStart w:id="171" w:name="_Toc378338334"/>
      <w:r>
        <w:rPr>
          <w:rStyle w:val="CharSClsNo"/>
        </w:rPr>
        <w:t>1</w:t>
      </w:r>
      <w:r>
        <w:t>.</w:t>
      </w:r>
      <w:r>
        <w:tab/>
        <w:t>Duties of CEO</w:t>
      </w:r>
      <w:bookmarkEnd w:id="171"/>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72" w:name="_Toc378338335"/>
      <w:r>
        <w:rPr>
          <w:rStyle w:val="CharSDivNo"/>
        </w:rPr>
        <w:t>Division 2</w:t>
      </w:r>
      <w:r>
        <w:rPr>
          <w:b w:val="0"/>
        </w:rPr>
        <w:t> — </w:t>
      </w:r>
      <w:r>
        <w:rPr>
          <w:rStyle w:val="CharDivText"/>
        </w:rPr>
        <w:t>Particular duties stated</w:t>
      </w:r>
      <w:bookmarkEnd w:id="172"/>
    </w:p>
    <w:p>
      <w:pPr>
        <w:pStyle w:val="yHeading5"/>
        <w:outlineLvl w:val="0"/>
      </w:pPr>
      <w:bookmarkStart w:id="173" w:name="_Toc378338336"/>
      <w:r>
        <w:rPr>
          <w:rStyle w:val="CharSClsNo"/>
        </w:rPr>
        <w:t>2</w:t>
      </w:r>
      <w:r>
        <w:t>.</w:t>
      </w:r>
      <w:r>
        <w:tab/>
        <w:t>Terms used in this Division</w:t>
      </w:r>
      <w:bookmarkEnd w:id="173"/>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174" w:name="_Toc378338337"/>
      <w:r>
        <w:rPr>
          <w:rStyle w:val="CharSClsNo"/>
        </w:rPr>
        <w:t>3</w:t>
      </w:r>
      <w:r>
        <w:t>.</w:t>
      </w:r>
      <w:r>
        <w:tab/>
        <w:t>Duty to act honestly</w:t>
      </w:r>
      <w:bookmarkEnd w:id="174"/>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75" w:name="_Toc378338338"/>
      <w:r>
        <w:rPr>
          <w:rStyle w:val="CharSClsNo"/>
        </w:rPr>
        <w:t>4</w:t>
      </w:r>
      <w:r>
        <w:t>.</w:t>
      </w:r>
      <w:r>
        <w:tab/>
        <w:t>Duty to exercise reasonable care and diligence</w:t>
      </w:r>
      <w:bookmarkEnd w:id="175"/>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176" w:name="_Toc378338339"/>
      <w:r>
        <w:rPr>
          <w:rStyle w:val="CharSClsNo"/>
        </w:rPr>
        <w:t>5</w:t>
      </w:r>
      <w:r>
        <w:t>.</w:t>
      </w:r>
      <w:r>
        <w:tab/>
        <w:t>Duty not to make improper use of information</w:t>
      </w:r>
      <w:bookmarkEnd w:id="176"/>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77" w:name="_Toc378338340"/>
      <w:r>
        <w:rPr>
          <w:rStyle w:val="CharSClsNo"/>
        </w:rPr>
        <w:t>6</w:t>
      </w:r>
      <w:r>
        <w:t>.</w:t>
      </w:r>
      <w:r>
        <w:tab/>
        <w:t>Duty not to make improper use of position</w:t>
      </w:r>
      <w:bookmarkEnd w:id="177"/>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78" w:name="_Toc378338341"/>
      <w:r>
        <w:rPr>
          <w:rStyle w:val="CharSDivNo"/>
        </w:rPr>
        <w:t>Division 3 </w:t>
      </w:r>
      <w:r>
        <w:rPr>
          <w:b w:val="0"/>
        </w:rPr>
        <w:t>— </w:t>
      </w:r>
      <w:r>
        <w:rPr>
          <w:rStyle w:val="CharSDivText"/>
        </w:rPr>
        <w:t>Compensation</w:t>
      </w:r>
      <w:bookmarkEnd w:id="178"/>
    </w:p>
    <w:p>
      <w:pPr>
        <w:pStyle w:val="yHeading5"/>
        <w:spacing w:before="200"/>
        <w:outlineLvl w:val="0"/>
      </w:pPr>
      <w:bookmarkStart w:id="179" w:name="_Toc378338342"/>
      <w:r>
        <w:rPr>
          <w:rStyle w:val="CharSClsNo"/>
        </w:rPr>
        <w:t>7</w:t>
      </w:r>
      <w:r>
        <w:t>.</w:t>
      </w:r>
      <w:r>
        <w:tab/>
        <w:t>Payment of compensation may be ordered</w:t>
      </w:r>
      <w:bookmarkEnd w:id="179"/>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180" w:name="_Toc378338343"/>
      <w:r>
        <w:rPr>
          <w:rStyle w:val="CharSClsNo"/>
        </w:rPr>
        <w:t>8</w:t>
      </w:r>
      <w:r>
        <w:t>.</w:t>
      </w:r>
      <w:r>
        <w:tab/>
        <w:t>Civil proceedings for recovery</w:t>
      </w:r>
      <w:bookmarkEnd w:id="180"/>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181" w:name="_Toc378338344"/>
      <w:r>
        <w:rPr>
          <w:rStyle w:val="CharSDivNo"/>
        </w:rPr>
        <w:t>Division 4</w:t>
      </w:r>
      <w:r>
        <w:rPr>
          <w:b w:val="0"/>
        </w:rPr>
        <w:t> — </w:t>
      </w:r>
      <w:r>
        <w:rPr>
          <w:rStyle w:val="CharSDivText"/>
        </w:rPr>
        <w:t>Relief from liability</w:t>
      </w:r>
      <w:bookmarkEnd w:id="181"/>
    </w:p>
    <w:p>
      <w:pPr>
        <w:pStyle w:val="yHeading5"/>
        <w:outlineLvl w:val="0"/>
      </w:pPr>
      <w:bookmarkStart w:id="182" w:name="_Toc378338345"/>
      <w:r>
        <w:rPr>
          <w:rStyle w:val="CharSClsNo"/>
        </w:rPr>
        <w:t>9</w:t>
      </w:r>
      <w:r>
        <w:t>.</w:t>
      </w:r>
      <w:r>
        <w:tab/>
        <w:t>Relief from liability</w:t>
      </w:r>
      <w:bookmarkEnd w:id="182"/>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83" w:name="_Toc378338346"/>
      <w:r>
        <w:rPr>
          <w:rStyle w:val="CharSClsNo"/>
        </w:rPr>
        <w:t>10</w:t>
      </w:r>
      <w:r>
        <w:t>.</w:t>
      </w:r>
      <w:r>
        <w:tab/>
        <w:t>Application for relief</w:t>
      </w:r>
      <w:bookmarkEnd w:id="183"/>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184" w:name="_Toc378338347"/>
      <w:r>
        <w:rPr>
          <w:rStyle w:val="CharSClsNo"/>
        </w:rPr>
        <w:t>11</w:t>
      </w:r>
      <w:r>
        <w:t>.</w:t>
      </w:r>
      <w:r>
        <w:tab/>
        <w:t>Case may be withdrawn from jury</w:t>
      </w:r>
      <w:bookmarkEnd w:id="184"/>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185" w:name="_Toc378338348"/>
      <w:r>
        <w:rPr>
          <w:rStyle w:val="CharSClsNo"/>
        </w:rPr>
        <w:t>12</w:t>
      </w:r>
      <w:r>
        <w:t>.</w:t>
      </w:r>
      <w:r>
        <w:tab/>
        <w:t>Compliance with directions</w:t>
      </w:r>
      <w:bookmarkEnd w:id="185"/>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186" w:name="_Toc378338349"/>
      <w:r>
        <w:rPr>
          <w:rStyle w:val="CharSDivNo"/>
        </w:rPr>
        <w:t>Division 5</w:t>
      </w:r>
      <w:r>
        <w:rPr>
          <w:b w:val="0"/>
        </w:rPr>
        <w:t> — </w:t>
      </w:r>
      <w:r>
        <w:rPr>
          <w:rStyle w:val="CharSDivText"/>
        </w:rPr>
        <w:t>Restrictions on indemnities and exemptions</w:t>
      </w:r>
      <w:bookmarkEnd w:id="186"/>
    </w:p>
    <w:p>
      <w:pPr>
        <w:pStyle w:val="yHeading5"/>
        <w:outlineLvl w:val="0"/>
      </w:pPr>
      <w:bookmarkStart w:id="187" w:name="_Toc378338350"/>
      <w:r>
        <w:rPr>
          <w:rStyle w:val="CharSClsNo"/>
        </w:rPr>
        <w:t>13</w:t>
      </w:r>
      <w:r>
        <w:t>.</w:t>
      </w:r>
      <w:r>
        <w:tab/>
        <w:t>Indemnification and exemption of CEO and executive officers</w:t>
      </w:r>
      <w:bookmarkEnd w:id="187"/>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88" w:name="_Toc378338351"/>
      <w:r>
        <w:rPr>
          <w:rStyle w:val="CharSClsNo"/>
        </w:rPr>
        <w:t>14</w:t>
      </w:r>
      <w:r>
        <w:t>.</w:t>
      </w:r>
      <w:r>
        <w:tab/>
        <w:t>Insurance premiums for certain liabilities of CEO and executive officers</w:t>
      </w:r>
      <w:bookmarkEnd w:id="188"/>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89" w:name="_Toc378338352"/>
      <w:r>
        <w:rPr>
          <w:rStyle w:val="CharSClsNo"/>
        </w:rPr>
        <w:t>15</w:t>
      </w:r>
      <w:r>
        <w:t>.</w:t>
      </w:r>
      <w:r>
        <w:tab/>
        <w:t>Certain indemnities, exemptions, payments and agreements not authorised and certain documents void</w:t>
      </w:r>
      <w:bookmarkEnd w:id="18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90" w:name="_Toc378338353"/>
      <w:r>
        <w:rPr>
          <w:rStyle w:val="CharSchNo"/>
        </w:rPr>
        <w:t>Schedule 3</w:t>
      </w:r>
      <w:r>
        <w:rPr>
          <w:rStyle w:val="CharSDivNo"/>
        </w:rPr>
        <w:t> </w:t>
      </w:r>
      <w:r>
        <w:t>—</w:t>
      </w:r>
      <w:r>
        <w:rPr>
          <w:rStyle w:val="CharSDivText"/>
        </w:rPr>
        <w:t> </w:t>
      </w:r>
      <w:r>
        <w:rPr>
          <w:rStyle w:val="CharSchText"/>
        </w:rPr>
        <w:t>Provisions to be included in constitution of subsidiaries</w:t>
      </w:r>
      <w:bookmarkEnd w:id="190"/>
    </w:p>
    <w:p>
      <w:pPr>
        <w:pStyle w:val="yShoulderClause"/>
      </w:pPr>
      <w:r>
        <w:t>[s. 32]</w:t>
      </w:r>
    </w:p>
    <w:p>
      <w:pPr>
        <w:pStyle w:val="yHeading5"/>
        <w:spacing w:before="120"/>
        <w:outlineLvl w:val="0"/>
      </w:pPr>
      <w:bookmarkStart w:id="191" w:name="_Toc378338354"/>
      <w:r>
        <w:rPr>
          <w:rStyle w:val="CharSClsNo"/>
        </w:rPr>
        <w:t>1</w:t>
      </w:r>
      <w:r>
        <w:t>.</w:t>
      </w:r>
      <w:r>
        <w:tab/>
        <w:t>Disposal of shares</w:t>
      </w:r>
      <w:bookmarkEnd w:id="191"/>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192" w:name="_Toc378338355"/>
      <w:r>
        <w:rPr>
          <w:rStyle w:val="CharSClsNo"/>
        </w:rPr>
        <w:t>2</w:t>
      </w:r>
      <w:r>
        <w:t>.</w:t>
      </w:r>
      <w:r>
        <w:tab/>
        <w:t>Directors</w:t>
      </w:r>
      <w:bookmarkEnd w:id="192"/>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193" w:name="_Toc378338356"/>
      <w:r>
        <w:rPr>
          <w:rStyle w:val="CharSClsNo"/>
        </w:rPr>
        <w:t>3</w:t>
      </w:r>
      <w:r>
        <w:t>.</w:t>
      </w:r>
      <w:r>
        <w:tab/>
        <w:t>Further shares</w:t>
      </w:r>
      <w:bookmarkEnd w:id="193"/>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194" w:name="_Toc378338357"/>
      <w:r>
        <w:rPr>
          <w:rStyle w:val="CharSClsNo"/>
        </w:rPr>
        <w:t>4</w:t>
      </w:r>
      <w:r>
        <w:t>.</w:t>
      </w:r>
      <w:r>
        <w:tab/>
        <w:t>Subsidiaries of subsidiary</w:t>
      </w:r>
      <w:bookmarkEnd w:id="194"/>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95" w:name="_Toc378338358"/>
      <w:r>
        <w:t>Notes</w:t>
      </w:r>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196" w:name="_Toc378338359"/>
      <w:r>
        <w:rPr>
          <w:snapToGrid w:val="0"/>
        </w:rP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 xml:space="preserve">Racing and Wagering </w:t>
            </w:r>
            <w:smartTag w:uri="urn:schemas-microsoft-com:office:smarttags" w:element="State">
              <w:smartTag w:uri="urn:schemas-microsoft-com:office:smarttags" w:element="place">
                <w:r>
                  <w:rPr>
                    <w:i/>
                    <w:snapToGrid w:val="0"/>
                    <w:sz w:val="19"/>
                  </w:rPr>
                  <w:t>Western Australia</w:t>
                </w:r>
              </w:smartTag>
            </w:smartTag>
            <w:r>
              <w:rPr>
                <w:i/>
                <w:snapToGrid w:val="0"/>
                <w:sz w:val="19"/>
              </w:rPr>
              <w:t xml:space="preserve">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1" w:type="dxa"/>
            <w:tcBorders>
              <w:top w:val="single" w:sz="8" w:space="0" w:color="auto"/>
            </w:tcBorders>
          </w:tcPr>
          <w:p>
            <w:pPr>
              <w:pStyle w:val="nTable"/>
              <w:spacing w:after="40"/>
              <w:rPr>
                <w:sz w:val="19"/>
              </w:rPr>
            </w:pPr>
            <w:r>
              <w:rPr>
                <w:sz w:val="19"/>
              </w:rPr>
              <w:t xml:space="preserve">s. 1 and 2: 26 Jun 2003; </w:t>
            </w:r>
            <w:r>
              <w:rPr>
                <w:sz w:val="19"/>
              </w:rPr>
              <w:br/>
              <w:t xml:space="preserve">Act other than s. 1 and  2: 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Machinery of Government (Miscellaneous Amendments) Act 2006</w:t>
            </w:r>
            <w:r>
              <w:rPr>
                <w:i/>
                <w:iCs/>
                <w:snapToGrid w:val="0"/>
                <w:sz w:val="19"/>
              </w:rPr>
              <w:t xml:space="preserve"> </w:t>
            </w:r>
            <w:r>
              <w:rPr>
                <w:snapToGrid w:val="0"/>
                <w:sz w:val="19"/>
              </w:rPr>
              <w:t>Pt. 16 Div. 2</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 xml:space="preserve">Racing and Wagering </w:t>
            </w:r>
            <w:smartTag w:uri="urn:schemas-microsoft-com:office:smarttags" w:element="State">
              <w:smartTag w:uri="urn:schemas-microsoft-com:office:smarttags" w:element="place">
                <w:r>
                  <w:rPr>
                    <w:b/>
                    <w:bCs/>
                    <w:i/>
                    <w:snapToGrid w:val="0"/>
                    <w:sz w:val="19"/>
                  </w:rPr>
                  <w:t>Western Australia</w:t>
                </w:r>
              </w:smartTag>
            </w:smartTag>
            <w:r>
              <w:rPr>
                <w:b/>
                <w:bCs/>
                <w:i/>
                <w:snapToGrid w:val="0"/>
                <w:sz w:val="19"/>
              </w:rPr>
              <w:t xml:space="preserve">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rPr>
            </w:pPr>
            <w:r>
              <w:rPr>
                <w:i/>
                <w:snapToGrid w:val="0"/>
                <w:sz w:val="19"/>
              </w:rPr>
              <w:t>Betting and Racing Legislation Amendment Act 2006</w:t>
            </w:r>
            <w:r>
              <w:rPr>
                <w:iCs/>
                <w:snapToGrid w:val="0"/>
                <w:sz w:val="19"/>
              </w:rPr>
              <w:t xml:space="preserve"> Pt. 3</w:t>
            </w:r>
          </w:p>
        </w:tc>
        <w:tc>
          <w:tcPr>
            <w:tcW w:w="1134" w:type="dxa"/>
            <w:tcBorders>
              <w:top w:val="nil"/>
              <w:bottom w:val="nil"/>
            </w:tcBorders>
          </w:tcPr>
          <w:p>
            <w:pPr>
              <w:pStyle w:val="nTable"/>
              <w:spacing w:after="40"/>
              <w:rPr>
                <w:snapToGrid w:val="0"/>
                <w:sz w:val="19"/>
              </w:rPr>
            </w:pPr>
            <w:r>
              <w:rPr>
                <w:snapToGrid w:val="0"/>
                <w:sz w:val="19"/>
              </w:rPr>
              <w:t>70 of 2006</w:t>
            </w:r>
          </w:p>
        </w:tc>
        <w:tc>
          <w:tcPr>
            <w:tcW w:w="1134" w:type="dxa"/>
            <w:tcBorders>
              <w:top w:val="nil"/>
              <w:bottom w:val="nil"/>
            </w:tcBorders>
          </w:tcPr>
          <w:p>
            <w:pPr>
              <w:pStyle w:val="nTable"/>
              <w:spacing w:after="40"/>
              <w:rPr>
                <w:sz w:val="19"/>
              </w:rPr>
            </w:pPr>
            <w:r>
              <w:rPr>
                <w:snapToGrid w:val="0"/>
                <w:sz w:val="19"/>
              </w:rPr>
              <w:t>13 Dec 2006</w:t>
            </w:r>
          </w:p>
        </w:tc>
        <w:tc>
          <w:tcPr>
            <w:tcW w:w="2551" w:type="dxa"/>
            <w:tcBorders>
              <w:top w:val="nil"/>
              <w:bottom w:val="nil"/>
            </w:tcBorders>
          </w:tcPr>
          <w:p>
            <w:pPr>
              <w:pStyle w:val="nTable"/>
              <w:spacing w:after="40"/>
              <w:rPr>
                <w:snapToGrid w:val="0"/>
                <w:sz w:val="19"/>
              </w:rPr>
            </w:pPr>
            <w:r>
              <w:rPr>
                <w:snapToGrid w:val="0"/>
                <w:sz w:val="19"/>
              </w:rPr>
              <w:t xml:space="preserve">9 Jul 2007 (see s. 2 and </w:t>
            </w:r>
            <w:r>
              <w:rPr>
                <w:i/>
                <w:iCs/>
                <w:snapToGrid w:val="0"/>
                <w:sz w:val="19"/>
              </w:rPr>
              <w:t>Gazette</w:t>
            </w:r>
            <w:r>
              <w:rPr>
                <w:snapToGrid w:val="0"/>
                <w:sz w:val="19"/>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4, 5(1), 13 and 17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rPr>
            </w:pPr>
            <w:r>
              <w:rPr>
                <w:sz w:val="19"/>
              </w:rPr>
              <w:t>2 of 2007</w:t>
            </w:r>
          </w:p>
        </w:tc>
        <w:tc>
          <w:tcPr>
            <w:tcW w:w="1134" w:type="dxa"/>
            <w:tcBorders>
              <w:top w:val="nil"/>
              <w:bottom w:val="nil"/>
            </w:tcBorders>
          </w:tcPr>
          <w:p>
            <w:pPr>
              <w:pStyle w:val="nTable"/>
              <w:spacing w:after="40"/>
              <w:rPr>
                <w:snapToGrid w:val="0"/>
                <w:sz w:val="19"/>
              </w:rPr>
            </w:pPr>
            <w:r>
              <w:rPr>
                <w:sz w:val="19"/>
              </w:rPr>
              <w:t>28 Mar 2007</w:t>
            </w:r>
          </w:p>
        </w:tc>
        <w:tc>
          <w:tcPr>
            <w:tcW w:w="2551" w:type="dxa"/>
            <w:tcBorders>
              <w:top w:val="nil"/>
              <w:bottom w:val="nil"/>
            </w:tcBorders>
          </w:tcPr>
          <w:p>
            <w:pPr>
              <w:pStyle w:val="nTable"/>
              <w:spacing w:after="40"/>
              <w:rPr>
                <w:snapToGrid w:val="0"/>
                <w:sz w:val="19"/>
              </w:rPr>
            </w:pPr>
            <w:r>
              <w:rPr>
                <w:snapToGrid w:val="0"/>
                <w:sz w:val="19"/>
              </w:rPr>
              <w:t>1 Jul 2007 (see s. 2)</w:t>
            </w:r>
          </w:p>
        </w:tc>
      </w:tr>
      <w:tr>
        <w:trPr>
          <w:cantSplit/>
        </w:trPr>
        <w:tc>
          <w:tcPr>
            <w:tcW w:w="2268" w:type="dxa"/>
          </w:tcPr>
          <w:p>
            <w:pPr>
              <w:pStyle w:val="nTable"/>
              <w:spacing w:after="40"/>
              <w:rPr>
                <w:iCs/>
                <w:snapToGrid w:val="0"/>
                <w:sz w:val="19"/>
              </w:rPr>
            </w:pPr>
            <w:r>
              <w:rPr>
                <w:i/>
                <w:snapToGrid w:val="0"/>
                <w:sz w:val="19"/>
              </w:rPr>
              <w:t>Racing, Wagering and Betting Legislation Amendment and Repeal Act 2007 </w:t>
            </w:r>
            <w:r>
              <w:rPr>
                <w:iCs/>
                <w:snapToGrid w:val="0"/>
                <w:sz w:val="19"/>
              </w:rPr>
              <w:t>Pt. 5</w:t>
            </w:r>
          </w:p>
        </w:tc>
        <w:tc>
          <w:tcPr>
            <w:tcW w:w="1134" w:type="dxa"/>
          </w:tcPr>
          <w:p>
            <w:pPr>
              <w:pStyle w:val="nTable"/>
              <w:spacing w:after="40"/>
              <w:rPr>
                <w:snapToGrid w:val="0"/>
                <w:sz w:val="19"/>
              </w:rPr>
            </w:pPr>
            <w:r>
              <w:rPr>
                <w:snapToGrid w:val="0"/>
                <w:sz w:val="19"/>
              </w:rPr>
              <w:t>8 of 2007</w:t>
            </w:r>
          </w:p>
        </w:tc>
        <w:tc>
          <w:tcPr>
            <w:tcW w:w="1134" w:type="dxa"/>
          </w:tcPr>
          <w:p>
            <w:pPr>
              <w:pStyle w:val="nTable"/>
              <w:spacing w:after="40"/>
              <w:rPr>
                <w:snapToGrid w:val="0"/>
                <w:sz w:val="19"/>
              </w:rPr>
            </w:pPr>
            <w:r>
              <w:rPr>
                <w:snapToGrid w:val="0"/>
                <w:sz w:val="19"/>
              </w:rPr>
              <w:t>13 Jun 2007</w:t>
            </w:r>
          </w:p>
        </w:tc>
        <w:tc>
          <w:tcPr>
            <w:tcW w:w="2551" w:type="dxa"/>
          </w:tcPr>
          <w:p>
            <w:pPr>
              <w:pStyle w:val="nTable"/>
              <w:spacing w:after="40"/>
              <w:rPr>
                <w:snapToGrid w:val="0"/>
                <w:sz w:val="19"/>
              </w:rPr>
            </w:pPr>
            <w:r>
              <w:rPr>
                <w:snapToGrid w:val="0"/>
                <w:sz w:val="19"/>
              </w:rPr>
              <w:t>14 Jun 2007 (see s. 2)</w:t>
            </w:r>
          </w:p>
        </w:tc>
      </w:tr>
      <w:tr>
        <w:trPr>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Racing and Wagering </w:t>
            </w:r>
            <w:smartTag w:uri="urn:schemas-microsoft-com:office:smarttags" w:element="State">
              <w:smartTag w:uri="urn:schemas-microsoft-com:office:smarttags" w:element="place">
                <w:r>
                  <w:rPr>
                    <w:b/>
                    <w:bCs/>
                    <w:i/>
                    <w:snapToGrid w:val="0"/>
                    <w:sz w:val="19"/>
                  </w:rPr>
                  <w:t>Western Australia</w:t>
                </w:r>
              </w:smartTag>
            </w:smartTag>
            <w:r>
              <w:rPr>
                <w:b/>
                <w:bCs/>
                <w:i/>
                <w:snapToGrid w:val="0"/>
                <w:sz w:val="19"/>
              </w:rPr>
              <w:t xml:space="preserve"> Act 2003 </w:t>
            </w:r>
            <w:r>
              <w:rPr>
                <w:b/>
                <w:bCs/>
                <w:sz w:val="19"/>
              </w:rPr>
              <w:t>as at 4 Apr 2008</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106</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rPr>
              <w:t>Racing and Wagering Legislation Amendment Act 2009</w:t>
            </w:r>
            <w:r>
              <w:rPr>
                <w:iCs/>
                <w:snapToGrid w:val="0"/>
                <w:sz w:val="19"/>
              </w:rPr>
              <w:t xml:space="preserve"> Pt. 4</w:t>
            </w:r>
          </w:p>
        </w:tc>
        <w:tc>
          <w:tcPr>
            <w:tcW w:w="1134" w:type="dxa"/>
            <w:tcBorders>
              <w:bottom w:val="single" w:sz="8" w:space="0" w:color="auto"/>
            </w:tcBorders>
          </w:tcPr>
          <w:p>
            <w:pPr>
              <w:pStyle w:val="nTable"/>
              <w:spacing w:after="40"/>
              <w:rPr>
                <w:sz w:val="19"/>
              </w:rPr>
            </w:pPr>
            <w:r>
              <w:rPr>
                <w:sz w:val="19"/>
              </w:rPr>
              <w:t>29 of 2009</w:t>
            </w:r>
          </w:p>
        </w:tc>
        <w:tc>
          <w:tcPr>
            <w:tcW w:w="1134" w:type="dxa"/>
            <w:tcBorders>
              <w:bottom w:val="single" w:sz="8" w:space="0" w:color="auto"/>
            </w:tcBorders>
          </w:tcPr>
          <w:p>
            <w:pPr>
              <w:pStyle w:val="nTable"/>
              <w:spacing w:after="40"/>
              <w:rPr>
                <w:sz w:val="19"/>
              </w:rPr>
            </w:pPr>
            <w:r>
              <w:rPr>
                <w:snapToGrid w:val="0"/>
                <w:sz w:val="19"/>
              </w:rPr>
              <w:t>23 Nov 2009</w:t>
            </w:r>
          </w:p>
        </w:tc>
        <w:tc>
          <w:tcPr>
            <w:tcW w:w="2551" w:type="dxa"/>
            <w:tcBorders>
              <w:bottom w:val="single" w:sz="8" w:space="0" w:color="auto"/>
            </w:tcBorders>
          </w:tcPr>
          <w:p>
            <w:pPr>
              <w:pStyle w:val="nTable"/>
              <w:spacing w:after="40"/>
              <w:rPr>
                <w:sz w:val="19"/>
              </w:rPr>
            </w:pPr>
            <w:r>
              <w:rPr>
                <w:sz w:val="19"/>
              </w:rPr>
              <w:t xml:space="preserve">11 Jan 2010 (see s. 2(b) and </w:t>
            </w:r>
            <w:r>
              <w:rPr>
                <w:i/>
                <w:iCs/>
                <w:sz w:val="19"/>
              </w:rPr>
              <w:t>Gazette</w:t>
            </w:r>
            <w:r>
              <w:rPr>
                <w:sz w:val="19"/>
              </w:rPr>
              <w:t xml:space="preserve"> 8 Jan 2010 p. 9-10)</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keepLines/>
        <w:spacing w:before="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Mar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Mar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Mar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about the constitution and proceedings of RWWA’s board of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fldSimple w:instr=" styleref CharSchText ">
            <w:r>
              <w:rPr>
                <w:noProof/>
              </w:rPr>
              <w:t>Provisions about the constitution and proceedings of RWWA’s board of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636"/>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1209112636" w:val="RemoveTrackChanges"/>
    <w:docVar w:name="WAFER_20151209112636_GUID" w:val="9a21e360-04ec-47cd-ba78-ca4510a083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24725</Words>
  <Characters>117941</Characters>
  <Application>Microsoft Office Word</Application>
  <DocSecurity>0</DocSecurity>
  <Lines>3276</Lines>
  <Paragraphs>1954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140712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2003 - 02-e0-03</dc:title>
  <dc:subject/>
  <dc:creator/>
  <cp:keywords/>
  <dc:description/>
  <cp:lastModifiedBy>svcMRProcess</cp:lastModifiedBy>
  <cp:revision>4</cp:revision>
  <cp:lastPrinted>2008-04-02T00:59:00Z</cp:lastPrinted>
  <dcterms:created xsi:type="dcterms:W3CDTF">2018-09-07T21:58:00Z</dcterms:created>
  <dcterms:modified xsi:type="dcterms:W3CDTF">2018-09-07T21:58:00Z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6491</vt:i4>
  </property>
  <property fmtid="{D5CDD505-2E9C-101B-9397-08002B2CF9AE}" pid="6" name="AsAtDate">
    <vt:lpwstr>30 Mar 2012</vt:lpwstr>
  </property>
  <property fmtid="{D5CDD505-2E9C-101B-9397-08002B2CF9AE}" pid="7" name="Suffix">
    <vt:lpwstr>02-e0-03</vt:lpwstr>
  </property>
  <property fmtid="{D5CDD505-2E9C-101B-9397-08002B2CF9AE}" pid="8" name="ReprintNo">
    <vt:lpwstr>2</vt:lpwstr>
  </property>
</Properties>
</file>