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Dispute Resolution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Dispute Resolution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Dispute Resolution Regulations 2008</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_Toc416795184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_Toc416795185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_Toc416795186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Meaning of “Commonwealth enterprise agreement” (EDR Act section 3)</w:t>
      </w:r>
      <w:r>
        <w:tab/>
      </w:r>
      <w:r>
        <w:fldChar w:fldCharType="begin"/>
      </w:r>
      <w:r>
        <w:instrText xml:space="preserve"> PAGEREF _Toc416795187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Practice and procedure: employment dispute referrals</w:t>
      </w:r>
      <w:r>
        <w:tab/>
      </w:r>
      <w:r>
        <w:fldChar w:fldCharType="begin"/>
      </w:r>
      <w:r>
        <w:instrText xml:space="preserve"> PAGEREF _Toc416795188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Appeals</w:t>
      </w:r>
      <w:r>
        <w:tab/>
      </w:r>
      <w:r>
        <w:fldChar w:fldCharType="begin"/>
      </w:r>
      <w:r>
        <w:instrText xml:space="preserve"> PAGEREF _Toc416795189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Applications under the EDR Act section 27</w:t>
      </w:r>
      <w:r>
        <w:tab/>
      </w:r>
      <w:r>
        <w:fldChar w:fldCharType="begin"/>
      </w:r>
      <w:r>
        <w:instrText xml:space="preserve"> PAGEREF _Toc416795190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Register</w:t>
      </w:r>
      <w:r>
        <w:tab/>
      </w:r>
      <w:r>
        <w:fldChar w:fldCharType="begin"/>
      </w:r>
      <w:r>
        <w:instrText xml:space="preserve"> PAGEREF _Toc416795191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Allocation</w:t>
      </w:r>
      <w:r>
        <w:tab/>
      </w:r>
      <w:r>
        <w:fldChar w:fldCharType="begin"/>
      </w:r>
      <w:r>
        <w:instrText xml:space="preserve"> PAGEREF _Toc416795192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Service</w:t>
      </w:r>
      <w:r>
        <w:tab/>
      </w:r>
      <w:r>
        <w:fldChar w:fldCharType="begin"/>
      </w:r>
      <w:r>
        <w:instrText xml:space="preserve"> PAGEREF _Toc416795193 \h </w:instrText>
      </w:r>
      <w:r>
        <w:fldChar w:fldCharType="separate"/>
      </w:r>
      <w:r>
        <w:t>3</w:t>
      </w:r>
      <w:r>
        <w:fldChar w:fldCharType="end"/>
      </w:r>
    </w:p>
    <w:p>
      <w:pPr>
        <w:pStyle w:val="TOC8"/>
        <w:rPr>
          <w:rFonts w:asciiTheme="minorHAnsi" w:eastAsiaTheme="minorEastAsia" w:hAnsiTheme="minorHAnsi" w:cstheme="minorBidi"/>
          <w:szCs w:val="22"/>
          <w:lang w:eastAsia="en-AU"/>
        </w:rPr>
      </w:pPr>
      <w:r>
        <w:t>11.</w:t>
      </w:r>
      <w:r>
        <w:tab/>
        <w:t>Proceedings for enforcement</w:t>
      </w:r>
      <w:r>
        <w:tab/>
      </w:r>
      <w:r>
        <w:fldChar w:fldCharType="begin"/>
      </w:r>
      <w:r>
        <w:instrText xml:space="preserve"> PAGEREF _Toc416795194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Publication of notice of variation</w:t>
      </w:r>
      <w:r>
        <w:tab/>
      </w:r>
      <w:r>
        <w:fldChar w:fldCharType="begin"/>
      </w:r>
      <w:r>
        <w:instrText xml:space="preserve"> PAGEREF _Toc416795195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Forms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_Toc416795198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jc w:val="center"/>
      </w:pPr>
    </w:p>
    <w:p>
      <w:pPr>
        <w:pStyle w:val="PrincipalActReg"/>
        <w:spacing w:after="0"/>
      </w:pPr>
      <w:r>
        <w:t>Employment Dispute Resolution Act 2008</w:t>
      </w:r>
    </w:p>
    <w:p>
      <w:pPr>
        <w:pStyle w:val="PrincipalActReg"/>
      </w:pPr>
      <w:r>
        <w:t>Industrial Relations Act 1979</w:t>
      </w:r>
    </w:p>
    <w:p>
      <w:pPr>
        <w:pStyle w:val="NameofActReg"/>
        <w:ind w:left="426" w:right="423"/>
      </w:pPr>
      <w:r>
        <w:t>Employment Dispute Resolution Regulations 2008</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20710331"/>
      <w:bookmarkStart w:id="11" w:name="_Toc416795184"/>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Employment Dispute Resolution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20710332"/>
      <w:bookmarkStart w:id="21" w:name="_Toc41679518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Employment Dispute Resolution Act 2008 </w:t>
      </w:r>
      <w:r>
        <w:t>comes into operation.</w:t>
      </w:r>
    </w:p>
    <w:p>
      <w:pPr>
        <w:pStyle w:val="Footnotesection"/>
      </w:pPr>
      <w:r>
        <w:tab/>
        <w:t>[Regulation 2 correction: Gazette 5 Dec 2008 p. 5087.]</w:t>
      </w:r>
    </w:p>
    <w:p>
      <w:pPr>
        <w:pStyle w:val="Heading5"/>
      </w:pPr>
      <w:bookmarkStart w:id="22" w:name="_Toc320710333"/>
      <w:bookmarkStart w:id="23" w:name="_Toc416795186"/>
      <w:r>
        <w:rPr>
          <w:rStyle w:val="CharSectno"/>
        </w:rPr>
        <w:t>3</w:t>
      </w:r>
      <w:r>
        <w:t>.</w:t>
      </w:r>
      <w:r>
        <w:tab/>
        <w:t>Terms used in these regulations</w:t>
      </w:r>
      <w:bookmarkEnd w:id="22"/>
      <w:bookmarkEnd w:id="23"/>
    </w:p>
    <w:p>
      <w:pPr>
        <w:pStyle w:val="Subsection"/>
      </w:pPr>
      <w:r>
        <w:tab/>
        <w:t>(1)</w:t>
      </w:r>
      <w:r>
        <w:tab/>
        <w:t xml:space="preserve">In these regulations — </w:t>
      </w:r>
    </w:p>
    <w:p>
      <w:pPr>
        <w:pStyle w:val="Defstart"/>
      </w:pPr>
      <w:r>
        <w:rPr>
          <w:b/>
        </w:rPr>
        <w:tab/>
      </w:r>
      <w:r>
        <w:rPr>
          <w:rStyle w:val="CharDefText"/>
        </w:rPr>
        <w:t>EDR Act</w:t>
      </w:r>
      <w:r>
        <w:t xml:space="preserve"> means the </w:t>
      </w:r>
      <w:r>
        <w:rPr>
          <w:i/>
          <w:iCs/>
        </w:rPr>
        <w:t>Employment Dispute Resolution Act 2008</w:t>
      </w:r>
      <w:r>
        <w:t>;</w:t>
      </w:r>
    </w:p>
    <w:p>
      <w:pPr>
        <w:pStyle w:val="Defstart"/>
      </w:pPr>
      <w:r>
        <w:rPr>
          <w:b/>
        </w:rPr>
        <w:tab/>
      </w:r>
      <w:r>
        <w:rPr>
          <w:rStyle w:val="CharDefText"/>
        </w:rPr>
        <w:t>Registrar</w:t>
      </w:r>
      <w:r>
        <w:t xml:space="preserve"> has the meaning given in the IR Act section 7(1).</w:t>
      </w:r>
    </w:p>
    <w:p>
      <w:pPr>
        <w:pStyle w:val="Subsection"/>
      </w:pPr>
      <w:r>
        <w:tab/>
        <w:t>(2)</w:t>
      </w:r>
      <w:r>
        <w:tab/>
        <w:t>Words and expressions used in these regulations have the same respective meanings as in the EDR Act.</w:t>
      </w:r>
    </w:p>
    <w:p>
      <w:pPr>
        <w:pStyle w:val="Heading5"/>
      </w:pPr>
      <w:bookmarkStart w:id="24" w:name="_Toc320710334"/>
      <w:bookmarkStart w:id="25" w:name="_Toc416795187"/>
      <w:r>
        <w:rPr>
          <w:rStyle w:val="CharSectno"/>
        </w:rPr>
        <w:t>4</w:t>
      </w:r>
      <w:r>
        <w:t>.</w:t>
      </w:r>
      <w:r>
        <w:tab/>
        <w:t>Meaning of “</w:t>
      </w:r>
      <w:r>
        <w:rPr>
          <w:rStyle w:val="CharDefText"/>
          <w:b/>
          <w:i w:val="0"/>
        </w:rPr>
        <w:t>Commonwealth enterprise agreement”</w:t>
      </w:r>
      <w:r>
        <w:rPr>
          <w:rStyle w:val="CharDefText"/>
          <w:i w:val="0"/>
        </w:rPr>
        <w:t xml:space="preserve"> </w:t>
      </w:r>
      <w:r>
        <w:rPr>
          <w:rStyle w:val="CharDefText"/>
          <w:b/>
          <w:i w:val="0"/>
        </w:rPr>
        <w:t>(EDR Act section 3)</w:t>
      </w:r>
      <w:bookmarkEnd w:id="24"/>
      <w:bookmarkEnd w:id="25"/>
    </w:p>
    <w:p>
      <w:pPr>
        <w:pStyle w:val="Subsection"/>
      </w:pPr>
      <w:r>
        <w:tab/>
      </w:r>
      <w:r>
        <w:tab/>
        <w:t xml:space="preserve">An AWA, within the meaning of that term in the </w:t>
      </w:r>
      <w:r>
        <w:rPr>
          <w:i/>
        </w:rPr>
        <w:t>Fair Work (Transitional Provisions and Consequential Amendments) Act 2009</w:t>
      </w:r>
      <w:r>
        <w:t xml:space="preserve"> (Commonwealth), is prescribed for the purposes of the definition of </w:t>
      </w:r>
      <w:r>
        <w:rPr>
          <w:rStyle w:val="CharDefText"/>
        </w:rPr>
        <w:t>Commonwealth enterprise agreement</w:t>
      </w:r>
      <w:r>
        <w:t xml:space="preserve"> in the EDR Act section 3(1).</w:t>
      </w:r>
    </w:p>
    <w:p>
      <w:pPr>
        <w:pStyle w:val="Footnotesection"/>
      </w:pPr>
      <w:r>
        <w:tab/>
        <w:t>[Regulation 4 inserted: Gazette 16 Mar 2012 p. 1250.]</w:t>
      </w:r>
    </w:p>
    <w:p>
      <w:pPr>
        <w:pStyle w:val="Heading5"/>
      </w:pPr>
      <w:bookmarkStart w:id="26" w:name="_Toc320710335"/>
      <w:bookmarkStart w:id="27" w:name="_Toc416795188"/>
      <w:r>
        <w:rPr>
          <w:rStyle w:val="CharSectno"/>
        </w:rPr>
        <w:t>5</w:t>
      </w:r>
      <w:r>
        <w:t>.</w:t>
      </w:r>
      <w:r>
        <w:tab/>
        <w:t>Practice and procedure: employment dispute referrals</w:t>
      </w:r>
      <w:bookmarkEnd w:id="26"/>
      <w:bookmarkEnd w:id="27"/>
    </w:p>
    <w:p>
      <w:pPr>
        <w:pStyle w:val="Subsection"/>
      </w:pPr>
      <w:r>
        <w:tab/>
      </w:r>
      <w:r>
        <w:tab/>
        <w:t xml:space="preserve">If an employment dispute is referred to the IR Commission under the EDR Act Part 2 Division 2 — </w:t>
      </w:r>
    </w:p>
    <w:p>
      <w:pPr>
        <w:pStyle w:val="Indenta"/>
      </w:pPr>
      <w:r>
        <w:tab/>
        <w:t>(a)</w:t>
      </w:r>
      <w:r>
        <w:tab/>
        <w:t>the referral is to be in a form approved in writing by the Chief Commissioner (see section 13(2) of the Act); and</w:t>
      </w:r>
    </w:p>
    <w:p>
      <w:pPr>
        <w:pStyle w:val="Indenta"/>
      </w:pPr>
      <w:r>
        <w:tab/>
        <w:t>(b)</w:t>
      </w:r>
      <w:r>
        <w:tab/>
        <w:t xml:space="preserve">unless otherwise specified in the referral agreement, the EDR Act or these regulations, the </w:t>
      </w:r>
      <w:r>
        <w:rPr>
          <w:i/>
          <w:iCs/>
        </w:rPr>
        <w:t>Industrial Relations Commission Regulations 2005</w:t>
      </w:r>
      <w:r>
        <w:t xml:space="preserve"> apply with such changes as are necessary as if the referral were an application under the IR Act; and</w:t>
      </w:r>
    </w:p>
    <w:p>
      <w:pPr>
        <w:pStyle w:val="Indenta"/>
      </w:pPr>
      <w:r>
        <w:tab/>
        <w:t>(c)</w:t>
      </w:r>
      <w:r>
        <w:tab/>
        <w:t xml:space="preserve">the forms set out in the </w:t>
      </w:r>
      <w:r>
        <w:rPr>
          <w:i/>
          <w:iCs/>
        </w:rPr>
        <w:t>Industrial Relations Commission Regulations 2005</w:t>
      </w:r>
      <w:r>
        <w:t xml:space="preserve"> are to be used, with such changes as are necessary, accordingly.</w:t>
      </w:r>
    </w:p>
    <w:p>
      <w:pPr>
        <w:pStyle w:val="Heading5"/>
      </w:pPr>
      <w:bookmarkStart w:id="28" w:name="_Toc320710336"/>
      <w:bookmarkStart w:id="29" w:name="_Toc416795189"/>
      <w:r>
        <w:rPr>
          <w:rStyle w:val="CharSectno"/>
        </w:rPr>
        <w:t>6</w:t>
      </w:r>
      <w:r>
        <w:t>.</w:t>
      </w:r>
      <w:r>
        <w:tab/>
        <w:t>Appeals</w:t>
      </w:r>
      <w:bookmarkEnd w:id="28"/>
      <w:bookmarkEnd w:id="29"/>
    </w:p>
    <w:p>
      <w:pPr>
        <w:pStyle w:val="Subsection"/>
      </w:pPr>
      <w:r>
        <w:tab/>
      </w:r>
      <w:r>
        <w:tab/>
        <w:t xml:space="preserve">The </w:t>
      </w:r>
      <w:r>
        <w:rPr>
          <w:i/>
          <w:iCs/>
        </w:rPr>
        <w:t xml:space="preserve">Industrial Relations Commission Regulations 2005 </w:t>
      </w:r>
      <w:r>
        <w:t>regulations 102 (except regulation 102(4) and (13)), 103 and 103A apply to an appeal under the EDR Act section 22.</w:t>
      </w:r>
    </w:p>
    <w:p>
      <w:pPr>
        <w:pStyle w:val="Heading5"/>
      </w:pPr>
      <w:bookmarkStart w:id="30" w:name="_Toc320710337"/>
      <w:bookmarkStart w:id="31" w:name="_Toc416795190"/>
      <w:r>
        <w:rPr>
          <w:rStyle w:val="CharSectno"/>
        </w:rPr>
        <w:t>7</w:t>
      </w:r>
      <w:r>
        <w:t>.</w:t>
      </w:r>
      <w:r>
        <w:tab/>
        <w:t>Applications under the EDR Act section 27</w:t>
      </w:r>
      <w:bookmarkEnd w:id="30"/>
      <w:bookmarkEnd w:id="31"/>
    </w:p>
    <w:p>
      <w:pPr>
        <w:pStyle w:val="Subsection"/>
      </w:pPr>
      <w:r>
        <w:tab/>
        <w:t>(1)</w:t>
      </w:r>
      <w:r>
        <w:tab/>
        <w:t>An application to the IR Commission under the EDR Act section 27 is to be made in the form of Form 1 in Schedule 1.</w:t>
      </w:r>
    </w:p>
    <w:p>
      <w:pPr>
        <w:pStyle w:val="Subsection"/>
      </w:pPr>
      <w:r>
        <w:tab/>
        <w:t>(2)</w:t>
      </w:r>
      <w:r>
        <w:tab/>
        <w:t>The application, and any other documents that are to be filed or lodged in relation to the application, are to be filed or lodged in the office of the Registrar.</w:t>
      </w:r>
    </w:p>
    <w:p>
      <w:pPr>
        <w:pStyle w:val="Subsection"/>
      </w:pPr>
      <w:r>
        <w:tab/>
        <w:t>(3)</w:t>
      </w:r>
      <w:r>
        <w:tab/>
        <w:t xml:space="preserve">The </w:t>
      </w:r>
      <w:r>
        <w:rPr>
          <w:i/>
          <w:iCs/>
        </w:rPr>
        <w:t xml:space="preserve">Industrial Relations Commission Regulations 2005 </w:t>
      </w:r>
      <w:r>
        <w:t>regulations 4, 5 and 7(1), (2), (4) and (5) apply in relation to the application and related documents.</w:t>
      </w:r>
    </w:p>
    <w:p>
      <w:pPr>
        <w:pStyle w:val="Footnotesection"/>
      </w:pPr>
      <w:r>
        <w:tab/>
        <w:t>[Regulation 7 amended: Gazette 16 Mar 2012 p. 1251.]</w:t>
      </w:r>
    </w:p>
    <w:p>
      <w:pPr>
        <w:pStyle w:val="Heading5"/>
      </w:pPr>
      <w:bookmarkStart w:id="32" w:name="_Toc320710338"/>
      <w:bookmarkStart w:id="33" w:name="_Toc416795191"/>
      <w:r>
        <w:rPr>
          <w:rStyle w:val="CharSectno"/>
        </w:rPr>
        <w:t>8</w:t>
      </w:r>
      <w:r>
        <w:t>.</w:t>
      </w:r>
      <w:r>
        <w:tab/>
        <w:t>Register</w:t>
      </w:r>
      <w:bookmarkEnd w:id="32"/>
      <w:bookmarkEnd w:id="33"/>
    </w:p>
    <w:p>
      <w:pPr>
        <w:pStyle w:val="Subsection"/>
      </w:pPr>
      <w:r>
        <w:tab/>
        <w:t>(1)</w:t>
      </w:r>
      <w:r>
        <w:tab/>
        <w:t xml:space="preserve">The Registrar is to keep a register of the following — </w:t>
      </w:r>
    </w:p>
    <w:p>
      <w:pPr>
        <w:pStyle w:val="Indenta"/>
      </w:pPr>
      <w:r>
        <w:tab/>
        <w:t>(a)</w:t>
      </w:r>
      <w:r>
        <w:tab/>
        <w:t>all requests for mediation proceedings under the EDR Act section 7;</w:t>
      </w:r>
    </w:p>
    <w:p>
      <w:pPr>
        <w:pStyle w:val="Indenta"/>
      </w:pPr>
      <w:r>
        <w:tab/>
        <w:t>(b)</w:t>
      </w:r>
      <w:r>
        <w:tab/>
        <w:t>all referrals of an employment dispute under the EDR Act section 13;</w:t>
      </w:r>
    </w:p>
    <w:p>
      <w:pPr>
        <w:pStyle w:val="Indenta"/>
      </w:pPr>
      <w:r>
        <w:tab/>
        <w:t>(c)</w:t>
      </w:r>
      <w:r>
        <w:tab/>
        <w:t>all applications under the EDR Act section 27 to have a dispute resolution process conducted.</w:t>
      </w:r>
    </w:p>
    <w:p>
      <w:pPr>
        <w:pStyle w:val="Subsection"/>
      </w:pPr>
      <w:r>
        <w:tab/>
        <w:t>(2)</w:t>
      </w:r>
      <w:r>
        <w:tab/>
        <w:t>The register may be in the form of a record or information stored by electronic means.</w:t>
      </w:r>
    </w:p>
    <w:p>
      <w:pPr>
        <w:pStyle w:val="Heading5"/>
      </w:pPr>
      <w:bookmarkStart w:id="34" w:name="_Toc320710339"/>
      <w:bookmarkStart w:id="35" w:name="_Toc416795192"/>
      <w:r>
        <w:rPr>
          <w:rStyle w:val="CharSectno"/>
        </w:rPr>
        <w:t>9</w:t>
      </w:r>
      <w:r>
        <w:t>.</w:t>
      </w:r>
      <w:r>
        <w:tab/>
        <w:t>Allocation</w:t>
      </w:r>
      <w:bookmarkEnd w:id="34"/>
      <w:bookmarkEnd w:id="35"/>
    </w:p>
    <w:p>
      <w:pPr>
        <w:pStyle w:val="Subsection"/>
      </w:pPr>
      <w:r>
        <w:tab/>
      </w:r>
      <w:r>
        <w:tab/>
        <w:t>The Registrar is to present each request, referral and application referred to in regulation 8(1) to the Chief Commissioner for allocation as soon as is practicable after it is lodged or filed with the Registrar.</w:t>
      </w:r>
    </w:p>
    <w:p>
      <w:pPr>
        <w:pStyle w:val="Footnotesection"/>
      </w:pPr>
      <w:r>
        <w:tab/>
        <w:t>[Regulation 9 correction: Gazette 5 Dec 2008 p. 5087.]</w:t>
      </w:r>
    </w:p>
    <w:p>
      <w:pPr>
        <w:pStyle w:val="Heading5"/>
      </w:pPr>
      <w:bookmarkStart w:id="36" w:name="_Toc320710340"/>
      <w:bookmarkStart w:id="37" w:name="_Toc416795193"/>
      <w:r>
        <w:rPr>
          <w:rStyle w:val="CharSectno"/>
        </w:rPr>
        <w:t>10</w:t>
      </w:r>
      <w:r>
        <w:t>.</w:t>
      </w:r>
      <w:r>
        <w:tab/>
        <w:t>Service</w:t>
      </w:r>
      <w:bookmarkEnd w:id="36"/>
      <w:bookmarkEnd w:id="37"/>
    </w:p>
    <w:p>
      <w:pPr>
        <w:pStyle w:val="Subsection"/>
      </w:pPr>
      <w:r>
        <w:tab/>
      </w:r>
      <w:r>
        <w:tab/>
        <w:t xml:space="preserve">The </w:t>
      </w:r>
      <w:r>
        <w:rPr>
          <w:i/>
          <w:iCs/>
        </w:rPr>
        <w:t xml:space="preserve">Industrial Relations Commission Regulations 2005 </w:t>
      </w:r>
      <w:r>
        <w:t>regulations 24, 27 and 28 apply in relation to an application to the IR Commission under the EDR Act section 27 as if the application were filed in proceedings before the Commission.</w:t>
      </w:r>
    </w:p>
    <w:p>
      <w:pPr>
        <w:pStyle w:val="Footnotesection"/>
      </w:pPr>
      <w:r>
        <w:tab/>
        <w:t>[Regulation 10 amended: Gazette 16 Mar 2012 p. 1251.]</w:t>
      </w:r>
    </w:p>
    <w:p>
      <w:pPr>
        <w:pStyle w:val="Heading5"/>
      </w:pPr>
      <w:bookmarkStart w:id="38" w:name="_Toc320710341"/>
      <w:bookmarkStart w:id="39" w:name="_Toc416795194"/>
      <w:r>
        <w:rPr>
          <w:rStyle w:val="CharSectno"/>
        </w:rPr>
        <w:t>11</w:t>
      </w:r>
      <w:r>
        <w:t>.</w:t>
      </w:r>
      <w:r>
        <w:tab/>
        <w:t>Proceedings for enforcement</w:t>
      </w:r>
      <w:bookmarkEnd w:id="38"/>
      <w:bookmarkEnd w:id="39"/>
    </w:p>
    <w:p>
      <w:pPr>
        <w:pStyle w:val="Subsection"/>
      </w:pPr>
      <w:r>
        <w:tab/>
      </w:r>
      <w:r>
        <w:tab/>
        <w:t xml:space="preserve">The </w:t>
      </w:r>
      <w:r>
        <w:rPr>
          <w:i/>
          <w:iCs/>
        </w:rPr>
        <w:t xml:space="preserve">Industrial Relations Commission Regulations 2005 </w:t>
      </w:r>
      <w:r>
        <w:t>regulation 60 applies for the purposes of enforcing a decision or direction under the EDR Act section 20 or 25(3).</w:t>
      </w:r>
    </w:p>
    <w:p>
      <w:pPr>
        <w:pStyle w:val="Heading5"/>
      </w:pPr>
      <w:bookmarkStart w:id="40" w:name="_Toc320710342"/>
      <w:bookmarkStart w:id="41" w:name="_Toc416795195"/>
      <w:r>
        <w:rPr>
          <w:rStyle w:val="CharSectno"/>
        </w:rPr>
        <w:t>12</w:t>
      </w:r>
      <w:r>
        <w:t>.</w:t>
      </w:r>
      <w:r>
        <w:tab/>
        <w:t>Publication of notice of variation</w:t>
      </w:r>
      <w:bookmarkEnd w:id="40"/>
      <w:bookmarkEnd w:id="41"/>
    </w:p>
    <w:p>
      <w:pPr>
        <w:pStyle w:val="Subsection"/>
      </w:pPr>
      <w:r>
        <w:tab/>
        <w:t>(1)</w:t>
      </w:r>
      <w:r>
        <w:tab/>
        <w:t xml:space="preserve">If an order made under the EDR Act section 18(1)(a) (an </w:t>
      </w:r>
      <w:r>
        <w:rPr>
          <w:rStyle w:val="CharDefText"/>
        </w:rPr>
        <w:t>EDR order</w:t>
      </w:r>
      <w:r>
        <w:rPr>
          <w:bCs/>
        </w:rPr>
        <w:t>)</w:t>
      </w:r>
      <w:r>
        <w:t xml:space="preserve"> varies the operation of an existing award, order or industrial agreement under the IR Act, the Registrar must publish a notice of the variation — </w:t>
      </w:r>
    </w:p>
    <w:p>
      <w:pPr>
        <w:pStyle w:val="Indenta"/>
      </w:pPr>
      <w:r>
        <w:tab/>
        <w:t>(a)</w:t>
      </w:r>
      <w:r>
        <w:tab/>
        <w:t xml:space="preserve">in the next available issue of the </w:t>
      </w:r>
      <w:r>
        <w:rPr>
          <w:i/>
          <w:iCs/>
        </w:rPr>
        <w:t>Western Australian Industrial Gazette</w:t>
      </w:r>
      <w:r>
        <w:t xml:space="preserve"> published under the IR Act; and</w:t>
      </w:r>
    </w:p>
    <w:p>
      <w:pPr>
        <w:pStyle w:val="Indenta"/>
      </w:pPr>
      <w:r>
        <w:tab/>
        <w:t>(b)</w:t>
      </w:r>
      <w:r>
        <w:tab/>
        <w:t>in a newspaper circulating throughout the State or on an internet site maintained by the IR Commission.</w:t>
      </w:r>
    </w:p>
    <w:p>
      <w:pPr>
        <w:pStyle w:val="Subsection"/>
      </w:pPr>
      <w:r>
        <w:tab/>
        <w:t>(2)</w:t>
      </w:r>
      <w:r>
        <w:tab/>
        <w:t xml:space="preserve">The notice must specify — </w:t>
      </w:r>
    </w:p>
    <w:p>
      <w:pPr>
        <w:pStyle w:val="Indenta"/>
      </w:pPr>
      <w:r>
        <w:tab/>
        <w:t>(a)</w:t>
      </w:r>
      <w:r>
        <w:tab/>
        <w:t>the award, order or industrial agreement that was varied; and</w:t>
      </w:r>
    </w:p>
    <w:p>
      <w:pPr>
        <w:pStyle w:val="Indenta"/>
      </w:pPr>
      <w:r>
        <w:tab/>
        <w:t>(b)</w:t>
      </w:r>
      <w:r>
        <w:tab/>
        <w:t>the parties to the EDR order; and</w:t>
      </w:r>
    </w:p>
    <w:p>
      <w:pPr>
        <w:pStyle w:val="Indenta"/>
      </w:pPr>
      <w:r>
        <w:tab/>
        <w:t>(c)</w:t>
      </w:r>
      <w:r>
        <w:tab/>
        <w:t>the date on which the EDR order was made.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42" w:name="_Toc215468946"/>
    </w:p>
    <w:p>
      <w:pPr>
        <w:pStyle w:val="yScheduleHeading"/>
      </w:pPr>
      <w:bookmarkStart w:id="43" w:name="_Toc215558161"/>
      <w:bookmarkStart w:id="44" w:name="_Toc319587768"/>
      <w:bookmarkStart w:id="45" w:name="_Toc319587920"/>
      <w:bookmarkStart w:id="46" w:name="_Toc320692438"/>
      <w:bookmarkStart w:id="47" w:name="_Toc320710328"/>
      <w:bookmarkStart w:id="48" w:name="_Toc320710343"/>
      <w:bookmarkStart w:id="49" w:name="_Toc416795181"/>
      <w:bookmarkStart w:id="50" w:name="_Toc416795196"/>
      <w:r>
        <w:rPr>
          <w:rStyle w:val="CharSchNo"/>
        </w:rPr>
        <w:t>Schedule 1</w:t>
      </w:r>
      <w:r>
        <w:rPr>
          <w:rStyle w:val="CharSDivNo"/>
        </w:rPr>
        <w:t> </w:t>
      </w:r>
      <w:r>
        <w:t>—</w:t>
      </w:r>
      <w:r>
        <w:rPr>
          <w:rStyle w:val="CharSDivText"/>
        </w:rPr>
        <w:t> </w:t>
      </w:r>
      <w:r>
        <w:rPr>
          <w:rStyle w:val="CharSchText"/>
        </w:rPr>
        <w:t>Forms</w:t>
      </w:r>
      <w:bookmarkEnd w:id="42"/>
      <w:bookmarkEnd w:id="43"/>
      <w:bookmarkEnd w:id="44"/>
      <w:bookmarkEnd w:id="45"/>
      <w:bookmarkEnd w:id="46"/>
      <w:bookmarkEnd w:id="47"/>
      <w:bookmarkEnd w:id="48"/>
      <w:bookmarkEnd w:id="49"/>
      <w:bookmarkEnd w:id="50"/>
    </w:p>
    <w:p>
      <w:pPr>
        <w:pStyle w:val="yMiscellaneousBody"/>
        <w:jc w:val="center"/>
      </w:pPr>
      <w:r>
        <w:t>Form 1</w:t>
      </w:r>
    </w:p>
    <w:p>
      <w:pPr>
        <w:pStyle w:val="yShoulderClause"/>
      </w:pPr>
      <w:r>
        <w:t>[r. 7]</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092"/>
        <w:gridCol w:w="1034"/>
        <w:gridCol w:w="709"/>
        <w:gridCol w:w="708"/>
        <w:gridCol w:w="426"/>
        <w:gridCol w:w="1559"/>
      </w:tblGrid>
      <w:tr>
        <w:trPr>
          <w:cantSplit/>
        </w:trPr>
        <w:tc>
          <w:tcPr>
            <w:tcW w:w="3686" w:type="dxa"/>
            <w:gridSpan w:val="3"/>
            <w:tcBorders>
              <w:bottom w:val="single" w:sz="4" w:space="0" w:color="auto"/>
            </w:tcBorders>
          </w:tcPr>
          <w:p>
            <w:pPr>
              <w:pStyle w:val="yTable"/>
              <w:spacing w:before="0" w:after="60"/>
              <w:rPr>
                <w:iCs/>
                <w:sz w:val="20"/>
              </w:rPr>
            </w:pPr>
            <w:r>
              <w:rPr>
                <w:i/>
                <w:iCs/>
              </w:rPr>
              <w:t xml:space="preserve">Employment Dispute Resolution Act 2008 </w:t>
            </w:r>
            <w:r>
              <w:rPr>
                <w:szCs w:val="22"/>
              </w:rPr>
              <w:t>s. 27</w:t>
            </w:r>
          </w:p>
          <w:p>
            <w:pPr>
              <w:pStyle w:val="Table"/>
              <w:tabs>
                <w:tab w:val="left" w:pos="460"/>
              </w:tabs>
              <w:spacing w:before="0" w:line="240" w:lineRule="auto"/>
              <w:rPr>
                <w:sz w:val="20"/>
              </w:rPr>
            </w:pPr>
            <w:r>
              <w:rPr>
                <w:sz w:val="20"/>
              </w:rPr>
              <w:t>Western Australian Industrial Relations Commission</w:t>
            </w:r>
          </w:p>
          <w:p>
            <w:pPr>
              <w:pStyle w:val="Table"/>
              <w:tabs>
                <w:tab w:val="left" w:pos="1929"/>
              </w:tabs>
              <w:spacing w:line="240" w:lineRule="auto"/>
              <w:rPr>
                <w:b/>
                <w:sz w:val="20"/>
              </w:rPr>
            </w:pPr>
            <w:r>
              <w:rPr>
                <w:sz w:val="20"/>
              </w:rPr>
              <w:t>Application No. ……... of 20….</w:t>
            </w:r>
          </w:p>
        </w:tc>
        <w:tc>
          <w:tcPr>
            <w:tcW w:w="3402" w:type="dxa"/>
            <w:gridSpan w:val="4"/>
            <w:tcBorders>
              <w:bottom w:val="single" w:sz="4" w:space="0" w:color="auto"/>
            </w:tcBorders>
          </w:tcPr>
          <w:p>
            <w:pPr>
              <w:pStyle w:val="Table"/>
              <w:tabs>
                <w:tab w:val="left" w:pos="460"/>
              </w:tabs>
              <w:spacing w:before="0" w:line="240" w:lineRule="auto"/>
              <w:rPr>
                <w:b/>
                <w:bCs/>
              </w:rPr>
            </w:pPr>
            <w:r>
              <w:rPr>
                <w:b/>
                <w:bCs/>
              </w:rPr>
              <w:t>Application to conduct dispute resolution process</w:t>
            </w:r>
          </w:p>
        </w:tc>
      </w:tr>
      <w:tr>
        <w:trPr>
          <w:cantSplit/>
          <w:trHeight w:val="90"/>
        </w:trPr>
        <w:tc>
          <w:tcPr>
            <w:tcW w:w="1560" w:type="dxa"/>
            <w:vMerge w:val="restart"/>
          </w:tcPr>
          <w:p>
            <w:pPr>
              <w:pStyle w:val="Table"/>
              <w:spacing w:before="0" w:line="240" w:lineRule="auto"/>
              <w:rPr>
                <w:b/>
                <w:bCs/>
                <w:sz w:val="20"/>
              </w:rPr>
            </w:pPr>
            <w:r>
              <w:rPr>
                <w:b/>
                <w:bCs/>
                <w:sz w:val="20"/>
              </w:rPr>
              <w:t>Applicant</w:t>
            </w:r>
          </w:p>
        </w:tc>
        <w:tc>
          <w:tcPr>
            <w:tcW w:w="1092" w:type="dxa"/>
            <w:tcBorders>
              <w:bottom w:val="single" w:sz="4" w:space="0" w:color="auto"/>
            </w:tcBorders>
          </w:tcPr>
          <w:p>
            <w:pPr>
              <w:pStyle w:val="yTable"/>
              <w:spacing w:before="0"/>
              <w:rPr>
                <w:sz w:val="20"/>
              </w:rPr>
            </w:pPr>
            <w:r>
              <w:rPr>
                <w:sz w:val="20"/>
              </w:rPr>
              <w:t>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Pr>
          <w:p>
            <w:pPr>
              <w:pStyle w:val="Table"/>
              <w:spacing w:before="0" w:line="240" w:lineRule="auto"/>
              <w:rPr>
                <w:b/>
                <w:bCs/>
                <w:sz w:val="20"/>
              </w:rPr>
            </w:pPr>
            <w:r>
              <w:rPr>
                <w:b/>
                <w:bCs/>
                <w:sz w:val="20"/>
              </w:rPr>
              <w:t>Application</w:t>
            </w:r>
          </w:p>
        </w:tc>
        <w:tc>
          <w:tcPr>
            <w:tcW w:w="5528" w:type="dxa"/>
            <w:gridSpan w:val="6"/>
          </w:tcPr>
          <w:p>
            <w:pPr>
              <w:pStyle w:val="Table"/>
              <w:spacing w:before="0" w:line="240" w:lineRule="auto"/>
              <w:ind w:left="64"/>
              <w:rPr>
                <w:iCs/>
                <w:sz w:val="20"/>
              </w:rPr>
            </w:pPr>
            <w:r>
              <w:rPr>
                <w:sz w:val="20"/>
              </w:rPr>
              <w:t xml:space="preserve">I apply to have a dispute resolution process conducted by the Commission under the </w:t>
            </w:r>
            <w:r>
              <w:rPr>
                <w:i/>
                <w:iCs/>
                <w:sz w:val="20"/>
              </w:rPr>
              <w:t xml:space="preserve">Employment Dispute Resolution Act 2008 </w:t>
            </w:r>
            <w:r>
              <w:rPr>
                <w:sz w:val="20"/>
              </w:rPr>
              <w:t>section 27</w:t>
            </w:r>
          </w:p>
        </w:tc>
      </w:tr>
      <w:tr>
        <w:trPr>
          <w:cantSplit/>
        </w:trPr>
        <w:tc>
          <w:tcPr>
            <w:tcW w:w="1560" w:type="dxa"/>
          </w:tcPr>
          <w:p>
            <w:pPr>
              <w:pStyle w:val="Table"/>
              <w:spacing w:before="0" w:line="240" w:lineRule="auto"/>
              <w:rPr>
                <w:sz w:val="20"/>
              </w:rPr>
            </w:pPr>
            <w:r>
              <w:rPr>
                <w:b/>
                <w:bCs/>
                <w:sz w:val="20"/>
              </w:rPr>
              <w:t>Matter in dispute</w:t>
            </w:r>
            <w:r>
              <w:rPr>
                <w:sz w:val="20"/>
                <w:vertAlign w:val="superscript"/>
              </w:rPr>
              <w:t>1</w:t>
            </w:r>
            <w:r>
              <w:rPr>
                <w:sz w:val="20"/>
              </w:rPr>
              <w:t xml:space="preserve"> </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tc>
        <w:tc>
          <w:tcPr>
            <w:tcW w:w="5528" w:type="dxa"/>
            <w:gridSpan w:val="6"/>
          </w:tcPr>
          <w:p>
            <w:pPr>
              <w:pStyle w:val="Table"/>
              <w:spacing w:before="0" w:line="240" w:lineRule="auto"/>
              <w:rPr>
                <w:iCs/>
                <w:sz w:val="20"/>
              </w:rPr>
            </w:pPr>
          </w:p>
        </w:tc>
      </w:tr>
      <w:tr>
        <w:trPr>
          <w:cantSplit/>
        </w:trPr>
        <w:tc>
          <w:tcPr>
            <w:tcW w:w="1560" w:type="dxa"/>
            <w:tcBorders>
              <w:bottom w:val="single" w:sz="4" w:space="0" w:color="auto"/>
            </w:tcBorders>
          </w:tcPr>
          <w:p>
            <w:pPr>
              <w:pStyle w:val="Table"/>
              <w:spacing w:before="0" w:line="240" w:lineRule="auto"/>
              <w:rPr>
                <w:b/>
                <w:bCs/>
                <w:sz w:val="20"/>
              </w:rPr>
            </w:pPr>
            <w:r>
              <w:rPr>
                <w:b/>
                <w:bCs/>
                <w:sz w:val="20"/>
              </w:rPr>
              <w:t>Is the matter urgent?</w:t>
            </w:r>
          </w:p>
          <w:p>
            <w:pPr>
              <w:pStyle w:val="Table"/>
              <w:spacing w:before="0" w:line="240" w:lineRule="auto"/>
              <w:rPr>
                <w:sz w:val="20"/>
              </w:rPr>
            </w:pPr>
            <w:r>
              <w:rPr>
                <w:sz w:val="18"/>
              </w:rPr>
              <w:t>[Tick one box]</w:t>
            </w:r>
          </w:p>
        </w:tc>
        <w:tc>
          <w:tcPr>
            <w:tcW w:w="5528" w:type="dxa"/>
            <w:gridSpan w:val="6"/>
            <w:tcBorders>
              <w:bottom w:val="single" w:sz="4" w:space="0" w:color="auto"/>
            </w:tcBorders>
          </w:tcPr>
          <w:p>
            <w:pPr>
              <w:pStyle w:val="yTable"/>
              <w:spacing w:before="0"/>
              <w:ind w:left="227" w:hanging="227"/>
              <w:rPr>
                <w:sz w:val="20"/>
              </w:rPr>
            </w:pPr>
            <w:r>
              <w:rPr>
                <w:sz w:val="20"/>
              </w:rPr>
              <w:tab/>
              <w:t>Yes</w:t>
            </w:r>
          </w:p>
          <w:p>
            <w:pPr>
              <w:pStyle w:val="yTable"/>
              <w:spacing w:before="0"/>
              <w:ind w:left="227" w:hanging="227"/>
              <w:rPr>
                <w:iCs/>
                <w:sz w:val="20"/>
              </w:rPr>
            </w:pPr>
            <w:r>
              <w:rPr>
                <w:sz w:val="20"/>
              </w:rPr>
              <w:tab/>
              <w:t>No</w:t>
            </w:r>
          </w:p>
        </w:tc>
      </w:tr>
      <w:tr>
        <w:trPr>
          <w:cantSplit/>
        </w:trPr>
        <w:tc>
          <w:tcPr>
            <w:tcW w:w="7088" w:type="dxa"/>
            <w:gridSpan w:val="7"/>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4"/>
              </w:rPr>
            </w:pPr>
            <w:r>
              <w:rPr>
                <w:b/>
                <w:bCs/>
                <w:sz w:val="20"/>
              </w:rPr>
              <w:t>Parties to the matter in dispute</w:t>
            </w:r>
            <w:r>
              <w:rPr>
                <w:sz w:val="20"/>
                <w:vertAlign w:val="superscript"/>
              </w:rPr>
              <w:t>2</w:t>
            </w:r>
          </w:p>
        </w:tc>
      </w:tr>
      <w:tr>
        <w:trPr>
          <w:cantSplit/>
          <w:trHeight w:val="90"/>
        </w:trPr>
        <w:tc>
          <w:tcPr>
            <w:tcW w:w="1560" w:type="dxa"/>
            <w:vMerge w:val="restart"/>
            <w:tcBorders>
              <w:top w:val="single" w:sz="4" w:space="0" w:color="auto"/>
              <w:left w:val="single" w:sz="4" w:space="0" w:color="auto"/>
              <w:bottom w:val="single" w:sz="4" w:space="0" w:color="auto"/>
              <w:right w:val="single" w:sz="4" w:space="0" w:color="auto"/>
            </w:tcBorders>
          </w:tcPr>
          <w:p>
            <w:pPr>
              <w:pStyle w:val="Table"/>
              <w:spacing w:before="0" w:line="240" w:lineRule="auto"/>
              <w:rPr>
                <w:b/>
                <w:bCs/>
                <w:sz w:val="20"/>
              </w:rPr>
            </w:pPr>
            <w:r>
              <w:rPr>
                <w:b/>
                <w:bCs/>
                <w:sz w:val="20"/>
              </w:rPr>
              <w:t>Party 1</w:t>
            </w:r>
          </w:p>
        </w:tc>
        <w:tc>
          <w:tcPr>
            <w:tcW w:w="1092" w:type="dxa"/>
            <w:tcBorders>
              <w:top w:val="single" w:sz="4" w:space="0" w:color="auto"/>
              <w:left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Borders>
              <w:left w:val="single" w:sz="4" w:space="0" w:color="auto"/>
              <w:bottom w:val="single" w:sz="4" w:space="0" w:color="auto"/>
              <w:right w:val="single" w:sz="4" w:space="0" w:color="auto"/>
            </w:tcBorders>
          </w:tcPr>
          <w:p>
            <w:pPr>
              <w:pStyle w:val="Table"/>
              <w:spacing w:before="0" w:line="240" w:lineRule="auto"/>
              <w:rPr>
                <w:sz w:val="20"/>
              </w:rPr>
            </w:pPr>
          </w:p>
        </w:tc>
        <w:tc>
          <w:tcPr>
            <w:tcW w:w="1092" w:type="dxa"/>
            <w:tcBorders>
              <w:left w:val="single" w:sz="4" w:space="0" w:color="auto"/>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Telephone</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Fax</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Email address</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0"/>
              </w:rPr>
            </w:pPr>
          </w:p>
        </w:tc>
      </w:tr>
      <w:tr>
        <w:trPr>
          <w:cantSplit/>
          <w:trHeight w:val="90"/>
        </w:trPr>
        <w:tc>
          <w:tcPr>
            <w:tcW w:w="1560" w:type="dxa"/>
            <w:vMerge w:val="restart"/>
            <w:tcBorders>
              <w:top w:val="single" w:sz="4" w:space="0" w:color="auto"/>
            </w:tcBorders>
          </w:tcPr>
          <w:p>
            <w:pPr>
              <w:pStyle w:val="Table"/>
              <w:spacing w:before="0" w:line="240" w:lineRule="auto"/>
              <w:rPr>
                <w:b/>
                <w:bCs/>
                <w:sz w:val="20"/>
              </w:rPr>
            </w:pPr>
            <w:r>
              <w:rPr>
                <w:b/>
                <w:bCs/>
                <w:sz w:val="20"/>
              </w:rPr>
              <w:t>Party 2</w:t>
            </w:r>
          </w:p>
        </w:tc>
        <w:tc>
          <w:tcPr>
            <w:tcW w:w="1092" w:type="dxa"/>
            <w:tcBorders>
              <w:top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Height w:val="90"/>
        </w:trPr>
        <w:tc>
          <w:tcPr>
            <w:tcW w:w="1560" w:type="dxa"/>
            <w:vMerge w:val="restart"/>
          </w:tcPr>
          <w:p>
            <w:pPr>
              <w:pStyle w:val="Table"/>
              <w:spacing w:before="0" w:line="240" w:lineRule="auto"/>
              <w:rPr>
                <w:b/>
                <w:bCs/>
                <w:sz w:val="20"/>
              </w:rPr>
            </w:pPr>
            <w:r>
              <w:rPr>
                <w:b/>
                <w:bCs/>
                <w:sz w:val="20"/>
              </w:rPr>
              <w:t>Party 3</w:t>
            </w:r>
          </w:p>
        </w:tc>
        <w:tc>
          <w:tcPr>
            <w:tcW w:w="1092"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 xml:space="preserve">Name of relevant </w:t>
            </w:r>
            <w:r>
              <w:rPr>
                <w:b/>
                <w:sz w:val="20"/>
              </w:rPr>
              <w:t>Commonwealth enterprise agreement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1134" w:type="dxa"/>
            <w:gridSpan w:val="2"/>
            <w:tcBorders>
              <w:top w:val="single" w:sz="4" w:space="0" w:color="auto"/>
              <w:bottom w:val="single" w:sz="4" w:space="0" w:color="auto"/>
            </w:tcBorders>
          </w:tcPr>
          <w:p>
            <w:pPr>
              <w:pStyle w:val="Table"/>
              <w:tabs>
                <w:tab w:val="left" w:pos="4055"/>
              </w:tabs>
              <w:spacing w:before="0" w:line="240" w:lineRule="auto"/>
              <w:rPr>
                <w:sz w:val="20"/>
              </w:rPr>
            </w:pPr>
            <w:r>
              <w:rPr>
                <w:sz w:val="20"/>
              </w:rPr>
              <w:t>Number (if applicable)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560" w:type="dxa"/>
          </w:tcPr>
          <w:p>
            <w:pPr>
              <w:pStyle w:val="Table"/>
              <w:spacing w:before="0" w:line="240" w:lineRule="auto"/>
              <w:rPr>
                <w:b/>
                <w:bCs/>
                <w:sz w:val="20"/>
              </w:rPr>
            </w:pPr>
            <w:r>
              <w:rPr>
                <w:b/>
                <w:bCs/>
                <w:sz w:val="20"/>
              </w:rPr>
              <w:t>Type of assistance sought from IR Commission</w:t>
            </w:r>
          </w:p>
          <w:p>
            <w:pPr>
              <w:pStyle w:val="Table"/>
              <w:spacing w:before="0" w:line="240" w:lineRule="auto"/>
              <w:rPr>
                <w:sz w:val="20"/>
              </w:rPr>
            </w:pPr>
          </w:p>
          <w:p>
            <w:pPr>
              <w:pStyle w:val="Table"/>
              <w:spacing w:before="0" w:line="240" w:lineRule="auto"/>
              <w:rPr>
                <w:sz w:val="20"/>
              </w:rPr>
            </w:pPr>
          </w:p>
        </w:tc>
        <w:tc>
          <w:tcPr>
            <w:tcW w:w="5528" w:type="dxa"/>
            <w:gridSpan w:val="6"/>
          </w:tcPr>
          <w:p>
            <w:pPr>
              <w:pStyle w:val="yTable"/>
              <w:spacing w:before="0"/>
              <w:ind w:left="227" w:hanging="227"/>
              <w:rPr>
                <w:iCs/>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8"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985" w:type="dxa"/>
            <w:gridSpan w:val="2"/>
            <w:tcBorders>
              <w:top w:val="single" w:sz="4" w:space="0" w:color="auto"/>
              <w:bottom w:val="single" w:sz="4" w:space="0" w:color="auto"/>
            </w:tcBorders>
          </w:tcPr>
          <w:p>
            <w:pPr>
              <w:pStyle w:val="Table"/>
              <w:tabs>
                <w:tab w:val="left" w:pos="4055"/>
              </w:tabs>
              <w:spacing w:before="0" w:line="240" w:lineRule="auto"/>
              <w:rPr>
                <w:sz w:val="20"/>
              </w:rPr>
            </w:pPr>
          </w:p>
        </w:tc>
      </w:tr>
    </w:tbl>
    <w:p>
      <w:pPr>
        <w:pStyle w:val="MiscellaneousBody"/>
        <w:tabs>
          <w:tab w:val="left" w:pos="-142"/>
          <w:tab w:val="left" w:pos="0"/>
          <w:tab w:val="left" w:pos="142"/>
        </w:tabs>
      </w:pPr>
      <w:r>
        <w:tab/>
        <w:t>Notes to Form 1:</w:t>
      </w:r>
    </w:p>
    <w:p>
      <w:pPr>
        <w:pStyle w:val="MiscellaneousBody"/>
        <w:tabs>
          <w:tab w:val="left" w:pos="284"/>
          <w:tab w:val="left" w:pos="567"/>
        </w:tabs>
      </w:pPr>
      <w:r>
        <w:tab/>
        <w:t>1.</w:t>
      </w:r>
      <w:r>
        <w:tab/>
        <w:t>Provide a brief description.  Attach schedule if necessary.</w:t>
      </w:r>
    </w:p>
    <w:p>
      <w:pPr>
        <w:pStyle w:val="MiscellaneousBody"/>
        <w:tabs>
          <w:tab w:val="left" w:pos="284"/>
          <w:tab w:val="left" w:pos="567"/>
        </w:tabs>
        <w:ind w:left="567" w:hanging="567"/>
      </w:pPr>
      <w:r>
        <w:tab/>
        <w:t>2.</w:t>
      </w:r>
      <w:r>
        <w:tab/>
      </w:r>
      <w:r>
        <w:rPr>
          <w:bCs/>
        </w:rPr>
        <w:t>If more than 3 parties are involved attach a sheet identifying relevant details of each additional party.</w:t>
      </w:r>
    </w:p>
    <w:p>
      <w:pPr>
        <w:pStyle w:val="yFootnotesection"/>
      </w:pPr>
      <w:r>
        <w:tab/>
        <w:t>[Schedule 1 amended: Gazette 16 Mar 2012 p. 1251.]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2" w:name="_Toc113695922"/>
      <w:bookmarkStart w:id="53" w:name="_Toc215558162"/>
      <w:bookmarkStart w:id="54" w:name="_Toc319587769"/>
      <w:bookmarkStart w:id="55" w:name="_Toc319587921"/>
      <w:bookmarkStart w:id="56" w:name="_Toc320692439"/>
      <w:bookmarkStart w:id="57" w:name="_Toc320710329"/>
      <w:bookmarkStart w:id="58" w:name="_Toc320710344"/>
      <w:bookmarkStart w:id="59" w:name="_Toc416795182"/>
      <w:bookmarkStart w:id="60" w:name="_Toc416795197"/>
      <w:r>
        <w:t>Notes</w:t>
      </w:r>
      <w:bookmarkEnd w:id="52"/>
      <w:bookmarkEnd w:id="53"/>
      <w:bookmarkEnd w:id="54"/>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rPr>
        <w:t>Employment Dispute Resolution Regulations 2008.</w:t>
      </w:r>
      <w:r>
        <w:t xml:space="preserve">  </w:t>
      </w:r>
      <w:r>
        <w:rPr>
          <w:snapToGrid w:val="0"/>
        </w:rPr>
        <w:t>The following table contains information about those regulations.</w:t>
      </w:r>
    </w:p>
    <w:p>
      <w:pPr>
        <w:pStyle w:val="nHeading3"/>
      </w:pPr>
      <w:bookmarkStart w:id="61" w:name="_Toc320710345"/>
      <w:bookmarkStart w:id="62" w:name="_Toc416795198"/>
      <w:r>
        <w:t>Compilation table</w:t>
      </w:r>
      <w:bookmarkEnd w:id="61"/>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Employment Dispute Resolution Regulations 2008</w:t>
            </w:r>
          </w:p>
        </w:tc>
        <w:tc>
          <w:tcPr>
            <w:tcW w:w="1276" w:type="dxa"/>
            <w:tcBorders>
              <w:top w:val="single" w:sz="8" w:space="0" w:color="auto"/>
              <w:bottom w:val="nil"/>
            </w:tcBorders>
          </w:tcPr>
          <w:p>
            <w:pPr>
              <w:pStyle w:val="nTable"/>
              <w:spacing w:after="40"/>
            </w:pPr>
            <w:r>
              <w:t>28 Nov 2008 p. 5019-26 (Printers correction 5 Dec 2008 p. 5087)</w:t>
            </w:r>
          </w:p>
        </w:tc>
        <w:tc>
          <w:tcPr>
            <w:tcW w:w="2693" w:type="dxa"/>
            <w:tcBorders>
              <w:top w:val="single" w:sz="8" w:space="0" w:color="auto"/>
              <w:bottom w:val="nil"/>
            </w:tcBorders>
          </w:tcPr>
          <w:p>
            <w:pPr>
              <w:pStyle w:val="nTable"/>
              <w:spacing w:after="40"/>
            </w:pPr>
            <w:r>
              <w:t>r. 1 and 2: 28 Nov 2008 (see r. 2(a));</w:t>
            </w:r>
            <w:r>
              <w:br/>
              <w:t xml:space="preserve">Regulations other than r. 1 and 2: 1 Dec 2008 (see r. 2(b) and </w:t>
            </w:r>
            <w:r>
              <w:rPr>
                <w:i/>
                <w:iCs/>
              </w:rPr>
              <w:t>Gazette</w:t>
            </w:r>
            <w:r>
              <w:t xml:space="preserve"> 28 Nov 2008 p. 5029)</w:t>
            </w:r>
          </w:p>
        </w:tc>
      </w:tr>
      <w:tr>
        <w:tc>
          <w:tcPr>
            <w:tcW w:w="3118" w:type="dxa"/>
            <w:tcBorders>
              <w:top w:val="nil"/>
              <w:bottom w:val="single" w:sz="8" w:space="0" w:color="auto"/>
            </w:tcBorders>
          </w:tcPr>
          <w:p>
            <w:pPr>
              <w:pStyle w:val="nTable"/>
              <w:spacing w:after="40"/>
              <w:rPr>
                <w:i/>
              </w:rPr>
            </w:pPr>
            <w:r>
              <w:rPr>
                <w:i/>
              </w:rPr>
              <w:t>Employment Dispute Resolution Amendment Regulations 2012</w:t>
            </w:r>
          </w:p>
        </w:tc>
        <w:tc>
          <w:tcPr>
            <w:tcW w:w="1276" w:type="dxa"/>
            <w:tcBorders>
              <w:top w:val="nil"/>
              <w:bottom w:val="single" w:sz="8" w:space="0" w:color="auto"/>
            </w:tcBorders>
          </w:tcPr>
          <w:p>
            <w:pPr>
              <w:pStyle w:val="nTable"/>
              <w:spacing w:after="40"/>
            </w:pPr>
            <w:r>
              <w:t>16 Mar 2012 p. 1250</w:t>
            </w:r>
            <w:r>
              <w:noBreakHyphen/>
              <w:t>1</w:t>
            </w:r>
          </w:p>
        </w:tc>
        <w:tc>
          <w:tcPr>
            <w:tcW w:w="2693" w:type="dxa"/>
            <w:tcBorders>
              <w:top w:val="nil"/>
              <w:bottom w:val="single" w:sz="8" w:space="0" w:color="auto"/>
            </w:tcBorders>
          </w:tcPr>
          <w:p>
            <w:pPr>
              <w:pStyle w:val="nTable"/>
              <w:spacing w:after="40"/>
            </w:pPr>
            <w:r>
              <w:t>r. 1 and 2: 16 Mar 2012 (see r. 2(a));</w:t>
            </w:r>
            <w:r>
              <w:br/>
              <w:t xml:space="preserve">Regulations other than r. 1 and 2: 1 Apr 2012 (see r. 2(b) and </w:t>
            </w:r>
            <w:r>
              <w:rPr>
                <w:i/>
              </w:rPr>
              <w:t>Gazette</w:t>
            </w:r>
            <w:r>
              <w:t xml:space="preserve"> 16 Mar 2012 p. 1246)</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4" w:name="_Toc416795199"/>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enterprise agreement</w:t>
      </w:r>
      <w:r>
        <w:tab/>
        <w:t>4</w:t>
      </w:r>
    </w:p>
    <w:p>
      <w:pPr>
        <w:pStyle w:val="DefinedTerms"/>
      </w:pPr>
      <w:r>
        <w:t>Commonwealth enterprise agreement” (EDR Act section 3)</w:t>
      </w:r>
      <w:r>
        <w:tab/>
        <w:t>4</w:t>
      </w:r>
    </w:p>
    <w:p>
      <w:pPr>
        <w:pStyle w:val="DefinedTerms"/>
      </w:pPr>
      <w:r>
        <w:t>EDR Act</w:t>
      </w:r>
      <w:r>
        <w:tab/>
        <w:t>3(1)</w:t>
      </w:r>
    </w:p>
    <w:p>
      <w:pPr>
        <w:pStyle w:val="DefinedTerms"/>
      </w:pPr>
      <w:r>
        <w:t>EDR order</w:t>
      </w:r>
      <w:r>
        <w:tab/>
        <w:t>12(1)</w:t>
      </w:r>
    </w:p>
    <w:p>
      <w:pPr>
        <w:pStyle w:val="DefinedTerms"/>
      </w:pPr>
      <w:r>
        <w:t>Registrar</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Dispute Resolution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Dispute Resolution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226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F829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6AED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B616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302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E610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A22B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769B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96EA04"/>
    <w:lvl w:ilvl="0">
      <w:start w:val="1"/>
      <w:numFmt w:val="decimal"/>
      <w:pStyle w:val="ListNumber"/>
      <w:lvlText w:val="%1."/>
      <w:lvlJc w:val="left"/>
      <w:pPr>
        <w:tabs>
          <w:tab w:val="num" w:pos="360"/>
        </w:tabs>
        <w:ind w:left="360" w:hanging="360"/>
      </w:pPr>
    </w:lvl>
  </w:abstractNum>
  <w:abstractNum w:abstractNumId="9">
    <w:nsid w:val="FFFFFF89"/>
    <w:multiLevelType w:val="singleLevel"/>
    <w:tmpl w:val="C016B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804"/>
    <w:docVar w:name="WAFER_20150414165719" w:val="ResetPageSize,UpdateArrangement,UpdateNTable"/>
    <w:docVar w:name="WAFER_20150414165719_GUID" w:val="fc456df9-906a-4a3e-aceb-4d5214492eff"/>
    <w:docVar w:name="WAFER_20151125093837" w:val="UpdateStyles"/>
    <w:docVar w:name="WAFER_20151125093837_GUID" w:val="5521dfd6-d3ce-486f-9467-4f2ab47ac0e4"/>
    <w:docVar w:name="WAFER_20151126114804" w:val="UsedStyles"/>
    <w:docVar w:name="WAFER_20151126114804_GUID" w:val="8d6e7a40-e6ea-4f67-ab65-ddf737e19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1327</Words>
  <Characters>6782</Characters>
  <Application>Microsoft Office Word</Application>
  <DocSecurity>0</DocSecurity>
  <Lines>356</Lines>
  <Paragraphs>197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Regulations 2008 - 00-d0-04</dc:title>
  <dc:subject/>
  <dc:creator/>
  <cp:keywords/>
  <dc:description/>
  <cp:lastModifiedBy>svcMRProcess</cp:lastModifiedBy>
  <cp:revision>4</cp:revision>
  <cp:lastPrinted>2008-06-26T04:20:00Z</cp:lastPrinted>
  <dcterms:created xsi:type="dcterms:W3CDTF">2019-01-16T04:00:00Z</dcterms:created>
  <dcterms:modified xsi:type="dcterms:W3CDTF">2019-01-16T04:00:00Z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20120401</vt:lpwstr>
  </property>
  <property fmtid="{D5CDD505-2E9C-101B-9397-08002B2CF9AE}" pid="3" name="OwlsUID">
    <vt:i4>40770</vt:i4>
  </property>
  <property fmtid="{D5CDD505-2E9C-101B-9397-08002B2CF9AE}" pid="4" name="DocumentType">
    <vt:lpwstr>Reg</vt:lpwstr>
  </property>
  <property fmtid="{D5CDD505-2E9C-101B-9397-08002B2CF9AE}" pid="5" name="AsAtDate">
    <vt:lpwstr>01 Apr 2012</vt:lpwstr>
  </property>
  <property fmtid="{D5CDD505-2E9C-101B-9397-08002B2CF9AE}" pid="6" name="Suffix">
    <vt:lpwstr>00-d0-04</vt:lpwstr>
  </property>
</Properties>
</file>