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Electricity Industry Act 2004</w:t>
      </w:r>
    </w:p>
    <w:p>
      <w:pPr>
        <w:pStyle w:val="NameofActRegPage1"/>
        <w:spacing w:before="1800" w:after="4200"/>
      </w:pPr>
      <w:r>
        <w:fldChar w:fldCharType="begin"/>
      </w:r>
      <w:r>
        <w:instrText xml:space="preserve"> STYLEREF "Name Of Act/Reg"</w:instrText>
      </w:r>
      <w:r>
        <w:fldChar w:fldCharType="separate"/>
      </w:r>
      <w:r>
        <w:rPr>
          <w:noProof/>
        </w:rPr>
        <w:t>Electricity Industry Exemption Order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Electricity Industry Exemption Order 2005</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_Toc320801955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_Toc320801956 \h </w:instrText>
      </w:r>
      <w:r>
        <w:fldChar w:fldCharType="separate"/>
      </w:r>
      <w:r>
        <w:t>1</w:t>
      </w:r>
      <w:r>
        <w:fldChar w:fldCharType="end"/>
      </w:r>
    </w:p>
    <w:p>
      <w:pPr>
        <w:pStyle w:val="TOC8"/>
        <w:rPr>
          <w:sz w:val="24"/>
          <w:szCs w:val="24"/>
          <w:lang w:val="en-US"/>
        </w:rPr>
      </w:pPr>
      <w:r>
        <w:t>3.</w:t>
      </w:r>
      <w:r>
        <w:tab/>
        <w:t>Exemption for generating works under 30 MW</w:t>
      </w:r>
      <w:r>
        <w:tab/>
      </w:r>
      <w:r>
        <w:fldChar w:fldCharType="begin"/>
      </w:r>
      <w:r>
        <w:instrText xml:space="preserve"> PAGEREF _Toc320801957 \h </w:instrText>
      </w:r>
      <w:r>
        <w:fldChar w:fldCharType="separate"/>
      </w:r>
      <w:r>
        <w:t>1</w:t>
      </w:r>
      <w:r>
        <w:fldChar w:fldCharType="end"/>
      </w:r>
    </w:p>
    <w:p>
      <w:pPr>
        <w:pStyle w:val="TOC8"/>
        <w:rPr>
          <w:sz w:val="24"/>
          <w:szCs w:val="24"/>
          <w:lang w:val="en-US"/>
        </w:rPr>
      </w:pPr>
      <w:r>
        <w:t>4.</w:t>
      </w:r>
      <w:r>
        <w:tab/>
        <w:t>Exemptions for on</w:t>
      </w:r>
      <w:r>
        <w:noBreakHyphen/>
        <w:t>supply to commercial premises</w:t>
      </w:r>
      <w:r>
        <w:tab/>
      </w:r>
      <w:r>
        <w:fldChar w:fldCharType="begin"/>
      </w:r>
      <w:r>
        <w:instrText xml:space="preserve"> PAGEREF _Toc320801958 \h </w:instrText>
      </w:r>
      <w:r>
        <w:fldChar w:fldCharType="separate"/>
      </w:r>
      <w:r>
        <w:t>2</w:t>
      </w:r>
      <w:r>
        <w:fldChar w:fldCharType="end"/>
      </w:r>
    </w:p>
    <w:p>
      <w:pPr>
        <w:pStyle w:val="TOC8"/>
        <w:rPr>
          <w:sz w:val="24"/>
          <w:szCs w:val="24"/>
          <w:lang w:val="en-US"/>
        </w:rPr>
      </w:pPr>
      <w:r>
        <w:t>5.</w:t>
      </w:r>
      <w:r>
        <w:tab/>
        <w:t>Exemptions for on</w:t>
      </w:r>
      <w:r>
        <w:noBreakHyphen/>
        <w:t>supply to residential premises</w:t>
      </w:r>
      <w:r>
        <w:tab/>
      </w:r>
      <w:r>
        <w:fldChar w:fldCharType="begin"/>
      </w:r>
      <w:r>
        <w:instrText xml:space="preserve"> PAGEREF _Toc320801959 \h </w:instrText>
      </w:r>
      <w:r>
        <w:fldChar w:fldCharType="separate"/>
      </w:r>
      <w:r>
        <w:t>3</w:t>
      </w:r>
      <w:r>
        <w:fldChar w:fldCharType="end"/>
      </w:r>
    </w:p>
    <w:p>
      <w:pPr>
        <w:pStyle w:val="TOC8"/>
        <w:rPr>
          <w:sz w:val="24"/>
          <w:szCs w:val="24"/>
          <w:lang w:val="en-US"/>
        </w:rPr>
      </w:pPr>
      <w:r>
        <w:t>6.</w:t>
      </w:r>
      <w:r>
        <w:tab/>
        <w:t>Conditions applying to exemptions under clause 5</w:t>
      </w:r>
      <w:r>
        <w:tab/>
      </w:r>
      <w:r>
        <w:fldChar w:fldCharType="begin"/>
      </w:r>
      <w:r>
        <w:instrText xml:space="preserve"> PAGEREF _Toc320801960 \h </w:instrText>
      </w:r>
      <w:r>
        <w:fldChar w:fldCharType="separate"/>
      </w:r>
      <w:r>
        <w:t>4</w:t>
      </w:r>
      <w:r>
        <w:fldChar w:fldCharType="end"/>
      </w:r>
    </w:p>
    <w:p>
      <w:pPr>
        <w:pStyle w:val="TOC8"/>
        <w:rPr>
          <w:sz w:val="24"/>
          <w:szCs w:val="24"/>
          <w:lang w:val="en-US"/>
        </w:rPr>
      </w:pPr>
      <w:r>
        <w:t>7.</w:t>
      </w:r>
      <w:r>
        <w:tab/>
        <w:t>Exemptions for supply to Aboriginal communities</w:t>
      </w:r>
      <w:r>
        <w:tab/>
      </w:r>
      <w:r>
        <w:fldChar w:fldCharType="begin"/>
      </w:r>
      <w:r>
        <w:instrText xml:space="preserve"> PAGEREF _Toc320801961 \h </w:instrText>
      </w:r>
      <w:r>
        <w:fldChar w:fldCharType="separate"/>
      </w:r>
      <w:r>
        <w:t>5</w:t>
      </w:r>
      <w:r>
        <w:fldChar w:fldCharType="end"/>
      </w:r>
    </w:p>
    <w:p>
      <w:pPr>
        <w:pStyle w:val="TOC8"/>
        <w:rPr>
          <w:sz w:val="24"/>
          <w:szCs w:val="24"/>
          <w:lang w:val="en-US"/>
        </w:rPr>
      </w:pPr>
      <w:r>
        <w:t>8.</w:t>
      </w:r>
      <w:r>
        <w:tab/>
        <w:t>Exemptions for operations under Pilbara Energy Project Agreement</w:t>
      </w:r>
      <w:r>
        <w:tab/>
      </w:r>
      <w:r>
        <w:fldChar w:fldCharType="begin"/>
      </w:r>
      <w:r>
        <w:instrText xml:space="preserve"> PAGEREF _Toc320801962 \h </w:instrText>
      </w:r>
      <w:r>
        <w:fldChar w:fldCharType="separate"/>
      </w:r>
      <w:r>
        <w:t>6</w:t>
      </w:r>
      <w:r>
        <w:fldChar w:fldCharType="end"/>
      </w:r>
    </w:p>
    <w:p>
      <w:pPr>
        <w:pStyle w:val="TOC8"/>
        <w:rPr>
          <w:sz w:val="24"/>
          <w:szCs w:val="24"/>
          <w:lang w:val="en-US"/>
        </w:rPr>
      </w:pPr>
      <w:r>
        <w:t>9.</w:t>
      </w:r>
      <w:r>
        <w:tab/>
        <w:t xml:space="preserve">Exemption for sale to certain customers under </w:t>
      </w:r>
      <w:r>
        <w:rPr>
          <w:iCs/>
        </w:rPr>
        <w:t>Iron Ore Beneficiation (BHP) Agreement</w:t>
      </w:r>
      <w:r>
        <w:tab/>
      </w:r>
      <w:r>
        <w:fldChar w:fldCharType="begin"/>
      </w:r>
      <w:r>
        <w:instrText xml:space="preserve"> PAGEREF _Toc320801963 \h </w:instrText>
      </w:r>
      <w:r>
        <w:fldChar w:fldCharType="separate"/>
      </w:r>
      <w:r>
        <w:t>7</w:t>
      </w:r>
      <w:r>
        <w:fldChar w:fldCharType="end"/>
      </w:r>
    </w:p>
    <w:p>
      <w:pPr>
        <w:pStyle w:val="TOC8"/>
        <w:rPr>
          <w:sz w:val="24"/>
          <w:szCs w:val="24"/>
          <w:lang w:val="en-US"/>
        </w:rPr>
      </w:pPr>
      <w:r>
        <w:t>10.</w:t>
      </w:r>
      <w:r>
        <w:tab/>
        <w:t>Exemptions for operations under various government agreements</w:t>
      </w:r>
      <w:r>
        <w:tab/>
      </w:r>
      <w:r>
        <w:fldChar w:fldCharType="begin"/>
      </w:r>
      <w:r>
        <w:instrText xml:space="preserve"> PAGEREF _Toc320801964 \h </w:instrText>
      </w:r>
      <w:r>
        <w:fldChar w:fldCharType="separate"/>
      </w:r>
      <w:r>
        <w:t>7</w:t>
      </w:r>
      <w:r>
        <w:fldChar w:fldCharType="end"/>
      </w:r>
    </w:p>
    <w:p>
      <w:pPr>
        <w:pStyle w:val="TOC8"/>
        <w:rPr>
          <w:sz w:val="24"/>
          <w:szCs w:val="24"/>
          <w:lang w:val="en-US"/>
        </w:rPr>
      </w:pPr>
      <w:r>
        <w:t>11.</w:t>
      </w:r>
      <w:r>
        <w:tab/>
        <w:t>Conditions applying to exemptions under clause 10</w:t>
      </w:r>
      <w:r>
        <w:tab/>
      </w:r>
      <w:r>
        <w:fldChar w:fldCharType="begin"/>
      </w:r>
      <w:r>
        <w:instrText xml:space="preserve"> PAGEREF _Toc320801965 \h </w:instrText>
      </w:r>
      <w:r>
        <w:fldChar w:fldCharType="separate"/>
      </w:r>
      <w:r>
        <w:t>8</w:t>
      </w:r>
      <w:r>
        <w:fldChar w:fldCharType="end"/>
      </w:r>
    </w:p>
    <w:p>
      <w:pPr>
        <w:pStyle w:val="TOC8"/>
        <w:rPr>
          <w:sz w:val="24"/>
          <w:szCs w:val="24"/>
          <w:lang w:val="en-US"/>
        </w:rPr>
      </w:pPr>
      <w:r>
        <w:t>12.</w:t>
      </w:r>
      <w:r>
        <w:tab/>
        <w:t>Exemptions for operations in DBNGP corridor</w:t>
      </w:r>
      <w:r>
        <w:tab/>
      </w:r>
      <w:r>
        <w:fldChar w:fldCharType="begin"/>
      </w:r>
      <w:r>
        <w:instrText xml:space="preserve"> PAGEREF _Toc320801966 \h </w:instrText>
      </w:r>
      <w:r>
        <w:fldChar w:fldCharType="separate"/>
      </w:r>
      <w:r>
        <w:t>8</w:t>
      </w:r>
      <w:r>
        <w:fldChar w:fldCharType="end"/>
      </w:r>
    </w:p>
    <w:p>
      <w:pPr>
        <w:pStyle w:val="TOC8"/>
        <w:rPr>
          <w:sz w:val="24"/>
          <w:szCs w:val="24"/>
          <w:lang w:val="en-US"/>
        </w:rPr>
      </w:pPr>
      <w:r>
        <w:t>13.</w:t>
      </w:r>
      <w:r>
        <w:tab/>
        <w:t>Exemptions for Electricity Generation Corporation</w:t>
      </w:r>
      <w:r>
        <w:tab/>
      </w:r>
      <w:r>
        <w:fldChar w:fldCharType="begin"/>
      </w:r>
      <w:r>
        <w:instrText xml:space="preserve"> PAGEREF _Toc320801967 \h </w:instrText>
      </w:r>
      <w:r>
        <w:fldChar w:fldCharType="separate"/>
      </w:r>
      <w:r>
        <w:t>9</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_Toc320801969 \h </w:instrText>
      </w:r>
      <w:r>
        <w:fldChar w:fldCharType="separate"/>
      </w:r>
      <w:r>
        <w:t>11</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Electricity Industry Act 2004</w:t>
      </w:r>
    </w:p>
    <w:p>
      <w:pPr>
        <w:pStyle w:val="NameofActReg"/>
      </w:pPr>
      <w:r>
        <w:t>Electricity Industry Exemption Order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20801955"/>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bookmarkStart w:id="9" w:name="Start_Cursor"/>
      <w:bookmarkEnd w:id="9"/>
      <w:r>
        <w:rPr>
          <w:spacing w:val="-2"/>
        </w:rPr>
        <w:t>This</w:t>
      </w:r>
      <w:r>
        <w:t xml:space="preserve"> </w:t>
      </w:r>
      <w:r>
        <w:rPr>
          <w:spacing w:val="-2"/>
        </w:rPr>
        <w:t>order</w:t>
      </w:r>
      <w:r>
        <w:t xml:space="preserve"> is the </w:t>
      </w:r>
      <w:r>
        <w:rPr>
          <w:i/>
        </w:rPr>
        <w:t>Electricity Industry Exemption Order 2005</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320801956"/>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pPr>
      <w:r>
        <w:rPr>
          <w:spacing w:val="-2"/>
        </w:rPr>
        <w:tab/>
      </w:r>
      <w:r>
        <w:rPr>
          <w:spacing w:val="-2"/>
        </w:rPr>
        <w:tab/>
        <w:t>This order comes into operation on 1 January 2006.</w:t>
      </w:r>
    </w:p>
    <w:p>
      <w:pPr>
        <w:pStyle w:val="Heading5"/>
      </w:pPr>
      <w:bookmarkStart w:id="18" w:name="_Toc320801957"/>
      <w:r>
        <w:rPr>
          <w:rStyle w:val="CharSectno"/>
        </w:rPr>
        <w:t>3</w:t>
      </w:r>
      <w:r>
        <w:t>.</w:t>
      </w:r>
      <w:r>
        <w:tab/>
        <w:t>Exemption for generating works under 30 MW</w:t>
      </w:r>
      <w:bookmarkEnd w:id="18"/>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 relevant corporation that forms part of the South West interconnected system, the metering of the supply of electricity from those works must be undertaken in accordance with the procedures and arrangements set out in the </w:t>
      </w:r>
      <w:r>
        <w:rPr>
          <w:i/>
          <w:iCs/>
        </w:rPr>
        <w:t>Electricity Industry Metering Code 2005</w:t>
      </w:r>
      <w:r>
        <w:t>.</w:t>
      </w:r>
    </w:p>
    <w:p>
      <w:pPr>
        <w:pStyle w:val="Heading5"/>
      </w:pPr>
      <w:bookmarkStart w:id="19" w:name="_Toc320801958"/>
      <w:r>
        <w:rPr>
          <w:rStyle w:val="CharSectno"/>
        </w:rPr>
        <w:t>4</w:t>
      </w:r>
      <w:r>
        <w:t>.</w:t>
      </w:r>
      <w:r>
        <w:tab/>
        <w:t>Exemptions for on</w:t>
      </w:r>
      <w:r>
        <w:noBreakHyphen/>
        <w:t>supply to commercial premises</w:t>
      </w:r>
      <w:bookmarkEnd w:id="19"/>
    </w:p>
    <w:p>
      <w:pPr>
        <w:pStyle w:val="Subsection"/>
      </w:pPr>
      <w:r>
        <w:tab/>
        <w:t>(1)</w:t>
      </w:r>
      <w:r>
        <w:tab/>
        <w:t xml:space="preserve">In this clause — </w:t>
      </w:r>
    </w:p>
    <w:p>
      <w:pPr>
        <w:pStyle w:val="Defstart"/>
      </w:pPr>
      <w:r>
        <w:rPr>
          <w:b/>
        </w:rPr>
        <w:tab/>
      </w:r>
      <w:r>
        <w:rPr>
          <w:rStyle w:val="CharDefText"/>
        </w:rPr>
        <w:t>commercial premises</w:t>
      </w:r>
      <w:r>
        <w:t xml:space="preserve"> means premises or any part of premises used, or intended to be used, for commercial or industrial purposes;</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7(2) if the transmission system concerned is used or to be used solely for the transportation of electricity for consumption on commercial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commercial premises under the control or management of the supplier.</w:t>
      </w:r>
    </w:p>
    <w:p>
      <w:pPr>
        <w:pStyle w:val="Subsection"/>
      </w:pPr>
      <w:r>
        <w:tab/>
        <w:t>(4)</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commercial premises under the control or management of the supplier.</w:t>
      </w:r>
    </w:p>
    <w:p>
      <w:pPr>
        <w:pStyle w:val="Subsection"/>
      </w:pPr>
      <w:r>
        <w:tab/>
        <w:t>(5)</w:t>
      </w:r>
      <w:r>
        <w:tab/>
        <w:t xml:space="preserve">For the purposes of this clause commercial premises are under the control or management of a supplier if the supplier is — </w:t>
      </w:r>
    </w:p>
    <w:p>
      <w:pPr>
        <w:pStyle w:val="Indenta"/>
      </w:pPr>
      <w:r>
        <w:tab/>
        <w:t>(a)</w:t>
      </w:r>
      <w:r>
        <w:tab/>
        <w:t>the owner or occupier of the premises; or</w:t>
      </w:r>
    </w:p>
    <w:p>
      <w:pPr>
        <w:pStyle w:val="Indenta"/>
      </w:pPr>
      <w:r>
        <w:tab/>
        <w:t>(b)</w:t>
      </w:r>
      <w:r>
        <w:tab/>
        <w:t>in the case of premises on land to which a scheme relates, the strata company for the scheme.</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20" w:name="_Toc320801959"/>
      <w:r>
        <w:rPr>
          <w:rStyle w:val="CharSectno"/>
        </w:rPr>
        <w:t>5</w:t>
      </w:r>
      <w:r>
        <w:t>.</w:t>
      </w:r>
      <w:r>
        <w:tab/>
        <w:t>Exemptions for on</w:t>
      </w:r>
      <w:r>
        <w:noBreakHyphen/>
        <w:t>supply to residential premises</w:t>
      </w:r>
      <w:bookmarkEnd w:id="20"/>
    </w:p>
    <w:p>
      <w:pPr>
        <w:pStyle w:val="Subsection"/>
      </w:pPr>
      <w:r>
        <w:tab/>
        <w:t>(1)</w:t>
      </w:r>
      <w:r>
        <w:tab/>
        <w:t xml:space="preserve">In this clause — </w:t>
      </w:r>
    </w:p>
    <w:p>
      <w:pPr>
        <w:pStyle w:val="Defstart"/>
        <w:rPr>
          <w:bCs/>
        </w:rPr>
      </w:pPr>
      <w:r>
        <w:rPr>
          <w:b/>
        </w:rPr>
        <w:tab/>
      </w:r>
      <w:r>
        <w:rPr>
          <w:rStyle w:val="CharDefText"/>
        </w:rPr>
        <w:t>administering body</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residential premises</w:t>
      </w:r>
      <w:r>
        <w:t xml:space="preserve"> means premises or any part of premises used, or intended to be used, as a person’s principal place of residence but does not include a site as defined in the </w:t>
      </w:r>
      <w:r>
        <w:rPr>
          <w:i/>
        </w:rPr>
        <w:t>Caravan Parks and Camping Grounds Act 1995</w:t>
      </w:r>
      <w:r>
        <w:t xml:space="preserve"> section 5(1);</w:t>
      </w:r>
    </w:p>
    <w:p>
      <w:pPr>
        <w:pStyle w:val="Defstart"/>
        <w:rPr>
          <w:bCs/>
        </w:rPr>
      </w:pPr>
      <w:r>
        <w:rPr>
          <w:b/>
        </w:rPr>
        <w:tab/>
      </w:r>
      <w:r>
        <w:rPr>
          <w:rStyle w:val="CharDefText"/>
        </w:rPr>
        <w:t>retirement village</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residential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residential premises under the control or management of the supplier.</w:t>
      </w:r>
    </w:p>
    <w:p>
      <w:pPr>
        <w:pStyle w:val="Subsection"/>
      </w:pPr>
      <w:r>
        <w:tab/>
        <w:t>(4)</w:t>
      </w:r>
      <w:r>
        <w:tab/>
        <w:t xml:space="preserve">For the purposes of this clause residential premises are under the control or management of a supplier if the supplier is — </w:t>
      </w:r>
    </w:p>
    <w:p>
      <w:pPr>
        <w:pStyle w:val="Indenta"/>
      </w:pPr>
      <w:r>
        <w:tab/>
        <w:t>(a)</w:t>
      </w:r>
      <w:r>
        <w:tab/>
        <w:t>the owner of the premises;</w:t>
      </w:r>
    </w:p>
    <w:p>
      <w:pPr>
        <w:pStyle w:val="Indenta"/>
      </w:pPr>
      <w:r>
        <w:tab/>
        <w:t>(b)</w:t>
      </w:r>
      <w:r>
        <w:tab/>
        <w:t>in the case of premises on land to which a scheme relates, the strata company for the scheme; or</w:t>
      </w:r>
    </w:p>
    <w:p>
      <w:pPr>
        <w:pStyle w:val="Indenta"/>
      </w:pPr>
      <w:r>
        <w:tab/>
        <w:t>(c)</w:t>
      </w:r>
      <w:r>
        <w:tab/>
        <w:t>in the case of premises in a retirement village, the administering body of the retirement village.</w:t>
      </w:r>
    </w:p>
    <w:p>
      <w:pPr>
        <w:pStyle w:val="Subsection"/>
      </w:pPr>
      <w:r>
        <w:tab/>
        <w:t>(5)</w:t>
      </w:r>
      <w:r>
        <w:tab/>
        <w:t>The exemptions provided for in this clause are subject to the conditions set out in clause 6(4) to (9).</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21" w:name="_Toc320801960"/>
      <w:r>
        <w:rPr>
          <w:rStyle w:val="CharSectno"/>
        </w:rPr>
        <w:t>6</w:t>
      </w:r>
      <w:r>
        <w:t>.</w:t>
      </w:r>
      <w:r>
        <w:tab/>
        <w:t>Conditions applying to exemptions under clause 5</w:t>
      </w:r>
      <w:bookmarkEnd w:id="21"/>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the relevant premises;</w:t>
      </w:r>
    </w:p>
    <w:p>
      <w:pPr>
        <w:pStyle w:val="Defstart"/>
      </w:pPr>
      <w:r>
        <w:rPr>
          <w:b/>
        </w:rPr>
        <w:tab/>
      </w:r>
      <w:r>
        <w:rPr>
          <w:rStyle w:val="CharDefText"/>
        </w:rPr>
        <w:t>relevant premises</w:t>
      </w:r>
      <w:r>
        <w:t xml:space="preserve"> means premises to which an exemption provided for in clause 5 applies;</w:t>
      </w:r>
    </w:p>
    <w:p>
      <w:pPr>
        <w:pStyle w:val="Defstart"/>
      </w:pPr>
      <w:r>
        <w:rPr>
          <w:b/>
        </w:rPr>
        <w:tab/>
      </w:r>
      <w:r>
        <w:rPr>
          <w:rStyle w:val="CharDefText"/>
        </w:rPr>
        <w:t>resident</w:t>
      </w:r>
      <w:r>
        <w:t>, in relation to the relevant premises, means a person who uses those premises as his or her permanent place of residence.</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the provision and maintenance of an electricity reticulation system;</w:t>
      </w:r>
    </w:p>
    <w:p>
      <w:pPr>
        <w:pStyle w:val="Indenta"/>
      </w:pPr>
      <w:r>
        <w:tab/>
        <w:t>(b)</w:t>
      </w:r>
      <w:r>
        <w:tab/>
        <w:t>the connection of the relevant premises to an electricity reticulation system;</w:t>
      </w:r>
    </w:p>
    <w:p>
      <w:pPr>
        <w:pStyle w:val="Indenta"/>
      </w:pPr>
      <w:r>
        <w:tab/>
        <w:t>(c)</w:t>
      </w:r>
      <w:r>
        <w:tab/>
        <w:t>the provision, maintenance and reading of a meter to measure and record the quantity of electricity supplied to the relevant premises;</w:t>
      </w:r>
    </w:p>
    <w:p>
      <w:pPr>
        <w:pStyle w:val="Indenta"/>
      </w:pPr>
      <w:r>
        <w:tab/>
        <w:t>(d)</w:t>
      </w:r>
      <w:r>
        <w:tab/>
        <w:t>the preparation and issue of accounts in relation to the supply of electricity to the relevant premises; and</w:t>
      </w:r>
    </w:p>
    <w:p>
      <w:pPr>
        <w:pStyle w:val="Indenta"/>
      </w:pPr>
      <w:r>
        <w:tab/>
        <w:t>(e)</w:t>
      </w:r>
      <w:r>
        <w:tab/>
        <w:t>anything incidental to or associated with a matter referred to in paragraph (a), (b), (c) or (d).</w:t>
      </w:r>
    </w:p>
    <w:p>
      <w:pPr>
        <w:pStyle w:val="Subsection"/>
      </w:pPr>
      <w:r>
        <w:tab/>
        <w:t>(4)</w:t>
      </w:r>
      <w:r>
        <w:tab/>
        <w:t>Unless subclause (5) applies, any charge imposed by the supplier for electricity supplied to the relevant premises must not exceed 13.94 cents per kilowatt hour.</w:t>
      </w:r>
    </w:p>
    <w:p>
      <w:pPr>
        <w:pStyle w:val="Subsection"/>
      </w:pPr>
      <w:r>
        <w:tab/>
        <w:t>(5)</w:t>
      </w:r>
      <w:r>
        <w:tab/>
        <w:t>If electricity supplied to the relevant premises is generated using generating works that are owned or operated by the supplier, any charge imposed by the supplier for that electricity must not exceed the amount necessary for the supplier to recover the costs of generation.</w:t>
      </w:r>
    </w:p>
    <w:p>
      <w:pPr>
        <w:pStyle w:val="Subsection"/>
      </w:pPr>
      <w:r>
        <w:tab/>
        <w:t>(6)</w:t>
      </w:r>
      <w:r>
        <w:tab/>
        <w:t>Any fees or charges imposed by the supplier for the provision of electricity services in relation to the relevant premises must not, in total, exceed 25.57 cents per day.</w:t>
      </w:r>
    </w:p>
    <w:p>
      <w:pPr>
        <w:pStyle w:val="Subsection"/>
      </w:pPr>
      <w:r>
        <w:tab/>
        <w:t>(7)</w:t>
      </w:r>
      <w:r>
        <w:tab/>
        <w:t xml:space="preserve">The supplier must make available to each resident of the relevant premises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 resident of the relevant premises, the supplier must inform the resident how to gain access to the information.</w:t>
      </w:r>
    </w:p>
    <w:p>
      <w:pPr>
        <w:pStyle w:val="Heading5"/>
      </w:pPr>
      <w:bookmarkStart w:id="22" w:name="_Toc320801961"/>
      <w:r>
        <w:rPr>
          <w:rStyle w:val="CharSectno"/>
        </w:rPr>
        <w:t>7</w:t>
      </w:r>
      <w:r>
        <w:t>.</w:t>
      </w:r>
      <w:r>
        <w:tab/>
        <w:t>Exemptions for supply to Aboriginal communities</w:t>
      </w:r>
      <w:bookmarkEnd w:id="22"/>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Retail Corporation or the Regional Power Corporation.</w:t>
      </w:r>
    </w:p>
    <w:p>
      <w:pPr>
        <w:pStyle w:val="Footnotesection"/>
      </w:pPr>
      <w:r>
        <w:tab/>
        <w:t>[Clause 7 amended in Gazette 31 Mar 2006 p. 1158.]</w:t>
      </w:r>
    </w:p>
    <w:p>
      <w:pPr>
        <w:pStyle w:val="Heading5"/>
      </w:pPr>
      <w:bookmarkStart w:id="23" w:name="_Toc320801962"/>
      <w:r>
        <w:rPr>
          <w:rStyle w:val="CharSectno"/>
        </w:rPr>
        <w:t>8</w:t>
      </w:r>
      <w:r>
        <w:t>.</w:t>
      </w:r>
      <w:r>
        <w:tab/>
        <w:t>Exemptions for operations under Pilbara Energy Project Agreement</w:t>
      </w:r>
      <w:bookmarkEnd w:id="23"/>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24" w:name="_Toc320801963"/>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24"/>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25" w:name="_Toc320801964"/>
      <w:r>
        <w:rPr>
          <w:rStyle w:val="CharSectno"/>
        </w:rPr>
        <w:t>10</w:t>
      </w:r>
      <w:r>
        <w:t>.</w:t>
      </w:r>
      <w:r>
        <w:tab/>
        <w:t>Exemptions for operations under various government agreements</w:t>
      </w:r>
      <w:bookmarkEnd w:id="25"/>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26" w:name="_Toc320801965"/>
      <w:r>
        <w:rPr>
          <w:rStyle w:val="CharSectno"/>
        </w:rPr>
        <w:t>11</w:t>
      </w:r>
      <w:r>
        <w:t>.</w:t>
      </w:r>
      <w:r>
        <w:tab/>
        <w:t>Conditions applying to exemptions under clause 10</w:t>
      </w:r>
      <w:bookmarkEnd w:id="26"/>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impose on a distributor as if the person were a distributor for the purposes of those regulations;</w:t>
      </w:r>
    </w:p>
    <w:p>
      <w:pPr>
        <w:pStyle w:val="Indenta"/>
      </w:pPr>
      <w:r>
        <w:tab/>
        <w:t>(b)</w:t>
      </w:r>
      <w:r>
        <w:tab/>
        <w:t>the person must comply with any obligation that a code provision imposes on a distributor as if the person were a distributor for the purposes of that provision.</w:t>
      </w:r>
    </w:p>
    <w:p>
      <w:pPr>
        <w:pStyle w:val="Subsection"/>
      </w:pPr>
      <w:r>
        <w:tab/>
        <w:t>(3)</w:t>
      </w:r>
      <w:r>
        <w:tab/>
        <w:t>The exemption provided for in clause 10(5) is subject to the condition that the person must comply with any obligation that a code provision imposes on a retailer as if the person were a retailer for the purposes of that provision.</w:t>
      </w:r>
    </w:p>
    <w:p>
      <w:pPr>
        <w:pStyle w:val="Heading5"/>
      </w:pPr>
      <w:bookmarkStart w:id="27" w:name="_Toc320801966"/>
      <w:r>
        <w:rPr>
          <w:rStyle w:val="CharSectno"/>
        </w:rPr>
        <w:t>12</w:t>
      </w:r>
      <w:r>
        <w:t>.</w:t>
      </w:r>
      <w:r>
        <w:tab/>
        <w:t>Exemptions for operations in DBNGP corridor</w:t>
      </w:r>
      <w:bookmarkEnd w:id="27"/>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28" w:name="_Toc320801967"/>
      <w:r>
        <w:rPr>
          <w:rStyle w:val="CharSectno"/>
        </w:rPr>
        <w:t>13</w:t>
      </w:r>
      <w:r>
        <w:t>.</w:t>
      </w:r>
      <w:r>
        <w:tab/>
        <w:t>Exemptions for Electricity Generation Corporation</w:t>
      </w:r>
      <w:bookmarkEnd w:id="28"/>
    </w:p>
    <w:p>
      <w:pPr>
        <w:pStyle w:val="Subsection"/>
      </w:pPr>
      <w:r>
        <w:tab/>
        <w:t>(1)</w:t>
      </w:r>
      <w:r>
        <w:tab/>
        <w:t xml:space="preserve">The Electricity Generation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Kemerton Trust pursuant to an agreement dated 8 December 2003 for the supply of electricity to premises located at Marriott Road, Kemerton.</w:t>
      </w:r>
    </w:p>
    <w:p>
      <w:pPr>
        <w:pStyle w:val="Footnotesection"/>
      </w:pPr>
      <w:r>
        <w:tab/>
        <w:t>[Clause 13 inserted in Gazette 31 Mar 2006 p. 1158-9.]</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9" w:name="_Toc113695922"/>
      <w:bookmarkStart w:id="30" w:name="_Toc320799991"/>
      <w:bookmarkStart w:id="31" w:name="_Toc320801968"/>
      <w:r>
        <w:t>Notes</w:t>
      </w:r>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i/>
        </w:rPr>
        <w:t>.</w:t>
      </w:r>
    </w:p>
    <w:p>
      <w:pPr>
        <w:pStyle w:val="nHeading3"/>
      </w:pPr>
      <w:bookmarkStart w:id="32" w:name="_Toc70311430"/>
      <w:bookmarkStart w:id="33" w:name="_Toc113695923"/>
      <w:bookmarkStart w:id="34" w:name="_Toc320801969"/>
      <w:r>
        <w:t>Compilation table</w:t>
      </w:r>
      <w:bookmarkEnd w:id="32"/>
      <w:bookmarkEnd w:id="33"/>
      <w:bookmarkEnd w:id="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
                <w:sz w:val="19"/>
              </w:rPr>
            </w:pPr>
            <w:r>
              <w:rPr>
                <w:i/>
                <w:sz w:val="19"/>
              </w:rPr>
              <w:t>Electricity Industry Exemption Order 2005</w:t>
            </w:r>
          </w:p>
        </w:tc>
        <w:tc>
          <w:tcPr>
            <w:tcW w:w="1276" w:type="dxa"/>
            <w:tcBorders>
              <w:bottom w:val="nil"/>
            </w:tcBorders>
          </w:tcPr>
          <w:p>
            <w:pPr>
              <w:pStyle w:val="nTable"/>
              <w:spacing w:after="40"/>
              <w:rPr>
                <w:sz w:val="19"/>
              </w:rPr>
            </w:pPr>
            <w:r>
              <w:rPr>
                <w:sz w:val="19"/>
              </w:rPr>
              <w:t>9 Dec 2005 p. 5878-84</w:t>
            </w:r>
          </w:p>
        </w:tc>
        <w:tc>
          <w:tcPr>
            <w:tcW w:w="2693" w:type="dxa"/>
            <w:tcBorders>
              <w:bottom w:val="nil"/>
            </w:tcBorders>
          </w:tcPr>
          <w:p>
            <w:pPr>
              <w:pStyle w:val="nTable"/>
              <w:spacing w:after="40"/>
              <w:rPr>
                <w:sz w:val="19"/>
              </w:rPr>
            </w:pPr>
            <w:r>
              <w:rPr>
                <w:sz w:val="19"/>
              </w:rPr>
              <w:t>1 Jan 2006 (see cl. 2)</w:t>
            </w:r>
          </w:p>
        </w:tc>
      </w:tr>
      <w:tr>
        <w:tc>
          <w:tcPr>
            <w:tcW w:w="3118" w:type="dxa"/>
            <w:tcBorders>
              <w:top w:val="nil"/>
              <w:bottom w:val="single" w:sz="4" w:space="0" w:color="auto"/>
            </w:tcBorders>
          </w:tcPr>
          <w:p>
            <w:pPr>
              <w:pStyle w:val="nTable"/>
              <w:spacing w:after="40"/>
              <w:rPr>
                <w:i/>
                <w:sz w:val="19"/>
              </w:rPr>
            </w:pPr>
            <w:r>
              <w:rPr>
                <w:i/>
                <w:sz w:val="19"/>
              </w:rPr>
              <w:t>Electricity Industry Exemption Amendment Order 2006</w:t>
            </w:r>
          </w:p>
        </w:tc>
        <w:tc>
          <w:tcPr>
            <w:tcW w:w="1276" w:type="dxa"/>
            <w:tcBorders>
              <w:top w:val="nil"/>
              <w:bottom w:val="single" w:sz="4" w:space="0" w:color="auto"/>
            </w:tcBorders>
          </w:tcPr>
          <w:p>
            <w:pPr>
              <w:pStyle w:val="nTable"/>
              <w:spacing w:after="40"/>
              <w:rPr>
                <w:sz w:val="19"/>
              </w:rPr>
            </w:pPr>
            <w:r>
              <w:rPr>
                <w:sz w:val="19"/>
              </w:rPr>
              <w:t>31 Mar 2006 p. 1158-9</w:t>
            </w:r>
          </w:p>
        </w:tc>
        <w:tc>
          <w:tcPr>
            <w:tcW w:w="2693" w:type="dxa"/>
            <w:tcBorders>
              <w:top w:val="nil"/>
              <w:bottom w:val="single" w:sz="4" w:space="0" w:color="auto"/>
            </w:tcBorders>
          </w:tcPr>
          <w:p>
            <w:pPr>
              <w:pStyle w:val="nTable"/>
              <w:spacing w:after="40"/>
              <w:rPr>
                <w:sz w:val="19"/>
              </w:rPr>
            </w:pPr>
            <w:r>
              <w:rPr>
                <w:sz w:val="19"/>
              </w:rPr>
              <w:t>1 Apr 2006 (see cl. 2)</w:t>
            </w: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Heading2"/>
        <w:rPr>
          <w:sz w:val="28"/>
        </w:rPr>
      </w:pPr>
      <w:bookmarkStart w:id="35" w:name="_Toc320799993"/>
      <w:bookmarkStart w:id="36" w:name="_Toc320801970"/>
      <w:r>
        <w:rPr>
          <w:sz w:val="28"/>
        </w:rPr>
        <w:t>Defined Terms</w:t>
      </w:r>
      <w:bookmarkEnd w:id="35"/>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 w:name="DefinedTerms"/>
      <w:bookmarkEnd w:id="37"/>
      <w:r>
        <w:t>Aboriginal community</w:t>
      </w:r>
      <w:r>
        <w:tab/>
        <w:t>7(1)</w:t>
      </w:r>
    </w:p>
    <w:p>
      <w:pPr>
        <w:pStyle w:val="DefinedTerms"/>
      </w:pPr>
      <w:r>
        <w:t>Aboriginal community premises</w:t>
      </w:r>
      <w:r>
        <w:tab/>
        <w:t>7(1)</w:t>
      </w:r>
    </w:p>
    <w:p>
      <w:pPr>
        <w:pStyle w:val="DefinedTerms"/>
      </w:pPr>
      <w:r>
        <w:t>administering body</w:t>
      </w:r>
      <w:r>
        <w:tab/>
        <w:t>5(1)</w:t>
      </w:r>
    </w:p>
    <w:p>
      <w:pPr>
        <w:pStyle w:val="DefinedTerms"/>
      </w:pPr>
      <w:r>
        <w:t>code provision</w:t>
      </w:r>
      <w:r>
        <w:tab/>
        <w:t>11(1)</w:t>
      </w:r>
    </w:p>
    <w:p>
      <w:pPr>
        <w:pStyle w:val="DefinedTerms"/>
      </w:pPr>
      <w:r>
        <w:t>commercial premises</w:t>
      </w:r>
      <w:r>
        <w:tab/>
        <w:t>4(1)</w:t>
      </w:r>
    </w:p>
    <w:p>
      <w:pPr>
        <w:pStyle w:val="DefinedTerms"/>
      </w:pPr>
      <w:r>
        <w:t>connection point</w:t>
      </w:r>
      <w:r>
        <w:tab/>
        <w:t>3(1)</w:t>
      </w:r>
    </w:p>
    <w:p>
      <w:pPr>
        <w:pStyle w:val="DefinedTerms"/>
      </w:pPr>
      <w:r>
        <w:t>DBNGP corridor</w:t>
      </w:r>
      <w:r>
        <w:tab/>
        <w:t>12(1)</w:t>
      </w:r>
    </w:p>
    <w:p>
      <w:pPr>
        <w:pStyle w:val="DefinedTerms"/>
      </w:pPr>
      <w:r>
        <w:t>DBNGP Transmission</w:t>
      </w:r>
      <w:r>
        <w:tab/>
        <w:t>12(1)</w:t>
      </w:r>
    </w:p>
    <w:p>
      <w:pPr>
        <w:pStyle w:val="DefinedTerms"/>
      </w:pPr>
      <w:r>
        <w:t>electricity reticulation system</w:t>
      </w:r>
      <w:r>
        <w:tab/>
        <w:t>6(1)</w:t>
      </w:r>
    </w:p>
    <w:p>
      <w:pPr>
        <w:pStyle w:val="DefinedTerms"/>
      </w:pPr>
      <w:r>
        <w:t>generation capacity</w:t>
      </w:r>
      <w:r>
        <w:tab/>
        <w:t>3(1)</w:t>
      </w:r>
    </w:p>
    <w:p>
      <w:pPr>
        <w:pStyle w:val="DefinedTerms"/>
      </w:pPr>
      <w:r>
        <w:t>PEP Agreement</w:t>
      </w:r>
      <w:r>
        <w:tab/>
        <w:t>8(1)</w:t>
      </w:r>
    </w:p>
    <w:p>
      <w:pPr>
        <w:pStyle w:val="DefinedTerms"/>
      </w:pPr>
      <w:r>
        <w:t>relevant agreement</w:t>
      </w:r>
      <w:r>
        <w:tab/>
        <w:t>10(1)</w:t>
      </w:r>
    </w:p>
    <w:p>
      <w:pPr>
        <w:pStyle w:val="DefinedTerms"/>
      </w:pPr>
      <w:r>
        <w:t>relevant premises</w:t>
      </w:r>
      <w:r>
        <w:tab/>
        <w:t>6(1)</w:t>
      </w:r>
    </w:p>
    <w:p>
      <w:pPr>
        <w:pStyle w:val="DefinedTerms"/>
      </w:pPr>
      <w:r>
        <w:t>resident</w:t>
      </w:r>
      <w:r>
        <w:tab/>
        <w:t>6(1)</w:t>
      </w:r>
    </w:p>
    <w:p>
      <w:pPr>
        <w:pStyle w:val="DefinedTerms"/>
      </w:pPr>
      <w:r>
        <w:t>residential premises</w:t>
      </w:r>
      <w:r>
        <w:tab/>
        <w:t>5(1)</w:t>
      </w:r>
    </w:p>
    <w:p>
      <w:pPr>
        <w:pStyle w:val="DefinedTerms"/>
      </w:pPr>
      <w:r>
        <w:t>retirement village</w:t>
      </w:r>
      <w:r>
        <w:tab/>
        <w:t>5(1)</w:t>
      </w:r>
    </w:p>
    <w:p>
      <w:pPr>
        <w:pStyle w:val="DefinedTerms"/>
      </w:pPr>
      <w:r>
        <w:t>scheme</w:t>
      </w:r>
      <w:r>
        <w:tab/>
        <w:t>4(1), 5(1)</w:t>
      </w:r>
    </w:p>
    <w:p>
      <w:pPr>
        <w:pStyle w:val="DefinedTerms"/>
      </w:pPr>
      <w:r>
        <w:t>strata company</w:t>
      </w:r>
      <w:r>
        <w:tab/>
        <w:t>4(1), 5(1)</w:t>
      </w:r>
    </w:p>
    <w:p>
      <w:pPr>
        <w:pStyle w:val="DefinedTerms"/>
      </w:pPr>
      <w:r>
        <w:t>supplier</w:t>
      </w:r>
      <w:r>
        <w:tab/>
        <w:t>4(2), 4(3), 4(4), 5(2), 5(3)</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Exemption Order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043"/>
    <w:docVar w:name="WAFER_20151207122043" w:val="RemoveTrackChanges"/>
    <w:docVar w:name="WAFER_20151207122043_GUID" w:val="2e2a5b96-2c89-428a-aefc-fdb937dbce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2676</Words>
  <Characters>13920</Characters>
  <Application>Microsoft Office Word</Application>
  <DocSecurity>0</DocSecurity>
  <Lines>386</Lines>
  <Paragraphs>221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2005 - 00-b0-02</dc:title>
  <dc:subject/>
  <dc:creator/>
  <cp:keywords/>
  <dc:description/>
  <cp:lastModifiedBy>svcMRProcess</cp:lastModifiedBy>
  <cp:revision>4</cp:revision>
  <cp:lastPrinted>2012-03-29T07:14:00Z</cp:lastPrinted>
  <dcterms:created xsi:type="dcterms:W3CDTF">2018-09-18T22:24:00Z</dcterms:created>
  <dcterms:modified xsi:type="dcterms:W3CDTF">2018-09-18T22:24:00Z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CommencementDate">
    <vt:lpwstr>20060401</vt:lpwstr>
  </property>
  <property fmtid="{D5CDD505-2E9C-101B-9397-08002B2CF9AE}" pid="4" name="AsAtDate">
    <vt:lpwstr>01 Apr 2006</vt:lpwstr>
  </property>
  <property fmtid="{D5CDD505-2E9C-101B-9397-08002B2CF9AE}" pid="5" name="Suffix">
    <vt:lpwstr>00-b0-02</vt:lpwstr>
  </property>
  <property fmtid="{D5CDD505-2E9C-101B-9397-08002B2CF9AE}" pid="6" name="DocumentType">
    <vt:lpwstr>Reg</vt:lpwstr>
  </property>
</Properties>
</file>