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_Toc320861396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_Toc320861397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_Toc320861398 \h </w:instrText>
      </w:r>
      <w:r>
        <w:fldChar w:fldCharType="separate"/>
      </w:r>
      <w:r>
        <w:t>1</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_Toc320861399 \h </w:instrText>
      </w:r>
      <w:r>
        <w:fldChar w:fldCharType="separate"/>
      </w:r>
      <w:r>
        <w:t>2</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_Toc320861400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_Toc320861401 \h </w:instrText>
      </w:r>
      <w:r>
        <w:fldChar w:fldCharType="separate"/>
      </w:r>
      <w:r>
        <w:t>4</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_Toc320861402 \h </w:instrText>
      </w:r>
      <w:r>
        <w:fldChar w:fldCharType="separate"/>
      </w:r>
      <w:r>
        <w:t>5</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_Toc320861403 \h </w:instrText>
      </w:r>
      <w:r>
        <w:fldChar w:fldCharType="separate"/>
      </w:r>
      <w:r>
        <w:t>6</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_Toc320861404 \h </w:instrText>
      </w:r>
      <w:r>
        <w:fldChar w:fldCharType="separate"/>
      </w:r>
      <w:r>
        <w:t>7</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_Toc320861405 \h </w:instrText>
      </w:r>
      <w:r>
        <w:fldChar w:fldCharType="separate"/>
      </w:r>
      <w:r>
        <w:t>7</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_Toc320861406 \h </w:instrText>
      </w:r>
      <w:r>
        <w:fldChar w:fldCharType="separate"/>
      </w:r>
      <w:r>
        <w:t>8</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_Toc320861407 \h </w:instrText>
      </w:r>
      <w:r>
        <w:fldChar w:fldCharType="separate"/>
      </w:r>
      <w:r>
        <w:t>9</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_Toc320861408 \h </w:instrText>
      </w:r>
      <w:r>
        <w:fldChar w:fldCharType="separate"/>
      </w:r>
      <w:r>
        <w:t>10</w:t>
      </w:r>
      <w:r>
        <w:fldChar w:fldCharType="end"/>
      </w:r>
    </w:p>
    <w:p>
      <w:pPr>
        <w:pStyle w:val="TOC8"/>
        <w:rPr>
          <w:sz w:val="24"/>
          <w:szCs w:val="24"/>
          <w:lang w:val="en-US"/>
        </w:rPr>
      </w:pPr>
      <w:r>
        <w:t>14.</w:t>
      </w:r>
      <w:r>
        <w:tab/>
        <w:t>Exemptions for Fremantle Port Authority</w:t>
      </w:r>
      <w:r>
        <w:tab/>
      </w:r>
      <w:r>
        <w:fldChar w:fldCharType="begin"/>
      </w:r>
      <w:r>
        <w:instrText xml:space="preserve"> PAGEREF _Toc320861409 \h </w:instrText>
      </w:r>
      <w:r>
        <w:fldChar w:fldCharType="separate"/>
      </w:r>
      <w:r>
        <w:t>10</w:t>
      </w:r>
      <w:r>
        <w:fldChar w:fldCharType="end"/>
      </w:r>
    </w:p>
    <w:p>
      <w:pPr>
        <w:pStyle w:val="TOC8"/>
        <w:rPr>
          <w:sz w:val="24"/>
          <w:szCs w:val="24"/>
          <w:lang w:val="en-US"/>
        </w:rPr>
      </w:pPr>
      <w:r>
        <w:t>15.</w:t>
      </w:r>
      <w:r>
        <w:tab/>
        <w:t>Exemptions for supply in Eucla</w:t>
      </w:r>
      <w:r>
        <w:tab/>
      </w:r>
      <w:r>
        <w:fldChar w:fldCharType="begin"/>
      </w:r>
      <w:r>
        <w:instrText xml:space="preserve"> PAGEREF _Toc320861410 \h </w:instrText>
      </w:r>
      <w:r>
        <w:fldChar w:fldCharType="separate"/>
      </w:r>
      <w:r>
        <w:t>11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_Toc320861412 \h </w:instrText>
      </w:r>
      <w:r>
        <w:fldChar w:fldCharType="separate"/>
      </w:r>
      <w:r>
        <w:t>12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861396"/>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86139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861398"/>
      <w:r>
        <w:rPr>
          <w:rStyle w:val="CharSectno"/>
        </w:rPr>
        <w:t>3</w:t>
      </w:r>
      <w:r>
        <w:t>.</w:t>
      </w:r>
      <w:r>
        <w:tab/>
        <w:t>Exemption for generating works under 30 MW</w:t>
      </w:r>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and arrangements set out in the </w:t>
      </w:r>
      <w:r>
        <w:rPr>
          <w:i/>
          <w:iCs/>
        </w:rPr>
        <w:t>Electricity Industry Metering Code 2005</w:t>
      </w:r>
      <w:r>
        <w:t>.</w:t>
      </w:r>
    </w:p>
    <w:p>
      <w:pPr>
        <w:pStyle w:val="Heading5"/>
      </w:pPr>
      <w:bookmarkStart w:id="19" w:name="_Toc320861399"/>
      <w:r>
        <w:rPr>
          <w:rStyle w:val="CharSectno"/>
        </w:rPr>
        <w:t>4</w:t>
      </w:r>
      <w:r>
        <w:t>.</w:t>
      </w:r>
      <w:r>
        <w:tab/>
        <w:t>Exemptions for on</w:t>
      </w:r>
      <w:r>
        <w:noBreakHyphen/>
        <w:t>supply to commercial premises</w:t>
      </w:r>
      <w:bookmarkEnd w:id="19"/>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0" w:name="_Toc320861400"/>
      <w:r>
        <w:rPr>
          <w:rStyle w:val="CharSectno"/>
        </w:rPr>
        <w:t>5</w:t>
      </w:r>
      <w:r>
        <w:t>.</w:t>
      </w:r>
      <w:r>
        <w:tab/>
        <w:t>Exemptions for on</w:t>
      </w:r>
      <w:r>
        <w:noBreakHyphen/>
        <w:t>supply to residential premises</w:t>
      </w:r>
      <w:bookmarkEnd w:id="2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861401"/>
      <w:r>
        <w:rPr>
          <w:rStyle w:val="CharSectno"/>
        </w:rPr>
        <w:t>6</w:t>
      </w:r>
      <w:r>
        <w:t>.</w:t>
      </w:r>
      <w:r>
        <w:tab/>
        <w:t>Conditions applying to exemptions under clause 5</w:t>
      </w:r>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2" w:name="_Toc320861402"/>
      <w:r>
        <w:rPr>
          <w:rStyle w:val="CharSectno"/>
        </w:rPr>
        <w:t>7</w:t>
      </w:r>
      <w:r>
        <w:t>.</w:t>
      </w:r>
      <w:r>
        <w:tab/>
        <w:t>Exemptions for supply to Aboriginal communities</w:t>
      </w:r>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3" w:name="_Toc320861403"/>
      <w:r>
        <w:rPr>
          <w:rStyle w:val="CharSectno"/>
        </w:rPr>
        <w:t>8</w:t>
      </w:r>
      <w:r>
        <w:t>.</w:t>
      </w:r>
      <w:r>
        <w:tab/>
        <w:t>Exemptions for operations under Pilbara Energy Project Agreement</w:t>
      </w:r>
      <w:bookmarkEnd w:id="23"/>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4" w:name="_Toc320861404"/>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4"/>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5" w:name="_Toc320861405"/>
      <w:r>
        <w:rPr>
          <w:rStyle w:val="CharSectno"/>
        </w:rPr>
        <w:t>10</w:t>
      </w:r>
      <w:r>
        <w:t>.</w:t>
      </w:r>
      <w:r>
        <w:tab/>
        <w:t>Exemptions for operations under various government agreements</w:t>
      </w:r>
      <w:bookmarkEnd w:id="25"/>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6" w:name="_Toc320861406"/>
      <w:r>
        <w:rPr>
          <w:rStyle w:val="CharSectno"/>
        </w:rPr>
        <w:t>11</w:t>
      </w:r>
      <w:r>
        <w:t>.</w:t>
      </w:r>
      <w:r>
        <w:tab/>
        <w:t>Conditions applying to exemptions under clause 10</w:t>
      </w:r>
      <w:bookmarkEnd w:id="26"/>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7" w:name="_Toc320861407"/>
      <w:r>
        <w:rPr>
          <w:rStyle w:val="CharSectno"/>
        </w:rPr>
        <w:t>12</w:t>
      </w:r>
      <w:r>
        <w:t>.</w:t>
      </w:r>
      <w:r>
        <w:tab/>
        <w:t>Exemptions for operations in DBNGP corridor</w:t>
      </w:r>
      <w:bookmarkEnd w:id="27"/>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8" w:name="_Toc320861408"/>
      <w:r>
        <w:rPr>
          <w:rStyle w:val="CharSectno"/>
        </w:rPr>
        <w:t>13</w:t>
      </w:r>
      <w:r>
        <w:t>.</w:t>
      </w:r>
      <w:r>
        <w:tab/>
        <w:t>Exemptions for Electricity Generation Corporation</w:t>
      </w:r>
      <w:bookmarkEnd w:id="28"/>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Kemerton Trust pursuant to an agreement dated 8 December 2003 for the supply of electricity to premises located at Marriott Road, Kemerton.</w:t>
      </w:r>
    </w:p>
    <w:p>
      <w:pPr>
        <w:pStyle w:val="Footnotesection"/>
      </w:pPr>
      <w:r>
        <w:tab/>
        <w:t>[Clause 13 inserted in Gazette 31 Mar 2006 p. 1158-9.]</w:t>
      </w:r>
    </w:p>
    <w:p>
      <w:pPr>
        <w:pStyle w:val="Heading5"/>
      </w:pPr>
      <w:bookmarkStart w:id="29" w:name="_Toc320861409"/>
      <w:r>
        <w:t>14.</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9"/>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1188.]</w:t>
      </w:r>
    </w:p>
    <w:p>
      <w:pPr>
        <w:pStyle w:val="Heading5"/>
      </w:pPr>
      <w:bookmarkStart w:id="30" w:name="_Toc320861410"/>
      <w:r>
        <w:rPr>
          <w:rStyle w:val="CharSectno"/>
        </w:rPr>
        <w:t>15</w:t>
      </w:r>
      <w:r>
        <w:t>.</w:t>
      </w:r>
      <w:r>
        <w:tab/>
        <w:t>Exemptions for supply in Eucla</w:t>
      </w:r>
      <w:bookmarkEnd w:id="30"/>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1188.]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1" w:name="_Toc113695922"/>
      <w:bookmarkStart w:id="32" w:name="_Toc320799991"/>
      <w:bookmarkStart w:id="33" w:name="_Toc320801968"/>
      <w:bookmarkStart w:id="34" w:name="_Toc320861411"/>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5" w:name="_Toc70311430"/>
      <w:bookmarkStart w:id="36" w:name="_Toc113695923"/>
      <w:bookmarkStart w:id="37" w:name="_Toc320861412"/>
      <w:r>
        <w:t>Compilation table</w:t>
      </w:r>
      <w:bookmarkEnd w:id="35"/>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single" w:sz="4" w:space="0" w:color="auto"/>
            </w:tcBorders>
          </w:tcPr>
          <w:p>
            <w:pPr>
              <w:pStyle w:val="nTable"/>
              <w:spacing w:after="40"/>
              <w:rPr>
                <w:i/>
                <w:sz w:val="19"/>
              </w:rPr>
            </w:pPr>
            <w:r>
              <w:rPr>
                <w:i/>
                <w:sz w:val="19"/>
              </w:rPr>
              <w:t>Electricity Industry Exemption Amendment Order (No. 3) 2006</w:t>
            </w:r>
          </w:p>
        </w:tc>
        <w:tc>
          <w:tcPr>
            <w:tcW w:w="1276" w:type="dxa"/>
            <w:tcBorders>
              <w:top w:val="nil"/>
              <w:bottom w:val="single" w:sz="4" w:space="0" w:color="auto"/>
            </w:tcBorders>
          </w:tcPr>
          <w:p>
            <w:pPr>
              <w:pStyle w:val="nTable"/>
              <w:spacing w:after="40"/>
              <w:rPr>
                <w:sz w:val="19"/>
              </w:rPr>
            </w:pPr>
            <w:r>
              <w:rPr>
                <w:sz w:val="19"/>
              </w:rPr>
              <w:t>27 Jun 2006 p. 2287-8</w:t>
            </w:r>
          </w:p>
        </w:tc>
        <w:tc>
          <w:tcPr>
            <w:tcW w:w="2693" w:type="dxa"/>
            <w:tcBorders>
              <w:top w:val="nil"/>
              <w:bottom w:val="single" w:sz="4" w:space="0" w:color="auto"/>
            </w:tcBorders>
          </w:tcPr>
          <w:p>
            <w:pPr>
              <w:pStyle w:val="nTable"/>
              <w:spacing w:after="40"/>
              <w:rPr>
                <w:sz w:val="19"/>
              </w:rPr>
            </w:pPr>
            <w:r>
              <w:rPr>
                <w:sz w:val="19"/>
              </w:rPr>
              <w:t>1 Jul 2006 (see cl.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bookmarkStart w:id="38" w:name="_Toc320799993"/>
      <w:bookmarkStart w:id="39" w:name="_Toc320801970"/>
      <w:bookmarkStart w:id="40" w:name="_Toc320861413"/>
      <w:r>
        <w:rPr>
          <w:sz w:val="28"/>
        </w:rPr>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code provision</w:t>
      </w:r>
      <w:r>
        <w:tab/>
        <w:t>11(1)</w:t>
      </w:r>
    </w:p>
    <w:p>
      <w:pPr>
        <w:pStyle w:val="DefinedTerms"/>
      </w:pPr>
      <w:r>
        <w:t>commercial premises</w:t>
      </w:r>
      <w:r>
        <w:tab/>
        <w:t>4(1)</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4(2), 4(3), 4(4), 5(2), 5(3)</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3133</Words>
  <Characters>16203</Characters>
  <Application>Microsoft Office Word</Application>
  <DocSecurity>0</DocSecurity>
  <Lines>437</Lines>
  <Paragraphs>254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2005 - 00-c0-02</dc:title>
  <dc:subject/>
  <dc:creator/>
  <cp:keywords/>
  <dc:description/>
  <cp:lastModifiedBy>svcMRProcess</cp:lastModifiedBy>
  <cp:revision>4</cp:revision>
  <cp:lastPrinted>2012-03-29T07:14:00Z</cp:lastPrinted>
  <dcterms:created xsi:type="dcterms:W3CDTF">2018-09-18T22:39:00Z</dcterms:created>
  <dcterms:modified xsi:type="dcterms:W3CDTF">2018-09-18T22:39:00Z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20060701</vt:lpwstr>
  </property>
  <property fmtid="{D5CDD505-2E9C-101B-9397-08002B2CF9AE}" pid="4" name="AsAtDate">
    <vt:lpwstr>01 Jul 2006</vt:lpwstr>
  </property>
  <property fmtid="{D5CDD505-2E9C-101B-9397-08002B2CF9AE}" pid="5" name="Suffix">
    <vt:lpwstr>00-c0-02</vt:lpwstr>
  </property>
  <property fmtid="{D5CDD505-2E9C-101B-9397-08002B2CF9AE}" pid="6" name="DocumentType">
    <vt:lpwstr>Reg</vt:lpwstr>
  </property>
</Properties>
</file>