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 Day (Renaming)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 Day (Renaming) Act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ab/>
        <w:t>Background</w:t>
      </w:r>
      <w:r>
        <w:tab/>
      </w:r>
      <w:r>
        <w:fldChar w:fldCharType="begin"/>
      </w:r>
      <w:r>
        <w:instrText xml:space="preserve"> PAGEREF _Toc536182782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_Toc536182784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_Toc536182785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Renaming</w:t>
      </w:r>
      <w:r>
        <w:tab/>
      </w:r>
      <w:r>
        <w:fldChar w:fldCharType="begin"/>
      </w:r>
      <w:r>
        <w:instrText xml:space="preserve"> PAGEREF _Toc536182786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Public and Bank Holidays Act 1972</w:t>
      </w:r>
      <w:r>
        <w:t xml:space="preserve"> amended</w:t>
      </w:r>
    </w:p>
    <w:p>
      <w:pPr>
        <w:pStyle w:val="TOC8"/>
        <w:rPr>
          <w:rFonts w:asciiTheme="minorHAnsi" w:eastAsiaTheme="minorEastAsia" w:hAnsiTheme="minorHAnsi" w:cstheme="minorBidi"/>
          <w:szCs w:val="22"/>
        </w:rPr>
      </w:pPr>
      <w:r>
        <w:t>4.</w:t>
      </w:r>
      <w:r>
        <w:tab/>
        <w:t>Act amended</w:t>
      </w:r>
      <w:r>
        <w:tab/>
      </w:r>
      <w:r>
        <w:fldChar w:fldCharType="begin"/>
      </w:r>
      <w:r>
        <w:instrText xml:space="preserve"> PAGEREF _Toc536182789 \h </w:instrText>
      </w:r>
      <w:r>
        <w:fldChar w:fldCharType="separate"/>
      </w:r>
      <w:r>
        <w:t>4</w:t>
      </w:r>
      <w:r>
        <w:fldChar w:fldCharType="end"/>
      </w:r>
    </w:p>
    <w:p>
      <w:pPr>
        <w:pStyle w:val="TOC8"/>
        <w:rPr>
          <w:rFonts w:asciiTheme="minorHAnsi" w:eastAsiaTheme="minorEastAsia" w:hAnsiTheme="minorHAnsi" w:cstheme="minorBidi"/>
          <w:szCs w:val="22"/>
        </w:rPr>
      </w:pPr>
      <w:r>
        <w:t>5.</w:t>
      </w:r>
      <w:r>
        <w:tab/>
        <w:t>Second Schedule amended</w:t>
      </w:r>
      <w:r>
        <w:tab/>
      </w:r>
      <w:r>
        <w:fldChar w:fldCharType="begin"/>
      </w:r>
      <w:r>
        <w:instrText xml:space="preserve"> PAGEREF _Toc536182790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Minimum Conditions of Employment Act 1993</w:t>
      </w:r>
      <w:r>
        <w:t> amended</w:t>
      </w:r>
    </w:p>
    <w:p>
      <w:pPr>
        <w:pStyle w:val="TOC8"/>
        <w:rPr>
          <w:rFonts w:asciiTheme="minorHAnsi" w:eastAsiaTheme="minorEastAsia" w:hAnsiTheme="minorHAnsi" w:cstheme="minorBidi"/>
          <w:szCs w:val="22"/>
        </w:rPr>
      </w:pPr>
      <w:r>
        <w:t>6.</w:t>
      </w:r>
      <w:r>
        <w:tab/>
        <w:t>Act amended</w:t>
      </w:r>
      <w:r>
        <w:tab/>
      </w:r>
      <w:r>
        <w:fldChar w:fldCharType="begin"/>
      </w:r>
      <w:r>
        <w:instrText xml:space="preserve"> PAGEREF _Toc536182792 \h </w:instrText>
      </w:r>
      <w:r>
        <w:fldChar w:fldCharType="separate"/>
      </w:r>
      <w:r>
        <w:t>4</w:t>
      </w:r>
      <w:r>
        <w:fldChar w:fldCharType="end"/>
      </w:r>
    </w:p>
    <w:p>
      <w:pPr>
        <w:pStyle w:val="TOC8"/>
        <w:rPr>
          <w:rFonts w:asciiTheme="minorHAnsi" w:eastAsiaTheme="minorEastAsia" w:hAnsiTheme="minorHAnsi" w:cstheme="minorBidi"/>
          <w:szCs w:val="22"/>
        </w:rPr>
      </w:pPr>
      <w:r>
        <w:t>7.</w:t>
      </w:r>
      <w:r>
        <w:tab/>
        <w:t>Schedule 1 amended</w:t>
      </w:r>
      <w:r>
        <w:tab/>
      </w:r>
      <w:r>
        <w:fldChar w:fldCharType="begin"/>
      </w:r>
      <w:r>
        <w:instrText xml:space="preserve"> PAGEREF _Toc536182793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_Toc536182795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t>Western Australia</w:t>
      </w:r>
    </w:p>
    <w:p>
      <w:pPr>
        <w:pStyle w:val="NameofActReg"/>
        <w:suppressLineNumbers/>
      </w:pPr>
      <w:smartTag w:uri="urn:schemas-microsoft-com:office:smarttags" w:element="State">
        <w:smartTag w:uri="urn:schemas-microsoft-com:office:smarttags" w:element="place">
          <w:r>
            <w:t>Western Australia</w:t>
          </w:r>
        </w:smartTag>
      </w:smartTag>
      <w:r>
        <w:t xml:space="preserve"> Day (Renaming) Act 2012</w:t>
      </w:r>
    </w:p>
    <w:p>
      <w:pPr>
        <w:pStyle w:val="LongTitle"/>
        <w:suppressLineNumbers/>
      </w:pPr>
      <w:bookmarkStart w:id="3" w:name="BillCited"/>
      <w:bookmarkEnd w:id="3"/>
      <w:r>
        <w:rPr>
          <w:snapToGrid w:val="0"/>
        </w:rPr>
        <w:t xml:space="preserve">An Act to rename Foundation Day to Western Australia Day and accordingly to amend the </w:t>
      </w:r>
      <w:r>
        <w:rPr>
          <w:i/>
          <w:iCs/>
        </w:rPr>
        <w:t>Public and Bank Holidays Act 1972</w:t>
      </w:r>
      <w:r>
        <w:rPr>
          <w:iCs/>
        </w:rPr>
        <w:t xml:space="preserve"> </w:t>
      </w:r>
      <w:r>
        <w:t xml:space="preserve">and the </w:t>
      </w:r>
      <w:r>
        <w:rPr>
          <w:i/>
          <w:iCs/>
        </w:rPr>
        <w:t>Minimum Conditions of Employment Act 1993</w:t>
      </w:r>
      <w:r>
        <w:t xml:space="preserve"> 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r>
        <w:t xml:space="preserve"> </w:t>
      </w:r>
    </w:p>
    <w:p>
      <w:pPr>
        <w:pStyle w:val="Heading5"/>
        <w:pageBreakBefore/>
      </w:pPr>
      <w:bookmarkStart w:id="4" w:name="_Toc377569419"/>
      <w:bookmarkStart w:id="5" w:name="_Toc536182782"/>
      <w:r>
        <w:tab/>
        <w:t>Background</w:t>
      </w:r>
      <w:bookmarkEnd w:id="4"/>
      <w:bookmarkEnd w:id="5"/>
    </w:p>
    <w:p>
      <w:pPr>
        <w:pStyle w:val="Subsection"/>
      </w:pPr>
      <w:r>
        <w:tab/>
      </w:r>
      <w:r>
        <w:tab/>
        <w:t>Whereas:</w:t>
      </w:r>
    </w:p>
    <w:p>
      <w:pPr>
        <w:pStyle w:val="Indenta"/>
      </w:pPr>
      <w:r>
        <w:tab/>
        <w:t>A.</w:t>
      </w:r>
      <w:r>
        <w:tab/>
        <w:t>The 1st of June in 1829 was the day when the first European settlers, under the command of Captain James Stirling RN, Lieutenant Governor, arrived from Britain to settle the Swan River Colony; and</w:t>
      </w:r>
    </w:p>
    <w:p>
      <w:pPr>
        <w:pStyle w:val="Indenta"/>
      </w:pPr>
      <w:r>
        <w:tab/>
        <w:t>B.</w:t>
      </w:r>
      <w:r>
        <w:tab/>
        <w:t>Foundation Day is celebrated on the first Monday of June each year to mark this important event for Western Australians; and</w:t>
      </w:r>
    </w:p>
    <w:p>
      <w:pPr>
        <w:pStyle w:val="Indenta"/>
      </w:pPr>
      <w:r>
        <w:tab/>
        <w:t>C.</w:t>
      </w:r>
      <w:r>
        <w:tab/>
        <w:t xml:space="preserve">Foundation Day acknowledges our indigenous people as the original inhabitants and traditional custodians of the land and unites all who have made Western </w:t>
      </w:r>
      <w:smartTag w:uri="urn:schemas-microsoft-com:office:smarttags" w:element="place">
        <w:smartTag w:uri="urn:schemas-microsoft-com:office:smarttags" w:element="country-region">
          <w:r>
            <w:t>Australia</w:t>
          </w:r>
        </w:smartTag>
      </w:smartTag>
      <w:r>
        <w:t xml:space="preserve"> their home, </w:t>
      </w:r>
    </w:p>
    <w:p>
      <w:pPr>
        <w:pStyle w:val="Subsection"/>
      </w:pPr>
      <w:r>
        <w:tab/>
      </w:r>
      <w:r>
        <w:tab/>
        <w:t>it is, 182 years later, now appropriate that Foundation Day be known as Western Australia Day.</w:t>
      </w:r>
    </w:p>
    <w:p>
      <w:pPr>
        <w:pStyle w:val="Subsection"/>
        <w:rPr>
          <w:rStyle w:val="CharPartNo"/>
        </w:rPr>
        <w:sectPr>
          <w:headerReference w:type="even" r:id="rId21"/>
          <w:headerReference w:type="default" r:id="rId22"/>
          <w:headerReference w:type="first" r:id="rId23"/>
          <w:type w:val="oddPage"/>
          <w:pgSz w:w="11907" w:h="16840" w:code="9"/>
          <w:pgMar w:top="2376" w:right="2404" w:bottom="3544" w:left="2404" w:header="709" w:footer="3380" w:gutter="0"/>
          <w:pgNumType w:start="1"/>
          <w:cols w:space="720"/>
          <w:noEndnote/>
          <w:titlePg/>
          <w:docGrid w:linePitch="78"/>
        </w:sectPr>
      </w:pPr>
    </w:p>
    <w:p>
      <w:pPr>
        <w:pStyle w:val="Heading2"/>
      </w:pPr>
      <w:bookmarkStart w:id="6" w:name="_Toc377569420"/>
      <w:bookmarkStart w:id="7" w:name="_Toc424568055"/>
      <w:bookmarkStart w:id="8" w:name="_Toc536182783"/>
      <w:r>
        <w:rPr>
          <w:rStyle w:val="CharPartNo"/>
        </w:rPr>
        <w:t>Part 1</w:t>
      </w:r>
      <w:r>
        <w:rPr>
          <w:rStyle w:val="CharDivNo"/>
        </w:rPr>
        <w:t> </w:t>
      </w:r>
      <w:r>
        <w:t>—</w:t>
      </w:r>
      <w:r>
        <w:rPr>
          <w:rStyle w:val="CharDivText"/>
        </w:rPr>
        <w:t> </w:t>
      </w:r>
      <w:r>
        <w:rPr>
          <w:rStyle w:val="CharPartText"/>
        </w:rPr>
        <w:t>General</w:t>
      </w:r>
      <w:bookmarkEnd w:id="6"/>
      <w:bookmarkEnd w:id="7"/>
      <w:bookmarkEnd w:id="8"/>
    </w:p>
    <w:p>
      <w:pPr>
        <w:pStyle w:val="Heading5"/>
      </w:pPr>
      <w:bookmarkStart w:id="9" w:name="_Toc377569421"/>
      <w:bookmarkStart w:id="10" w:name="_Toc536182784"/>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w:t>
      </w:r>
      <w:smartTag w:uri="urn:schemas-microsoft-com:office:smarttags" w:element="State">
        <w:smartTag w:uri="urn:schemas-microsoft-com:office:smarttags" w:element="place">
          <w:r>
            <w:rPr>
              <w:i/>
              <w:snapToGrid w:val="0"/>
            </w:rPr>
            <w:t>Western Australia</w:t>
          </w:r>
        </w:smartTag>
      </w:smartTag>
      <w:r>
        <w:rPr>
          <w:i/>
          <w:snapToGrid w:val="0"/>
        </w:rPr>
        <w:t xml:space="preserve"> Day (Renaming) Act 2012</w:t>
      </w:r>
      <w:r>
        <w:rPr>
          <w:snapToGrid w:val="0"/>
        </w:rPr>
        <w:t>.</w:t>
      </w:r>
    </w:p>
    <w:p>
      <w:pPr>
        <w:pStyle w:val="Heading5"/>
        <w:rPr>
          <w:snapToGrid w:val="0"/>
        </w:rPr>
      </w:pPr>
      <w:bookmarkStart w:id="11" w:name="_Toc377569422"/>
      <w:bookmarkStart w:id="12" w:name="_Toc536182785"/>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 xml:space="preserve">the rest of the Act — on the day after that day. </w:t>
      </w:r>
    </w:p>
    <w:p>
      <w:pPr>
        <w:pStyle w:val="Heading5"/>
        <w:rPr>
          <w:snapToGrid w:val="0"/>
        </w:rPr>
      </w:pPr>
      <w:bookmarkStart w:id="13" w:name="_Toc377569423"/>
      <w:bookmarkStart w:id="14" w:name="_Toc536182786"/>
      <w:r>
        <w:rPr>
          <w:rStyle w:val="CharSectno"/>
        </w:rPr>
        <w:t>3</w:t>
      </w:r>
      <w:r>
        <w:rPr>
          <w:snapToGrid w:val="0"/>
        </w:rPr>
        <w:t>.</w:t>
      </w:r>
      <w:r>
        <w:rPr>
          <w:snapToGrid w:val="0"/>
        </w:rPr>
        <w:tab/>
        <w:t>Renaming</w:t>
      </w:r>
      <w:bookmarkEnd w:id="13"/>
      <w:bookmarkEnd w:id="14"/>
    </w:p>
    <w:p>
      <w:pPr>
        <w:pStyle w:val="Subsection"/>
      </w:pPr>
      <w:r>
        <w:tab/>
        <w:t>(1)</w:t>
      </w:r>
      <w:r>
        <w:tab/>
        <w:t xml:space="preserve">This Act renames Foundation Day to Western Australia Day. </w:t>
      </w:r>
    </w:p>
    <w:p>
      <w:pPr>
        <w:pStyle w:val="Subsection"/>
      </w:pPr>
      <w:r>
        <w:tab/>
        <w:t>(2)</w:t>
      </w:r>
      <w:r>
        <w:tab/>
        <w:t xml:space="preserve">A reference in any legislative or other instrument to Foundation Day may be read as referring to Western Australia Day, unless in the context it is inappropriate to do so. </w:t>
      </w:r>
    </w:p>
    <w:p>
      <w:pPr>
        <w:pStyle w:val="Heading2"/>
      </w:pPr>
      <w:bookmarkStart w:id="15" w:name="_Toc377569424"/>
      <w:bookmarkStart w:id="16" w:name="_Toc424568059"/>
      <w:bookmarkStart w:id="17" w:name="_Toc536182787"/>
      <w:r>
        <w:rPr>
          <w:rStyle w:val="CharPartNo"/>
        </w:rPr>
        <w:t>Part 2</w:t>
      </w:r>
      <w:r>
        <w:t> — </w:t>
      </w:r>
      <w:r>
        <w:rPr>
          <w:rStyle w:val="CharPartText"/>
        </w:rPr>
        <w:t>Consequential amendments</w:t>
      </w:r>
      <w:bookmarkEnd w:id="15"/>
      <w:bookmarkEnd w:id="16"/>
      <w:bookmarkEnd w:id="17"/>
    </w:p>
    <w:p>
      <w:pPr>
        <w:pStyle w:val="Heading3"/>
      </w:pPr>
      <w:bookmarkStart w:id="18" w:name="_Toc377569425"/>
      <w:bookmarkStart w:id="19" w:name="_Toc424568060"/>
      <w:bookmarkStart w:id="20" w:name="_Toc536182788"/>
      <w:r>
        <w:rPr>
          <w:rStyle w:val="CharDivNo"/>
        </w:rPr>
        <w:t>Division 1</w:t>
      </w:r>
      <w:r>
        <w:t> — </w:t>
      </w:r>
      <w:r>
        <w:rPr>
          <w:rStyle w:val="CharDivText"/>
          <w:i/>
        </w:rPr>
        <w:t>Public and Bank Holidays Act 1972</w:t>
      </w:r>
      <w:r>
        <w:rPr>
          <w:rStyle w:val="CharDivText"/>
        </w:rPr>
        <w:t xml:space="preserve"> amended</w:t>
      </w:r>
      <w:bookmarkEnd w:id="18"/>
      <w:bookmarkEnd w:id="19"/>
      <w:bookmarkEnd w:id="20"/>
    </w:p>
    <w:p>
      <w:pPr>
        <w:pStyle w:val="Heading5"/>
      </w:pPr>
      <w:bookmarkStart w:id="21" w:name="_Toc377569426"/>
      <w:bookmarkStart w:id="22" w:name="_Toc536182789"/>
      <w:r>
        <w:rPr>
          <w:rStyle w:val="CharSectno"/>
        </w:rPr>
        <w:t>4</w:t>
      </w:r>
      <w:r>
        <w:t>.</w:t>
      </w:r>
      <w:r>
        <w:tab/>
        <w:t>Act amended</w:t>
      </w:r>
      <w:bookmarkEnd w:id="21"/>
      <w:bookmarkEnd w:id="22"/>
    </w:p>
    <w:p>
      <w:pPr>
        <w:pStyle w:val="Subsection"/>
        <w:rPr>
          <w:i/>
        </w:rPr>
      </w:pPr>
      <w:r>
        <w:tab/>
      </w:r>
      <w:r>
        <w:tab/>
        <w:t xml:space="preserve">This Division amends the </w:t>
      </w:r>
      <w:r>
        <w:rPr>
          <w:i/>
          <w:iCs/>
        </w:rPr>
        <w:t>Public and Bank Holidays Act 1972</w:t>
      </w:r>
      <w:r>
        <w:rPr>
          <w:i/>
        </w:rPr>
        <w:t>.</w:t>
      </w:r>
    </w:p>
    <w:p>
      <w:pPr>
        <w:pStyle w:val="Heading5"/>
      </w:pPr>
      <w:bookmarkStart w:id="23" w:name="_Toc377569427"/>
      <w:bookmarkStart w:id="24" w:name="_Toc536182790"/>
      <w:r>
        <w:rPr>
          <w:rStyle w:val="CharSectno"/>
        </w:rPr>
        <w:t>5</w:t>
      </w:r>
      <w:r>
        <w:t>.</w:t>
      </w:r>
      <w:r>
        <w:tab/>
        <w:t>Second Schedule amended</w:t>
      </w:r>
      <w:bookmarkEnd w:id="23"/>
      <w:bookmarkEnd w:id="24"/>
    </w:p>
    <w:p>
      <w:pPr>
        <w:pStyle w:val="Subsection"/>
      </w:pPr>
      <w:r>
        <w:tab/>
      </w:r>
      <w:r>
        <w:tab/>
        <w:t>In the Second Schedule delete “</w:t>
      </w:r>
      <w:r>
        <w:rPr>
          <w:sz w:val="22"/>
          <w:szCs w:val="22"/>
        </w:rPr>
        <w:t>Foundation Day</w:t>
      </w:r>
      <w:r>
        <w:t>” and insert:</w:t>
      </w:r>
    </w:p>
    <w:p>
      <w:pPr>
        <w:pStyle w:val="BlankOpen"/>
      </w:pPr>
    </w:p>
    <w:p>
      <w:pPr>
        <w:pStyle w:val="Subsection"/>
        <w:rPr>
          <w:sz w:val="22"/>
          <w:szCs w:val="22"/>
        </w:rPr>
      </w:pPr>
      <w:r>
        <w:tab/>
      </w:r>
      <w:r>
        <w:tab/>
      </w:r>
      <w:smartTag w:uri="urn:schemas-microsoft-com:office:smarttags" w:element="place">
        <w:smartTag w:uri="urn:schemas-microsoft-com:office:smarttags" w:element="State">
          <w:r>
            <w:rPr>
              <w:sz w:val="22"/>
              <w:szCs w:val="22"/>
            </w:rPr>
            <w:t>Western Australia</w:t>
          </w:r>
        </w:smartTag>
      </w:smartTag>
      <w:r>
        <w:rPr>
          <w:sz w:val="22"/>
          <w:szCs w:val="22"/>
        </w:rPr>
        <w:t xml:space="preserve"> Day</w:t>
      </w:r>
    </w:p>
    <w:p>
      <w:pPr>
        <w:pStyle w:val="BlankClose"/>
      </w:pPr>
    </w:p>
    <w:p>
      <w:pPr>
        <w:pStyle w:val="Heading3"/>
        <w:rPr>
          <w:rStyle w:val="CharPartText"/>
        </w:rPr>
      </w:pPr>
      <w:bookmarkStart w:id="25" w:name="_Toc377569428"/>
      <w:bookmarkStart w:id="26" w:name="_Toc424568063"/>
      <w:bookmarkStart w:id="27" w:name="_Toc536182791"/>
      <w:r>
        <w:rPr>
          <w:rStyle w:val="CharDivNo"/>
        </w:rPr>
        <w:t>Division 2</w:t>
      </w:r>
      <w:r>
        <w:t> — </w:t>
      </w:r>
      <w:r>
        <w:rPr>
          <w:rStyle w:val="CharPartText"/>
          <w:i/>
        </w:rPr>
        <w:t>Minimum Conditions of Employment Act 1993</w:t>
      </w:r>
      <w:r>
        <w:rPr>
          <w:rStyle w:val="CharPartText"/>
        </w:rPr>
        <w:t> amended</w:t>
      </w:r>
      <w:bookmarkEnd w:id="25"/>
      <w:bookmarkEnd w:id="26"/>
      <w:bookmarkEnd w:id="27"/>
    </w:p>
    <w:p>
      <w:pPr>
        <w:pStyle w:val="Heading5"/>
      </w:pPr>
      <w:bookmarkStart w:id="28" w:name="_Toc377569429"/>
      <w:bookmarkStart w:id="29" w:name="_Toc536182792"/>
      <w:r>
        <w:rPr>
          <w:rStyle w:val="CharSectno"/>
        </w:rPr>
        <w:t>6</w:t>
      </w:r>
      <w:r>
        <w:t>.</w:t>
      </w:r>
      <w:r>
        <w:tab/>
        <w:t>Act amended</w:t>
      </w:r>
      <w:bookmarkEnd w:id="28"/>
      <w:bookmarkEnd w:id="29"/>
    </w:p>
    <w:p>
      <w:pPr>
        <w:pStyle w:val="Subsection"/>
      </w:pPr>
      <w:r>
        <w:tab/>
      </w:r>
      <w:r>
        <w:tab/>
        <w:t xml:space="preserve">This Division amends the </w:t>
      </w:r>
      <w:r>
        <w:rPr>
          <w:i/>
        </w:rPr>
        <w:t>Minimum Conditions of Employment Act 1993.</w:t>
      </w:r>
    </w:p>
    <w:p>
      <w:pPr>
        <w:pStyle w:val="Heading5"/>
      </w:pPr>
      <w:bookmarkStart w:id="30" w:name="_Toc377569430"/>
      <w:bookmarkStart w:id="31" w:name="_Toc536182793"/>
      <w:r>
        <w:rPr>
          <w:rStyle w:val="CharSectno"/>
        </w:rPr>
        <w:t>7</w:t>
      </w:r>
      <w:r>
        <w:t>.</w:t>
      </w:r>
      <w:r>
        <w:tab/>
        <w:t>Schedule 1 amended</w:t>
      </w:r>
      <w:bookmarkEnd w:id="30"/>
      <w:bookmarkEnd w:id="31"/>
    </w:p>
    <w:p>
      <w:pPr>
        <w:pStyle w:val="Subsection"/>
      </w:pPr>
      <w:r>
        <w:tab/>
      </w:r>
      <w:r>
        <w:tab/>
        <w:t>In Schedule 1 delete “</w:t>
      </w:r>
      <w:r>
        <w:rPr>
          <w:sz w:val="22"/>
          <w:szCs w:val="22"/>
        </w:rPr>
        <w:t>Foundation Day.</w:t>
      </w:r>
      <w:r>
        <w:t>” and insert:</w:t>
      </w:r>
    </w:p>
    <w:p>
      <w:pPr>
        <w:pStyle w:val="BlankOpen"/>
      </w:pPr>
    </w:p>
    <w:p>
      <w:pPr>
        <w:pStyle w:val="Subsection"/>
        <w:rPr>
          <w:sz w:val="22"/>
          <w:szCs w:val="22"/>
        </w:rPr>
      </w:pPr>
      <w:r>
        <w:tab/>
      </w:r>
      <w:r>
        <w:tab/>
      </w:r>
      <w:smartTag w:uri="urn:schemas-microsoft-com:office:smarttags" w:element="place">
        <w:smartTag w:uri="urn:schemas-microsoft-com:office:smarttags" w:element="State">
          <w:r>
            <w:rPr>
              <w:sz w:val="22"/>
              <w:szCs w:val="22"/>
            </w:rPr>
            <w:t>Western Australia</w:t>
          </w:r>
        </w:smartTag>
      </w:smartTag>
      <w:r>
        <w:rPr>
          <w:sz w:val="22"/>
          <w:szCs w:val="22"/>
        </w:rPr>
        <w:t xml:space="preserve"> Day.</w:t>
      </w:r>
    </w:p>
    <w:p>
      <w:pPr>
        <w:pStyle w:val="BlankClose"/>
      </w:pPr>
    </w:p>
    <w:p>
      <w:pPr>
        <w:sectPr>
          <w:headerReference w:type="even" r:id="rId24"/>
          <w:headerReference w:type="first" r:id="rId25"/>
          <w:pgSz w:w="11907" w:h="16840" w:code="9"/>
          <w:pgMar w:top="2376" w:right="2404" w:bottom="3544" w:left="2404" w:header="709" w:footer="3380" w:gutter="0"/>
          <w:pgNumType w:start="3"/>
          <w:cols w:space="720"/>
          <w:noEndnote/>
          <w:titlePg/>
          <w:docGrid w:linePitch="78"/>
        </w:sectPr>
      </w:pPr>
    </w:p>
    <w:p>
      <w:pPr>
        <w:pStyle w:val="nHeading2"/>
        <w:pageBreakBefore/>
      </w:pPr>
      <w:bookmarkStart w:id="32" w:name="_Toc377569431"/>
      <w:bookmarkStart w:id="33" w:name="_Toc424568066"/>
      <w:bookmarkStart w:id="34" w:name="_Toc536182794"/>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Day (Renaming) Act 2012</w:t>
      </w:r>
      <w:r>
        <w:rPr>
          <w:snapToGrid w:val="0"/>
        </w:rPr>
        <w:t>.  The following table contains information about that Act.</w:t>
      </w:r>
    </w:p>
    <w:p>
      <w:pPr>
        <w:pStyle w:val="nHeading3"/>
        <w:rPr>
          <w:snapToGrid w:val="0"/>
        </w:rPr>
      </w:pPr>
      <w:bookmarkStart w:id="35" w:name="_Toc377569432"/>
      <w:bookmarkStart w:id="36" w:name="_Toc536182795"/>
      <w:r>
        <w:rPr>
          <w:snapToGrid w:val="0"/>
        </w:rPr>
        <w:t>Compilation table</w:t>
      </w:r>
      <w:bookmarkEnd w:id="35"/>
      <w:bookmarkEnd w:id="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smartTag w:uri="urn:schemas-microsoft-com:office:smarttags" w:element="State">
              <w:smartTag w:uri="urn:schemas-microsoft-com:office:smarttags" w:element="place">
                <w:r>
                  <w:rPr>
                    <w:i/>
                    <w:noProof/>
                    <w:snapToGrid w:val="0"/>
                    <w:szCs w:val="19"/>
                  </w:rPr>
                  <w:t>Western Australia</w:t>
                </w:r>
              </w:smartTag>
            </w:smartTag>
            <w:r>
              <w:rPr>
                <w:i/>
                <w:noProof/>
                <w:snapToGrid w:val="0"/>
              </w:rPr>
              <w:t xml:space="preserve"> Day (Renaming) Act 2012</w:t>
            </w:r>
          </w:p>
        </w:tc>
        <w:tc>
          <w:tcPr>
            <w:tcW w:w="1134" w:type="dxa"/>
          </w:tcPr>
          <w:p>
            <w:pPr>
              <w:pStyle w:val="nTable"/>
              <w:spacing w:after="40"/>
            </w:pPr>
            <w:r>
              <w:t>3 of 2012</w:t>
            </w:r>
          </w:p>
        </w:tc>
        <w:tc>
          <w:tcPr>
            <w:tcW w:w="1134" w:type="dxa"/>
          </w:tcPr>
          <w:p>
            <w:pPr>
              <w:pStyle w:val="nTable"/>
              <w:spacing w:after="40"/>
            </w:pPr>
            <w:r>
              <w:t>10 Apr 2012</w:t>
            </w:r>
          </w:p>
        </w:tc>
        <w:tc>
          <w:tcPr>
            <w:tcW w:w="2552" w:type="dxa"/>
          </w:tcPr>
          <w:p>
            <w:pPr>
              <w:pStyle w:val="nTable"/>
              <w:spacing w:after="40"/>
            </w:pPr>
            <w:r>
              <w:rPr>
                <w:snapToGrid w:val="0"/>
                <w:spacing w:val="-2"/>
              </w:rPr>
              <w:t>s. 1 and 2: 10 Apr 2012 (see s. 2(a));</w:t>
            </w:r>
            <w:r>
              <w:rPr>
                <w:snapToGrid w:val="0"/>
                <w:spacing w:val="-2"/>
              </w:rPr>
              <w:br/>
              <w:t>Act other than s. 1 and 2: 11 Apr 2012 (see s. 2(b))</w:t>
            </w:r>
          </w:p>
        </w:tc>
      </w:tr>
    </w:tbl>
    <w:p/>
    <w:p>
      <w:pPr>
        <w:sectPr>
          <w:headerReference w:type="even" r:id="rId26"/>
          <w:headerReference w:type="default" r:id="rId27"/>
          <w:headerReference w:type="first" r:id="rId28"/>
          <w:type w:val="continuous"/>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 Day (Renaming)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 Day (Renaming)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 Day (Renaming)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 Day (Renaming)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 Day (Renaming)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 Day (Renaming)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 Day (Renaming)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 Day (Renaming)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910"/>
    <w:docVar w:name="WAFER_20140115170358" w:val="RemoveTocBookmarks,RemoveUnusedBookmarks,RemoveLanguageTags,UsedStyles,ResetPageSize,UpdateArrangement"/>
    <w:docVar w:name="WAFER_20140115170358_GUID" w:val="ce2afdf1-18ff-490c-92a5-1011e44e4a94"/>
    <w:docVar w:name="WAFER_20140115171402" w:val="RemoveTocBookmarks,RunningHeaders"/>
    <w:docVar w:name="WAFER_20140115171402_GUID" w:val="7a4be03a-e7a8-4427-a22d-3f95dbb5eeab"/>
    <w:docVar w:name="WAFER_20150713160222" w:val="ResetPageSize,UpdateArrangement,UpdateNTable"/>
    <w:docVar w:name="WAFER_20150713160222_GUID" w:val="66357ae1-ca4a-4e46-b18c-3e6c3385dea1"/>
    <w:docVar w:name="WAFER_20151110115910" w:val="UpdateStyles,UsedStyles"/>
    <w:docVar w:name="WAFER_20151110115910_GUID" w:val="602a80c5-7bbb-491a-9c7f-94edd7f728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588</Words>
  <Characters>2929</Characters>
  <Application>Microsoft Office Word</Application>
  <DocSecurity>0</DocSecurity>
  <Lines>127</Lines>
  <Paragraphs>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 Day (Renaming) Act 2012 - 00-a0-05</dc:title>
  <dc:subject/>
  <dc:creator/>
  <cp:keywords/>
  <dc:description/>
  <cp:lastModifiedBy>svcMRProcess</cp:lastModifiedBy>
  <cp:revision>4</cp:revision>
  <cp:lastPrinted>2012-04-10T05:20:00Z</cp:lastPrinted>
  <dcterms:created xsi:type="dcterms:W3CDTF">2019-01-25T05:01:00Z</dcterms:created>
  <dcterms:modified xsi:type="dcterms:W3CDTF">2019-01-25T05:01:00Z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2012</vt:lpwstr>
  </property>
  <property fmtid="{D5CDD505-2E9C-101B-9397-08002B2CF9AE}" pid="3" name="CommencementDate">
    <vt:lpwstr>20120411</vt:lpwstr>
  </property>
  <property fmtid="{D5CDD505-2E9C-101B-9397-08002B2CF9AE}" pid="4" name="DocumentType">
    <vt:lpwstr>Act</vt:lpwstr>
  </property>
  <property fmtid="{D5CDD505-2E9C-101B-9397-08002B2CF9AE}" pid="5" name="AsAtDate">
    <vt:lpwstr>11 Apr 2012</vt:lpwstr>
  </property>
  <property fmtid="{D5CDD505-2E9C-101B-9397-08002B2CF9AE}" pid="6" name="Suffix">
    <vt:lpwstr>00-a0-05</vt:lpwstr>
  </property>
</Properties>
</file>