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PlaceNam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Road Traffic (Vehicles)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PlaceNam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_Toc325548043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_Toc325548044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_Toc325548046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_Toc325548047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PlaceName">
          <w:r>
            <w:t>Western Australia</w:t>
          </w:r>
        </w:smartTag>
      </w:smartTag>
    </w:p>
    <w:p>
      <w:pPr>
        <w:pStyle w:val="NameofActReg"/>
        <w:suppressLineNumbers/>
      </w:pPr>
      <w:r>
        <w:t>Road Traffic (Vehicles) Act 2012</w:t>
      </w:r>
    </w:p>
    <w:p>
      <w:pPr>
        <w:pStyle w:val="LongTitle"/>
        <w:suppressLineNumbers/>
      </w:pPr>
      <w:bookmarkStart w:id="1" w:name="BillCited"/>
      <w:bookmarkEnd w:id="1"/>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08517820"/>
      <w:bookmarkStart w:id="3" w:name="_Toc308519661"/>
      <w:bookmarkStart w:id="4" w:name="_Toc309288633"/>
      <w:bookmarkStart w:id="5" w:name="_Toc309302223"/>
      <w:bookmarkStart w:id="6" w:name="_Toc309363578"/>
      <w:bookmarkStart w:id="7" w:name="_Toc309363770"/>
      <w:bookmarkStart w:id="8" w:name="_Toc309366775"/>
      <w:bookmarkStart w:id="9" w:name="_Toc309366967"/>
      <w:bookmarkStart w:id="10" w:name="_Toc324340997"/>
      <w:bookmarkStart w:id="11" w:name="_Toc324341189"/>
      <w:bookmarkStart w:id="12" w:name="_Toc325379236"/>
      <w:bookmarkStart w:id="13" w:name="_Toc325382256"/>
      <w:bookmarkStart w:id="14" w:name="_Toc325382448"/>
      <w:bookmarkStart w:id="15" w:name="_Toc325440645"/>
      <w:bookmarkStart w:id="16" w:name="_Toc325441380"/>
      <w:bookmarkStart w:id="17" w:name="_Toc325441464"/>
      <w:bookmarkStart w:id="18" w:name="_Toc325538201"/>
      <w:bookmarkStart w:id="19" w:name="_Toc325538360"/>
      <w:bookmarkStart w:id="20" w:name="_Toc325538649"/>
      <w:bookmarkStart w:id="21" w:name="_Toc325538707"/>
      <w:bookmarkStart w:id="22" w:name="_Toc325538806"/>
      <w:bookmarkStart w:id="23" w:name="_Toc325548019"/>
      <w:bookmarkStart w:id="24" w:name="_Toc3255480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25382449"/>
      <w:bookmarkStart w:id="26" w:name="_Toc325548043"/>
      <w:r>
        <w:rPr>
          <w:rStyle w:val="CharSectno"/>
        </w:rPr>
        <w:t>1</w:t>
      </w:r>
      <w:r>
        <w:t>.</w:t>
      </w:r>
      <w:r>
        <w:tab/>
      </w:r>
      <w:r>
        <w:rPr>
          <w:snapToGrid w:val="0"/>
        </w:rPr>
        <w:t>Short title</w:t>
      </w:r>
      <w:bookmarkEnd w:id="25"/>
      <w:bookmarkEnd w:id="26"/>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27" w:name="_Toc325382450"/>
      <w:bookmarkStart w:id="28" w:name="_Toc325548044"/>
      <w:r>
        <w:rPr>
          <w:rStyle w:val="CharSectno"/>
        </w:rPr>
        <w:t>2</w:t>
      </w:r>
      <w:r>
        <w:rPr>
          <w:snapToGrid w:val="0"/>
        </w:rPr>
        <w:t>.</w:t>
      </w:r>
      <w:r>
        <w:rPr>
          <w:snapToGrid w:val="0"/>
        </w:rPr>
        <w:tab/>
      </w:r>
      <w:r>
        <w:t>Commencement</w:t>
      </w:r>
      <w:bookmarkEnd w:id="27"/>
      <w:bookmarkEnd w:id="2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pPr>
      <w:r>
        <w:rPr>
          <w:lang w:val="en-US"/>
        </w:rPr>
        <w:t>[</w:t>
      </w:r>
      <w:r>
        <w:rPr>
          <w:b/>
          <w:lang w:val="en-US"/>
        </w:rPr>
        <w:t>3.</w:t>
      </w:r>
      <w:r>
        <w:rPr>
          <w:lang w:val="en-US"/>
        </w:rPr>
        <w:tab/>
      </w:r>
      <w:r>
        <w:t>Has not come into operation </w:t>
      </w:r>
      <w:r>
        <w:rPr>
          <w:i w:val="0"/>
          <w:vertAlign w:val="superscript"/>
        </w:rPr>
        <w:t>2</w:t>
      </w:r>
      <w:r>
        <w:t>.]</w:t>
      </w:r>
    </w:p>
    <w:p>
      <w:pPr>
        <w:pStyle w:val="Ednotepart"/>
      </w:pPr>
      <w:r>
        <w:t>[Parts 2-14 have not come into operation </w:t>
      </w:r>
      <w:r>
        <w:rPr>
          <w:vertAlign w:val="superscript"/>
        </w:rPr>
        <w:t>2</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9" w:name="_Toc119746908"/>
      <w:bookmarkStart w:id="30" w:name="_Toc264280905"/>
      <w:bookmarkStart w:id="31" w:name="_Toc267996921"/>
      <w:bookmarkStart w:id="32" w:name="_Toc325441383"/>
      <w:bookmarkStart w:id="33" w:name="_Toc325441467"/>
      <w:bookmarkStart w:id="34" w:name="_Toc325538204"/>
      <w:bookmarkStart w:id="35" w:name="_Toc325538363"/>
      <w:bookmarkStart w:id="36" w:name="_Toc325538652"/>
      <w:bookmarkStart w:id="37" w:name="_Toc325538710"/>
      <w:bookmarkStart w:id="38" w:name="_Toc325538809"/>
      <w:bookmarkStart w:id="39" w:name="_Toc325548022"/>
      <w:bookmarkStart w:id="40" w:name="_Toc325548045"/>
      <w:bookmarkStart w:id="41" w:name="_Toc308518011"/>
      <w:bookmarkStart w:id="42" w:name="_Toc308519852"/>
      <w:bookmarkStart w:id="43" w:name="_Toc309288824"/>
      <w:bookmarkStart w:id="44" w:name="_Toc309302414"/>
      <w:bookmarkStart w:id="45" w:name="_Toc309363769"/>
      <w:bookmarkStart w:id="46" w:name="_Toc309363961"/>
      <w:bookmarkStart w:id="47" w:name="_Toc309366966"/>
      <w:bookmarkStart w:id="48" w:name="_Toc309367158"/>
      <w:bookmarkStart w:id="49" w:name="_Toc324341188"/>
      <w:bookmarkStart w:id="50" w:name="_Toc324341380"/>
      <w:bookmarkStart w:id="51" w:name="_Toc325379427"/>
      <w:bookmarkStart w:id="52" w:name="_Toc325382447"/>
      <w:bookmarkStart w:id="53" w:name="_Toc325382639"/>
      <w:bookmarkStart w:id="54" w:name="_Toc325440836"/>
      <w:r>
        <w:t>Notes</w:t>
      </w:r>
      <w:bookmarkEnd w:id="29"/>
      <w:bookmarkEnd w:id="30"/>
      <w:bookmarkEnd w:id="31"/>
      <w:bookmarkEnd w:id="32"/>
      <w:bookmarkEnd w:id="33"/>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55" w:name="_Toc325548046"/>
      <w:r>
        <w:rPr>
          <w:snapToGrid w:val="0"/>
        </w:rPr>
        <w:t>Compilation table</w:t>
      </w:r>
      <w:bookmarkEnd w:id="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shd w:val="clear" w:color="auto" w:fill="auto"/>
          </w:tcPr>
          <w:p>
            <w:pPr>
              <w:pStyle w:val="nTable"/>
              <w:spacing w:after="40"/>
              <w:rPr>
                <w:sz w:val="19"/>
                <w:szCs w:val="19"/>
              </w:rPr>
            </w:pPr>
            <w:r>
              <w:rPr>
                <w:i/>
                <w:sz w:val="19"/>
                <w:szCs w:val="19"/>
              </w:rPr>
              <w:t>Road Traffic (Vehicles) Act 2012</w:t>
            </w:r>
            <w:r>
              <w:rPr>
                <w:sz w:val="19"/>
                <w:szCs w:val="19"/>
              </w:rPr>
              <w:t xml:space="preserve"> s. 1 and 2</w:t>
            </w:r>
          </w:p>
        </w:tc>
        <w:tc>
          <w:tcPr>
            <w:tcW w:w="1134" w:type="dxa"/>
            <w:shd w:val="clear" w:color="auto" w:fill="auto"/>
          </w:tcPr>
          <w:p>
            <w:pPr>
              <w:pStyle w:val="nTable"/>
              <w:spacing w:after="40"/>
              <w:rPr>
                <w:sz w:val="19"/>
              </w:rPr>
            </w:pPr>
            <w:r>
              <w:rPr>
                <w:sz w:val="19"/>
              </w:rPr>
              <w:t>7 of 2012</w:t>
            </w:r>
          </w:p>
        </w:tc>
        <w:tc>
          <w:tcPr>
            <w:tcW w:w="1134" w:type="dxa"/>
            <w:shd w:val="clear" w:color="auto" w:fill="auto"/>
          </w:tcPr>
          <w:p>
            <w:pPr>
              <w:pStyle w:val="nTable"/>
              <w:spacing w:after="40"/>
              <w:rPr>
                <w:sz w:val="19"/>
              </w:rPr>
            </w:pPr>
            <w:r>
              <w:rPr>
                <w:sz w:val="19"/>
              </w:rPr>
              <w:t>21 May 2012</w:t>
            </w:r>
          </w:p>
        </w:tc>
        <w:tc>
          <w:tcPr>
            <w:tcW w:w="2551" w:type="dxa"/>
            <w:shd w:val="clear" w:color="auto" w:fill="auto"/>
          </w:tcPr>
          <w:p>
            <w:pPr>
              <w:pStyle w:val="nTable"/>
              <w:spacing w:after="40"/>
              <w:rPr>
                <w:sz w:val="19"/>
              </w:rPr>
            </w:pPr>
            <w:r>
              <w:rPr>
                <w:sz w:val="19"/>
              </w:rPr>
              <w:t>21 May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 w:name="_Toc534778309"/>
      <w:bookmarkStart w:id="57" w:name="_Toc7405063"/>
      <w:bookmarkStart w:id="58" w:name="_Toc325548047"/>
      <w:r>
        <w:rPr>
          <w:snapToGrid w:val="0"/>
        </w:rPr>
        <w:t>Provisions that have not come into operation</w:t>
      </w:r>
      <w:bookmarkEnd w:id="56"/>
      <w:bookmarkEnd w:id="57"/>
      <w:bookmarkEnd w:id="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szCs w:val="19"/>
                <w:lang w:val="en-US"/>
              </w:rPr>
            </w:pPr>
            <w:r>
              <w:rPr>
                <w:i/>
                <w:sz w:val="19"/>
                <w:szCs w:val="19"/>
              </w:rPr>
              <w:t>Road Traffic (Vehicles) Act 2012</w:t>
            </w:r>
            <w:r>
              <w:rPr>
                <w:sz w:val="19"/>
                <w:szCs w:val="19"/>
              </w:rPr>
              <w:t xml:space="preserve"> s. 3, Pt. 2-14</w:t>
            </w:r>
            <w:r>
              <w:rPr>
                <w:sz w:val="19"/>
                <w:szCs w:val="19"/>
                <w:vertAlign w:val="superscript"/>
              </w:rPr>
              <w:t> 2</w:t>
            </w:r>
          </w:p>
        </w:tc>
        <w:tc>
          <w:tcPr>
            <w:tcW w:w="1118" w:type="dxa"/>
          </w:tcPr>
          <w:p>
            <w:pPr>
              <w:pStyle w:val="nTable"/>
              <w:spacing w:after="40"/>
              <w:rPr>
                <w:snapToGrid w:val="0"/>
                <w:sz w:val="19"/>
                <w:lang w:val="en-US"/>
              </w:rPr>
            </w:pPr>
            <w:r>
              <w:rPr>
                <w:snapToGrid w:val="0"/>
                <w:sz w:val="19"/>
                <w:lang w:val="en-US"/>
              </w:rPr>
              <w:t>7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On commencement of the </w:t>
            </w:r>
            <w:r>
              <w:rPr>
                <w:i/>
                <w:snapToGrid w:val="0"/>
                <w:sz w:val="19"/>
                <w:lang w:val="en-US"/>
              </w:rPr>
              <w:t>Road Traffic (Administration) Act 2008</w:t>
            </w:r>
            <w:r>
              <w:rPr>
                <w:snapToGrid w:val="0"/>
                <w:sz w:val="19"/>
                <w:lang w:val="en-US"/>
              </w:rPr>
              <w:t xml:space="preserve">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(Vehicles) Act 2012</w:t>
      </w:r>
      <w:r>
        <w:rPr>
          <w:snapToGrid w:val="0"/>
        </w:rPr>
        <w:t xml:space="preserve"> s. 3 and Pt. 2-14 had not come into operation.  They read as follows:</w:t>
      </w:r>
    </w:p>
    <w:p>
      <w:pPr>
        <w:pStyle w:val="BlankOpen"/>
      </w:pPr>
    </w:p>
    <w:p>
      <w:pPr>
        <w:pStyle w:val="nzHeading5"/>
      </w:pPr>
      <w:r>
        <w:rPr>
          <w:rStyle w:val="CharSectno"/>
        </w:rPr>
        <w:t>3</w:t>
      </w:r>
      <w:r>
        <w:t>.</w:t>
      </w:r>
      <w:r>
        <w:tab/>
        <w:t>Terms used</w:t>
      </w:r>
    </w:p>
    <w:p>
      <w:pPr>
        <w:pStyle w:val="nzSubsection"/>
        <w:rPr>
          <w:lang w:val="en-US"/>
        </w:rPr>
      </w:pPr>
      <w:r>
        <w:rPr>
          <w:lang w:val="en-US"/>
        </w:rPr>
        <w:tab/>
        <w:t>(1)</w:t>
      </w:r>
      <w:r>
        <w:rPr>
          <w:lang w:val="en-US"/>
        </w:rPr>
        <w:tab/>
        <w:t xml:space="preserve">In this Act, unless the contrary intention appears — </w:t>
      </w:r>
    </w:p>
    <w:p>
      <w:pPr>
        <w:pStyle w:val="nz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nz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nz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nzDefstart"/>
        <w:rPr>
          <w:lang w:val="en-US"/>
        </w:rPr>
      </w:pPr>
      <w:r>
        <w:rPr>
          <w:b/>
          <w:lang w:val="en-US"/>
        </w:rPr>
        <w:tab/>
      </w:r>
      <w:r>
        <w:rPr>
          <w:rStyle w:val="CharDefText"/>
        </w:rPr>
        <w:t>consignee</w:t>
      </w:r>
      <w:r>
        <w:t xml:space="preserve">, in relation to </w:t>
      </w:r>
      <w:r>
        <w:rPr>
          <w:lang w:val="en-US"/>
        </w:rPr>
        <w:t xml:space="preserve">goods, means — </w:t>
      </w:r>
    </w:p>
    <w:p>
      <w:pPr>
        <w:pStyle w:val="nz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nz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nzDefstart"/>
        <w:rPr>
          <w:lang w:val="en-US"/>
        </w:rPr>
      </w:pPr>
      <w:r>
        <w:tab/>
      </w:r>
      <w:r>
        <w:rPr>
          <w:lang w:val="en-US"/>
        </w:rPr>
        <w:t>but does not include a person who merely unloads the goods;</w:t>
      </w:r>
    </w:p>
    <w:p>
      <w:pPr>
        <w:pStyle w:val="nzDefstart"/>
        <w:rPr>
          <w:lang w:val="en-US"/>
        </w:rPr>
      </w:pPr>
      <w:r>
        <w:rPr>
          <w:b/>
          <w:lang w:val="en-US"/>
        </w:rPr>
        <w:tab/>
      </w:r>
      <w:r>
        <w:rPr>
          <w:rStyle w:val="CharDefText"/>
        </w:rPr>
        <w:t>consignor</w:t>
      </w:r>
      <w:r>
        <w:t>, in relation to</w:t>
      </w:r>
      <w:r>
        <w:rPr>
          <w:lang w:val="en-US"/>
        </w:rPr>
        <w:t xml:space="preserve"> goods, means — </w:t>
      </w:r>
    </w:p>
    <w:p>
      <w:pPr>
        <w:pStyle w:val="nzDefpara"/>
        <w:rPr>
          <w:lang w:val="en-US"/>
        </w:rPr>
      </w:pPr>
      <w:r>
        <w:rPr>
          <w:lang w:val="en-US"/>
        </w:rPr>
        <w:tab/>
        <w:t>(a)</w:t>
      </w:r>
      <w:r>
        <w:rPr>
          <w:lang w:val="en-US"/>
        </w:rPr>
        <w:tab/>
        <w:t>a person who, with the person’s authority, is named or otherwise identified as the consignor of the goods in the transport documentation relating to the transport of the goods by road; or</w:t>
      </w:r>
    </w:p>
    <w:p>
      <w:pPr>
        <w:pStyle w:val="nzDefpara"/>
        <w:rPr>
          <w:lang w:val="en-US"/>
        </w:rPr>
      </w:pPr>
      <w:r>
        <w:rPr>
          <w:lang w:val="en-US"/>
        </w:rPr>
        <w:tab/>
        <w:t>(b)</w:t>
      </w:r>
      <w:r>
        <w:rPr>
          <w:lang w:val="en-US"/>
        </w:rPr>
        <w:tab/>
        <w:t xml:space="preserve">if there is no person to whom paragraph (a) applies — </w:t>
      </w:r>
    </w:p>
    <w:p>
      <w:pPr>
        <w:pStyle w:val="nzDefsubpara"/>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nzDefsubpara"/>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nzDefsubpara"/>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nzDefpara"/>
        <w:rPr>
          <w:lang w:val="en-US"/>
        </w:rPr>
      </w:pPr>
      <w:r>
        <w:rPr>
          <w:lang w:val="en-US"/>
        </w:rPr>
        <w:tab/>
      </w:r>
      <w:r>
        <w:rPr>
          <w:lang w:val="en-US"/>
        </w:rPr>
        <w:tab/>
        <w:t>or</w:t>
      </w:r>
    </w:p>
    <w:p>
      <w:pPr>
        <w:pStyle w:val="nz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nzDefstart"/>
      </w:pPr>
      <w:r>
        <w:rPr>
          <w:b/>
        </w:rPr>
        <w:tab/>
      </w:r>
      <w:r>
        <w:rPr>
          <w:rStyle w:val="CharDefText"/>
        </w:rPr>
        <w:t>dimension requirement</w:t>
      </w:r>
      <w:r>
        <w:rPr>
          <w:bCs/>
        </w:rPr>
        <w:t xml:space="preserve"> — </w:t>
      </w:r>
    </w:p>
    <w:p>
      <w:pPr>
        <w:pStyle w:val="nzDefpara"/>
      </w:pPr>
      <w:r>
        <w:tab/>
        <w:t>(a)</w:t>
      </w:r>
      <w:r>
        <w:tab/>
        <w:t xml:space="preserve">means a prescribed requirement that relates to the dimensions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rPr>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nzDefstart"/>
        <w:rPr>
          <w:lang w:val="en-US"/>
        </w:rPr>
      </w:pPr>
      <w:r>
        <w:rPr>
          <w:b/>
          <w:lang w:val="en-US"/>
        </w:rPr>
        <w:tab/>
      </w:r>
      <w:r>
        <w:rPr>
          <w:rStyle w:val="CharDefText"/>
        </w:rPr>
        <w:t>employer</w:t>
      </w:r>
      <w:r>
        <w:t xml:space="preserve"> </w:t>
      </w:r>
      <w:r>
        <w:rPr>
          <w:lang w:val="en-US"/>
        </w:rPr>
        <w:t xml:space="preserve">means a person who — </w:t>
      </w:r>
    </w:p>
    <w:p>
      <w:pPr>
        <w:pStyle w:val="nzDefpara"/>
        <w:rPr>
          <w:lang w:val="en-US"/>
        </w:rPr>
      </w:pPr>
      <w:r>
        <w:rPr>
          <w:lang w:val="en-US"/>
        </w:rPr>
        <w:tab/>
        <w:t>(a)</w:t>
      </w:r>
      <w:r>
        <w:rPr>
          <w:lang w:val="en-US"/>
        </w:rPr>
        <w:tab/>
        <w:t>employs a person under a contract of employment, apprenticeship or training; or</w:t>
      </w:r>
    </w:p>
    <w:p>
      <w:pPr>
        <w:pStyle w:val="nzDefpara"/>
        <w:rPr>
          <w:lang w:val="en-US"/>
        </w:rPr>
      </w:pPr>
      <w:r>
        <w:rPr>
          <w:lang w:val="en-US"/>
        </w:rPr>
        <w:tab/>
        <w:t>(b)</w:t>
      </w:r>
      <w:r>
        <w:rPr>
          <w:lang w:val="en-US"/>
        </w:rPr>
        <w:tab/>
        <w:t>engages a person under a contract for services;</w:t>
      </w:r>
    </w:p>
    <w:p>
      <w:pPr>
        <w:pStyle w:val="nzDefstart"/>
        <w:rPr>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nzDefstart"/>
        <w:rPr>
          <w:lang w:val="en-US"/>
        </w:rPr>
      </w:pPr>
      <w:r>
        <w:rPr>
          <w:b/>
        </w:rPr>
        <w:tab/>
      </w:r>
      <w:r>
        <w:rPr>
          <w:rStyle w:val="CharDefText"/>
        </w:rPr>
        <w:t>freight container</w:t>
      </w:r>
      <w:r>
        <w:t xml:space="preserve"> </w:t>
      </w:r>
      <w:r>
        <w:rPr>
          <w:lang w:val="en-US"/>
        </w:rPr>
        <w:t>means a container of a prescribed class of container;</w:t>
      </w:r>
    </w:p>
    <w:p>
      <w:pPr>
        <w:pStyle w:val="nz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nzDefpara"/>
        <w:rPr>
          <w:lang w:val="en-US"/>
        </w:rPr>
      </w:pPr>
      <w:r>
        <w:rPr>
          <w:lang w:val="en-US"/>
        </w:rPr>
        <w:tab/>
        <w:t>(a)</w:t>
      </w:r>
      <w:r>
        <w:rPr>
          <w:lang w:val="en-US"/>
        </w:rPr>
        <w:tab/>
        <w:t>as specified by the vehicle’s manufacturer</w:t>
      </w:r>
      <w:r>
        <w:rPr>
          <w:szCs w:val="23"/>
          <w:lang w:val="en-US"/>
        </w:rPr>
        <w:t>; or</w:t>
      </w:r>
    </w:p>
    <w:p>
      <w:pPr>
        <w:pStyle w:val="nzDefpara"/>
        <w:rPr>
          <w:lang w:val="en-US"/>
        </w:rPr>
      </w:pPr>
      <w:r>
        <w:rPr>
          <w:lang w:val="en-US"/>
        </w:rPr>
        <w:tab/>
        <w:t>(b)</w:t>
      </w:r>
      <w:r>
        <w:rPr>
          <w:lang w:val="en-US"/>
        </w:rPr>
        <w:tab/>
        <w:t xml:space="preserve">as specified by the relevant authority if — </w:t>
      </w:r>
    </w:p>
    <w:p>
      <w:pPr>
        <w:pStyle w:val="nzDefsubpara"/>
        <w:rPr>
          <w:lang w:val="en-US"/>
        </w:rPr>
      </w:pPr>
      <w:r>
        <w:rPr>
          <w:lang w:val="en-US"/>
        </w:rPr>
        <w:tab/>
        <w:t>(i)</w:t>
      </w:r>
      <w:r>
        <w:rPr>
          <w:lang w:val="en-US"/>
        </w:rPr>
        <w:tab/>
        <w:t>the manufacturer has not specified the sum of the maximum loaded mass</w:t>
      </w:r>
      <w:r>
        <w:rPr>
          <w:szCs w:val="23"/>
          <w:lang w:val="en-US"/>
        </w:rPr>
        <w:t>; or</w:t>
      </w:r>
    </w:p>
    <w:p>
      <w:pPr>
        <w:pStyle w:val="nzDefsubpara"/>
      </w:pPr>
      <w:r>
        <w:tab/>
        <w:t>(ii)</w:t>
      </w:r>
      <w:r>
        <w:tab/>
        <w:t>the manufacturer cannot be identified; or</w:t>
      </w:r>
    </w:p>
    <w:p>
      <w:pPr>
        <w:pStyle w:val="nzDefsubpara"/>
        <w:rPr>
          <w:lang w:val="en-US"/>
        </w:rPr>
      </w:pPr>
      <w:r>
        <w:rPr>
          <w:lang w:val="en-US"/>
        </w:rPr>
        <w:tab/>
        <w:t>(iii)</w:t>
      </w:r>
      <w:r>
        <w:rPr>
          <w:lang w:val="en-US"/>
        </w:rPr>
        <w:tab/>
        <w:t>the vehicle has been modified to the extent that the manufacturer’s specification is no longer appropriate;</w:t>
      </w:r>
    </w:p>
    <w:p>
      <w:pPr>
        <w:pStyle w:val="nzDefstart"/>
      </w:pPr>
      <w:r>
        <w:rPr>
          <w:b/>
          <w:lang w:val="en-US"/>
        </w:rPr>
        <w:tab/>
      </w:r>
      <w:r>
        <w:rPr>
          <w:rStyle w:val="CharDefText"/>
        </w:rPr>
        <w:t>goods</w:t>
      </w:r>
      <w:r>
        <w:rPr>
          <w:bCs/>
        </w:rPr>
        <w:t xml:space="preserve"> — </w:t>
      </w:r>
    </w:p>
    <w:p>
      <w:pPr>
        <w:pStyle w:val="nzDefpara"/>
        <w:rPr>
          <w:lang w:val="en-US"/>
        </w:rPr>
      </w:pPr>
      <w:r>
        <w:rPr>
          <w:lang w:val="en-US"/>
        </w:rPr>
        <w:tab/>
        <w:t>(a)</w:t>
      </w:r>
      <w:r>
        <w:rPr>
          <w:lang w:val="en-US"/>
        </w:rPr>
        <w:tab/>
        <w:t xml:space="preserve">includes — </w:t>
      </w:r>
    </w:p>
    <w:p>
      <w:pPr>
        <w:pStyle w:val="nzDefsubpara"/>
        <w:rPr>
          <w:lang w:val="en-US"/>
        </w:rPr>
      </w:pPr>
      <w:r>
        <w:rPr>
          <w:lang w:val="en-US"/>
        </w:rPr>
        <w:tab/>
        <w:t>(i)</w:t>
      </w:r>
      <w:r>
        <w:rPr>
          <w:lang w:val="en-US"/>
        </w:rPr>
        <w:tab/>
        <w:t>animals (whether alive or dead); and</w:t>
      </w:r>
    </w:p>
    <w:p>
      <w:pPr>
        <w:pStyle w:val="nzDefsubpara"/>
        <w:rPr>
          <w:lang w:val="en-US"/>
        </w:rPr>
      </w:pPr>
      <w:r>
        <w:rPr>
          <w:lang w:val="en-US"/>
        </w:rPr>
        <w:tab/>
        <w:t>(ii)</w:t>
      </w:r>
      <w:r>
        <w:rPr>
          <w:lang w:val="en-US"/>
        </w:rPr>
        <w:tab/>
        <w:t>a container (whether empty or not);</w:t>
      </w:r>
    </w:p>
    <w:p>
      <w:pPr>
        <w:pStyle w:val="nzDefpara"/>
        <w:rPr>
          <w:lang w:val="en-US"/>
        </w:rPr>
      </w:pPr>
      <w:r>
        <w:rPr>
          <w:lang w:val="en-US"/>
        </w:rPr>
        <w:tab/>
        <w:t>(b)</w:t>
      </w:r>
      <w:r>
        <w:rPr>
          <w:lang w:val="en-US"/>
        </w:rPr>
        <w:tab/>
        <w:t xml:space="preserve">does not include — </w:t>
      </w:r>
    </w:p>
    <w:p>
      <w:pPr>
        <w:pStyle w:val="nzDefsubpara"/>
        <w:rPr>
          <w:lang w:val="en-US"/>
        </w:rPr>
      </w:pPr>
      <w:r>
        <w:rPr>
          <w:lang w:val="en-US"/>
        </w:rPr>
        <w:tab/>
        <w:t>(i)</w:t>
      </w:r>
      <w:r>
        <w:rPr>
          <w:lang w:val="en-US"/>
        </w:rPr>
        <w:tab/>
        <w:t>people; or</w:t>
      </w:r>
    </w:p>
    <w:p>
      <w:pPr>
        <w:pStyle w:val="nz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nz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rPr>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nzDefstart"/>
        <w:rPr>
          <w:lang w:val="en-US"/>
        </w:rPr>
      </w:pPr>
      <w:r>
        <w:rPr>
          <w:b/>
          <w:lang w:val="en-US"/>
        </w:rPr>
        <w:tab/>
      </w:r>
      <w:r>
        <w:rPr>
          <w:rStyle w:val="CharDefText"/>
        </w:rPr>
        <w:t>involved person</w:t>
      </w:r>
      <w:r>
        <w:t xml:space="preserve"> </w:t>
      </w:r>
      <w:r>
        <w:rPr>
          <w:lang w:val="en-US"/>
        </w:rPr>
        <w:t xml:space="preserve">means a person who is involved in the transport of goods by road by means of a vehicle, and includes — </w:t>
      </w:r>
    </w:p>
    <w:p>
      <w:pPr>
        <w:pStyle w:val="nzDefpara"/>
        <w:rPr>
          <w:lang w:val="en-US"/>
        </w:rPr>
      </w:pPr>
      <w:r>
        <w:rPr>
          <w:lang w:val="en-US"/>
        </w:rPr>
        <w:tab/>
        <w:t>(a)</w:t>
      </w:r>
      <w:r>
        <w:rPr>
          <w:lang w:val="en-US"/>
        </w:rPr>
        <w:tab/>
        <w:t>an owner of the vehicle</w:t>
      </w:r>
      <w:r>
        <w:rPr>
          <w:szCs w:val="23"/>
          <w:lang w:val="en-US"/>
        </w:rPr>
        <w:t>; and</w:t>
      </w:r>
    </w:p>
    <w:p>
      <w:pPr>
        <w:pStyle w:val="nzDefpara"/>
        <w:rPr>
          <w:lang w:val="en-US"/>
        </w:rPr>
      </w:pPr>
      <w:r>
        <w:rPr>
          <w:lang w:val="en-US"/>
        </w:rPr>
        <w:tab/>
        <w:t>(b)</w:t>
      </w:r>
      <w:r>
        <w:rPr>
          <w:lang w:val="en-US"/>
        </w:rPr>
        <w:tab/>
        <w:t>the driver of the vehicle; and</w:t>
      </w:r>
    </w:p>
    <w:p>
      <w:pPr>
        <w:pStyle w:val="nzDefpara"/>
        <w:rPr>
          <w:lang w:val="en-US"/>
        </w:rPr>
      </w:pPr>
      <w:r>
        <w:rPr>
          <w:lang w:val="en-US"/>
        </w:rPr>
        <w:tab/>
        <w:t>(c)</w:t>
      </w:r>
      <w:r>
        <w:rPr>
          <w:lang w:val="en-US"/>
        </w:rPr>
        <w:tab/>
        <w:t>a co</w:t>
      </w:r>
      <w:r>
        <w:rPr>
          <w:lang w:val="en-US"/>
        </w:rPr>
        <w:noBreakHyphen/>
        <w:t>driver of the vehicle; and</w:t>
      </w:r>
    </w:p>
    <w:p>
      <w:pPr>
        <w:pStyle w:val="nzDefpara"/>
        <w:rPr>
          <w:lang w:val="en-US"/>
        </w:rPr>
      </w:pPr>
      <w:r>
        <w:rPr>
          <w:lang w:val="en-US"/>
        </w:rPr>
        <w:tab/>
        <w:t>(d)</w:t>
      </w:r>
      <w:r>
        <w:rPr>
          <w:lang w:val="en-US"/>
        </w:rPr>
        <w:tab/>
        <w:t>a responsible person for the vehicle; and</w:t>
      </w:r>
    </w:p>
    <w:p>
      <w:pPr>
        <w:pStyle w:val="nzDefpara"/>
        <w:rPr>
          <w:lang w:val="en-US"/>
        </w:rPr>
      </w:pPr>
      <w:r>
        <w:rPr>
          <w:lang w:val="en-US"/>
        </w:rPr>
        <w:tab/>
        <w:t>(e)</w:t>
      </w:r>
      <w:r>
        <w:rPr>
          <w:lang w:val="en-US"/>
        </w:rPr>
        <w:tab/>
        <w:t>a person in charge or apparently in charge of the vehicle; and</w:t>
      </w:r>
    </w:p>
    <w:p>
      <w:pPr>
        <w:pStyle w:val="nzDefpara"/>
        <w:rPr>
          <w:lang w:val="en-US"/>
        </w:rPr>
      </w:pPr>
      <w:r>
        <w:rPr>
          <w:lang w:val="en-US"/>
        </w:rPr>
        <w:tab/>
        <w:t>(f)</w:t>
      </w:r>
      <w:r>
        <w:rPr>
          <w:lang w:val="en-US"/>
        </w:rPr>
        <w:tab/>
        <w:t>a person in charge or apparently in charge of a base of the driver of the vehicle; and</w:t>
      </w:r>
    </w:p>
    <w:p>
      <w:pPr>
        <w:pStyle w:val="nzDefpara"/>
        <w:rPr>
          <w:lang w:val="en-US"/>
        </w:rPr>
      </w:pPr>
      <w:r>
        <w:rPr>
          <w:lang w:val="en-US"/>
        </w:rPr>
        <w:tab/>
        <w:t>(g)</w:t>
      </w:r>
      <w:r>
        <w:rPr>
          <w:lang w:val="en-US"/>
        </w:rPr>
        <w:tab/>
        <w:t xml:space="preserve">a person who is — </w:t>
      </w:r>
    </w:p>
    <w:p>
      <w:pPr>
        <w:pStyle w:val="nzDefsubpara"/>
        <w:rPr>
          <w:lang w:val="en-US"/>
        </w:rPr>
      </w:pPr>
      <w:r>
        <w:rPr>
          <w:lang w:val="en-US"/>
        </w:rPr>
        <w:tab/>
        <w:t>(i)</w:t>
      </w:r>
      <w:r>
        <w:rPr>
          <w:lang w:val="en-US"/>
        </w:rPr>
        <w:tab/>
        <w:t>accredited under Part 4 Division 4 in relation to the vehicle; or</w:t>
      </w:r>
    </w:p>
    <w:p>
      <w:pPr>
        <w:pStyle w:val="nzDefsubpara"/>
        <w:rPr>
          <w:lang w:val="en-US"/>
        </w:rPr>
      </w:pPr>
      <w:r>
        <w:tab/>
        <w:t>(ii)</w:t>
      </w:r>
      <w:r>
        <w:tab/>
      </w:r>
      <w:r>
        <w:rPr>
          <w:lang w:val="en-US"/>
        </w:rPr>
        <w:t>responsible for performing a function of a prescribed kind in relation to the vehicle by way of complying with a requirement of accreditation;</w:t>
      </w:r>
    </w:p>
    <w:p>
      <w:pPr>
        <w:pStyle w:val="nzDefpara"/>
      </w:pPr>
      <w:r>
        <w:tab/>
      </w:r>
      <w:r>
        <w:tab/>
        <w:t>and</w:t>
      </w:r>
    </w:p>
    <w:p>
      <w:pPr>
        <w:pStyle w:val="nz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nzDefpara"/>
      </w:pPr>
      <w:r>
        <w:tab/>
        <w:t>(i)</w:t>
      </w:r>
      <w:r>
        <w:tab/>
        <w:t>the consignor and the consignee of the goods; and</w:t>
      </w:r>
    </w:p>
    <w:p>
      <w:pPr>
        <w:pStyle w:val="nzDefpara"/>
        <w:rPr>
          <w:lang w:val="en-US"/>
        </w:rPr>
      </w:pPr>
      <w:r>
        <w:rPr>
          <w:lang w:val="en-US"/>
        </w:rPr>
        <w:tab/>
        <w:t>(j)</w:t>
      </w:r>
      <w:r>
        <w:rPr>
          <w:lang w:val="en-US"/>
        </w:rPr>
        <w:tab/>
        <w:t xml:space="preserve">a loader in relation to the vehicle; and </w:t>
      </w:r>
    </w:p>
    <w:p>
      <w:pPr>
        <w:pStyle w:val="nzDefpara"/>
        <w:rPr>
          <w:lang w:val="en-US"/>
        </w:rPr>
      </w:pPr>
      <w:r>
        <w:rPr>
          <w:lang w:val="en-US"/>
        </w:rPr>
        <w:tab/>
        <w:t>(k)</w:t>
      </w:r>
      <w:r>
        <w:rPr>
          <w:lang w:val="en-US"/>
        </w:rPr>
        <w:tab/>
        <w:t>a packer of the goods; and</w:t>
      </w:r>
    </w:p>
    <w:p>
      <w:pPr>
        <w:pStyle w:val="nz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nz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nzDefpara"/>
        <w:rPr>
          <w:lang w:val="en-US"/>
        </w:rPr>
      </w:pPr>
      <w:r>
        <w:rPr>
          <w:lang w:val="en-US"/>
        </w:rPr>
        <w:tab/>
        <w:t>(n)</w:t>
      </w:r>
      <w:r>
        <w:rPr>
          <w:lang w:val="en-US"/>
        </w:rPr>
        <w:tab/>
        <w:t>a responsible entity for a freight container in which the goods are contained; and</w:t>
      </w:r>
    </w:p>
    <w:p>
      <w:pPr>
        <w:pStyle w:val="nz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nz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nzDefstart"/>
        <w:rPr>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nzDefpara"/>
        <w:rPr>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nzDefpara"/>
        <w:rPr>
          <w:lang w:val="en-US"/>
        </w:rPr>
      </w:pPr>
      <w:r>
        <w:rPr>
          <w:lang w:val="en-US"/>
        </w:rPr>
        <w:tab/>
        <w:t>(b)</w:t>
      </w:r>
      <w:r>
        <w:rPr>
          <w:lang w:val="en-US"/>
        </w:rPr>
        <w:tab/>
        <w:t>goods or passengers themselves so far as the documentation is relevant to their actual or proposed physical transport,</w:t>
      </w:r>
    </w:p>
    <w:p>
      <w:pPr>
        <w:pStyle w:val="nzDefstart"/>
        <w:rPr>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nz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nz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nz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nz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nzDefpara"/>
        <w:rPr>
          <w:lang w:val="en-US"/>
        </w:rPr>
      </w:pPr>
      <w:r>
        <w:rPr>
          <w:lang w:val="en-US"/>
        </w:rPr>
        <w:tab/>
        <w:t>(g)</w:t>
      </w:r>
      <w:r>
        <w:rPr>
          <w:lang w:val="en-US"/>
        </w:rPr>
        <w:tab/>
        <w:t>driver manuals and instruction sheets; and</w:t>
      </w:r>
    </w:p>
    <w:p>
      <w:pPr>
        <w:pStyle w:val="nzDefpara"/>
        <w:rPr>
          <w:lang w:val="en-US"/>
        </w:rPr>
      </w:pPr>
      <w:r>
        <w:rPr>
          <w:lang w:val="en-US"/>
        </w:rPr>
        <w:tab/>
        <w:t>(h)</w:t>
      </w:r>
      <w:r>
        <w:rPr>
          <w:lang w:val="en-US"/>
        </w:rPr>
        <w:tab/>
        <w:t>advice in any form from check weighing performed before, during or after a journey;</w:t>
      </w:r>
    </w:p>
    <w:p>
      <w:pPr>
        <w:pStyle w:val="nzDefstart"/>
        <w:rPr>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nzDefstart"/>
        <w:rPr>
          <w:lang w:val="en-US"/>
        </w:rPr>
      </w:pPr>
      <w:r>
        <w:rPr>
          <w:b/>
          <w:lang w:val="en-US"/>
        </w:rPr>
        <w:tab/>
      </w:r>
      <w:r>
        <w:rPr>
          <w:rStyle w:val="CharDefText"/>
        </w:rPr>
        <w:t>load</w:t>
      </w:r>
      <w:r>
        <w:rPr>
          <w:bCs/>
        </w:rPr>
        <w:t>, when used as a noun in relation to</w:t>
      </w:r>
      <w:r>
        <w:rPr>
          <w:lang w:val="en-US"/>
        </w:rPr>
        <w:t xml:space="preserve"> a vehicle, means — </w:t>
      </w:r>
    </w:p>
    <w:p>
      <w:pPr>
        <w:pStyle w:val="nzDefpara"/>
        <w:rPr>
          <w:lang w:val="en-US"/>
        </w:rPr>
      </w:pPr>
      <w:r>
        <w:rPr>
          <w:lang w:val="en-US"/>
        </w:rPr>
        <w:tab/>
        <w:t>(a)</w:t>
      </w:r>
      <w:r>
        <w:rPr>
          <w:lang w:val="en-US"/>
        </w:rPr>
        <w:tab/>
        <w:t>the vehicle’s driver and co</w:t>
      </w:r>
      <w:r>
        <w:rPr>
          <w:lang w:val="en-US"/>
        </w:rPr>
        <w:noBreakHyphen/>
        <w:t>drivers and their personal items; and</w:t>
      </w:r>
    </w:p>
    <w:p>
      <w:pPr>
        <w:pStyle w:val="nzDefpara"/>
        <w:rPr>
          <w:szCs w:val="23"/>
          <w:lang w:val="en-US"/>
        </w:rPr>
      </w:pPr>
      <w:r>
        <w:rPr>
          <w:lang w:val="en-US"/>
        </w:rPr>
        <w:tab/>
        <w:t>(b)</w:t>
      </w:r>
      <w:r>
        <w:rPr>
          <w:lang w:val="en-US"/>
        </w:rPr>
        <w:tab/>
        <w:t>the goods and passengers in or on the vehicle</w:t>
      </w:r>
      <w:r>
        <w:rPr>
          <w:szCs w:val="23"/>
          <w:lang w:val="en-US"/>
        </w:rPr>
        <w:t>; and</w:t>
      </w:r>
    </w:p>
    <w:p>
      <w:pPr>
        <w:pStyle w:val="nz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nz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nzDefstart"/>
        <w:rPr>
          <w:lang w:val="en-US"/>
        </w:rPr>
      </w:pPr>
      <w:r>
        <w:rPr>
          <w:b/>
          <w:lang w:val="en-US"/>
        </w:rPr>
        <w:tab/>
      </w:r>
      <w:r>
        <w:rPr>
          <w:rStyle w:val="CharDefText"/>
        </w:rPr>
        <w:t>loader</w:t>
      </w:r>
      <w:r>
        <w:rPr>
          <w:lang w:val="en-US"/>
        </w:rPr>
        <w:t xml:space="preserve">, in relation to a vehicle, means a person who — </w:t>
      </w:r>
    </w:p>
    <w:p>
      <w:pPr>
        <w:pStyle w:val="nzDefpara"/>
        <w:rPr>
          <w:lang w:val="en-US"/>
        </w:rPr>
      </w:pPr>
      <w:r>
        <w:rPr>
          <w:lang w:val="en-US"/>
        </w:rPr>
        <w:tab/>
        <w:t>(a)</w:t>
      </w:r>
      <w:r>
        <w:rPr>
          <w:lang w:val="en-US"/>
        </w:rPr>
        <w:tab/>
        <w:t>loads the vehicle with goods for road transport; or</w:t>
      </w:r>
    </w:p>
    <w:p>
      <w:pPr>
        <w:pStyle w:val="nz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nz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nzDefpara"/>
        <w:rPr>
          <w:lang w:val="en-US"/>
        </w:rPr>
      </w:pPr>
      <w:r>
        <w:tab/>
        <w:t>(d)</w:t>
      </w:r>
      <w:r>
        <w:tab/>
      </w:r>
      <w:r>
        <w:rPr>
          <w:lang w:val="en-US"/>
        </w:rPr>
        <w:t>supervises an activity mentioned in paragraph (a), (b) or (c); or</w:t>
      </w:r>
    </w:p>
    <w:p>
      <w:pPr>
        <w:pStyle w:val="nzDefpara"/>
        <w:rPr>
          <w:szCs w:val="23"/>
          <w:lang w:val="en-US"/>
        </w:rPr>
      </w:pPr>
      <w:r>
        <w:rPr>
          <w:lang w:val="en-US"/>
        </w:rPr>
        <w:tab/>
        <w:t>(e)</w:t>
      </w:r>
      <w:r>
        <w:rPr>
          <w:lang w:val="en-US"/>
        </w:rPr>
        <w:tab/>
        <w:t>manages or controls an activity mentioned in paragraph (a), (b), (c) or (d)</w:t>
      </w:r>
      <w:r>
        <w:rPr>
          <w:szCs w:val="23"/>
          <w:lang w:val="en-US"/>
        </w:rPr>
        <w:t>;</w:t>
      </w:r>
    </w:p>
    <w:p>
      <w:pPr>
        <w:pStyle w:val="nzDefstart"/>
      </w:pPr>
      <w:r>
        <w:rPr>
          <w:b/>
        </w:rPr>
        <w:tab/>
      </w:r>
      <w:r>
        <w:rPr>
          <w:rStyle w:val="CharDefText"/>
        </w:rPr>
        <w:t>loading requirement</w:t>
      </w:r>
      <w:r>
        <w:t xml:space="preserve"> means a prescribed requirement that relates to the placing or securing of a vehicle’s load;</w:t>
      </w:r>
    </w:p>
    <w:p>
      <w:pPr>
        <w:pStyle w:val="nzDefstart"/>
      </w:pPr>
      <w:r>
        <w:tab/>
      </w:r>
      <w:r>
        <w:rPr>
          <w:rStyle w:val="CharDefText"/>
        </w:rPr>
        <w:t>mass, dimension or loading requirement</w:t>
      </w:r>
      <w:r>
        <w:t xml:space="preserve"> means a mass requirement, a dimension requirement or a loading requirement;</w:t>
      </w:r>
    </w:p>
    <w:p>
      <w:pPr>
        <w:pStyle w:val="nzDefstart"/>
      </w:pPr>
      <w:r>
        <w:tab/>
      </w:r>
      <w:r>
        <w:rPr>
          <w:rStyle w:val="CharDefText"/>
        </w:rPr>
        <w:t>mass or dimension requirement</w:t>
      </w:r>
      <w:r>
        <w:t xml:space="preserve"> means a mass requirement or a dimension requirement;</w:t>
      </w:r>
    </w:p>
    <w:p>
      <w:pPr>
        <w:pStyle w:val="nzDefstart"/>
        <w:rPr>
          <w:bCs/>
        </w:rPr>
      </w:pPr>
      <w:r>
        <w:rPr>
          <w:b/>
        </w:rPr>
        <w:tab/>
      </w:r>
      <w:r>
        <w:rPr>
          <w:rStyle w:val="CharDefText"/>
        </w:rPr>
        <w:t>mass requirement</w:t>
      </w:r>
      <w:r>
        <w:rPr>
          <w:bCs/>
        </w:rPr>
        <w:t xml:space="preserve"> — </w:t>
      </w:r>
    </w:p>
    <w:p>
      <w:pPr>
        <w:pStyle w:val="nzDefpara"/>
      </w:pPr>
      <w:r>
        <w:tab/>
        <w:t>(a)</w:t>
      </w:r>
      <w:r>
        <w:tab/>
        <w:t xml:space="preserve">means a prescribed requirement that relates to the mass of — </w:t>
      </w:r>
    </w:p>
    <w:p>
      <w:pPr>
        <w:pStyle w:val="nzDefsubpara"/>
      </w:pPr>
      <w:r>
        <w:tab/>
        <w:t>(i)</w:t>
      </w:r>
      <w:r>
        <w:tab/>
        <w:t>a vehicle; or</w:t>
      </w:r>
    </w:p>
    <w:p>
      <w:pPr>
        <w:pStyle w:val="nzDefsubpara"/>
      </w:pPr>
      <w:r>
        <w:tab/>
        <w:t>(ii)</w:t>
      </w:r>
      <w:r>
        <w:tab/>
        <w:t>a vehicle’s load; or</w:t>
      </w:r>
    </w:p>
    <w:p>
      <w:pPr>
        <w:pStyle w:val="nzDefsubpara"/>
      </w:pPr>
      <w:r>
        <w:tab/>
        <w:t>(iii)</w:t>
      </w:r>
      <w:r>
        <w:tab/>
        <w:t>a vehicle and its load;</w:t>
      </w:r>
    </w:p>
    <w:p>
      <w:pPr>
        <w:pStyle w:val="nzDefpara"/>
      </w:pPr>
      <w:r>
        <w:tab/>
      </w:r>
      <w:r>
        <w:tab/>
        <w:t>or</w:t>
      </w:r>
    </w:p>
    <w:p>
      <w:pPr>
        <w:pStyle w:val="nzDefpara"/>
      </w:pPr>
      <w:r>
        <w:tab/>
        <w:t>(b)</w:t>
      </w:r>
      <w:r>
        <w:tab/>
        <w:t>if, in a particular case, a requirement mentioned in paragraph (a) is modified under Part 4 Division 2 Subdivision 2 means, in that case, the requirement as modified;</w:t>
      </w:r>
    </w:p>
    <w:p>
      <w:pPr>
        <w:pStyle w:val="nzDefstart"/>
      </w:pPr>
      <w:r>
        <w:rPr>
          <w:b/>
        </w:rPr>
        <w:tab/>
      </w:r>
      <w:r>
        <w:rPr>
          <w:rStyle w:val="CharDefText"/>
        </w:rPr>
        <w:t>minor risk breach</w:t>
      </w:r>
      <w:r>
        <w:t xml:space="preserve"> — </w:t>
      </w:r>
    </w:p>
    <w:p>
      <w:pPr>
        <w:pStyle w:val="nzDefpara"/>
      </w:pPr>
      <w:r>
        <w:tab/>
        <w:t>(a)</w:t>
      </w:r>
      <w:r>
        <w:tab/>
        <w:t>in relation to a mass requirement, has the meaning given by section 48;</w:t>
      </w:r>
    </w:p>
    <w:p>
      <w:pPr>
        <w:pStyle w:val="nzDefpara"/>
      </w:pPr>
      <w:r>
        <w:tab/>
        <w:t>(b)</w:t>
      </w:r>
      <w:r>
        <w:tab/>
        <w:t>in relation to a dimension requirement, has the meaning given by section 52 or 55(1);</w:t>
      </w:r>
    </w:p>
    <w:p>
      <w:pPr>
        <w:pStyle w:val="nzDefpara"/>
      </w:pPr>
      <w:r>
        <w:tab/>
        <w:t>(c)</w:t>
      </w:r>
      <w:r>
        <w:tab/>
        <w:t>in relation to a loading requirement, has the meaning given by section 58;</w:t>
      </w:r>
    </w:p>
    <w:p>
      <w:pPr>
        <w:pStyle w:val="nzDefstart"/>
        <w:rPr>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nzDefstart"/>
      </w:pPr>
      <w:r>
        <w:rPr>
          <w:b/>
        </w:rPr>
        <w:tab/>
      </w:r>
      <w:r>
        <w:rPr>
          <w:rStyle w:val="CharDefText"/>
        </w:rPr>
        <w:t>number plate</w:t>
      </w:r>
      <w:r>
        <w:t xml:space="preserve"> means an identification tablet or number plate bearing numerals, or letters, or numerals and letters;</w:t>
      </w:r>
    </w:p>
    <w:p>
      <w:pPr>
        <w:pStyle w:val="nzDefstart"/>
        <w:rPr>
          <w:lang w:val="en-US"/>
        </w:rPr>
      </w:pPr>
      <w:r>
        <w:rPr>
          <w:b/>
          <w:lang w:val="en-US"/>
        </w:rPr>
        <w:tab/>
      </w:r>
      <w:r>
        <w:rPr>
          <w:rStyle w:val="CharDefText"/>
        </w:rPr>
        <w:t>packaging</w:t>
      </w:r>
      <w:r>
        <w:t xml:space="preserve">, in relation to </w:t>
      </w:r>
      <w:r>
        <w:rPr>
          <w:lang w:val="en-US"/>
        </w:rPr>
        <w:t>goods for road transport, means the container (including a freight container) in which the goods are received or held for road transport, and includes anything that enables the container to receive or hold the goods or to be closed;</w:t>
      </w:r>
    </w:p>
    <w:p>
      <w:pPr>
        <w:pStyle w:val="nzDefstart"/>
        <w:rPr>
          <w:lang w:val="en-US"/>
        </w:rPr>
      </w:pPr>
      <w:r>
        <w:rPr>
          <w:b/>
        </w:rPr>
        <w:tab/>
      </w:r>
      <w:r>
        <w:rPr>
          <w:rStyle w:val="CharDefText"/>
        </w:rPr>
        <w:t>packer</w:t>
      </w:r>
      <w:r>
        <w:t xml:space="preserve">, in relation to </w:t>
      </w:r>
      <w:r>
        <w:rPr>
          <w:lang w:val="en-US"/>
        </w:rPr>
        <w:t xml:space="preserve">goods, means a person who — </w:t>
      </w:r>
    </w:p>
    <w:p>
      <w:pPr>
        <w:pStyle w:val="nzDefpara"/>
        <w:rPr>
          <w:lang w:val="en-US"/>
        </w:rPr>
      </w:pPr>
      <w:r>
        <w:rPr>
          <w:lang w:val="en-US"/>
        </w:rPr>
        <w:tab/>
        <w:t>(a)</w:t>
      </w:r>
      <w:r>
        <w:rPr>
          <w:lang w:val="en-US"/>
        </w:rPr>
        <w:tab/>
        <w:t>puts the goods in packaging for road transport; or</w:t>
      </w:r>
    </w:p>
    <w:p>
      <w:pPr>
        <w:pStyle w:val="nz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nz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nzDefsubpara"/>
        <w:rPr>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nzDefsubpara"/>
        <w:rPr>
          <w:lang w:val="en-US"/>
        </w:rPr>
      </w:pPr>
      <w:r>
        <w:rPr>
          <w:lang w:val="en-US"/>
        </w:rPr>
        <w:tab/>
        <w:t>(ii)</w:t>
      </w:r>
      <w:r>
        <w:rPr>
          <w:lang w:val="en-US"/>
        </w:rPr>
        <w:tab/>
        <w:t>placed together in a protective outer container, except a freight container, for transport; or</w:t>
      </w:r>
    </w:p>
    <w:p>
      <w:pPr>
        <w:pStyle w:val="nzDefsubpara"/>
        <w:rPr>
          <w:lang w:val="en-US"/>
        </w:rPr>
      </w:pPr>
      <w:r>
        <w:rPr>
          <w:lang w:val="en-US"/>
        </w:rPr>
        <w:tab/>
        <w:t>(iii)</w:t>
      </w:r>
      <w:r>
        <w:rPr>
          <w:lang w:val="en-US"/>
        </w:rPr>
        <w:tab/>
        <w:t>secured together in a sling for transport;</w:t>
      </w:r>
    </w:p>
    <w:p>
      <w:pPr>
        <w:pStyle w:val="nzDefpara"/>
        <w:rPr>
          <w:lang w:val="en-US"/>
        </w:rPr>
      </w:pPr>
      <w:r>
        <w:rPr>
          <w:lang w:val="en-US"/>
        </w:rPr>
        <w:tab/>
      </w:r>
      <w:r>
        <w:rPr>
          <w:lang w:val="en-US"/>
        </w:rPr>
        <w:tab/>
        <w:t>or</w:t>
      </w:r>
    </w:p>
    <w:p>
      <w:pPr>
        <w:pStyle w:val="nzDefpara"/>
        <w:rPr>
          <w:lang w:val="en-US"/>
        </w:rPr>
      </w:pPr>
      <w:r>
        <w:rPr>
          <w:lang w:val="en-US"/>
        </w:rPr>
        <w:tab/>
        <w:t>(d)</w:t>
      </w:r>
      <w:r>
        <w:rPr>
          <w:lang w:val="en-US"/>
        </w:rPr>
        <w:tab/>
        <w:t>supervises an activity mentioned in paragraph (a), (b) or (c); or</w:t>
      </w:r>
    </w:p>
    <w:p>
      <w:pPr>
        <w:pStyle w:val="nzDefpara"/>
        <w:rPr>
          <w:szCs w:val="23"/>
          <w:lang w:val="en-US"/>
        </w:rPr>
      </w:pPr>
      <w:r>
        <w:rPr>
          <w:lang w:val="en-US"/>
        </w:rPr>
        <w:tab/>
        <w:t>(e)</w:t>
      </w:r>
      <w:r>
        <w:rPr>
          <w:lang w:val="en-US"/>
        </w:rPr>
        <w:tab/>
        <w:t>manages or controls an activity mentioned in paragraph (a), (b), (c) or (d)</w:t>
      </w:r>
      <w:r>
        <w:rPr>
          <w:szCs w:val="23"/>
          <w:lang w:val="en-US"/>
        </w:rPr>
        <w:t>;</w:t>
      </w:r>
    </w:p>
    <w:p>
      <w:pPr>
        <w:pStyle w:val="nz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nzDefstart"/>
        <w:rPr>
          <w:lang w:val="en-US"/>
        </w:rPr>
      </w:pPr>
      <w:r>
        <w:rPr>
          <w:b/>
          <w:lang w:val="en-US"/>
        </w:rPr>
        <w:tab/>
      </w:r>
      <w:r>
        <w:rPr>
          <w:rStyle w:val="CharDefText"/>
        </w:rPr>
        <w:t>prohibition order</w:t>
      </w:r>
      <w:r>
        <w:t xml:space="preserve"> </w:t>
      </w:r>
      <w:r>
        <w:rPr>
          <w:lang w:val="en-US"/>
        </w:rPr>
        <w:t>means an order made under section 128;</w:t>
      </w:r>
    </w:p>
    <w:p>
      <w:pPr>
        <w:pStyle w:val="nzDefstart"/>
      </w:pPr>
      <w:r>
        <w:rPr>
          <w:b/>
        </w:rPr>
        <w:tab/>
      </w:r>
      <w:r>
        <w:rPr>
          <w:rStyle w:val="CharDefText"/>
        </w:rPr>
        <w:t>reasonable steps defence</w:t>
      </w:r>
      <w:r>
        <w:t xml:space="preserve"> means the defence described in section 113;</w:t>
      </w:r>
    </w:p>
    <w:p>
      <w:pPr>
        <w:pStyle w:val="nzDefstart"/>
        <w:rPr>
          <w:lang w:val="en-US"/>
        </w:rPr>
      </w:pPr>
      <w:r>
        <w:rPr>
          <w:b/>
          <w:lang w:val="en-US"/>
        </w:rPr>
        <w:tab/>
      </w:r>
      <w:r>
        <w:rPr>
          <w:rStyle w:val="CharDefText"/>
        </w:rPr>
        <w:t>relevant authority</w:t>
      </w:r>
      <w:r>
        <w:t xml:space="preserve">, in </w:t>
      </w:r>
      <w:r>
        <w:rPr>
          <w:lang w:val="en-US"/>
        </w:rPr>
        <w:t xml:space="preserve">relation to a vehicle, means — </w:t>
      </w:r>
    </w:p>
    <w:p>
      <w:pPr>
        <w:pStyle w:val="nzDefpara"/>
      </w:pPr>
      <w:r>
        <w:tab/>
        <w:t>(a)</w:t>
      </w:r>
      <w:r>
        <w:tab/>
        <w:t>if the vehicle has never been licensed or registered but the vehicle is used or is intended to be used in this State — the CEO; or</w:t>
      </w:r>
    </w:p>
    <w:p>
      <w:pPr>
        <w:pStyle w:val="nzDefpara"/>
      </w:pPr>
      <w:r>
        <w:tab/>
        <w:t>(b)</w:t>
      </w:r>
      <w:r>
        <w:tab/>
        <w:t>if the vehicle was last licensed in this State — the CEO; or</w:t>
      </w:r>
    </w:p>
    <w:p>
      <w:pPr>
        <w:pStyle w:val="nzDefpara"/>
      </w:pPr>
      <w:r>
        <w:tab/>
        <w:t>(c)</w:t>
      </w:r>
      <w:r>
        <w:tab/>
        <w:t>if the vehicle was last licensed or registered in another jurisdiction — the corresponding authority in that jurisdiction;</w:t>
      </w:r>
    </w:p>
    <w:p>
      <w:pPr>
        <w:pStyle w:val="nzDefstart"/>
        <w:rPr>
          <w:lang w:val="en-US"/>
        </w:rPr>
      </w:pPr>
      <w:r>
        <w:rPr>
          <w:b/>
          <w:lang w:val="en-US"/>
        </w:rPr>
        <w:tab/>
      </w:r>
      <w:r>
        <w:rPr>
          <w:rStyle w:val="CharDefText"/>
        </w:rPr>
        <w:t>responsible entity</w:t>
      </w:r>
      <w:r>
        <w:rPr>
          <w:lang w:val="en-US"/>
        </w:rPr>
        <w:t xml:space="preserve">, in relation to a freight container, is — </w:t>
      </w:r>
    </w:p>
    <w:p>
      <w:pPr>
        <w:pStyle w:val="nz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nz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nz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nzDefstart"/>
        <w:rPr>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nzDefstart"/>
      </w:pPr>
      <w:r>
        <w:rPr>
          <w:b/>
        </w:rPr>
        <w:tab/>
      </w:r>
      <w:r>
        <w:rPr>
          <w:rStyle w:val="CharDefText"/>
        </w:rPr>
        <w:t>severe risk breach</w:t>
      </w:r>
      <w:r>
        <w:t xml:space="preserve"> — </w:t>
      </w:r>
    </w:p>
    <w:p>
      <w:pPr>
        <w:pStyle w:val="nzDefpara"/>
      </w:pPr>
      <w:r>
        <w:tab/>
        <w:t>(a)</w:t>
      </w:r>
      <w:r>
        <w:tab/>
        <w:t>in relation to a mass requirement, has the meaning given by section 50;</w:t>
      </w:r>
    </w:p>
    <w:p>
      <w:pPr>
        <w:pStyle w:val="nzDefpara"/>
      </w:pPr>
      <w:r>
        <w:tab/>
        <w:t>(b)</w:t>
      </w:r>
      <w:r>
        <w:tab/>
        <w:t>in relation to a dimension requirement, has the meaning given by section 54;</w:t>
      </w:r>
    </w:p>
    <w:p>
      <w:pPr>
        <w:pStyle w:val="nzDefpara"/>
      </w:pPr>
      <w:r>
        <w:tab/>
        <w:t>(c)</w:t>
      </w:r>
      <w:r>
        <w:tab/>
        <w:t>in relation to a loading requirement, has the meaning given by section 60;</w:t>
      </w:r>
    </w:p>
    <w:p>
      <w:pPr>
        <w:pStyle w:val="nzDefstart"/>
      </w:pPr>
      <w:r>
        <w:rPr>
          <w:b/>
        </w:rPr>
        <w:tab/>
      </w:r>
      <w:r>
        <w:rPr>
          <w:rStyle w:val="CharDefText"/>
        </w:rPr>
        <w:t>substantial risk breach</w:t>
      </w:r>
      <w:r>
        <w:t xml:space="preserve"> — </w:t>
      </w:r>
    </w:p>
    <w:p>
      <w:pPr>
        <w:pStyle w:val="nzDefpara"/>
      </w:pPr>
      <w:r>
        <w:tab/>
        <w:t>(a)</w:t>
      </w:r>
      <w:r>
        <w:tab/>
        <w:t>in relation to a mass requirement, has the meaning given by section 49;</w:t>
      </w:r>
    </w:p>
    <w:p>
      <w:pPr>
        <w:pStyle w:val="nzDefpara"/>
      </w:pPr>
      <w:r>
        <w:tab/>
        <w:t>(b)</w:t>
      </w:r>
      <w:r>
        <w:tab/>
        <w:t>in relation to a dimension requirement, has the meaning given by section 53 or 55(2);</w:t>
      </w:r>
    </w:p>
    <w:p>
      <w:pPr>
        <w:pStyle w:val="nzDefpara"/>
      </w:pPr>
      <w:r>
        <w:tab/>
        <w:t>(c)</w:t>
      </w:r>
      <w:r>
        <w:tab/>
        <w:t>in relation to a loading requirement, has the meaning given by section 59;</w:t>
      </w:r>
    </w:p>
    <w:p>
      <w:pPr>
        <w:pStyle w:val="nzDefstart"/>
        <w:rPr>
          <w:lang w:val="en-US"/>
        </w:rPr>
      </w:pPr>
      <w:r>
        <w:rPr>
          <w:b/>
          <w:lang w:val="en-US"/>
        </w:rPr>
        <w:tab/>
      </w:r>
      <w:r>
        <w:rPr>
          <w:rStyle w:val="CharDefText"/>
        </w:rPr>
        <w:t>supervisory intervention order</w:t>
      </w:r>
      <w:r>
        <w:t xml:space="preserve"> </w:t>
      </w:r>
      <w:r>
        <w:rPr>
          <w:lang w:val="en-US"/>
        </w:rPr>
        <w:t>means an order made under section 126;</w:t>
      </w:r>
    </w:p>
    <w:p>
      <w:pPr>
        <w:pStyle w:val="nzDefstart"/>
        <w:rPr>
          <w:lang w:val="en-US"/>
        </w:rPr>
      </w:pPr>
      <w:r>
        <w:rPr>
          <w:b/>
          <w:lang w:val="en-US"/>
        </w:rPr>
        <w:tab/>
      </w:r>
      <w:r>
        <w:rPr>
          <w:rStyle w:val="CharDefText"/>
        </w:rPr>
        <w:t>transport documentation</w:t>
      </w:r>
      <w:r>
        <w:t xml:space="preserve"> </w:t>
      </w:r>
      <w:r>
        <w:rPr>
          <w:lang w:val="en-US"/>
        </w:rPr>
        <w:t xml:space="preserve">means — </w:t>
      </w:r>
    </w:p>
    <w:p>
      <w:pPr>
        <w:pStyle w:val="nzDefpara"/>
        <w:rPr>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nz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nz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nzDefpara"/>
        <w:rPr>
          <w:lang w:val="en-US"/>
        </w:rPr>
      </w:pPr>
      <w:r>
        <w:rPr>
          <w:szCs w:val="23"/>
          <w:lang w:val="en-US"/>
        </w:rPr>
        <w:tab/>
      </w:r>
      <w:r>
        <w:rPr>
          <w:szCs w:val="23"/>
          <w:lang w:val="en-US"/>
        </w:rPr>
        <w:tab/>
        <w:t>or</w:t>
      </w:r>
    </w:p>
    <w:p>
      <w:pPr>
        <w:pStyle w:val="nzDefpara"/>
        <w:rPr>
          <w:lang w:val="en-US"/>
        </w:rPr>
      </w:pPr>
      <w:r>
        <w:rPr>
          <w:lang w:val="en-US"/>
        </w:rPr>
        <w:tab/>
        <w:t>(b)</w:t>
      </w:r>
      <w:r>
        <w:rPr>
          <w:lang w:val="en-US"/>
        </w:rPr>
        <w:tab/>
        <w:t xml:space="preserve">documentation associated with contractual documentation mentioned in paragraph (a) and that is — </w:t>
      </w:r>
    </w:p>
    <w:p>
      <w:pPr>
        <w:pStyle w:val="nzDefsubpara"/>
        <w:rPr>
          <w:lang w:val="en-US"/>
        </w:rPr>
      </w:pPr>
      <w:r>
        <w:rPr>
          <w:lang w:val="en-US"/>
        </w:rPr>
        <w:tab/>
        <w:t>(i)</w:t>
      </w:r>
      <w:r>
        <w:rPr>
          <w:lang w:val="en-US"/>
        </w:rPr>
        <w:tab/>
        <w:t>contemplated, mentioned or incorporated, in the contractual documentation; or</w:t>
      </w:r>
    </w:p>
    <w:p>
      <w:pPr>
        <w:pStyle w:val="nzDefsubpara"/>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nzDefstart"/>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nz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rPr>
          <w:rStyle w:val="CharDivNo"/>
        </w:rPr>
        <w:t> </w:t>
      </w:r>
      <w:r>
        <w:t>—</w:t>
      </w:r>
      <w:r>
        <w:rPr>
          <w:rStyle w:val="CharDivText"/>
        </w:rPr>
        <w:t> </w:t>
      </w:r>
      <w:r>
        <w:rPr>
          <w:rStyle w:val="CharPartText"/>
        </w:rPr>
        <w:t>Licensing of vehicles</w:t>
      </w:r>
    </w:p>
    <w:p>
      <w:pPr>
        <w:pStyle w:val="nzHeading5"/>
        <w:rPr>
          <w:snapToGrid w:val="0"/>
        </w:rPr>
      </w:pPr>
      <w:r>
        <w:rPr>
          <w:rStyle w:val="CharSectno"/>
        </w:rPr>
        <w:t>4</w:t>
      </w:r>
      <w:r>
        <w:t>.</w:t>
      </w:r>
      <w:r>
        <w:tab/>
      </w:r>
      <w:r>
        <w:rPr>
          <w:snapToGrid w:val="0"/>
        </w:rPr>
        <w:t>Vehicle licences</w:t>
      </w:r>
    </w:p>
    <w:p>
      <w:pPr>
        <w:pStyle w:val="nzSubsection"/>
        <w:rPr>
          <w:snapToGrid w:val="0"/>
        </w:rPr>
      </w:pPr>
      <w:r>
        <w:rPr>
          <w:snapToGrid w:val="0"/>
        </w:rPr>
        <w:tab/>
        <w:t>(1)</w:t>
      </w:r>
      <w:r>
        <w:rPr>
          <w:snapToGrid w:val="0"/>
        </w:rPr>
        <w:tab/>
        <w:t>A vehicle licence is required for a vehicle of a prescribed class.</w:t>
      </w:r>
    </w:p>
    <w:p>
      <w:pPr>
        <w:pStyle w:val="nzSubsection"/>
      </w:pPr>
      <w:r>
        <w:tab/>
        <w:t>(2)</w:t>
      </w:r>
      <w:r>
        <w:tab/>
        <w:t xml:space="preserve">A responsible person for a vehicle and each person who uses the vehicle on a road commits an offence if, at the time the vehicle is used on the road — </w:t>
      </w:r>
    </w:p>
    <w:p>
      <w:pPr>
        <w:pStyle w:val="nzIndenta"/>
      </w:pPr>
      <w:r>
        <w:tab/>
        <w:t>(a)</w:t>
      </w:r>
      <w:r>
        <w:tab/>
        <w:t>a vehicle licence is required for the vehicle; and</w:t>
      </w:r>
    </w:p>
    <w:p>
      <w:pPr>
        <w:pStyle w:val="nzIndenta"/>
      </w:pPr>
      <w:r>
        <w:tab/>
        <w:t>(b)</w:t>
      </w:r>
      <w:r>
        <w:tab/>
        <w:t>a licence has not been granted in respect of the vehicle or a licence has been granted in respect of the vehicle but is not current.</w:t>
      </w:r>
    </w:p>
    <w:p>
      <w:pPr>
        <w:pStyle w:val="nz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nz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nzIndenta"/>
        <w:rPr>
          <w:snapToGrid w:val="0"/>
        </w:rPr>
      </w:pPr>
      <w:r>
        <w:tab/>
        <w:t>(a)</w:t>
      </w:r>
      <w:r>
        <w:tab/>
        <w:t>prescribed by regulations made under section 6(2)(b)</w:t>
      </w:r>
      <w:r>
        <w:rPr>
          <w:snapToGrid w:val="0"/>
        </w:rPr>
        <w:t xml:space="preserve"> as a period within which the licence may be renewed; and</w:t>
      </w:r>
    </w:p>
    <w:p>
      <w:pPr>
        <w:pStyle w:val="nzIndenta"/>
        <w:rPr>
          <w:snapToGrid w:val="0"/>
        </w:rPr>
      </w:pPr>
      <w:r>
        <w:tab/>
        <w:t>(b)</w:t>
      </w:r>
      <w:r>
        <w:tab/>
      </w:r>
      <w:r>
        <w:rPr>
          <w:snapToGrid w:val="0"/>
        </w:rPr>
        <w:t>prescribed for the purposes of this subsection.</w:t>
      </w:r>
    </w:p>
    <w:p>
      <w:pPr>
        <w:pStyle w:val="nz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nzIndenta"/>
        <w:rPr>
          <w:snapToGrid w:val="0"/>
        </w:rPr>
      </w:pPr>
      <w:r>
        <w:rPr>
          <w:snapToGrid w:val="0"/>
        </w:rPr>
        <w:tab/>
        <w:t>(a)</w:t>
      </w:r>
      <w:r>
        <w:rPr>
          <w:snapToGrid w:val="0"/>
        </w:rPr>
        <w:tab/>
        <w:t>under and in accordance with a permit issued under section 13(1); or</w:t>
      </w:r>
    </w:p>
    <w:p>
      <w:pPr>
        <w:pStyle w:val="nzIndenta"/>
      </w:pPr>
      <w:r>
        <w:tab/>
        <w:t>(b)</w:t>
      </w:r>
      <w:r>
        <w:tab/>
        <w:t>with number plates mentioned in section 13(2) and in accordance with each requirement applying to the use of the number plates.</w:t>
      </w:r>
    </w:p>
    <w:p>
      <w:pPr>
        <w:pStyle w:val="nz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nz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nzHeading5"/>
      </w:pPr>
      <w:r>
        <w:rPr>
          <w:rStyle w:val="CharSectno"/>
        </w:rPr>
        <w:t>5</w:t>
      </w:r>
      <w:r>
        <w:t>.</w:t>
      </w:r>
      <w:r>
        <w:tab/>
        <w:t>Applications for grant, renewal, transfer and variation of vehicle licences</w:t>
      </w:r>
    </w:p>
    <w:p>
      <w:pPr>
        <w:pStyle w:val="nzSubsection"/>
        <w:rPr>
          <w:snapToGrid w:val="0"/>
        </w:rPr>
      </w:pPr>
      <w:r>
        <w:rPr>
          <w:snapToGrid w:val="0"/>
        </w:rPr>
        <w:tab/>
        <w:t>(1)</w:t>
      </w:r>
      <w:r>
        <w:rPr>
          <w:snapToGrid w:val="0"/>
        </w:rPr>
        <w:tab/>
        <w:t>An owner of a vehicle may apply for the grant, renewal, transfer or variation of a licence for a vehicle by —</w:t>
      </w:r>
    </w:p>
    <w:p>
      <w:pPr>
        <w:pStyle w:val="nzIndenta"/>
      </w:pPr>
      <w:r>
        <w:rPr>
          <w:snapToGrid w:val="0"/>
        </w:rPr>
        <w:tab/>
        <w:t>(a)</w:t>
      </w:r>
      <w:r>
        <w:rPr>
          <w:snapToGrid w:val="0"/>
        </w:rPr>
        <w:tab/>
        <w:t>submitting</w:t>
      </w:r>
      <w:r>
        <w:t xml:space="preserve"> an application in a form approved by the CEO; and</w:t>
      </w:r>
    </w:p>
    <w:p>
      <w:pPr>
        <w:pStyle w:val="nzIndenta"/>
      </w:pPr>
      <w:r>
        <w:rPr>
          <w:snapToGrid w:val="0"/>
        </w:rPr>
        <w:tab/>
        <w:t>(b)</w:t>
      </w:r>
      <w:r>
        <w:rPr>
          <w:snapToGrid w:val="0"/>
        </w:rPr>
        <w:tab/>
        <w:t>paying</w:t>
      </w:r>
      <w:r>
        <w:t xml:space="preserve"> </w:t>
      </w:r>
      <w:r>
        <w:rPr>
          <w:snapToGrid w:val="0"/>
        </w:rPr>
        <w:t>the</w:t>
      </w:r>
      <w:r>
        <w:t xml:space="preserve"> amount of —</w:t>
      </w:r>
    </w:p>
    <w:p>
      <w:pPr>
        <w:pStyle w:val="nzIndenti"/>
      </w:pPr>
      <w:r>
        <w:tab/>
        <w:t>(i)</w:t>
      </w:r>
      <w:r>
        <w:tab/>
        <w:t xml:space="preserve">any fee or charge that would be required by </w:t>
      </w:r>
      <w:r>
        <w:rPr>
          <w:snapToGrid w:val="0"/>
        </w:rPr>
        <w:t>section 7</w:t>
      </w:r>
      <w:r>
        <w:t>; and</w:t>
      </w:r>
    </w:p>
    <w:p>
      <w:pPr>
        <w:pStyle w:val="nzIndenti"/>
      </w:pPr>
      <w:r>
        <w:tab/>
        <w:t>(ii)</w:t>
      </w:r>
      <w:r>
        <w:tab/>
        <w:t xml:space="preserve">the duty, and any penalty tax, payable under the </w:t>
      </w:r>
      <w:r>
        <w:rPr>
          <w:i/>
        </w:rPr>
        <w:t>Duties Act 2008</w:t>
      </w:r>
      <w:r>
        <w:t xml:space="preserve"> on the grant or transfer of the licence.</w:t>
      </w:r>
    </w:p>
    <w:p>
      <w:pPr>
        <w:pStyle w:val="nzSubsection"/>
      </w:pPr>
      <w:r>
        <w:tab/>
        <w:t>(2)</w:t>
      </w:r>
      <w:r>
        <w:tab/>
        <w:t>On the payment of —</w:t>
      </w:r>
    </w:p>
    <w:p>
      <w:pPr>
        <w:pStyle w:val="nzIndenta"/>
      </w:pPr>
      <w:r>
        <w:tab/>
        <w:t>(a)</w:t>
      </w:r>
      <w:r>
        <w:tab/>
        <w:t>a sum ordered under section 10(7) to be paid; or</w:t>
      </w:r>
    </w:p>
    <w:p>
      <w:pPr>
        <w:pStyle w:val="nzIndenta"/>
      </w:pPr>
      <w:r>
        <w:tab/>
        <w:t>(b)</w:t>
      </w:r>
      <w:r>
        <w:tab/>
        <w:t xml:space="preserve">a sum specified under the </w:t>
      </w:r>
      <w:r>
        <w:rPr>
          <w:i/>
          <w:iCs/>
        </w:rPr>
        <w:t>Road Traffic (Administration) Act 2008</w:t>
      </w:r>
      <w:r>
        <w:t xml:space="preserve"> section 81(2) in an infringement notice,</w:t>
      </w:r>
    </w:p>
    <w:p>
      <w:pPr>
        <w:pStyle w:val="nzSubsection"/>
      </w:pPr>
      <w:r>
        <w:tab/>
      </w:r>
      <w:r>
        <w:tab/>
        <w:t>an application for a transfer under subsection (1) is to be taken to have been made, and the payment is to be taken to have been a payment under subsection (1)(b).</w:t>
      </w:r>
    </w:p>
    <w:p>
      <w:pPr>
        <w:pStyle w:val="nz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nzIndenta"/>
      </w:pPr>
      <w:r>
        <w:tab/>
        <w:t>(a)</w:t>
      </w:r>
      <w:r>
        <w:tab/>
        <w:t xml:space="preserve">either — </w:t>
      </w:r>
    </w:p>
    <w:p>
      <w:pPr>
        <w:pStyle w:val="nzIndenti"/>
      </w:pPr>
      <w:r>
        <w:tab/>
        <w:t>(i)</w:t>
      </w:r>
      <w:r>
        <w:tab/>
        <w:t>the vehicle meets the prescribed standards and requirements for that vehicle and is otherwise fit for the purpose for which the licence is required; or</w:t>
      </w:r>
    </w:p>
    <w:p>
      <w:pPr>
        <w:pStyle w:val="nz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nzIndenti"/>
      </w:pPr>
      <w:r>
        <w:tab/>
        <w:t>and</w:t>
      </w:r>
    </w:p>
    <w:p>
      <w:pPr>
        <w:pStyle w:val="nz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nzIndenta"/>
      </w:pPr>
      <w:r>
        <w:tab/>
        <w:t>(c)</w:t>
      </w:r>
      <w:r>
        <w:tab/>
        <w:t xml:space="preserve">the applicant has complied with any applicable provisions of the </w:t>
      </w:r>
      <w:r>
        <w:rPr>
          <w:i/>
        </w:rPr>
        <w:t>Duties Act 2008</w:t>
      </w:r>
      <w:r>
        <w:t xml:space="preserve"> relating to the grant or transfer of motor vehicles; and</w:t>
      </w:r>
    </w:p>
    <w:p>
      <w:pPr>
        <w:pStyle w:val="nzIndenta"/>
      </w:pPr>
      <w:r>
        <w:tab/>
        <w:t>(d)</w:t>
      </w:r>
      <w:r>
        <w:tab/>
        <w:t>the CEO is satisfied that —</w:t>
      </w:r>
    </w:p>
    <w:p>
      <w:pPr>
        <w:pStyle w:val="nzIndenti"/>
      </w:pPr>
      <w:r>
        <w:tab/>
        <w:t>(i)</w:t>
      </w:r>
      <w:r>
        <w:tab/>
        <w:t>the vehicle is kept primarily in this State; or</w:t>
      </w:r>
    </w:p>
    <w:p>
      <w:pPr>
        <w:pStyle w:val="nzIndenti"/>
      </w:pPr>
      <w:r>
        <w:tab/>
        <w:t>(ii)</w:t>
      </w:r>
      <w:r>
        <w:tab/>
        <w:t>the vehicle is not kept primarily in any jurisdiction;</w:t>
      </w:r>
    </w:p>
    <w:p>
      <w:pPr>
        <w:pStyle w:val="nzIndenta"/>
      </w:pPr>
      <w:r>
        <w:tab/>
      </w:r>
      <w:r>
        <w:tab/>
        <w:t>and</w:t>
      </w:r>
    </w:p>
    <w:p>
      <w:pPr>
        <w:pStyle w:val="nzIndenta"/>
      </w:pPr>
      <w:r>
        <w:tab/>
        <w:t>(e)</w:t>
      </w:r>
      <w:r>
        <w:tab/>
        <w:t>the vehicle were to be kept primarily in another jurisdiction, the applicant would not be prevented by or under the law of another jurisdiction from holding a licence for, or being registered in respect of, the vehicle.</w:t>
      </w:r>
    </w:p>
    <w:p>
      <w:pPr>
        <w:pStyle w:val="nzSubsection"/>
        <w:rPr>
          <w:snapToGrid w:val="0"/>
        </w:rPr>
      </w:pPr>
      <w:r>
        <w:rPr>
          <w:snapToGrid w:val="0"/>
        </w:rPr>
        <w:tab/>
        <w:t>(4)</w:t>
      </w:r>
      <w:r>
        <w:rPr>
          <w:snapToGrid w:val="0"/>
        </w:rPr>
        <w:tab/>
        <w:t>A vehicle cannot be licensed in the name of more than one person at a particular time.</w:t>
      </w:r>
    </w:p>
    <w:p>
      <w:pPr>
        <w:pStyle w:val="nz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nz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nz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nzSubsection"/>
        <w:rPr>
          <w:snapToGrid w:val="0"/>
        </w:rPr>
      </w:pPr>
      <w:r>
        <w:rPr>
          <w:snapToGrid w:val="0"/>
        </w:rPr>
        <w:tab/>
        <w:t>(8)</w:t>
      </w:r>
      <w:r>
        <w:rPr>
          <w:snapToGrid w:val="0"/>
        </w:rPr>
        <w:tab/>
        <w:t>The CEO is to refund any amount paid by a person in connection with —</w:t>
      </w:r>
    </w:p>
    <w:p>
      <w:pPr>
        <w:pStyle w:val="nzIndenta"/>
      </w:pPr>
      <w:r>
        <w:tab/>
        <w:t>(a)</w:t>
      </w:r>
      <w:r>
        <w:tab/>
        <w:t>an application under this section that is refused; or</w:t>
      </w:r>
    </w:p>
    <w:p>
      <w:pPr>
        <w:pStyle w:val="nzIndenta"/>
      </w:pPr>
      <w:r>
        <w:tab/>
        <w:t>(b)</w:t>
      </w:r>
      <w:r>
        <w:tab/>
        <w:t>an application for the transfer of a licence upon which the licence is not transferred but cancelled.</w:t>
      </w:r>
    </w:p>
    <w:p>
      <w:pPr>
        <w:pStyle w:val="nzHeading5"/>
      </w:pPr>
      <w:r>
        <w:rPr>
          <w:rStyle w:val="CharSectno"/>
        </w:rPr>
        <w:t>6</w:t>
      </w:r>
      <w:r>
        <w:t>.</w:t>
      </w:r>
      <w:r>
        <w:tab/>
        <w:t>Regulations for the grant, renewal and variation of vehicle licences</w:t>
      </w:r>
    </w:p>
    <w:p>
      <w:pPr>
        <w:pStyle w:val="nzSubsection"/>
      </w:pPr>
      <w:r>
        <w:tab/>
        <w:t>(1)</w:t>
      </w:r>
      <w:r>
        <w:tab/>
        <w:t>The regulations may provide for the grant, renewal or variation of a vehicle licence by the CEO to the extent that a matter is not provided for in section 5.</w:t>
      </w:r>
    </w:p>
    <w:p>
      <w:pPr>
        <w:pStyle w:val="nzSubsection"/>
      </w:pPr>
      <w:r>
        <w:tab/>
        <w:t>(2)</w:t>
      </w:r>
      <w:r>
        <w:tab/>
        <w:t>Without limiting subsection (1), the regulations may —</w:t>
      </w:r>
    </w:p>
    <w:p>
      <w:pPr>
        <w:pStyle w:val="nzIndenta"/>
      </w:pPr>
      <w:r>
        <w:tab/>
        <w:t>(a)</w:t>
      </w:r>
      <w:r>
        <w:tab/>
        <w:t>fix the periods for which a vehicle licence may be granted or renewed; and</w:t>
      </w:r>
    </w:p>
    <w:p>
      <w:pPr>
        <w:pStyle w:val="nzIndenta"/>
      </w:pPr>
      <w:r>
        <w:tab/>
        <w:t>(b)</w:t>
      </w:r>
      <w:r>
        <w:tab/>
        <w:t>fix a period, whether before or after the expiry of a licence, within which the licence may be renewed; and</w:t>
      </w:r>
    </w:p>
    <w:p>
      <w:pPr>
        <w:pStyle w:val="nzIndenta"/>
      </w:pPr>
      <w:r>
        <w:tab/>
        <w:t>(c)</w:t>
      </w:r>
      <w:r>
        <w:tab/>
        <w:t>provide that renewal of a vehicle licence within a specified period after the expiry continues the licence; and</w:t>
      </w:r>
    </w:p>
    <w:p>
      <w:pPr>
        <w:pStyle w:val="nzIndenta"/>
      </w:pPr>
      <w:r>
        <w:tab/>
        <w:t>(d)</w:t>
      </w:r>
      <w:r>
        <w:tab/>
        <w:t>provide that a vehicle licence that is renewed within a specified period after the expiry of the licence is to be taken as having effect from a specified time which may be immediately after that expiry; and</w:t>
      </w:r>
    </w:p>
    <w:p>
      <w:pPr>
        <w:pStyle w:val="nzIndenta"/>
      </w:pPr>
      <w:r>
        <w:tab/>
        <w:t>(e)</w:t>
      </w:r>
      <w:r>
        <w:tab/>
      </w:r>
      <w:r>
        <w:rPr>
          <w:snapToGrid w:val="0"/>
        </w:rPr>
        <w:t xml:space="preserve">empower the CEO to </w:t>
      </w:r>
      <w:r>
        <w:t>provide for 3 or more vehicle licences held by the same person to expire on the same day.</w:t>
      </w:r>
    </w:p>
    <w:p>
      <w:pPr>
        <w:pStyle w:val="nzSubsection"/>
      </w:pPr>
      <w:r>
        <w:tab/>
        <w:t>(3)</w:t>
      </w:r>
      <w:r>
        <w:tab/>
        <w:t>A regulation made under subsection (2)(c) or (d) does not operate to provide a defence in a prosecution of an offence under section 4(2).</w:t>
      </w:r>
    </w:p>
    <w:p>
      <w:pPr>
        <w:pStyle w:val="nzHeading5"/>
        <w:rPr>
          <w:snapToGrid w:val="0"/>
        </w:rPr>
      </w:pPr>
      <w:r>
        <w:rPr>
          <w:rStyle w:val="CharSectno"/>
        </w:rPr>
        <w:t>7</w:t>
      </w:r>
      <w:r>
        <w:t>.</w:t>
      </w:r>
      <w:r>
        <w:tab/>
      </w:r>
      <w:r>
        <w:rPr>
          <w:snapToGrid w:val="0"/>
        </w:rPr>
        <w:t>Charges for vehicle licences</w:t>
      </w:r>
    </w:p>
    <w:p>
      <w:pPr>
        <w:pStyle w:val="nz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nzSubsection"/>
        <w:rPr>
          <w:snapToGrid w:val="0"/>
        </w:rPr>
      </w:pPr>
      <w:r>
        <w:rPr>
          <w:snapToGrid w:val="0"/>
        </w:rPr>
        <w:tab/>
        <w:t>(2)</w:t>
      </w:r>
      <w:r>
        <w:rPr>
          <w:snapToGrid w:val="0"/>
        </w:rPr>
        <w:tab/>
        <w:t>The prescribed transfer fee is to be paid to the CEO for effecting the transfer of any licence for a vehicle.</w:t>
      </w:r>
    </w:p>
    <w:p>
      <w:pPr>
        <w:pStyle w:val="nz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nz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nzIndenta"/>
        <w:rPr>
          <w:snapToGrid w:val="0"/>
        </w:rPr>
      </w:pPr>
      <w:r>
        <w:tab/>
        <w:t>(a)</w:t>
      </w:r>
      <w:r>
        <w:tab/>
        <w:t xml:space="preserve">a condition imposed on the licence </w:t>
      </w:r>
      <w:r>
        <w:rPr>
          <w:snapToGrid w:val="0"/>
        </w:rPr>
        <w:t>is not complied with; or</w:t>
      </w:r>
    </w:p>
    <w:p>
      <w:pPr>
        <w:pStyle w:val="nz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nzIndenta"/>
        <w:rPr>
          <w:snapToGrid w:val="0"/>
        </w:rPr>
      </w:pPr>
      <w:r>
        <w:rPr>
          <w:snapToGrid w:val="0"/>
        </w:rPr>
        <w:tab/>
        <w:t>(c)</w:t>
      </w:r>
      <w:r>
        <w:rPr>
          <w:snapToGrid w:val="0"/>
        </w:rPr>
        <w:tab/>
        <w:t>the vehicle is put to a use for which the licence would not be granted free of charge or at a reduced charge,</w:t>
      </w:r>
    </w:p>
    <w:p>
      <w:pPr>
        <w:pStyle w:val="nz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nz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nz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nzHeading5"/>
        <w:rPr>
          <w:snapToGrid w:val="0"/>
        </w:rPr>
      </w:pPr>
      <w:r>
        <w:rPr>
          <w:rStyle w:val="CharSectno"/>
        </w:rPr>
        <w:t>8</w:t>
      </w:r>
      <w:r>
        <w:t>.</w:t>
      </w:r>
      <w:r>
        <w:tab/>
      </w:r>
      <w:r>
        <w:rPr>
          <w:snapToGrid w:val="0"/>
        </w:rPr>
        <w:t>Licence obtained by means of a dishonoured cheque of no effect</w:t>
      </w:r>
    </w:p>
    <w:p>
      <w:pPr>
        <w:pStyle w:val="nz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nz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nzPenstart"/>
      </w:pPr>
      <w:r>
        <w:tab/>
        <w:t>Penalty: a fine of 6 PU.</w:t>
      </w:r>
    </w:p>
    <w:p>
      <w:pPr>
        <w:pStyle w:val="nz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nzPenstart"/>
      </w:pPr>
      <w:r>
        <w:tab/>
        <w:t>Penalty: a fine of 6 PU.</w:t>
      </w:r>
    </w:p>
    <w:p>
      <w:pPr>
        <w:pStyle w:val="nzHeading5"/>
        <w:rPr>
          <w:snapToGrid w:val="0"/>
        </w:rPr>
      </w:pPr>
      <w:r>
        <w:rPr>
          <w:rStyle w:val="CharSectno"/>
        </w:rPr>
        <w:t>9</w:t>
      </w:r>
      <w:r>
        <w:t>.</w:t>
      </w:r>
      <w:r>
        <w:tab/>
      </w:r>
      <w:r>
        <w:rPr>
          <w:snapToGrid w:val="0"/>
        </w:rPr>
        <w:t>Cancellation, suspension of vehicle licence in certain circumstances</w:t>
      </w:r>
    </w:p>
    <w:p>
      <w:pPr>
        <w:pStyle w:val="nzSubsection"/>
        <w:rPr>
          <w:snapToGrid w:val="0"/>
        </w:rPr>
      </w:pPr>
      <w:r>
        <w:rPr>
          <w:snapToGrid w:val="0"/>
        </w:rPr>
        <w:tab/>
        <w:t>(1)</w:t>
      </w:r>
      <w:r>
        <w:rPr>
          <w:snapToGrid w:val="0"/>
        </w:rPr>
        <w:tab/>
        <w:t>The CEO may cancel the licence in respect of any vehicle if — </w:t>
      </w:r>
    </w:p>
    <w:p>
      <w:pPr>
        <w:pStyle w:val="nzIndenta"/>
        <w:rPr>
          <w:snapToGrid w:val="0"/>
        </w:rPr>
      </w:pPr>
      <w:r>
        <w:rPr>
          <w:snapToGrid w:val="0"/>
        </w:rPr>
        <w:tab/>
        <w:t>(a)</w:t>
      </w:r>
      <w:r>
        <w:rPr>
          <w:snapToGrid w:val="0"/>
        </w:rPr>
        <w:tab/>
        <w:t>the applicable fees and charges have not been paid; or</w:t>
      </w:r>
    </w:p>
    <w:p>
      <w:pPr>
        <w:pStyle w:val="nzIndenta"/>
        <w:rPr>
          <w:snapToGrid w:val="0"/>
        </w:rPr>
      </w:pPr>
      <w:r>
        <w:rPr>
          <w:snapToGrid w:val="0"/>
        </w:rPr>
        <w:tab/>
        <w:t>(b)</w:t>
      </w:r>
      <w:r>
        <w:rPr>
          <w:snapToGrid w:val="0"/>
        </w:rPr>
        <w:tab/>
        <w:t>the vehicle does not meet the prescribed standards and requirements for that vehicle; or</w:t>
      </w:r>
    </w:p>
    <w:p>
      <w:pPr>
        <w:pStyle w:val="nz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nzIndenta"/>
      </w:pPr>
      <w:r>
        <w:tab/>
        <w:t>(d)</w:t>
      </w:r>
      <w:r>
        <w:tab/>
        <w:t xml:space="preserve">the licence for the vehicle is surrendered in accordance with the </w:t>
      </w:r>
      <w:r>
        <w:rPr>
          <w:i/>
        </w:rPr>
        <w:t xml:space="preserve">Motor Vehicle Dealers Act 1973 </w:t>
      </w:r>
      <w:r>
        <w:t>section 28A.</w:t>
      </w:r>
    </w:p>
    <w:p>
      <w:pPr>
        <w:pStyle w:val="nz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nzHeading5"/>
        <w:rPr>
          <w:snapToGrid w:val="0"/>
        </w:rPr>
      </w:pPr>
      <w:r>
        <w:rPr>
          <w:rStyle w:val="CharSectno"/>
        </w:rPr>
        <w:t>10</w:t>
      </w:r>
      <w:r>
        <w:t>.</w:t>
      </w:r>
      <w:r>
        <w:tab/>
      </w:r>
      <w:r>
        <w:rPr>
          <w:snapToGrid w:val="0"/>
        </w:rPr>
        <w:t>Transfer of vehicle licences</w:t>
      </w:r>
    </w:p>
    <w:p>
      <w:pPr>
        <w:pStyle w:val="nz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nzIndenta"/>
        <w:rPr>
          <w:snapToGrid w:val="0"/>
        </w:rPr>
      </w:pPr>
      <w:r>
        <w:rPr>
          <w:snapToGrid w:val="0"/>
        </w:rPr>
        <w:tab/>
        <w:t>(a)</w:t>
      </w:r>
      <w:r>
        <w:rPr>
          <w:snapToGrid w:val="0"/>
        </w:rPr>
        <w:tab/>
        <w:t>give notice in writing to the CEO of the name and address of the new owner of the vehicle; and</w:t>
      </w:r>
    </w:p>
    <w:p>
      <w:pPr>
        <w:pStyle w:val="nzIndenta"/>
        <w:rPr>
          <w:snapToGrid w:val="0"/>
        </w:rPr>
      </w:pPr>
      <w:r>
        <w:rPr>
          <w:snapToGrid w:val="0"/>
        </w:rPr>
        <w:tab/>
        <w:t>(b)</w:t>
      </w:r>
      <w:r>
        <w:rPr>
          <w:snapToGrid w:val="0"/>
        </w:rPr>
        <w:tab/>
        <w:t xml:space="preserve">return the licence document and the related number plates to the CEO if — </w:t>
      </w:r>
    </w:p>
    <w:p>
      <w:pPr>
        <w:pStyle w:val="nzIndenti"/>
        <w:rPr>
          <w:snapToGrid w:val="0"/>
        </w:rPr>
      </w:pPr>
      <w:r>
        <w:rPr>
          <w:snapToGrid w:val="0"/>
        </w:rPr>
        <w:tab/>
        <w:t>(i)</w:t>
      </w:r>
      <w:r>
        <w:rPr>
          <w:snapToGrid w:val="0"/>
        </w:rPr>
        <w:tab/>
        <w:t>the licence was granted free of charge or upon the payment of a reduced vehicle licence charge; and</w:t>
      </w:r>
    </w:p>
    <w:p>
      <w:pPr>
        <w:pStyle w:val="nz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nzPenstart"/>
      </w:pPr>
      <w:r>
        <w:tab/>
        <w:t>Penalty: a fine of 10 PU.</w:t>
      </w:r>
    </w:p>
    <w:p>
      <w:pPr>
        <w:pStyle w:val="nz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nzPenstart"/>
      </w:pPr>
      <w:r>
        <w:tab/>
        <w:t>Penalty: a fine of 10 PU.</w:t>
      </w:r>
    </w:p>
    <w:p>
      <w:pPr>
        <w:pStyle w:val="nzSubsection"/>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nz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nz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nzSubsection"/>
        <w:rPr>
          <w:snapToGrid w:val="0"/>
        </w:rPr>
      </w:pPr>
      <w:r>
        <w:rPr>
          <w:snapToGrid w:val="0"/>
        </w:rPr>
        <w:tab/>
        <w:t>(4)</w:t>
      </w:r>
      <w:r>
        <w:rPr>
          <w:snapToGrid w:val="0"/>
        </w:rPr>
        <w:tab/>
        <w:t>In subsection (3) —</w:t>
      </w:r>
    </w:p>
    <w:p>
      <w:pPr>
        <w:pStyle w:val="nz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nzSubsection"/>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nzSubsection"/>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nzIndenta"/>
      </w:pPr>
      <w:r>
        <w:tab/>
        <w:t>(a)</w:t>
      </w:r>
      <w:r>
        <w:tab/>
        <w:t>the person did not agree to becoming an owner of the vehicle and has notified the CEO in writing accordingly; or</w:t>
      </w:r>
    </w:p>
    <w:p>
      <w:pPr>
        <w:pStyle w:val="nz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nz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nzIndenta"/>
      </w:pPr>
      <w:r>
        <w:tab/>
        <w:t>(d)</w:t>
      </w:r>
      <w:r>
        <w:tab/>
        <w:t>there was some other good reason that the application for the transfer of the licence was not made.</w:t>
      </w:r>
    </w:p>
    <w:p>
      <w:pPr>
        <w:pStyle w:val="nzPenstart"/>
      </w:pPr>
      <w:r>
        <w:tab/>
        <w:t>Penalty: a fine of 50 PU.</w:t>
      </w:r>
    </w:p>
    <w:p>
      <w:pPr>
        <w:pStyle w:val="nz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nz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nzHeading5"/>
      </w:pPr>
      <w:r>
        <w:rPr>
          <w:rStyle w:val="CharSectno"/>
        </w:rPr>
        <w:t>11</w:t>
      </w:r>
      <w:r>
        <w:t>.</w:t>
      </w:r>
      <w:r>
        <w:tab/>
        <w:t>Requirement to make declaration on applying for grant or transfer of vehicle licence</w:t>
      </w:r>
    </w:p>
    <w:p>
      <w:pPr>
        <w:pStyle w:val="nz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nz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nzHeading5"/>
      </w:pPr>
      <w:r>
        <w:rPr>
          <w:rStyle w:val="CharSectno"/>
        </w:rPr>
        <w:t>12</w:t>
      </w:r>
      <w:r>
        <w:t>.</w:t>
      </w:r>
      <w:r>
        <w:tab/>
        <w:t>Change of nominated owner</w:t>
      </w:r>
    </w:p>
    <w:p>
      <w:pPr>
        <w:pStyle w:val="nz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nz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nzSubsection"/>
      </w:pPr>
      <w:r>
        <w:tab/>
        <w:t>(3)</w:t>
      </w:r>
      <w:r>
        <w:tab/>
        <w:t>If the CEO approves the application and the applicant pays the prescribed fee, if any —</w:t>
      </w:r>
    </w:p>
    <w:p>
      <w:pPr>
        <w:pStyle w:val="nzIndenta"/>
      </w:pPr>
      <w:r>
        <w:tab/>
        <w:t>(a)</w:t>
      </w:r>
      <w:r>
        <w:tab/>
        <w:t>the current nomination ceases to have effect; and</w:t>
      </w:r>
    </w:p>
    <w:p>
      <w:pPr>
        <w:pStyle w:val="nz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nzIndenta"/>
      </w:pPr>
      <w:r>
        <w:tab/>
        <w:t>(c)</w:t>
      </w:r>
      <w:r>
        <w:tab/>
        <w:t>the CEO is to vary the licence by changing the name of the person to whom the licence is granted in accordance with the application.</w:t>
      </w:r>
    </w:p>
    <w:p>
      <w:pPr>
        <w:pStyle w:val="nzHeading5"/>
        <w:rPr>
          <w:snapToGrid w:val="0"/>
        </w:rPr>
      </w:pPr>
      <w:r>
        <w:rPr>
          <w:rStyle w:val="CharSectno"/>
        </w:rPr>
        <w:t>13</w:t>
      </w:r>
      <w:r>
        <w:t>.</w:t>
      </w:r>
      <w:r>
        <w:tab/>
      </w:r>
      <w:r>
        <w:rPr>
          <w:snapToGrid w:val="0"/>
        </w:rPr>
        <w:t>Permits, etc., for unlicensed vehicles</w:t>
      </w:r>
    </w:p>
    <w:p>
      <w:pPr>
        <w:pStyle w:val="nz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nz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nz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nzIndenta"/>
        <w:rPr>
          <w:snapToGrid w:val="0"/>
        </w:rPr>
      </w:pPr>
      <w:r>
        <w:rPr>
          <w:snapToGrid w:val="0"/>
        </w:rPr>
        <w:tab/>
        <w:t>(c)</w:t>
      </w:r>
      <w:r>
        <w:rPr>
          <w:snapToGrid w:val="0"/>
        </w:rPr>
        <w:tab/>
        <w:t>for a prescribed purpose.</w:t>
      </w:r>
    </w:p>
    <w:p>
      <w:pPr>
        <w:pStyle w:val="nz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nzSubsection"/>
        <w:rPr>
          <w:snapToGrid w:val="0"/>
        </w:rPr>
      </w:pPr>
      <w:r>
        <w:rPr>
          <w:snapToGrid w:val="0"/>
        </w:rPr>
        <w:tab/>
        <w:t>(3)</w:t>
      </w:r>
      <w:r>
        <w:rPr>
          <w:snapToGrid w:val="0"/>
        </w:rPr>
        <w:tab/>
        <w:t>Without limiting any power to make regulations under this Act, the regulations may prescribe — </w:t>
      </w:r>
    </w:p>
    <w:p>
      <w:pPr>
        <w:pStyle w:val="nzIndenta"/>
        <w:rPr>
          <w:snapToGrid w:val="0"/>
        </w:rPr>
      </w:pPr>
      <w:r>
        <w:rPr>
          <w:snapToGrid w:val="0"/>
        </w:rPr>
        <w:tab/>
        <w:t>(a)</w:t>
      </w:r>
      <w:r>
        <w:rPr>
          <w:snapToGrid w:val="0"/>
        </w:rPr>
        <w:tab/>
        <w:t>the fees for the grant of a permit; and</w:t>
      </w:r>
    </w:p>
    <w:p>
      <w:pPr>
        <w:pStyle w:val="nzIndenta"/>
      </w:pPr>
      <w:r>
        <w:tab/>
        <w:t>(b)</w:t>
      </w:r>
      <w:r>
        <w:tab/>
        <w:t>the requirements that are to be taken to apply to all permits or permits of a class specified in the regulations; and</w:t>
      </w:r>
    </w:p>
    <w:p>
      <w:pPr>
        <w:pStyle w:val="nzIndenta"/>
        <w:rPr>
          <w:snapToGrid w:val="0"/>
        </w:rPr>
      </w:pPr>
      <w:r>
        <w:rPr>
          <w:snapToGrid w:val="0"/>
        </w:rPr>
        <w:tab/>
        <w:t>(c)</w:t>
      </w:r>
      <w:r>
        <w:rPr>
          <w:snapToGrid w:val="0"/>
        </w:rPr>
        <w:tab/>
        <w:t>the fees for the issue and use of number plates; and</w:t>
      </w:r>
    </w:p>
    <w:p>
      <w:pPr>
        <w:pStyle w:val="nz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nz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nz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nzSubsection"/>
        <w:rPr>
          <w:snapToGrid w:val="0"/>
        </w:rPr>
      </w:pPr>
      <w:r>
        <w:rPr>
          <w:snapToGrid w:val="0"/>
        </w:rPr>
        <w:tab/>
        <w:t>(5)</w:t>
      </w:r>
      <w:r>
        <w:rPr>
          <w:snapToGrid w:val="0"/>
        </w:rPr>
        <w:tab/>
        <w:t>A notice in writing mentioned in subsection (4) — </w:t>
      </w:r>
    </w:p>
    <w:p>
      <w:pPr>
        <w:pStyle w:val="nzIndenta"/>
        <w:rPr>
          <w:snapToGrid w:val="0"/>
        </w:rPr>
      </w:pPr>
      <w:r>
        <w:rPr>
          <w:snapToGrid w:val="0"/>
        </w:rPr>
        <w:tab/>
        <w:t>(a)</w:t>
      </w:r>
      <w:r>
        <w:rPr>
          <w:snapToGrid w:val="0"/>
        </w:rPr>
        <w:tab/>
      </w:r>
      <w:r>
        <w:t>is to</w:t>
      </w:r>
      <w:r>
        <w:rPr>
          <w:snapToGrid w:val="0"/>
        </w:rPr>
        <w:t xml:space="preserve"> be signed by a person authorised so to do by the CEO; and</w:t>
      </w:r>
    </w:p>
    <w:p>
      <w:pPr>
        <w:pStyle w:val="nzIndenta"/>
        <w:rPr>
          <w:snapToGrid w:val="0"/>
        </w:rPr>
      </w:pPr>
      <w:r>
        <w:rPr>
          <w:snapToGrid w:val="0"/>
        </w:rPr>
        <w:tab/>
        <w:t>(b)</w:t>
      </w:r>
      <w:r>
        <w:rPr>
          <w:snapToGrid w:val="0"/>
        </w:rPr>
        <w:tab/>
      </w:r>
      <w:r>
        <w:t xml:space="preserve">is to </w:t>
      </w:r>
      <w:r>
        <w:rPr>
          <w:snapToGrid w:val="0"/>
        </w:rPr>
        <w:t>be served on the person to whom the permit was granted; and</w:t>
      </w:r>
    </w:p>
    <w:p>
      <w:pPr>
        <w:pStyle w:val="nz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nzHeading5"/>
        <w:rPr>
          <w:snapToGrid w:val="0"/>
        </w:rPr>
      </w:pPr>
      <w:r>
        <w:rPr>
          <w:rStyle w:val="CharSectno"/>
        </w:rPr>
        <w:t>14</w:t>
      </w:r>
      <w:r>
        <w:t>.</w:t>
      </w:r>
      <w:r>
        <w:tab/>
      </w:r>
      <w:r>
        <w:rPr>
          <w:snapToGrid w:val="0"/>
        </w:rPr>
        <w:t>Register of vehicle licences</w:t>
      </w:r>
    </w:p>
    <w:p>
      <w:pPr>
        <w:pStyle w:val="nzSubsection"/>
        <w:rPr>
          <w:snapToGrid w:val="0"/>
        </w:rPr>
      </w:pPr>
      <w:r>
        <w:rPr>
          <w:snapToGrid w:val="0"/>
        </w:rPr>
        <w:tab/>
      </w:r>
      <w:r>
        <w:rPr>
          <w:snapToGrid w:val="0"/>
        </w:rPr>
        <w:tab/>
        <w:t>The CEO is to keep a register of vehicle licences, and enter in it particulars of each vehicle licence that is granted.</w:t>
      </w:r>
    </w:p>
    <w:p>
      <w:pPr>
        <w:pStyle w:val="nzHeading5"/>
        <w:rPr>
          <w:snapToGrid w:val="0"/>
        </w:rPr>
      </w:pPr>
      <w:r>
        <w:rPr>
          <w:rStyle w:val="CharSectno"/>
        </w:rPr>
        <w:t>15</w:t>
      </w:r>
      <w:r>
        <w:t>.</w:t>
      </w:r>
      <w:r>
        <w:tab/>
        <w:t>Labels to be affixed to certain vehicles</w:t>
      </w:r>
    </w:p>
    <w:p>
      <w:pPr>
        <w:pStyle w:val="nzSubsection"/>
        <w:rPr>
          <w:snapToGrid w:val="0"/>
        </w:rPr>
      </w:pPr>
      <w:r>
        <w:rPr>
          <w:snapToGrid w:val="0"/>
        </w:rPr>
        <w:tab/>
      </w:r>
      <w:r>
        <w:rPr>
          <w:snapToGrid w:val="0"/>
        </w:rPr>
        <w:tab/>
        <w:t xml:space="preserve">Regulations may provide for — </w:t>
      </w:r>
    </w:p>
    <w:p>
      <w:pPr>
        <w:pStyle w:val="nzIndenta"/>
      </w:pPr>
      <w:r>
        <w:tab/>
        <w:t>(a)</w:t>
      </w:r>
      <w:r>
        <w:tab/>
        <w:t>the CEO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nzHeading5"/>
        <w:rPr>
          <w:snapToGrid w:val="0"/>
        </w:rPr>
      </w:pPr>
      <w:r>
        <w:rPr>
          <w:rStyle w:val="CharSectno"/>
        </w:rPr>
        <w:t>16</w:t>
      </w:r>
      <w:r>
        <w:t>.</w:t>
      </w:r>
      <w:r>
        <w:tab/>
      </w:r>
      <w:r>
        <w:rPr>
          <w:snapToGrid w:val="0"/>
        </w:rPr>
        <w:t>Effect of licence suspension order, disqualification</w:t>
      </w:r>
    </w:p>
    <w:p>
      <w:pPr>
        <w:pStyle w:val="nz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nzSubsection"/>
        <w:rPr>
          <w:snapToGrid w:val="0"/>
        </w:rPr>
      </w:pPr>
      <w:r>
        <w:rPr>
          <w:snapToGrid w:val="0"/>
        </w:rPr>
        <w:tab/>
        <w:t>(2)</w:t>
      </w:r>
      <w:r>
        <w:rPr>
          <w:snapToGrid w:val="0"/>
        </w:rPr>
        <w:tab/>
        <w:t>Subsection (1) does not operate to extend the period for which a vehicle licence may be current or effective beyond the expiration of the period for which the licence was expressed to be granted or renewed.</w:t>
      </w:r>
    </w:p>
    <w:p>
      <w:pPr>
        <w:pStyle w:val="nz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nzHeading5"/>
        <w:rPr>
          <w:snapToGrid w:val="0"/>
        </w:rPr>
      </w:pPr>
      <w:r>
        <w:rPr>
          <w:rStyle w:val="CharSectno"/>
        </w:rPr>
        <w:t>17</w:t>
      </w:r>
      <w:r>
        <w:t>.</w:t>
      </w:r>
      <w:r>
        <w:tab/>
      </w:r>
      <w:r>
        <w:rPr>
          <w:snapToGrid w:val="0"/>
        </w:rPr>
        <w:t>Classification of vehicle licences</w:t>
      </w:r>
    </w:p>
    <w:p>
      <w:pPr>
        <w:pStyle w:val="nzSubsection"/>
        <w:rPr>
          <w:snapToGrid w:val="0"/>
        </w:rPr>
      </w:pPr>
      <w:r>
        <w:rPr>
          <w:snapToGrid w:val="0"/>
        </w:rPr>
        <w:tab/>
      </w:r>
      <w:r>
        <w:rPr>
          <w:snapToGrid w:val="0"/>
        </w:rPr>
        <w:tab/>
        <w:t xml:space="preserve">Despite any other provision of this Part, regulations may prescribe classes of vehicle licences and by those regulations — </w:t>
      </w:r>
    </w:p>
    <w:p>
      <w:pPr>
        <w:pStyle w:val="nzIndenta"/>
        <w:rPr>
          <w:snapToGrid w:val="0"/>
        </w:rPr>
      </w:pPr>
      <w:r>
        <w:rPr>
          <w:snapToGrid w:val="0"/>
        </w:rPr>
        <w:tab/>
        <w:t>(a)</w:t>
      </w:r>
      <w:r>
        <w:rPr>
          <w:snapToGrid w:val="0"/>
        </w:rPr>
        <w:tab/>
        <w:t>specify the vehicles or classes of vehicle to which any class of licence is to apply; and</w:t>
      </w:r>
    </w:p>
    <w:p>
      <w:pPr>
        <w:pStyle w:val="nzIndenta"/>
        <w:rPr>
          <w:snapToGrid w:val="0"/>
        </w:rPr>
      </w:pPr>
      <w:r>
        <w:rPr>
          <w:snapToGrid w:val="0"/>
        </w:rPr>
        <w:tab/>
        <w:t>(b)</w:t>
      </w:r>
      <w:r>
        <w:rPr>
          <w:snapToGrid w:val="0"/>
        </w:rPr>
        <w:tab/>
        <w:t>provide for licences of any particular class to be granted for a limited period or limited periods; and</w:t>
      </w:r>
    </w:p>
    <w:p>
      <w:pPr>
        <w:pStyle w:val="nzIndenta"/>
        <w:rPr>
          <w:snapToGrid w:val="0"/>
        </w:rPr>
      </w:pPr>
      <w:r>
        <w:rPr>
          <w:snapToGrid w:val="0"/>
        </w:rPr>
        <w:tab/>
        <w:t>(c)</w:t>
      </w:r>
      <w:r>
        <w:rPr>
          <w:snapToGrid w:val="0"/>
        </w:rPr>
        <w:tab/>
        <w:t>empower the CEO to impose limitations on the use of a vehicle for which a particular class of licence is granted.</w:t>
      </w:r>
    </w:p>
    <w:p>
      <w:pPr>
        <w:pStyle w:val="nzHeading5"/>
        <w:rPr>
          <w:snapToGrid w:val="0"/>
        </w:rPr>
      </w:pPr>
      <w:r>
        <w:rPr>
          <w:rStyle w:val="CharSectno"/>
        </w:rPr>
        <w:t>18</w:t>
      </w:r>
      <w:r>
        <w:t>.</w:t>
      </w:r>
      <w:r>
        <w:tab/>
        <w:t>Applicable c</w:t>
      </w:r>
      <w:r>
        <w:rPr>
          <w:snapToGrid w:val="0"/>
        </w:rPr>
        <w:t>harges in case of amendment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nz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nz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nzIndenta"/>
        <w:rPr>
          <w:snapToGrid w:val="0"/>
        </w:rPr>
      </w:pPr>
      <w:r>
        <w:rPr>
          <w:snapToGrid w:val="0"/>
        </w:rPr>
        <w:tab/>
        <w:t>(a)</w:t>
      </w:r>
      <w:r>
        <w:rPr>
          <w:snapToGrid w:val="0"/>
        </w:rPr>
        <w:tab/>
        <w:t>the grant of a vehicle licence if that licence is granted before the specified day; and</w:t>
      </w:r>
    </w:p>
    <w:p>
      <w:pPr>
        <w:pStyle w:val="nz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nzHeading5"/>
        <w:rPr>
          <w:snapToGrid w:val="0"/>
        </w:rPr>
      </w:pPr>
      <w:r>
        <w:rPr>
          <w:rStyle w:val="CharSectno"/>
        </w:rPr>
        <w:t>19</w:t>
      </w:r>
      <w:r>
        <w:t>.</w:t>
      </w:r>
      <w:r>
        <w:tab/>
      </w:r>
      <w:r>
        <w:rPr>
          <w:snapToGrid w:val="0"/>
        </w:rPr>
        <w:t>Minister may require vehicles to be inspected</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nzSubsection"/>
        <w:rPr>
          <w:snapToGrid w:val="0"/>
        </w:rPr>
      </w:pPr>
      <w:r>
        <w:rPr>
          <w:snapToGrid w:val="0"/>
        </w:rPr>
        <w:tab/>
        <w:t>(2)</w:t>
      </w:r>
      <w:r>
        <w:rPr>
          <w:snapToGrid w:val="0"/>
        </w:rPr>
        <w:tab/>
        <w:t>The Minister may, in an order under subsection (1), declare that the provisions of the order — </w:t>
      </w:r>
    </w:p>
    <w:p>
      <w:pPr>
        <w:pStyle w:val="nzIndenta"/>
        <w:rPr>
          <w:snapToGrid w:val="0"/>
        </w:rPr>
      </w:pPr>
      <w:r>
        <w:rPr>
          <w:snapToGrid w:val="0"/>
        </w:rPr>
        <w:tab/>
        <w:t>(a)</w:t>
      </w:r>
      <w:r>
        <w:rPr>
          <w:snapToGrid w:val="0"/>
        </w:rPr>
        <w:tab/>
        <w:t>apply in respect of vehicles generally or in respect of vehicles of a class specified in the order; or</w:t>
      </w:r>
    </w:p>
    <w:p>
      <w:pPr>
        <w:pStyle w:val="nzIndenta"/>
        <w:rPr>
          <w:snapToGrid w:val="0"/>
        </w:rPr>
      </w:pPr>
      <w:r>
        <w:rPr>
          <w:snapToGrid w:val="0"/>
        </w:rPr>
        <w:tab/>
        <w:t>(b)</w:t>
      </w:r>
      <w:r>
        <w:rPr>
          <w:snapToGrid w:val="0"/>
        </w:rPr>
        <w:tab/>
        <w:t>apply throughout the State or in a part of the State specified in the order; or</w:t>
      </w:r>
    </w:p>
    <w:p>
      <w:pPr>
        <w:pStyle w:val="nzIndenta"/>
        <w:rPr>
          <w:snapToGrid w:val="0"/>
        </w:rPr>
      </w:pPr>
      <w:r>
        <w:rPr>
          <w:snapToGrid w:val="0"/>
        </w:rPr>
        <w:tab/>
        <w:t>(c)</w:t>
      </w:r>
      <w:r>
        <w:rPr>
          <w:snapToGrid w:val="0"/>
        </w:rPr>
        <w:tab/>
        <w:t>do not apply in a case, or cases of a class, specified in the order.</w:t>
      </w:r>
    </w:p>
    <w:p>
      <w:pPr>
        <w:pStyle w:val="nzHeading2"/>
      </w:pPr>
      <w:r>
        <w:rPr>
          <w:rStyle w:val="CharPartNo"/>
        </w:rPr>
        <w:t>Part 3</w:t>
      </w:r>
      <w:r>
        <w:rPr>
          <w:rStyle w:val="CharDivNo"/>
        </w:rPr>
        <w:t> </w:t>
      </w:r>
      <w:r>
        <w:t>—</w:t>
      </w:r>
      <w:r>
        <w:rPr>
          <w:rStyle w:val="CharDivText"/>
        </w:rPr>
        <w:t> </w:t>
      </w:r>
      <w:r>
        <w:rPr>
          <w:rStyle w:val="CharPartText"/>
        </w:rPr>
        <w:t>Overseas motor vehicles when temporarily in Australia</w:t>
      </w:r>
    </w:p>
    <w:p>
      <w:pPr>
        <w:pStyle w:val="nzHeading5"/>
      </w:pPr>
      <w:r>
        <w:rPr>
          <w:rStyle w:val="CharSectno"/>
        </w:rPr>
        <w:t>20</w:t>
      </w:r>
      <w:r>
        <w:t>.</w:t>
      </w:r>
      <w:r>
        <w:tab/>
        <w:t>Terms used</w:t>
      </w:r>
    </w:p>
    <w:p>
      <w:pPr>
        <w:pStyle w:val="nzSubsection"/>
      </w:pPr>
      <w:r>
        <w:tab/>
      </w:r>
      <w:r>
        <w:tab/>
        <w:t xml:space="preserve">In this Part — </w:t>
      </w:r>
    </w:p>
    <w:p>
      <w:pPr>
        <w:pStyle w:val="nz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nz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nzDefpara"/>
      </w:pPr>
      <w:r>
        <w:tab/>
        <w:t>(a)</w:t>
      </w:r>
      <w:r>
        <w:tab/>
        <w:t>landed in this State direct from that country; or</w:t>
      </w:r>
    </w:p>
    <w:p>
      <w:pPr>
        <w:pStyle w:val="nzDefpara"/>
      </w:pPr>
      <w:r>
        <w:tab/>
        <w:t>(b)</w:t>
      </w:r>
      <w:r>
        <w:tab/>
        <w:t>brought to this State from another jurisdiction.</w:t>
      </w:r>
    </w:p>
    <w:p>
      <w:pPr>
        <w:pStyle w:val="nzHeading5"/>
        <w:rPr>
          <w:snapToGrid w:val="0"/>
        </w:rPr>
      </w:pPr>
      <w:r>
        <w:rPr>
          <w:rStyle w:val="CharSectno"/>
        </w:rPr>
        <w:t>21</w:t>
      </w:r>
      <w:r>
        <w:t>.</w:t>
      </w:r>
      <w:r>
        <w:tab/>
      </w:r>
      <w:r>
        <w:rPr>
          <w:snapToGrid w:val="0"/>
        </w:rPr>
        <w:t>Application of this Part</w:t>
      </w:r>
    </w:p>
    <w:p>
      <w:pPr>
        <w:pStyle w:val="nzSubsection"/>
        <w:rPr>
          <w:snapToGrid w:val="0"/>
        </w:rPr>
      </w:pPr>
      <w:r>
        <w:rPr>
          <w:snapToGrid w:val="0"/>
        </w:rPr>
        <w:tab/>
      </w:r>
      <w:r>
        <w:rPr>
          <w:snapToGrid w:val="0"/>
        </w:rPr>
        <w:tab/>
        <w:t xml:space="preserve">The provisions of this Part do not affect — </w:t>
      </w:r>
    </w:p>
    <w:p>
      <w:pPr>
        <w:pStyle w:val="nzIndenta"/>
        <w:rPr>
          <w:snapToGrid w:val="0"/>
        </w:rPr>
      </w:pPr>
      <w:r>
        <w:rPr>
          <w:snapToGrid w:val="0"/>
        </w:rPr>
        <w:tab/>
        <w:t>(a)</w:t>
      </w:r>
      <w:r>
        <w:rPr>
          <w:snapToGrid w:val="0"/>
        </w:rPr>
        <w:tab/>
        <w:t xml:space="preserve">Part 2 relating to the licensing of vehicles; or </w:t>
      </w:r>
    </w:p>
    <w:p>
      <w:pPr>
        <w:pStyle w:val="nz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nz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nzHeading5"/>
        <w:rPr>
          <w:snapToGrid w:val="0"/>
        </w:rPr>
      </w:pPr>
      <w:r>
        <w:rPr>
          <w:rStyle w:val="CharSectno"/>
        </w:rPr>
        <w:t>22</w:t>
      </w:r>
      <w:r>
        <w:t>.</w:t>
      </w:r>
      <w:r>
        <w:tab/>
        <w:t>F</w:t>
      </w:r>
      <w:r>
        <w:rPr>
          <w:snapToGrid w:val="0"/>
        </w:rPr>
        <w:t>ree vehicle licences for certain overseas vehicles</w:t>
      </w:r>
    </w:p>
    <w:p>
      <w:pPr>
        <w:pStyle w:val="nz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nz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(d)</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of a vehicle licence granted under this section must not go beyond — </w:t>
      </w:r>
    </w:p>
    <w:p>
      <w:pPr>
        <w:pStyle w:val="nzIndenta"/>
        <w:rPr>
          <w:snapToGrid w:val="0"/>
        </w:rPr>
      </w:pPr>
      <w:r>
        <w:rPr>
          <w:snapToGrid w:val="0"/>
        </w:rPr>
        <w:tab/>
        <w:t>(a)</w:t>
      </w:r>
      <w:r>
        <w:rPr>
          <w:snapToGrid w:val="0"/>
        </w:rPr>
        <w:tab/>
        <w:t>12 months from the day when the vehicle was landed in this State; or</w:t>
      </w:r>
    </w:p>
    <w:p>
      <w:pPr>
        <w:pStyle w:val="nzIndenta"/>
        <w:rPr>
          <w:snapToGrid w:val="0"/>
        </w:rPr>
      </w:pPr>
      <w:r>
        <w:rPr>
          <w:snapToGrid w:val="0"/>
        </w:rPr>
        <w:tab/>
        <w:t>(b)</w:t>
      </w:r>
      <w:r>
        <w:rPr>
          <w:snapToGrid w:val="0"/>
        </w:rPr>
        <w:tab/>
        <w:t>the day of the expiry of the licence granted under the law of the country mentioned in subsection (2)(a); or</w:t>
      </w:r>
    </w:p>
    <w:p>
      <w:pPr>
        <w:pStyle w:val="nzIndenta"/>
        <w:rPr>
          <w:snapToGrid w:val="0"/>
        </w:rPr>
      </w:pPr>
      <w:r>
        <w:rPr>
          <w:snapToGrid w:val="0"/>
        </w:rPr>
        <w:tab/>
        <w:t>(c)</w:t>
      </w:r>
      <w:r>
        <w:rPr>
          <w:snapToGrid w:val="0"/>
        </w:rPr>
        <w:tab/>
        <w:t>the day of the expiry of the contract of insurance mentioned in subsection (2)(b).</w:t>
      </w:r>
    </w:p>
    <w:p>
      <w:pPr>
        <w:pStyle w:val="nzHeading5"/>
        <w:rPr>
          <w:snapToGrid w:val="0"/>
        </w:rPr>
      </w:pPr>
      <w:r>
        <w:rPr>
          <w:rStyle w:val="CharSectno"/>
        </w:rPr>
        <w:t>23</w:t>
      </w:r>
      <w:r>
        <w:t>.</w:t>
      </w:r>
      <w:r>
        <w:tab/>
        <w:t>Vehicle l</w:t>
      </w:r>
      <w:r>
        <w:rPr>
          <w:snapToGrid w:val="0"/>
        </w:rPr>
        <w:t>icence for overseas vehicle granted in another jurisdiction has effect in this State</w:t>
      </w:r>
    </w:p>
    <w:p>
      <w:pPr>
        <w:pStyle w:val="nz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nzIndenta"/>
        <w:rPr>
          <w:snapToGrid w:val="0"/>
        </w:rPr>
      </w:pPr>
      <w:r>
        <w:rPr>
          <w:snapToGrid w:val="0"/>
        </w:rPr>
        <w:tab/>
        <w:t>(a)</w:t>
      </w:r>
      <w:r>
        <w:rPr>
          <w:snapToGrid w:val="0"/>
        </w:rPr>
        <w:tab/>
        <w:t>during the currency of the licence; and</w:t>
      </w:r>
    </w:p>
    <w:p>
      <w:pPr>
        <w:pStyle w:val="nz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nzHeading5"/>
        <w:rPr>
          <w:snapToGrid w:val="0"/>
        </w:rPr>
      </w:pPr>
      <w:r>
        <w:rPr>
          <w:rStyle w:val="CharSectno"/>
        </w:rPr>
        <w:t>24</w:t>
      </w:r>
      <w:r>
        <w:t>.</w:t>
      </w:r>
      <w:r>
        <w:tab/>
        <w:t>Free e</w:t>
      </w:r>
      <w:r>
        <w:rPr>
          <w:snapToGrid w:val="0"/>
        </w:rPr>
        <w:t>xtension or renewal of vehicle licences for certain overseas vehicles</w:t>
      </w:r>
    </w:p>
    <w:p>
      <w:pPr>
        <w:pStyle w:val="nz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nz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nzIndenta"/>
      </w:pPr>
      <w:r>
        <w:tab/>
        <w:t>(a)</w:t>
      </w:r>
      <w:r>
        <w:tab/>
      </w:r>
      <w:r>
        <w:rPr>
          <w:snapToGrid w:val="0"/>
        </w:rPr>
        <w:t>the vehicle is being used in this State; and</w:t>
      </w:r>
    </w:p>
    <w:p>
      <w:pPr>
        <w:pStyle w:val="nz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nz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nz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nzIndenta"/>
        <w:rPr>
          <w:snapToGrid w:val="0"/>
        </w:rPr>
      </w:pPr>
      <w:r>
        <w:rPr>
          <w:snapToGrid w:val="0"/>
        </w:rPr>
        <w:tab/>
        <w:t>(e)</w:t>
      </w:r>
      <w:r>
        <w:rPr>
          <w:snapToGrid w:val="0"/>
        </w:rPr>
        <w:tab/>
        <w:t xml:space="preserve">either — </w:t>
      </w:r>
    </w:p>
    <w:p>
      <w:pPr>
        <w:pStyle w:val="nzIndenti"/>
      </w:pPr>
      <w:r>
        <w:tab/>
        <w:t>(i)</w:t>
      </w:r>
      <w:r>
        <w:tab/>
        <w:t>the overseas vehicle meets the prescribed standards and requirements for that vehicle and is otherwise fit for the purpose for which the licence is required; or</w:t>
      </w:r>
    </w:p>
    <w:p>
      <w:pPr>
        <w:pStyle w:val="nz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nzSubsection"/>
        <w:rPr>
          <w:snapToGrid w:val="0"/>
        </w:rPr>
      </w:pPr>
      <w:r>
        <w:tab/>
        <w:t>(3)</w:t>
      </w:r>
      <w:r>
        <w:tab/>
      </w:r>
      <w:r>
        <w:rPr>
          <w:snapToGrid w:val="0"/>
        </w:rPr>
        <w:t xml:space="preserve">The period for which a vehicle licence is extended or renewed under this section must not go beyond — </w:t>
      </w:r>
    </w:p>
    <w:p>
      <w:pPr>
        <w:pStyle w:val="nz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rPr>
          <w:snapToGrid w:val="0"/>
        </w:rPr>
        <w:tab/>
        <w:t>(b)</w:t>
      </w:r>
      <w:r>
        <w:rPr>
          <w:snapToGrid w:val="0"/>
        </w:rPr>
        <w:tab/>
        <w:t>the day of the expiry of the licence granted under the law of the country mentioned in subsection (2)(b); or</w:t>
      </w:r>
    </w:p>
    <w:p>
      <w:pPr>
        <w:pStyle w:val="nzIndenta"/>
        <w:rPr>
          <w:snapToGrid w:val="0"/>
        </w:rPr>
      </w:pPr>
      <w:r>
        <w:rPr>
          <w:snapToGrid w:val="0"/>
        </w:rPr>
        <w:tab/>
        <w:t>(c)</w:t>
      </w:r>
      <w:r>
        <w:rPr>
          <w:snapToGrid w:val="0"/>
        </w:rPr>
        <w:tab/>
        <w:t>the day of the expiry of the contract of insurance mentioned in subsection (2)(c).</w:t>
      </w:r>
    </w:p>
    <w:p>
      <w:pPr>
        <w:pStyle w:val="nzHeading5"/>
        <w:rPr>
          <w:snapToGrid w:val="0"/>
        </w:rPr>
      </w:pPr>
      <w:r>
        <w:rPr>
          <w:rStyle w:val="CharSectno"/>
        </w:rPr>
        <w:t>25</w:t>
      </w:r>
      <w:r>
        <w:t>.</w:t>
      </w:r>
      <w:r>
        <w:tab/>
      </w:r>
      <w:r>
        <w:rPr>
          <w:snapToGrid w:val="0"/>
        </w:rPr>
        <w:t>Free licence or renewal ceases to have effect in certain cases</w:t>
      </w:r>
    </w:p>
    <w:p>
      <w:pPr>
        <w:pStyle w:val="nz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nz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nz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Heading5"/>
        <w:rPr>
          <w:snapToGrid w:val="0"/>
        </w:rPr>
      </w:pPr>
      <w:r>
        <w:rPr>
          <w:rStyle w:val="CharSectno"/>
        </w:rPr>
        <w:t>26</w:t>
      </w:r>
      <w:r>
        <w:t>.</w:t>
      </w:r>
      <w:r>
        <w:tab/>
      </w:r>
      <w:r>
        <w:rPr>
          <w:snapToGrid w:val="0"/>
        </w:rPr>
        <w:t>Number plates on overseas vehicles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nzSubsection"/>
        <w:rPr>
          <w:snapToGrid w:val="0"/>
        </w:rPr>
      </w:pPr>
      <w:r>
        <w:rPr>
          <w:snapToGrid w:val="0"/>
        </w:rPr>
        <w:tab/>
        <w:t>(2)</w:t>
      </w:r>
      <w:r>
        <w:rPr>
          <w:snapToGrid w:val="0"/>
        </w:rPr>
        <w:tab/>
        <w:t xml:space="preserve">If — </w:t>
      </w:r>
    </w:p>
    <w:p>
      <w:pPr>
        <w:pStyle w:val="nz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nzIndenta"/>
        <w:rPr>
          <w:snapToGrid w:val="0"/>
        </w:rPr>
      </w:pPr>
      <w:r>
        <w:tab/>
        <w:t>(b)</w:t>
      </w:r>
      <w:r>
        <w:tab/>
      </w:r>
      <w:r>
        <w:rPr>
          <w:snapToGrid w:val="0"/>
        </w:rPr>
        <w:t>a vehicle licence is granted under section 22 or extended or renewed under section 24 in relation to the vehicle,</w:t>
      </w:r>
    </w:p>
    <w:p>
      <w:pPr>
        <w:pStyle w:val="nz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nzHeading5"/>
        <w:rPr>
          <w:snapToGrid w:val="0"/>
        </w:rPr>
      </w:pPr>
      <w:r>
        <w:rPr>
          <w:rStyle w:val="CharSectno"/>
        </w:rPr>
        <w:t>27</w:t>
      </w:r>
      <w:r>
        <w:t>.</w:t>
      </w:r>
      <w:r>
        <w:tab/>
      </w:r>
      <w:r>
        <w:rPr>
          <w:snapToGrid w:val="0"/>
        </w:rPr>
        <w:t>Regulations</w:t>
      </w:r>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matters relating to applications under section 22 or 24; and</w:t>
      </w:r>
    </w:p>
    <w:p>
      <w:pPr>
        <w:pStyle w:val="nzIndenta"/>
        <w:rPr>
          <w:snapToGrid w:val="0"/>
        </w:rPr>
      </w:pPr>
      <w:r>
        <w:rPr>
          <w:snapToGrid w:val="0"/>
        </w:rPr>
        <w:tab/>
        <w:t>(b)</w:t>
      </w:r>
      <w:r>
        <w:rPr>
          <w:snapToGrid w:val="0"/>
        </w:rPr>
        <w:tab/>
        <w:t>matters relating to the application for the issue of, and the use and return of, temporary number plates; and</w:t>
      </w:r>
    </w:p>
    <w:p>
      <w:pPr>
        <w:pStyle w:val="nz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nzIndenta"/>
        <w:rPr>
          <w:snapToGrid w:val="0"/>
        </w:rPr>
      </w:pPr>
      <w:r>
        <w:rPr>
          <w:snapToGrid w:val="0"/>
        </w:rPr>
        <w:tab/>
        <w:t>(d)</w:t>
      </w:r>
      <w:r>
        <w:rPr>
          <w:snapToGrid w:val="0"/>
        </w:rPr>
        <w:tab/>
        <w:t>matters relating to the issue and use of plates that identify to other road users vehicles mentioned in paragraph (c); and</w:t>
      </w:r>
    </w:p>
    <w:p>
      <w:pPr>
        <w:pStyle w:val="nzIndenta"/>
        <w:rPr>
          <w:snapToGrid w:val="0"/>
        </w:rPr>
      </w:pPr>
      <w:r>
        <w:rPr>
          <w:snapToGrid w:val="0"/>
        </w:rPr>
        <w:tab/>
        <w:t>(e)</w:t>
      </w:r>
      <w:r>
        <w:rPr>
          <w:snapToGrid w:val="0"/>
        </w:rPr>
        <w:tab/>
        <w:t>the fees for plates mentioned in paragraphs (b) and (d); and</w:t>
      </w:r>
    </w:p>
    <w:p>
      <w:pPr>
        <w:pStyle w:val="nz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nzIndenta"/>
      </w:pPr>
      <w:r>
        <w:tab/>
        <w:t>(g)</w:t>
      </w:r>
      <w:r>
        <w:tab/>
        <w:t>the CEO to issue a label (</w:t>
      </w:r>
      <w:r>
        <w:rPr>
          <w:rStyle w:val="CharDefText"/>
        </w:rPr>
        <w:t>label</w:t>
      </w:r>
      <w:r>
        <w:t>) on the grant, extension or renewal, under this Part, of a vehicle licence for a vehicle of a prescribed class; and</w:t>
      </w:r>
    </w:p>
    <w:p>
      <w:pPr>
        <w:pStyle w:val="nzIndenta"/>
      </w:pPr>
      <w:r>
        <w:tab/>
        <w:t>(h)</w:t>
      </w:r>
      <w:r>
        <w:tab/>
        <w:t>specified information about a vehicle to be contained in or on a label for the vehicle; and</w:t>
      </w:r>
    </w:p>
    <w:p>
      <w:pPr>
        <w:pStyle w:val="nzIndenta"/>
      </w:pPr>
      <w:r>
        <w:tab/>
        <w:t>(i)</w:t>
      </w:r>
      <w:r>
        <w:tab/>
        <w:t>matters relating to the affixing to vehicles, and display, of labels.</w:t>
      </w:r>
    </w:p>
    <w:p>
      <w:pPr>
        <w:pStyle w:val="nzHeading2"/>
      </w:pPr>
      <w:r>
        <w:rPr>
          <w:rStyle w:val="CharPartNo"/>
        </w:rPr>
        <w:t>Part 4</w:t>
      </w:r>
      <w:r>
        <w:t> — </w:t>
      </w:r>
      <w:r>
        <w:rPr>
          <w:rStyle w:val="CharPartText"/>
        </w:rPr>
        <w:t>Mass, dimension and loading requirements</w:t>
      </w:r>
    </w:p>
    <w:p>
      <w:pPr>
        <w:pStyle w:val="nzHeading3"/>
      </w:pPr>
      <w:r>
        <w:rPr>
          <w:rStyle w:val="CharDivNo"/>
        </w:rPr>
        <w:t>Division 1</w:t>
      </w:r>
      <w:r>
        <w:t> — </w:t>
      </w:r>
      <w:r>
        <w:rPr>
          <w:rStyle w:val="CharDivText"/>
        </w:rPr>
        <w:t>Term used in this Part</w:t>
      </w:r>
    </w:p>
    <w:p>
      <w:pPr>
        <w:pStyle w:val="nzHeading5"/>
      </w:pPr>
      <w:r>
        <w:rPr>
          <w:rStyle w:val="CharSectno"/>
        </w:rPr>
        <w:t>28</w:t>
      </w:r>
      <w:r>
        <w:t>.</w:t>
      </w:r>
      <w:r>
        <w:tab/>
        <w:t>Term used: person connected</w:t>
      </w:r>
    </w:p>
    <w:p>
      <w:pPr>
        <w:pStyle w:val="nzSubsection"/>
      </w:pPr>
      <w:r>
        <w:tab/>
      </w:r>
      <w:r>
        <w:tab/>
        <w:t xml:space="preserve">In this Part — </w:t>
      </w:r>
    </w:p>
    <w:p>
      <w:pPr>
        <w:pStyle w:val="nzDefstart"/>
      </w:pPr>
      <w:r>
        <w:rPr>
          <w:b/>
        </w:rPr>
        <w:tab/>
      </w:r>
      <w:r>
        <w:rPr>
          <w:rStyle w:val="CharDefText"/>
        </w:rPr>
        <w:t>person connected</w:t>
      </w:r>
      <w:r>
        <w:t xml:space="preserve"> with a vehicle means a person who is — </w:t>
      </w:r>
    </w:p>
    <w:p>
      <w:pPr>
        <w:pStyle w:val="nzDefpara"/>
      </w:pPr>
      <w:r>
        <w:tab/>
        <w:t>(a)</w:t>
      </w:r>
      <w:r>
        <w:tab/>
        <w:t>the driver of the vehicle; or</w:t>
      </w:r>
    </w:p>
    <w:p>
      <w:pPr>
        <w:pStyle w:val="nzDefpara"/>
      </w:pPr>
      <w:r>
        <w:tab/>
        <w:t>(b)</w:t>
      </w:r>
      <w:r>
        <w:tab/>
        <w:t>a co</w:t>
      </w:r>
      <w:r>
        <w:noBreakHyphen/>
        <w:t>driver of the vehicle; or</w:t>
      </w:r>
    </w:p>
    <w:p>
      <w:pPr>
        <w:pStyle w:val="nzDefpara"/>
      </w:pPr>
      <w:r>
        <w:tab/>
        <w:t>(c)</w:t>
      </w:r>
      <w:r>
        <w:tab/>
        <w:t xml:space="preserve">a responsible person for the vehicle; or </w:t>
      </w:r>
    </w:p>
    <w:p>
      <w:pPr>
        <w:pStyle w:val="nzDefpara"/>
      </w:pPr>
      <w:r>
        <w:tab/>
        <w:t>(d)</w:t>
      </w:r>
      <w:r>
        <w:tab/>
        <w:t>a consignor of goods that are in or on the vehicle; or</w:t>
      </w:r>
    </w:p>
    <w:p>
      <w:pPr>
        <w:pStyle w:val="nzDefpara"/>
      </w:pPr>
      <w:r>
        <w:tab/>
        <w:t>(e)</w:t>
      </w:r>
      <w:r>
        <w:tab/>
        <w:t xml:space="preserve">a loader in relation to the vehicle; or </w:t>
      </w:r>
    </w:p>
    <w:p>
      <w:pPr>
        <w:pStyle w:val="nzDefpara"/>
      </w:pPr>
      <w:r>
        <w:tab/>
        <w:t>(f)</w:t>
      </w:r>
      <w:r>
        <w:tab/>
        <w:t>a packer of goods that are in or on the vehicle.</w:t>
      </w:r>
    </w:p>
    <w:p>
      <w:pPr>
        <w:pStyle w:val="nzHeading3"/>
      </w:pPr>
      <w:r>
        <w:rPr>
          <w:rStyle w:val="CharDivNo"/>
        </w:rPr>
        <w:t>Division 2</w:t>
      </w:r>
      <w:r>
        <w:t> — </w:t>
      </w:r>
      <w:r>
        <w:rPr>
          <w:rStyle w:val="CharDivText"/>
        </w:rPr>
        <w:t>Mass, dimension and loading offences and modification of mass or dimension requirements</w:t>
      </w:r>
    </w:p>
    <w:p>
      <w:pPr>
        <w:pStyle w:val="nzHeading4"/>
      </w:pPr>
      <w:r>
        <w:t>Subdivision 1 — Mass, dimension and loading offences</w:t>
      </w:r>
    </w:p>
    <w:p>
      <w:pPr>
        <w:pStyle w:val="nzHeading5"/>
      </w:pPr>
      <w:r>
        <w:rPr>
          <w:rStyle w:val="CharSectno"/>
        </w:rPr>
        <w:t>29</w:t>
      </w:r>
      <w:r>
        <w:t>.</w:t>
      </w:r>
      <w:r>
        <w:tab/>
        <w:t>Mass, dimension and loading requirements to be complied with</w:t>
      </w:r>
    </w:p>
    <w:p>
      <w:pPr>
        <w:pStyle w:val="nzSubsection"/>
      </w:pPr>
      <w:r>
        <w:tab/>
        <w:t>(1)</w:t>
      </w:r>
      <w:r>
        <w:tab/>
        <w:t xml:space="preserve">A person connected with a vehicle commits an offence if — </w:t>
      </w:r>
    </w:p>
    <w:p>
      <w:pPr>
        <w:pStyle w:val="nzIndenta"/>
      </w:pPr>
      <w:r>
        <w:tab/>
        <w:t>(a)</w:t>
      </w:r>
      <w:r>
        <w:tab/>
        <w:t>the vehicle is on a road; and</w:t>
      </w:r>
    </w:p>
    <w:p>
      <w:pPr>
        <w:pStyle w:val="nzIndenta"/>
      </w:pPr>
      <w:r>
        <w:tab/>
        <w:t>(b)</w:t>
      </w:r>
      <w:r>
        <w:tab/>
        <w:t>a mass, dimension or loading requirement that applies to the vehicle or its load or to the vehicle and its load is not being complied with.</w:t>
      </w:r>
    </w:p>
    <w:p>
      <w:pPr>
        <w:pStyle w:val="nzSubsection"/>
        <w:rPr>
          <w:lang w:val="en-US"/>
        </w:rPr>
      </w:pPr>
      <w:r>
        <w:rPr>
          <w:lang w:val="en-US"/>
        </w:rPr>
        <w:tab/>
        <w:t>(2)</w:t>
      </w:r>
      <w:r>
        <w:rPr>
          <w:lang w:val="en-US"/>
        </w:rPr>
        <w:tab/>
        <w:t>In a prosecution for an offence under subsection (1) the person charged has the benefit of the reasonable steps defence.</w:t>
      </w:r>
    </w:p>
    <w:p>
      <w:pPr>
        <w:pStyle w:val="nzSubsection"/>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nzIndenta"/>
      </w:pPr>
      <w:r>
        <w:tab/>
        <w:t>(a)</w:t>
      </w:r>
      <w:r>
        <w:tab/>
        <w:t>the load is grain, sand, ore, volume loaded liquid, or any other commodity, that is transported in bulk; and</w:t>
      </w:r>
    </w:p>
    <w:p>
      <w:pPr>
        <w:pStyle w:val="nzIndenta"/>
      </w:pPr>
      <w:r>
        <w:tab/>
        <w:t>(b)</w:t>
      </w:r>
      <w:r>
        <w:tab/>
        <w:t>the vehicle is built for the purpose of carrying that commodity in bulk; and</w:t>
      </w:r>
    </w:p>
    <w:p>
      <w:pPr>
        <w:pStyle w:val="nzIndenta"/>
      </w:pPr>
      <w:r>
        <w:tab/>
        <w:t>(c)</w:t>
      </w:r>
      <w:r>
        <w:tab/>
        <w:t>the vehicle is designed so that the load can move within the confines of the vehicle; and</w:t>
      </w:r>
    </w:p>
    <w:p>
      <w:pPr>
        <w:pStyle w:val="nzIndenta"/>
      </w:pPr>
      <w:r>
        <w:tab/>
        <w:t>(d)</w:t>
      </w:r>
      <w:r>
        <w:tab/>
        <w:t>the gross loaded mass of the vehicle at the time does not exceed the vehicle’s GVM; and</w:t>
      </w:r>
    </w:p>
    <w:p>
      <w:pPr>
        <w:pStyle w:val="nzIndenta"/>
      </w:pPr>
      <w:r>
        <w:tab/>
        <w:t>(e)</w:t>
      </w:r>
      <w:r>
        <w:tab/>
        <w:t>the amount of mass in excess of the amount of the maximum mass permitted in relation to an axle mass requirement, expressed as a percentage of the amount of the maximum mass, is less than 5%.</w:t>
      </w:r>
    </w:p>
    <w:p>
      <w:pPr>
        <w:pStyle w:val="nzHeading5"/>
      </w:pPr>
      <w:r>
        <w:rPr>
          <w:rStyle w:val="CharSectno"/>
        </w:rPr>
        <w:t>30</w:t>
      </w:r>
      <w:r>
        <w:t>.</w:t>
      </w:r>
      <w:r>
        <w:tab/>
        <w:t>Penalties for mass, dimension or loading offences</w:t>
      </w:r>
    </w:p>
    <w:p>
      <w:pPr>
        <w:pStyle w:val="nzSubsection"/>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20</w:t>
            </w:r>
          </w:p>
        </w:tc>
        <w:tc>
          <w:tcPr>
            <w:tcW w:w="1193" w:type="dxa"/>
            <w:tcBorders>
              <w:top w:val="single" w:sz="4" w:space="0" w:color="auto"/>
              <w:left w:val="single" w:sz="4" w:space="0" w:color="auto"/>
              <w:right w:val="single" w:sz="4" w:space="0" w:color="auto"/>
            </w:tcBorders>
          </w:tcPr>
          <w:p>
            <w:pPr>
              <w:pStyle w:val="nzTable"/>
            </w:pPr>
            <w:r>
              <w:t>4</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40</w:t>
            </w:r>
          </w:p>
        </w:tc>
        <w:tc>
          <w:tcPr>
            <w:tcW w:w="1193" w:type="dxa"/>
            <w:tcBorders>
              <w:left w:val="single" w:sz="4" w:space="0" w:color="auto"/>
              <w:right w:val="single" w:sz="4" w:space="0" w:color="auto"/>
            </w:tcBorders>
          </w:tcPr>
          <w:p>
            <w:pPr>
              <w:pStyle w:val="nzTable"/>
            </w:pPr>
            <w:r>
              <w:t>6</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60</w:t>
            </w:r>
          </w:p>
        </w:tc>
        <w:tc>
          <w:tcPr>
            <w:tcW w:w="1193" w:type="dxa"/>
            <w:tcBorders>
              <w:left w:val="single" w:sz="4" w:space="0" w:color="auto"/>
              <w:right w:val="single" w:sz="4" w:space="0" w:color="auto"/>
            </w:tcBorders>
          </w:tcPr>
          <w:p>
            <w:pPr>
              <w:pStyle w:val="nzTable"/>
            </w:pPr>
            <w:r>
              <w:t>10</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80</w:t>
            </w:r>
          </w:p>
        </w:tc>
        <w:tc>
          <w:tcPr>
            <w:tcW w:w="1193" w:type="dxa"/>
            <w:tcBorders>
              <w:left w:val="single" w:sz="4" w:space="0" w:color="auto"/>
              <w:right w:val="single" w:sz="4" w:space="0" w:color="auto"/>
            </w:tcBorders>
          </w:tcPr>
          <w:p>
            <w:pPr>
              <w:pStyle w:val="nzTable"/>
            </w:pPr>
            <w:r>
              <w:t>12</w:t>
            </w:r>
          </w:p>
        </w:tc>
      </w:tr>
      <w:tr>
        <w:trPr>
          <w:cantSplit/>
        </w:trPr>
        <w:tc>
          <w:tcPr>
            <w:tcW w:w="1276"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120</w:t>
            </w:r>
          </w:p>
        </w:tc>
        <w:tc>
          <w:tcPr>
            <w:tcW w:w="1193" w:type="dxa"/>
            <w:tcBorders>
              <w:left w:val="single" w:sz="4" w:space="0" w:color="auto"/>
              <w:right w:val="single" w:sz="4" w:space="0" w:color="auto"/>
            </w:tcBorders>
          </w:tcPr>
          <w:p>
            <w:pPr>
              <w:pStyle w:val="nzTable"/>
            </w:pPr>
            <w:r>
              <w:t>18</w:t>
            </w:r>
          </w:p>
        </w:tc>
      </w:tr>
      <w:tr>
        <w:trPr>
          <w:cantSplit/>
        </w:trPr>
        <w:tc>
          <w:tcPr>
            <w:tcW w:w="1276" w:type="dxa"/>
            <w:tcBorders>
              <w:left w:val="single" w:sz="4" w:space="0" w:color="auto"/>
              <w:right w:val="single" w:sz="4" w:space="0" w:color="auto"/>
            </w:tcBorders>
          </w:tcPr>
          <w:p>
            <w:pPr>
              <w:pStyle w:val="nzTable"/>
            </w:pPr>
            <w:r>
              <w:t>25</w:t>
            </w:r>
          </w:p>
        </w:tc>
        <w:tc>
          <w:tcPr>
            <w:tcW w:w="1134"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140</w:t>
            </w:r>
          </w:p>
        </w:tc>
        <w:tc>
          <w:tcPr>
            <w:tcW w:w="1193" w:type="dxa"/>
            <w:tcBorders>
              <w:left w:val="single" w:sz="4" w:space="0" w:color="auto"/>
              <w:right w:val="single" w:sz="4" w:space="0" w:color="auto"/>
            </w:tcBorders>
          </w:tcPr>
          <w:p>
            <w:pPr>
              <w:pStyle w:val="nzTable"/>
            </w:pPr>
            <w:r>
              <w:t>20</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160</w:t>
            </w:r>
          </w:p>
        </w:tc>
        <w:tc>
          <w:tcPr>
            <w:tcW w:w="1193" w:type="dxa"/>
            <w:tcBorders>
              <w:left w:val="single" w:sz="4" w:space="0" w:color="auto"/>
              <w:right w:val="single" w:sz="4" w:space="0" w:color="auto"/>
            </w:tcBorders>
          </w:tcPr>
          <w:p>
            <w:pPr>
              <w:pStyle w:val="nzTable"/>
            </w:pPr>
            <w:r>
              <w:t>24</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180</w:t>
            </w:r>
          </w:p>
        </w:tc>
        <w:tc>
          <w:tcPr>
            <w:tcW w:w="1193" w:type="dxa"/>
            <w:tcBorders>
              <w:left w:val="single" w:sz="4" w:space="0" w:color="auto"/>
              <w:right w:val="single" w:sz="4" w:space="0" w:color="auto"/>
            </w:tcBorders>
          </w:tcPr>
          <w:p>
            <w:pPr>
              <w:pStyle w:val="nzTable"/>
            </w:pPr>
            <w:r>
              <w:t>28</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t>200</w:t>
            </w:r>
          </w:p>
        </w:tc>
        <w:tc>
          <w:tcPr>
            <w:tcW w:w="1193" w:type="dxa"/>
            <w:tcBorders>
              <w:left w:val="single" w:sz="4" w:space="0" w:color="auto"/>
              <w:right w:val="single" w:sz="4" w:space="0" w:color="auto"/>
            </w:tcBorders>
          </w:tcPr>
          <w:p>
            <w:pPr>
              <w:pStyle w:val="nzTable"/>
            </w:pPr>
            <w:r>
              <w:t>32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t>220</w:t>
            </w:r>
          </w:p>
        </w:tc>
        <w:tc>
          <w:tcPr>
            <w:tcW w:w="1193" w:type="dxa"/>
            <w:tcBorders>
              <w:left w:val="single" w:sz="4" w:space="0" w:color="auto"/>
              <w:right w:val="single" w:sz="4" w:space="0" w:color="auto"/>
            </w:tcBorders>
          </w:tcPr>
          <w:p>
            <w:pPr>
              <w:pStyle w:val="nzTable"/>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t>300</w:t>
            </w:r>
          </w:p>
        </w:tc>
        <w:tc>
          <w:tcPr>
            <w:tcW w:w="1193" w:type="dxa"/>
            <w:tcBorders>
              <w:left w:val="single" w:sz="4" w:space="0" w:color="auto"/>
              <w:bottom w:val="single" w:sz="4" w:space="0" w:color="auto"/>
              <w:right w:val="single" w:sz="4" w:space="0" w:color="auto"/>
            </w:tcBorders>
          </w:tcPr>
          <w:p>
            <w:pPr>
              <w:pStyle w:val="nzTable"/>
            </w:pPr>
            <w:r>
              <w:t>40</w:t>
            </w:r>
          </w:p>
        </w:tc>
      </w:tr>
    </w:tbl>
    <w:p>
      <w:pPr>
        <w:pStyle w:val="nzSubsection"/>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nzMiscellaneousHeading"/>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nzTable"/>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nzTable"/>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nzTable"/>
            </w:pPr>
            <w:r>
              <w:rPr>
                <w:b/>
                <w:bCs/>
              </w:rPr>
              <w:t>PU</w:t>
            </w:r>
          </w:p>
        </w:tc>
      </w:tr>
      <w:tr>
        <w:trPr>
          <w:cantSplit/>
        </w:trPr>
        <w:tc>
          <w:tcPr>
            <w:tcW w:w="1276" w:type="dxa"/>
            <w:tcBorders>
              <w:top w:val="single" w:sz="4" w:space="0" w:color="auto"/>
              <w:left w:val="single" w:sz="4" w:space="0" w:color="auto"/>
              <w:right w:val="single" w:sz="4" w:space="0" w:color="auto"/>
            </w:tcBorders>
          </w:tcPr>
          <w:p>
            <w:pPr>
              <w:pStyle w:val="nzTable"/>
            </w:pPr>
            <w:r>
              <w:t>0</w:t>
            </w:r>
          </w:p>
        </w:tc>
        <w:tc>
          <w:tcPr>
            <w:tcW w:w="1134" w:type="dxa"/>
            <w:tcBorders>
              <w:top w:val="single" w:sz="4" w:space="0" w:color="auto"/>
              <w:left w:val="single" w:sz="4" w:space="0" w:color="auto"/>
              <w:right w:val="single" w:sz="4" w:space="0" w:color="auto"/>
            </w:tcBorders>
          </w:tcPr>
          <w:p>
            <w:pPr>
              <w:pStyle w:val="nzTable"/>
            </w:pPr>
            <w:r>
              <w:t>5</w:t>
            </w:r>
          </w:p>
        </w:tc>
        <w:tc>
          <w:tcPr>
            <w:tcW w:w="1134" w:type="dxa"/>
            <w:tcBorders>
              <w:top w:val="single" w:sz="4" w:space="0" w:color="auto"/>
              <w:left w:val="single" w:sz="4" w:space="0" w:color="auto"/>
              <w:right w:val="single" w:sz="4" w:space="0" w:color="auto"/>
            </w:tcBorders>
          </w:tcPr>
          <w:p>
            <w:pPr>
              <w:pStyle w:val="nzTable"/>
            </w:pPr>
            <w:r>
              <w:t>8</w:t>
            </w:r>
          </w:p>
        </w:tc>
        <w:tc>
          <w:tcPr>
            <w:tcW w:w="1193" w:type="dxa"/>
            <w:tcBorders>
              <w:top w:val="single" w:sz="4" w:space="0" w:color="auto"/>
              <w:left w:val="single" w:sz="4" w:space="0" w:color="auto"/>
              <w:right w:val="single" w:sz="4" w:space="0" w:color="auto"/>
            </w:tcBorders>
          </w:tcPr>
          <w:p>
            <w:pPr>
              <w:pStyle w:val="nzTable"/>
            </w:pPr>
            <w:r>
              <w:t>2</w:t>
            </w:r>
          </w:p>
        </w:tc>
      </w:tr>
      <w:tr>
        <w:trPr>
          <w:cantSplit/>
        </w:trPr>
        <w:tc>
          <w:tcPr>
            <w:tcW w:w="1276" w:type="dxa"/>
            <w:tcBorders>
              <w:left w:val="single" w:sz="4" w:space="0" w:color="auto"/>
              <w:right w:val="single" w:sz="4" w:space="0" w:color="auto"/>
            </w:tcBorders>
          </w:tcPr>
          <w:p>
            <w:pPr>
              <w:pStyle w:val="nzTable"/>
            </w:pPr>
            <w:r>
              <w:t>5</w:t>
            </w:r>
          </w:p>
        </w:tc>
        <w:tc>
          <w:tcPr>
            <w:tcW w:w="1134"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rPr>
                <w:szCs w:val="22"/>
              </w:rPr>
              <w:t>12</w:t>
            </w:r>
          </w:p>
        </w:tc>
        <w:tc>
          <w:tcPr>
            <w:tcW w:w="1193" w:type="dxa"/>
            <w:tcBorders>
              <w:left w:val="single" w:sz="4" w:space="0" w:color="auto"/>
              <w:right w:val="single" w:sz="4" w:space="0" w:color="auto"/>
            </w:tcBorders>
          </w:tcPr>
          <w:p>
            <w:pPr>
              <w:pStyle w:val="nzTable"/>
            </w:pPr>
            <w:r>
              <w:rPr>
                <w:szCs w:val="22"/>
              </w:rPr>
              <w:t>3</w:t>
            </w:r>
          </w:p>
        </w:tc>
      </w:tr>
      <w:tr>
        <w:trPr>
          <w:cantSplit/>
        </w:trPr>
        <w:tc>
          <w:tcPr>
            <w:tcW w:w="1276" w:type="dxa"/>
            <w:tcBorders>
              <w:left w:val="single" w:sz="4" w:space="0" w:color="auto"/>
              <w:right w:val="single" w:sz="4" w:space="0" w:color="auto"/>
            </w:tcBorders>
          </w:tcPr>
          <w:p>
            <w:pPr>
              <w:pStyle w:val="nzTable"/>
            </w:pPr>
            <w:r>
              <w:t>10</w:t>
            </w:r>
          </w:p>
        </w:tc>
        <w:tc>
          <w:tcPr>
            <w:tcW w:w="1134"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rPr>
                <w:szCs w:val="22"/>
              </w:rPr>
              <w:t>16</w:t>
            </w:r>
          </w:p>
        </w:tc>
        <w:tc>
          <w:tcPr>
            <w:tcW w:w="1193" w:type="dxa"/>
            <w:tcBorders>
              <w:left w:val="single" w:sz="4" w:space="0" w:color="auto"/>
              <w:right w:val="single" w:sz="4" w:space="0" w:color="auto"/>
            </w:tcBorders>
          </w:tcPr>
          <w:p>
            <w:pPr>
              <w:pStyle w:val="nzTable"/>
            </w:pPr>
            <w:r>
              <w:rPr>
                <w:szCs w:val="22"/>
              </w:rPr>
              <w:t>4</w:t>
            </w:r>
          </w:p>
        </w:tc>
      </w:tr>
      <w:tr>
        <w:trPr>
          <w:cantSplit/>
        </w:trPr>
        <w:tc>
          <w:tcPr>
            <w:tcW w:w="1276" w:type="dxa"/>
            <w:tcBorders>
              <w:left w:val="single" w:sz="4" w:space="0" w:color="auto"/>
              <w:right w:val="single" w:sz="4" w:space="0" w:color="auto"/>
            </w:tcBorders>
          </w:tcPr>
          <w:p>
            <w:pPr>
              <w:pStyle w:val="nzTable"/>
            </w:pPr>
            <w:r>
              <w:t>15</w:t>
            </w:r>
          </w:p>
        </w:tc>
        <w:tc>
          <w:tcPr>
            <w:tcW w:w="1134" w:type="dxa"/>
            <w:tcBorders>
              <w:left w:val="single" w:sz="4" w:space="0" w:color="auto"/>
              <w:right w:val="single" w:sz="4" w:space="0" w:color="auto"/>
            </w:tcBorders>
          </w:tcPr>
          <w:p>
            <w:pPr>
              <w:pStyle w:val="nzTable"/>
            </w:pPr>
            <w:r>
              <w:t>20</w:t>
            </w:r>
          </w:p>
        </w:tc>
        <w:tc>
          <w:tcPr>
            <w:tcW w:w="1134" w:type="dxa"/>
            <w:tcBorders>
              <w:left w:val="single" w:sz="4" w:space="0" w:color="auto"/>
              <w:right w:val="single" w:sz="4" w:space="0" w:color="auto"/>
            </w:tcBorders>
          </w:tcPr>
          <w:p>
            <w:pPr>
              <w:pStyle w:val="nzTable"/>
            </w:pPr>
            <w:r>
              <w:rPr>
                <w:szCs w:val="22"/>
              </w:rPr>
              <w:t>20</w:t>
            </w:r>
          </w:p>
        </w:tc>
        <w:tc>
          <w:tcPr>
            <w:tcW w:w="1193" w:type="dxa"/>
            <w:tcBorders>
              <w:left w:val="single" w:sz="4" w:space="0" w:color="auto"/>
              <w:right w:val="single" w:sz="4" w:space="0" w:color="auto"/>
            </w:tcBorders>
          </w:tcPr>
          <w:p>
            <w:pPr>
              <w:pStyle w:val="nzTable"/>
            </w:pPr>
            <w:r>
              <w:rPr>
                <w:szCs w:val="22"/>
              </w:rPr>
              <w:t>5</w:t>
            </w:r>
          </w:p>
        </w:tc>
      </w:tr>
      <w:tr>
        <w:trPr>
          <w:cantSplit/>
        </w:trPr>
        <w:tc>
          <w:tcPr>
            <w:tcW w:w="1276" w:type="dxa"/>
            <w:tcBorders>
              <w:left w:val="single" w:sz="4" w:space="0" w:color="auto"/>
              <w:right w:val="single" w:sz="4" w:space="0" w:color="auto"/>
            </w:tcBorders>
          </w:tcPr>
          <w:p>
            <w:pPr>
              <w:pStyle w:val="nzTable"/>
            </w:pPr>
            <w:r>
              <w:rPr>
                <w:szCs w:val="22"/>
              </w:rPr>
              <w:t>20</w:t>
            </w:r>
          </w:p>
        </w:tc>
        <w:tc>
          <w:tcPr>
            <w:tcW w:w="1134"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24</w:t>
            </w:r>
          </w:p>
        </w:tc>
        <w:tc>
          <w:tcPr>
            <w:tcW w:w="1193" w:type="dxa"/>
            <w:tcBorders>
              <w:left w:val="single" w:sz="4" w:space="0" w:color="auto"/>
              <w:right w:val="single" w:sz="4" w:space="0" w:color="auto"/>
            </w:tcBorders>
          </w:tcPr>
          <w:p>
            <w:pPr>
              <w:pStyle w:val="nzTable"/>
            </w:pPr>
            <w:r>
              <w:rPr>
                <w:szCs w:val="22"/>
              </w:rPr>
              <w:t>6</w:t>
            </w:r>
          </w:p>
        </w:tc>
      </w:tr>
      <w:tr>
        <w:trPr>
          <w:cantSplit/>
        </w:trPr>
        <w:tc>
          <w:tcPr>
            <w:tcW w:w="1276" w:type="dxa"/>
            <w:tcBorders>
              <w:left w:val="single" w:sz="4" w:space="0" w:color="auto"/>
              <w:right w:val="single" w:sz="4" w:space="0" w:color="auto"/>
            </w:tcBorders>
          </w:tcPr>
          <w:p>
            <w:pPr>
              <w:pStyle w:val="nzTable"/>
            </w:pPr>
            <w:r>
              <w:rPr>
                <w:szCs w:val="22"/>
              </w:rPr>
              <w:t>25</w:t>
            </w:r>
          </w:p>
        </w:tc>
        <w:tc>
          <w:tcPr>
            <w:tcW w:w="1134" w:type="dxa"/>
            <w:tcBorders>
              <w:left w:val="single" w:sz="4" w:space="0" w:color="auto"/>
              <w:right w:val="single" w:sz="4" w:space="0" w:color="auto"/>
            </w:tcBorders>
          </w:tcPr>
          <w:p>
            <w:pPr>
              <w:pStyle w:val="nzTable"/>
            </w:pPr>
            <w:r>
              <w:rPr>
                <w:szCs w:val="22"/>
              </w:rPr>
              <w:t>30</w:t>
            </w:r>
          </w:p>
        </w:tc>
        <w:tc>
          <w:tcPr>
            <w:tcW w:w="1134" w:type="dxa"/>
            <w:tcBorders>
              <w:left w:val="single" w:sz="4" w:space="0" w:color="auto"/>
              <w:right w:val="single" w:sz="4" w:space="0" w:color="auto"/>
            </w:tcBorders>
          </w:tcPr>
          <w:p>
            <w:pPr>
              <w:pStyle w:val="nzTable"/>
            </w:pPr>
            <w:r>
              <w:rPr>
                <w:szCs w:val="22"/>
              </w:rPr>
              <w:t>28</w:t>
            </w:r>
          </w:p>
        </w:tc>
        <w:tc>
          <w:tcPr>
            <w:tcW w:w="1193" w:type="dxa"/>
            <w:tcBorders>
              <w:left w:val="single" w:sz="4" w:space="0" w:color="auto"/>
              <w:right w:val="single" w:sz="4" w:space="0" w:color="auto"/>
            </w:tcBorders>
          </w:tcPr>
          <w:p>
            <w:pPr>
              <w:pStyle w:val="nzTable"/>
            </w:pPr>
            <w:r>
              <w:rPr>
                <w:szCs w:val="22"/>
              </w:rPr>
              <w:t>7</w:t>
            </w:r>
          </w:p>
        </w:tc>
      </w:tr>
      <w:tr>
        <w:trPr>
          <w:cantSplit/>
        </w:trPr>
        <w:tc>
          <w:tcPr>
            <w:tcW w:w="1276" w:type="dxa"/>
            <w:tcBorders>
              <w:left w:val="single" w:sz="4" w:space="0" w:color="auto"/>
              <w:right w:val="single" w:sz="4" w:space="0" w:color="auto"/>
            </w:tcBorders>
          </w:tcPr>
          <w:p>
            <w:pPr>
              <w:pStyle w:val="nzTable"/>
            </w:pPr>
            <w:r>
              <w:t>30</w:t>
            </w:r>
          </w:p>
        </w:tc>
        <w:tc>
          <w:tcPr>
            <w:tcW w:w="1134"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rPr>
                <w:szCs w:val="22"/>
              </w:rPr>
              <w:t>32</w:t>
            </w:r>
          </w:p>
        </w:tc>
        <w:tc>
          <w:tcPr>
            <w:tcW w:w="1193" w:type="dxa"/>
            <w:tcBorders>
              <w:left w:val="single" w:sz="4" w:space="0" w:color="auto"/>
              <w:right w:val="single" w:sz="4" w:space="0" w:color="auto"/>
            </w:tcBorders>
          </w:tcPr>
          <w:p>
            <w:pPr>
              <w:pStyle w:val="nzTable"/>
            </w:pPr>
            <w:r>
              <w:rPr>
                <w:szCs w:val="22"/>
              </w:rPr>
              <w:t>8</w:t>
            </w:r>
          </w:p>
        </w:tc>
      </w:tr>
      <w:tr>
        <w:trPr>
          <w:cantSplit/>
        </w:trPr>
        <w:tc>
          <w:tcPr>
            <w:tcW w:w="1276" w:type="dxa"/>
            <w:tcBorders>
              <w:left w:val="single" w:sz="4" w:space="0" w:color="auto"/>
              <w:right w:val="single" w:sz="4" w:space="0" w:color="auto"/>
            </w:tcBorders>
          </w:tcPr>
          <w:p>
            <w:pPr>
              <w:pStyle w:val="nzTable"/>
            </w:pPr>
            <w:r>
              <w:t>35</w:t>
            </w:r>
          </w:p>
        </w:tc>
        <w:tc>
          <w:tcPr>
            <w:tcW w:w="1134"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rPr>
                <w:szCs w:val="22"/>
              </w:rPr>
              <w:t>40</w:t>
            </w:r>
          </w:p>
        </w:tc>
        <w:tc>
          <w:tcPr>
            <w:tcW w:w="1193" w:type="dxa"/>
            <w:tcBorders>
              <w:left w:val="single" w:sz="4" w:space="0" w:color="auto"/>
              <w:right w:val="single" w:sz="4" w:space="0" w:color="auto"/>
            </w:tcBorders>
          </w:tcPr>
          <w:p>
            <w:pPr>
              <w:pStyle w:val="nzTable"/>
            </w:pPr>
            <w:r>
              <w:rPr>
                <w:szCs w:val="22"/>
              </w:rPr>
              <w:t>10</w:t>
            </w:r>
          </w:p>
        </w:tc>
      </w:tr>
      <w:tr>
        <w:trPr>
          <w:cantSplit/>
        </w:trPr>
        <w:tc>
          <w:tcPr>
            <w:tcW w:w="1276" w:type="dxa"/>
            <w:tcBorders>
              <w:left w:val="single" w:sz="4" w:space="0" w:color="auto"/>
              <w:right w:val="single" w:sz="4" w:space="0" w:color="auto"/>
            </w:tcBorders>
          </w:tcPr>
          <w:p>
            <w:pPr>
              <w:pStyle w:val="nzTable"/>
            </w:pPr>
            <w:r>
              <w:t>40</w:t>
            </w:r>
          </w:p>
        </w:tc>
        <w:tc>
          <w:tcPr>
            <w:tcW w:w="1134" w:type="dxa"/>
            <w:tcBorders>
              <w:left w:val="single" w:sz="4" w:space="0" w:color="auto"/>
              <w:right w:val="single" w:sz="4" w:space="0" w:color="auto"/>
            </w:tcBorders>
          </w:tcPr>
          <w:p>
            <w:pPr>
              <w:pStyle w:val="nzTable"/>
            </w:pPr>
            <w:r>
              <w:t>45</w:t>
            </w:r>
          </w:p>
        </w:tc>
        <w:tc>
          <w:tcPr>
            <w:tcW w:w="1134" w:type="dxa"/>
            <w:tcBorders>
              <w:left w:val="single" w:sz="4" w:space="0" w:color="auto"/>
              <w:right w:val="single" w:sz="4" w:space="0" w:color="auto"/>
            </w:tcBorders>
          </w:tcPr>
          <w:p>
            <w:pPr>
              <w:pStyle w:val="nzTable"/>
            </w:pPr>
            <w:r>
              <w:rPr>
                <w:szCs w:val="22"/>
              </w:rPr>
              <w:t>48</w:t>
            </w:r>
          </w:p>
        </w:tc>
        <w:tc>
          <w:tcPr>
            <w:tcW w:w="1193" w:type="dxa"/>
            <w:tcBorders>
              <w:left w:val="single" w:sz="4" w:space="0" w:color="auto"/>
              <w:right w:val="single" w:sz="4" w:space="0" w:color="auto"/>
            </w:tcBorders>
          </w:tcPr>
          <w:p>
            <w:pPr>
              <w:pStyle w:val="nzTable"/>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nzTable"/>
            </w:pPr>
            <w:r>
              <w:t>45</w:t>
            </w:r>
          </w:p>
        </w:tc>
        <w:tc>
          <w:tcPr>
            <w:tcW w:w="1134" w:type="dxa"/>
            <w:tcBorders>
              <w:left w:val="single" w:sz="4" w:space="0" w:color="auto"/>
              <w:bottom w:val="single" w:sz="4" w:space="0" w:color="auto"/>
              <w:right w:val="single" w:sz="4" w:space="0" w:color="auto"/>
            </w:tcBorders>
          </w:tcPr>
          <w:p>
            <w:pPr>
              <w:pStyle w:val="nzTable"/>
            </w:pPr>
            <w:r>
              <w:t>50</w:t>
            </w:r>
          </w:p>
        </w:tc>
        <w:tc>
          <w:tcPr>
            <w:tcW w:w="1134" w:type="dxa"/>
            <w:tcBorders>
              <w:left w:val="single" w:sz="4" w:space="0" w:color="auto"/>
              <w:right w:val="single" w:sz="4" w:space="0" w:color="auto"/>
            </w:tcBorders>
          </w:tcPr>
          <w:p>
            <w:pPr>
              <w:pStyle w:val="nzTable"/>
            </w:pPr>
            <w:r>
              <w:rPr>
                <w:szCs w:val="22"/>
              </w:rPr>
              <w:t>56</w:t>
            </w:r>
          </w:p>
        </w:tc>
        <w:tc>
          <w:tcPr>
            <w:tcW w:w="1193" w:type="dxa"/>
            <w:tcBorders>
              <w:left w:val="single" w:sz="4" w:space="0" w:color="auto"/>
              <w:right w:val="single" w:sz="4" w:space="0" w:color="auto"/>
            </w:tcBorders>
          </w:tcPr>
          <w:p>
            <w:pPr>
              <w:pStyle w:val="nzTable"/>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nzTable"/>
            </w:pPr>
            <w:r>
              <w:t>50% or more</w:t>
            </w:r>
          </w:p>
        </w:tc>
        <w:tc>
          <w:tcPr>
            <w:tcW w:w="1134" w:type="dxa"/>
            <w:tcBorders>
              <w:left w:val="single" w:sz="4" w:space="0" w:color="auto"/>
              <w:bottom w:val="single" w:sz="4" w:space="0" w:color="auto"/>
              <w:right w:val="single" w:sz="4" w:space="0" w:color="auto"/>
            </w:tcBorders>
          </w:tcPr>
          <w:p>
            <w:pPr>
              <w:pStyle w:val="nzTable"/>
            </w:pPr>
            <w:r>
              <w:rPr>
                <w:szCs w:val="22"/>
              </w:rPr>
              <w:t>64</w:t>
            </w:r>
          </w:p>
        </w:tc>
        <w:tc>
          <w:tcPr>
            <w:tcW w:w="1193" w:type="dxa"/>
            <w:tcBorders>
              <w:left w:val="single" w:sz="4" w:space="0" w:color="auto"/>
              <w:bottom w:val="single" w:sz="4" w:space="0" w:color="auto"/>
              <w:right w:val="single" w:sz="4" w:space="0" w:color="auto"/>
            </w:tcBorders>
          </w:tcPr>
          <w:p>
            <w:pPr>
              <w:pStyle w:val="nzTable"/>
            </w:pPr>
            <w:r>
              <w:rPr>
                <w:szCs w:val="22"/>
              </w:rPr>
              <w:t>16</w:t>
            </w:r>
          </w:p>
        </w:tc>
      </w:tr>
    </w:tbl>
    <w:p>
      <w:pPr>
        <w:pStyle w:val="nzSubsection"/>
      </w:pPr>
      <w:r>
        <w:tab/>
        <w:t>(3)</w:t>
      </w:r>
      <w:r>
        <w:tab/>
        <w:t xml:space="preserve">The penalty for an offence under </w:t>
      </w:r>
      <w:r>
        <w:rPr>
          <w:lang w:val="en-US"/>
        </w:rPr>
        <w:t>section 29(1)</w:t>
      </w:r>
      <w:r>
        <w:t xml:space="preserve"> that is not mentioned in subsection (1) or (2) is — </w:t>
      </w:r>
    </w:p>
    <w:p>
      <w:pPr>
        <w:pStyle w:val="nzIndenta"/>
      </w:pPr>
      <w:r>
        <w:tab/>
        <w:t>(a)</w:t>
      </w:r>
      <w:r>
        <w:tab/>
        <w:t>in the case of a breach of a loading requirement that is a minor risk breach, a fine of 4 PU; or</w:t>
      </w:r>
    </w:p>
    <w:p>
      <w:pPr>
        <w:pStyle w:val="nzIndenta"/>
      </w:pPr>
      <w:r>
        <w:tab/>
        <w:t>(b)</w:t>
      </w:r>
      <w:r>
        <w:tab/>
        <w:t>in the case of any other minor risk breach, a fine of 20 PU but the minimum penalty is a fine of 6 PU; or</w:t>
      </w:r>
    </w:p>
    <w:p>
      <w:pPr>
        <w:pStyle w:val="nzIndenta"/>
      </w:pPr>
      <w:r>
        <w:tab/>
        <w:t>(c)</w:t>
      </w:r>
      <w:r>
        <w:tab/>
        <w:t>in the case of a substantial risk breach, a fine of 40 PU but the minimum penalty is a fine of 10 PU; or</w:t>
      </w:r>
    </w:p>
    <w:p>
      <w:pPr>
        <w:pStyle w:val="nzIndenta"/>
      </w:pPr>
      <w:r>
        <w:tab/>
        <w:t>(d)</w:t>
      </w:r>
      <w:r>
        <w:tab/>
        <w:t xml:space="preserve">in the case of a severe risk breach, a fine of 100 PU but the minimum penalty is a fine of 20 PU. </w:t>
      </w:r>
    </w:p>
    <w:p>
      <w:pPr>
        <w:pStyle w:val="nz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nzHeading5"/>
      </w:pPr>
      <w:r>
        <w:rPr>
          <w:rStyle w:val="CharSectno"/>
        </w:rPr>
        <w:t>31</w:t>
      </w:r>
      <w:r>
        <w:t>.</w:t>
      </w:r>
      <w:r>
        <w:tab/>
        <w:t>Offences by consignees</w:t>
      </w:r>
    </w:p>
    <w:p>
      <w:pPr>
        <w:pStyle w:val="nzSubsection"/>
        <w:rPr>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nzIndenta"/>
        <w:rPr>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nzIndenta"/>
        <w:rPr>
          <w:lang w:val="en-US"/>
        </w:rPr>
      </w:pPr>
      <w:r>
        <w:rPr>
          <w:lang w:val="en-US"/>
        </w:rPr>
        <w:tab/>
        <w:t>(b)</w:t>
      </w:r>
      <w:r>
        <w:rPr>
          <w:lang w:val="en-US"/>
        </w:rPr>
        <w:tab/>
        <w:t xml:space="preserve">the person either — </w:t>
      </w:r>
    </w:p>
    <w:p>
      <w:pPr>
        <w:pStyle w:val="nz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nzIndenti"/>
      </w:pPr>
      <w:r>
        <w:tab/>
        <w:t>(ii)</w:t>
      </w:r>
      <w:r>
        <w:tab/>
      </w:r>
      <w:r>
        <w:rPr>
          <w:lang w:val="en-US"/>
        </w:rPr>
        <w:t xml:space="preserve">is negligent or reckless as to whether the result mentioned in </w:t>
      </w:r>
      <w:r>
        <w:rPr>
          <w:szCs w:val="23"/>
          <w:lang w:val="en-US"/>
        </w:rPr>
        <w:t>paragraph (a) occurs.</w:t>
      </w:r>
    </w:p>
    <w:p>
      <w:pPr>
        <w:pStyle w:val="nzPenstart"/>
      </w:pPr>
      <w:r>
        <w:tab/>
        <w:t>Penalty: a fine of 200 PU.</w:t>
      </w:r>
    </w:p>
    <w:p>
      <w:pPr>
        <w:pStyle w:val="nzSubsection"/>
        <w:rPr>
          <w:lang w:val="en-US"/>
        </w:rPr>
      </w:pPr>
      <w:r>
        <w:rPr>
          <w:lang w:val="en-US"/>
        </w:rPr>
        <w:tab/>
        <w:t>(2)</w:t>
      </w:r>
      <w:r>
        <w:rPr>
          <w:lang w:val="en-US"/>
        </w:rPr>
        <w:tab/>
        <w:t xml:space="preserve">A consignee of goods is to be taken to have intended the result mentioned in subsection (1)(a) if — </w:t>
      </w:r>
    </w:p>
    <w:p>
      <w:pPr>
        <w:pStyle w:val="nz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nzIndenta"/>
        <w:rPr>
          <w:lang w:val="en-US"/>
        </w:rPr>
      </w:pPr>
      <w:r>
        <w:rPr>
          <w:lang w:val="en-US"/>
        </w:rPr>
        <w:tab/>
        <w:t>(b)</w:t>
      </w:r>
      <w:r>
        <w:rPr>
          <w:lang w:val="en-US"/>
        </w:rPr>
        <w:tab/>
        <w:t xml:space="preserve">the person knew or ought reasonably to have known that — </w:t>
      </w:r>
    </w:p>
    <w:p>
      <w:pPr>
        <w:pStyle w:val="nzIndenti"/>
        <w:rPr>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nzIndenti"/>
        <w:rPr>
          <w:lang w:val="en-US"/>
        </w:rPr>
      </w:pPr>
      <w:r>
        <w:rPr>
          <w:lang w:val="en-US"/>
        </w:rPr>
        <w:tab/>
        <w:t>(ii)</w:t>
      </w:r>
      <w:r>
        <w:rPr>
          <w:lang w:val="en-US"/>
        </w:rPr>
        <w:tab/>
        <w:t>a container weight declaration provided for the container contained information about the weight of the container and its contents that was false or misleading in a material particular.</w:t>
      </w:r>
    </w:p>
    <w:p>
      <w:pPr>
        <w:pStyle w:val="nz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nzHeading4"/>
      </w:pPr>
      <w:r>
        <w:t>Subdivision 2 — Modification of mass or dimension requirements for certain vehicles</w:t>
      </w:r>
    </w:p>
    <w:p>
      <w:pPr>
        <w:pStyle w:val="nzHeading5"/>
      </w:pPr>
      <w:r>
        <w:rPr>
          <w:rStyle w:val="CharSectno"/>
        </w:rPr>
        <w:t>32</w:t>
      </w:r>
      <w:r>
        <w:t>.</w:t>
      </w:r>
      <w:r>
        <w:tab/>
        <w:t xml:space="preserve">Terms used </w:t>
      </w:r>
    </w:p>
    <w:p>
      <w:pPr>
        <w:pStyle w:val="nzSubsection"/>
      </w:pPr>
      <w:r>
        <w:tab/>
      </w:r>
      <w:r>
        <w:tab/>
        <w:t xml:space="preserve">In this Subdivision — </w:t>
      </w:r>
    </w:p>
    <w:p>
      <w:pPr>
        <w:pStyle w:val="nzDefstart"/>
      </w:pPr>
      <w:r>
        <w:rPr>
          <w:b/>
        </w:rPr>
        <w:tab/>
      </w:r>
      <w:r>
        <w:rPr>
          <w:rStyle w:val="CharDefText"/>
        </w:rPr>
        <w:t>order</w:t>
      </w:r>
      <w:r>
        <w:t xml:space="preserve"> means an order mentioned in section 34(1)(a) by which a mass or dimension requirement is modified;</w:t>
      </w:r>
    </w:p>
    <w:p>
      <w:pPr>
        <w:pStyle w:val="nzDefstart"/>
      </w:pPr>
      <w:r>
        <w:rPr>
          <w:b/>
        </w:rPr>
        <w:tab/>
      </w:r>
      <w:r>
        <w:rPr>
          <w:rStyle w:val="CharDefText"/>
        </w:rPr>
        <w:t>permit</w:t>
      </w:r>
      <w:r>
        <w:t xml:space="preserve"> means a permit mentioned in section 34(1)(b) by which a mass or dimension requirement is modified;</w:t>
      </w:r>
    </w:p>
    <w:p>
      <w:pPr>
        <w:pStyle w:val="nzDefstart"/>
      </w:pPr>
      <w:r>
        <w:rPr>
          <w:b/>
        </w:rPr>
        <w:tab/>
      </w:r>
      <w:r>
        <w:rPr>
          <w:rStyle w:val="CharDefText"/>
        </w:rPr>
        <w:t>vehicle</w:t>
      </w:r>
      <w:r>
        <w:t xml:space="preserve"> means a vehicle of a class prescribed for the purposes of this definition.</w:t>
      </w:r>
    </w:p>
    <w:p>
      <w:pPr>
        <w:pStyle w:val="nzHeading5"/>
      </w:pPr>
      <w:r>
        <w:rPr>
          <w:rStyle w:val="CharSectno"/>
        </w:rPr>
        <w:t>33</w:t>
      </w:r>
      <w:r>
        <w:t>.</w:t>
      </w:r>
      <w:r>
        <w:tab/>
        <w:t>Modification of mass or dimension requirements for prescribed vehicles</w:t>
      </w:r>
    </w:p>
    <w:p>
      <w:pPr>
        <w:pStyle w:val="nzSubsection"/>
      </w:pPr>
      <w:r>
        <w:tab/>
        <w:t>(1)</w:t>
      </w:r>
      <w:r>
        <w:tab/>
        <w:t xml:space="preserve">The Commissioner of Main Roads may modify a mass or dimension requirement that applies to — </w:t>
      </w:r>
    </w:p>
    <w:p>
      <w:pPr>
        <w:pStyle w:val="nzIndenta"/>
      </w:pPr>
      <w:r>
        <w:tab/>
        <w:t>(a)</w:t>
      </w:r>
      <w:r>
        <w:tab/>
        <w:t>a vehicle; or</w:t>
      </w:r>
    </w:p>
    <w:p>
      <w:pPr>
        <w:pStyle w:val="nzIndenta"/>
      </w:pPr>
      <w:r>
        <w:tab/>
        <w:t>(b)</w:t>
      </w:r>
      <w:r>
        <w:tab/>
        <w:t>the load of a vehicle; or</w:t>
      </w:r>
    </w:p>
    <w:p>
      <w:pPr>
        <w:pStyle w:val="nzIndenta"/>
      </w:pPr>
      <w:r>
        <w:tab/>
        <w:t>(c)</w:t>
      </w:r>
      <w:r>
        <w:tab/>
        <w:t>a vehicle and its load.</w:t>
      </w:r>
    </w:p>
    <w:p>
      <w:pPr>
        <w:pStyle w:val="nz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nzSubsection"/>
      </w:pPr>
      <w:r>
        <w:tab/>
        <w:t>(3)</w:t>
      </w:r>
      <w:r>
        <w:tab/>
        <w:t>A modification of a dimension requirement may impose a higher maximum width, height or length than that permitted under the requirement.</w:t>
      </w:r>
    </w:p>
    <w:p>
      <w:pPr>
        <w:pStyle w:val="nz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nzSubsection"/>
      </w:pPr>
      <w:r>
        <w:tab/>
        <w:t>(5)</w:t>
      </w:r>
      <w:r>
        <w:tab/>
        <w:t>The Minister may declare, in writing in accordance with the regulations, that subsection (4) does not apply to a vehicle, or vehicles of a class, specified by the Minister in the declaration.</w:t>
      </w:r>
    </w:p>
    <w:p>
      <w:pPr>
        <w:pStyle w:val="nzSubsection"/>
      </w:pPr>
      <w:r>
        <w:tab/>
        <w:t>(6)</w:t>
      </w:r>
      <w:r>
        <w:tab/>
        <w:t>A modification of a mass or dimension requirement has effect for the term specified in the order or permit.</w:t>
      </w:r>
    </w:p>
    <w:p>
      <w:pPr>
        <w:pStyle w:val="nzHeading5"/>
      </w:pPr>
      <w:r>
        <w:rPr>
          <w:rStyle w:val="CharSectno"/>
        </w:rPr>
        <w:t>34</w:t>
      </w:r>
      <w:r>
        <w:t>.</w:t>
      </w:r>
      <w:r>
        <w:tab/>
        <w:t>Order or permit for modification</w:t>
      </w:r>
    </w:p>
    <w:p>
      <w:pPr>
        <w:pStyle w:val="nzSubsection"/>
      </w:pPr>
      <w:r>
        <w:tab/>
        <w:t>(1)</w:t>
      </w:r>
      <w:r>
        <w:tab/>
        <w:t xml:space="preserve">A modification of a mass or dimension requirement — </w:t>
      </w:r>
    </w:p>
    <w:p>
      <w:pPr>
        <w:pStyle w:val="nzIndenta"/>
      </w:pPr>
      <w:r>
        <w:tab/>
        <w:t>(a)</w:t>
      </w:r>
      <w:r>
        <w:tab/>
        <w:t xml:space="preserve">if made on the volition of the Commissioner of Main Roads, is to be by order published in the </w:t>
      </w:r>
      <w:r>
        <w:rPr>
          <w:i/>
          <w:iCs/>
        </w:rPr>
        <w:t>Gazette</w:t>
      </w:r>
      <w:r>
        <w:t>; or</w:t>
      </w:r>
    </w:p>
    <w:p>
      <w:pPr>
        <w:pStyle w:val="nzIndenta"/>
      </w:pPr>
      <w:r>
        <w:tab/>
        <w:t>(b)</w:t>
      </w:r>
      <w:r>
        <w:tab/>
        <w:t>if made on the application of a person, is to be by permit issued to the applicant.</w:t>
      </w:r>
    </w:p>
    <w:p>
      <w:pPr>
        <w:pStyle w:val="nzSubsection"/>
      </w:pPr>
      <w:r>
        <w:tab/>
        <w:t>(2)</w:t>
      </w:r>
      <w:r>
        <w:tab/>
        <w:t xml:space="preserve">The driver of a vehicle in respect of which, or in respect of the load of which, a mass or dimension requirement has been modified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35</w:t>
      </w:r>
      <w:r>
        <w:t>.</w:t>
      </w:r>
      <w:r>
        <w:tab/>
        <w:t xml:space="preserve">Application of modified mass or dimension requirement </w:t>
      </w:r>
    </w:p>
    <w:p>
      <w:pPr>
        <w:pStyle w:val="nzSubsection"/>
      </w:pPr>
      <w:r>
        <w:tab/>
        <w:t>(1)</w:t>
      </w:r>
      <w:r>
        <w:tab/>
        <w:t xml:space="preserve">An order or permit may specify that a modified mass or dimension requirement applies or does not apply — </w:t>
      </w:r>
    </w:p>
    <w:p>
      <w:pPr>
        <w:pStyle w:val="nzIndenta"/>
      </w:pPr>
      <w:r>
        <w:tab/>
        <w:t>(a)</w:t>
      </w:r>
      <w:r>
        <w:tab/>
        <w:t>to a specified vehicle or to each vehicle of a specified class; or</w:t>
      </w:r>
    </w:p>
    <w:p>
      <w:pPr>
        <w:pStyle w:val="nzIndenta"/>
      </w:pPr>
      <w:r>
        <w:tab/>
        <w:t>(b)</w:t>
      </w:r>
      <w:r>
        <w:tab/>
        <w:t>on a specified road; or</w:t>
      </w:r>
    </w:p>
    <w:p>
      <w:pPr>
        <w:pStyle w:val="nzIndenta"/>
      </w:pPr>
      <w:r>
        <w:tab/>
        <w:t>(c)</w:t>
      </w:r>
      <w:r>
        <w:tab/>
        <w:t>in a specified part of the State;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36</w:t>
      </w:r>
      <w:r>
        <w:t>.</w:t>
      </w:r>
      <w:r>
        <w:tab/>
        <w:t>Compliance with orders, permits</w:t>
      </w:r>
    </w:p>
    <w:p>
      <w:pPr>
        <w:pStyle w:val="nz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nzPenstart"/>
      </w:pPr>
      <w:r>
        <w:tab/>
        <w:t xml:space="preserve">Penalty: </w:t>
      </w:r>
    </w:p>
    <w:p>
      <w:pPr>
        <w:pStyle w:val="nz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nzPenpara"/>
      </w:pPr>
      <w:r>
        <w:tab/>
        <w:t>(b)</w:t>
      </w:r>
      <w:r>
        <w:tab/>
        <w:t>for failure to comply with any other provision of an order or permit, a fine of 100 PU, but the minimum penalty is a fine of 12 PU.</w:t>
      </w:r>
    </w:p>
    <w:p>
      <w:pPr>
        <w:pStyle w:val="nz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nzHeading5"/>
      </w:pPr>
      <w:r>
        <w:rPr>
          <w:rStyle w:val="CharSectno"/>
        </w:rPr>
        <w:t>37</w:t>
      </w:r>
      <w:r>
        <w:t>.</w:t>
      </w:r>
      <w:r>
        <w:tab/>
        <w:t>Regulations about modifying mass or dimension requirements</w:t>
      </w:r>
    </w:p>
    <w:p>
      <w:pPr>
        <w:pStyle w:val="nzSubsection"/>
      </w:pPr>
      <w:r>
        <w:tab/>
      </w:r>
      <w:r>
        <w:tab/>
        <w:t xml:space="preserve">The regulations may provide for — </w:t>
      </w:r>
    </w:p>
    <w:p>
      <w:pPr>
        <w:pStyle w:val="nzIndenta"/>
      </w:pPr>
      <w:r>
        <w:tab/>
        <w:t>(a)</w:t>
      </w:r>
      <w:r>
        <w:tab/>
        <w:t>applications for mass or dimension requirements to be modified; and</w:t>
      </w:r>
    </w:p>
    <w:p>
      <w:pPr>
        <w:pStyle w:val="nzIndenta"/>
      </w:pPr>
      <w:r>
        <w:tab/>
        <w:t>(b)</w:t>
      </w:r>
      <w:r>
        <w:tab/>
        <w:t>the submission of information and documentation in support of applications; and</w:t>
      </w:r>
    </w:p>
    <w:p>
      <w:pPr>
        <w:pStyle w:val="nzIndenta"/>
      </w:pPr>
      <w:r>
        <w:tab/>
        <w:t>(c)</w:t>
      </w:r>
      <w:r>
        <w:tab/>
        <w:t>the grounds for modifying mass or dimension requirements; and</w:t>
      </w:r>
    </w:p>
    <w:p>
      <w:pPr>
        <w:pStyle w:val="nz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nzIndenta"/>
      </w:pPr>
      <w:r>
        <w:tab/>
        <w:t>(e)</w:t>
      </w:r>
      <w:r>
        <w:tab/>
        <w:t>the content of orders and permits; and</w:t>
      </w:r>
    </w:p>
    <w:p>
      <w:pPr>
        <w:pStyle w:val="nzIndenta"/>
      </w:pPr>
      <w:r>
        <w:tab/>
        <w:t>(f)</w:t>
      </w:r>
      <w:r>
        <w:tab/>
        <w:t>applications for, and other matters relating to, the variation of the modification of a mass or dimension requirement; and</w:t>
      </w:r>
    </w:p>
    <w:p>
      <w:pPr>
        <w:pStyle w:val="nzIndenta"/>
      </w:pPr>
      <w:r>
        <w:tab/>
        <w:t>(g)</w:t>
      </w:r>
      <w:r>
        <w:tab/>
        <w:t>the suspension or cancellation of a modification of a mass or dimension requirement; and</w:t>
      </w:r>
    </w:p>
    <w:p>
      <w:pPr>
        <w:pStyle w:val="nzIndenta"/>
      </w:pPr>
      <w:r>
        <w:tab/>
        <w:t>(h)</w:t>
      </w:r>
      <w:r>
        <w:tab/>
        <w:t>fees for applications mentioned in paragraphs (a) and (f).</w:t>
      </w:r>
    </w:p>
    <w:p>
      <w:pPr>
        <w:pStyle w:val="nzHeading3"/>
      </w:pPr>
      <w:r>
        <w:rPr>
          <w:rStyle w:val="CharDivNo"/>
        </w:rPr>
        <w:t>Division 3</w:t>
      </w:r>
      <w:r>
        <w:t> — </w:t>
      </w:r>
      <w:r>
        <w:rPr>
          <w:rStyle w:val="CharDivText"/>
        </w:rPr>
        <w:t>Access restrictions on certain vehicles that comply with mass or dimension requirements</w:t>
      </w:r>
    </w:p>
    <w:p>
      <w:pPr>
        <w:pStyle w:val="nzHeading5"/>
      </w:pPr>
      <w:r>
        <w:rPr>
          <w:rStyle w:val="CharSectno"/>
        </w:rPr>
        <w:t>38</w:t>
      </w:r>
      <w:r>
        <w:t>.</w:t>
      </w:r>
      <w:r>
        <w:tab/>
        <w:t xml:space="preserve">Terms used </w:t>
      </w:r>
    </w:p>
    <w:p>
      <w:pPr>
        <w:pStyle w:val="nzSubsection"/>
      </w:pPr>
      <w:r>
        <w:tab/>
      </w:r>
      <w:r>
        <w:tab/>
        <w:t xml:space="preserve">In this Division — </w:t>
      </w:r>
    </w:p>
    <w:p>
      <w:pPr>
        <w:pStyle w:val="nzDefstart"/>
      </w:pPr>
      <w:r>
        <w:rPr>
          <w:b/>
        </w:rPr>
        <w:tab/>
      </w:r>
      <w:r>
        <w:rPr>
          <w:rStyle w:val="CharDefText"/>
        </w:rPr>
        <w:t>access approval</w:t>
      </w:r>
      <w:r>
        <w:t xml:space="preserve"> means an approval given by the Commissioner of Main Roads under section 40;</w:t>
      </w:r>
    </w:p>
    <w:p>
      <w:pPr>
        <w:pStyle w:val="nzDefstart"/>
      </w:pPr>
      <w:r>
        <w:rPr>
          <w:b/>
        </w:rPr>
        <w:tab/>
      </w:r>
      <w:r>
        <w:rPr>
          <w:rStyle w:val="CharDefText"/>
        </w:rPr>
        <w:t>complying restricted access vehicle</w:t>
      </w:r>
      <w:r>
        <w:t xml:space="preserve"> means a vehicle that — </w:t>
      </w:r>
    </w:p>
    <w:p>
      <w:pPr>
        <w:pStyle w:val="nzDefpara"/>
      </w:pPr>
      <w:r>
        <w:tab/>
        <w:t>(a)</w:t>
      </w:r>
      <w:r>
        <w:tab/>
        <w:t>conforms with each mass or dimension requirement applying to the vehicle or its load or to the vehicle and its load; and</w:t>
      </w:r>
    </w:p>
    <w:p>
      <w:pPr>
        <w:pStyle w:val="nzDefpara"/>
      </w:pPr>
      <w:r>
        <w:tab/>
        <w:t>(b)</w:t>
      </w:r>
      <w:r>
        <w:tab/>
        <w:t>is prescribed as a vehicle that cannot be on a road without an access approval;</w:t>
      </w:r>
    </w:p>
    <w:p>
      <w:pPr>
        <w:pStyle w:val="nzDefstart"/>
      </w:pPr>
      <w:r>
        <w:rPr>
          <w:b/>
        </w:rPr>
        <w:tab/>
      </w:r>
      <w:r>
        <w:rPr>
          <w:rStyle w:val="CharDefText"/>
        </w:rPr>
        <w:t>order</w:t>
      </w:r>
      <w:r>
        <w:t xml:space="preserve"> means an order mentioned in section 41(1)(a) by which an access approval is given;</w:t>
      </w:r>
    </w:p>
    <w:p>
      <w:pPr>
        <w:pStyle w:val="nzDefstart"/>
      </w:pPr>
      <w:r>
        <w:rPr>
          <w:b/>
        </w:rPr>
        <w:tab/>
      </w:r>
      <w:r>
        <w:rPr>
          <w:rStyle w:val="CharDefText"/>
        </w:rPr>
        <w:t>permit</w:t>
      </w:r>
      <w:r>
        <w:t xml:space="preserve"> means a permit mentioned in section 41(1)(b) by which an access approval is given;</w:t>
      </w:r>
    </w:p>
    <w:p>
      <w:pPr>
        <w:pStyle w:val="nzDefstart"/>
      </w:pPr>
      <w:r>
        <w:rPr>
          <w:b/>
        </w:rPr>
        <w:tab/>
      </w:r>
      <w:r>
        <w:rPr>
          <w:rStyle w:val="CharDefText"/>
        </w:rPr>
        <w:t>road</w:t>
      </w:r>
      <w:r>
        <w:t xml:space="preserve"> includes part of a road.</w:t>
      </w:r>
    </w:p>
    <w:p>
      <w:pPr>
        <w:pStyle w:val="nzHeading5"/>
      </w:pPr>
      <w:r>
        <w:rPr>
          <w:rStyle w:val="CharSectno"/>
        </w:rPr>
        <w:t>39</w:t>
      </w:r>
      <w:r>
        <w:t>.</w:t>
      </w:r>
      <w:r>
        <w:tab/>
        <w:t>Restriction on access of complying restricted access vehicles to certain roads</w:t>
      </w:r>
    </w:p>
    <w:p>
      <w:pPr>
        <w:pStyle w:val="nzSubsection"/>
      </w:pPr>
      <w:r>
        <w:tab/>
        <w:t>(1)</w:t>
      </w:r>
      <w:r>
        <w:tab/>
        <w:t>A person connected with a complying restricted access vehicle commits an offence if the vehicle is on a road without an access approval for the vehicle to be on the road.</w:t>
      </w:r>
    </w:p>
    <w:p>
      <w:pPr>
        <w:pStyle w:val="nzPenstart"/>
      </w:pPr>
      <w:r>
        <w:tab/>
        <w:t>Penalty: a fine of 100 PU, but the minimum penalty is a fine of 20 PU.</w:t>
      </w:r>
    </w:p>
    <w:p>
      <w:pPr>
        <w:pStyle w:val="nzSubsection"/>
      </w:pPr>
      <w:r>
        <w:rPr>
          <w:lang w:val="en-US"/>
        </w:rPr>
        <w:tab/>
        <w:t>(2)</w:t>
      </w:r>
      <w:r>
        <w:rPr>
          <w:lang w:val="en-US"/>
        </w:rPr>
        <w:tab/>
        <w:t>In a prosecution for an offence under subsection (1) the person charged has the benefit of the reasonable steps defence.</w:t>
      </w:r>
    </w:p>
    <w:p>
      <w:pPr>
        <w:pStyle w:val="nzSubsection"/>
      </w:pPr>
      <w:r>
        <w:tab/>
        <w:t>(3)</w:t>
      </w:r>
      <w:r>
        <w:tab/>
        <w:t>A person connected with a complying restricted access vehicle must comply with an order or permit relating to the vehicle.</w:t>
      </w:r>
    </w:p>
    <w:p>
      <w:pPr>
        <w:pStyle w:val="nzPenstart"/>
      </w:pPr>
      <w:r>
        <w:tab/>
        <w:t>Penalty: a fine of 100 PU, but the minimum penalty is a fine of 12 PU.</w:t>
      </w:r>
    </w:p>
    <w:p>
      <w:pPr>
        <w:pStyle w:val="nzHeading5"/>
      </w:pPr>
      <w:r>
        <w:rPr>
          <w:rStyle w:val="CharSectno"/>
        </w:rPr>
        <w:t>40</w:t>
      </w:r>
      <w:r>
        <w:t>.</w:t>
      </w:r>
      <w:r>
        <w:tab/>
        <w:t>Access approvals</w:t>
      </w:r>
    </w:p>
    <w:p>
      <w:pPr>
        <w:pStyle w:val="nzSubsection"/>
      </w:pPr>
      <w:r>
        <w:tab/>
        <w:t>(1)</w:t>
      </w:r>
      <w:r>
        <w:tab/>
        <w:t>The Commissioner of Main Roads may give an access approval for a complying restricted access vehicle to be on a road.</w:t>
      </w:r>
    </w:p>
    <w:p>
      <w:pPr>
        <w:pStyle w:val="nz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nzSubsection"/>
      </w:pPr>
      <w:r>
        <w:tab/>
        <w:t>(3)</w:t>
      </w:r>
      <w:r>
        <w:tab/>
        <w:t>The Minister may declare, in writing in accordance with the regulations, that subsection (2) does not apply to a vehicle, or vehicles of a class, specified by the Minister in the declaration.</w:t>
      </w:r>
    </w:p>
    <w:p>
      <w:pPr>
        <w:pStyle w:val="nzSubsection"/>
      </w:pPr>
      <w:r>
        <w:tab/>
        <w:t>(4)</w:t>
      </w:r>
      <w:r>
        <w:tab/>
        <w:t>An access approval has effect for the term specified in the order or permit.</w:t>
      </w:r>
    </w:p>
    <w:p>
      <w:pPr>
        <w:pStyle w:val="nzHeading5"/>
      </w:pPr>
      <w:r>
        <w:rPr>
          <w:rStyle w:val="CharSectno"/>
        </w:rPr>
        <w:t>41</w:t>
      </w:r>
      <w:r>
        <w:t>.</w:t>
      </w:r>
      <w:r>
        <w:tab/>
        <w:t>Order or permit for access approval</w:t>
      </w:r>
    </w:p>
    <w:p>
      <w:pPr>
        <w:pStyle w:val="nzSubsection"/>
      </w:pPr>
      <w:r>
        <w:tab/>
        <w:t>(1)</w:t>
      </w:r>
      <w:r>
        <w:tab/>
        <w:t xml:space="preserve">An access approval — </w:t>
      </w:r>
    </w:p>
    <w:p>
      <w:pPr>
        <w:pStyle w:val="nzIndenta"/>
      </w:pPr>
      <w:r>
        <w:tab/>
        <w:t>(a)</w:t>
      </w:r>
      <w:r>
        <w:tab/>
        <w:t xml:space="preserve">if given on the volition of the Commissioner of Main Roads, is to be by order published in the </w:t>
      </w:r>
      <w:r>
        <w:rPr>
          <w:i/>
          <w:iCs/>
        </w:rPr>
        <w:t>Gazette</w:t>
      </w:r>
      <w:r>
        <w:t>; or</w:t>
      </w:r>
    </w:p>
    <w:p>
      <w:pPr>
        <w:pStyle w:val="nzIndenta"/>
      </w:pPr>
      <w:r>
        <w:tab/>
        <w:t>(b)</w:t>
      </w:r>
      <w:r>
        <w:tab/>
        <w:t>if given on the application of a person, is to be by permit issued to the applicant.</w:t>
      </w:r>
    </w:p>
    <w:p>
      <w:pPr>
        <w:pStyle w:val="nzSubsection"/>
      </w:pPr>
      <w:r>
        <w:tab/>
        <w:t>(2)</w:t>
      </w:r>
      <w:r>
        <w:tab/>
        <w:t xml:space="preserve">The driver of a vehicle in respect of which an access approval has been given under a permit — </w:t>
      </w:r>
    </w:p>
    <w:p>
      <w:pPr>
        <w:pStyle w:val="nzIndenta"/>
      </w:pPr>
      <w:r>
        <w:tab/>
        <w:t>(a)</w:t>
      </w:r>
      <w:r>
        <w:tab/>
        <w:t>must carry in the vehicle a copy of the permit; and</w:t>
      </w:r>
    </w:p>
    <w:p>
      <w:pPr>
        <w:pStyle w:val="nzIndenta"/>
      </w:pPr>
      <w:r>
        <w:tab/>
        <w:t>(b)</w:t>
      </w:r>
      <w:r>
        <w:tab/>
        <w:t>must produce a copy of the permit if directed by a police officer to do so.</w:t>
      </w:r>
    </w:p>
    <w:p>
      <w:pPr>
        <w:pStyle w:val="nzPenstart"/>
      </w:pPr>
      <w:r>
        <w:tab/>
        <w:t>Penalty: a fine of 20 PU.</w:t>
      </w:r>
    </w:p>
    <w:p>
      <w:pPr>
        <w:pStyle w:val="nzHeading5"/>
      </w:pPr>
      <w:r>
        <w:rPr>
          <w:rStyle w:val="CharSectno"/>
        </w:rPr>
        <w:t>42</w:t>
      </w:r>
      <w:r>
        <w:t>.</w:t>
      </w:r>
      <w:r>
        <w:tab/>
        <w:t>Application of access approvals</w:t>
      </w:r>
    </w:p>
    <w:p>
      <w:pPr>
        <w:pStyle w:val="nzSubsection"/>
      </w:pPr>
      <w:r>
        <w:tab/>
        <w:t>(1)</w:t>
      </w:r>
      <w:r>
        <w:tab/>
        <w:t xml:space="preserve">An order or permit may specify that an access approval applies or does not apply — </w:t>
      </w:r>
    </w:p>
    <w:p>
      <w:pPr>
        <w:pStyle w:val="nzIndenta"/>
      </w:pPr>
      <w:r>
        <w:tab/>
        <w:t>(a)</w:t>
      </w:r>
      <w:r>
        <w:tab/>
        <w:t>to a specified complying restricted access vehicle or to each complying restricted access vehicle of a specified class; or</w:t>
      </w:r>
    </w:p>
    <w:p>
      <w:pPr>
        <w:pStyle w:val="nzIndenta"/>
      </w:pPr>
      <w:r>
        <w:tab/>
        <w:t>(b)</w:t>
      </w:r>
      <w:r>
        <w:tab/>
        <w:t>to a specified road or each specified road; or</w:t>
      </w:r>
    </w:p>
    <w:p>
      <w:pPr>
        <w:pStyle w:val="nzIndenta"/>
      </w:pPr>
      <w:r>
        <w:tab/>
        <w:t>(c)</w:t>
      </w:r>
      <w:r>
        <w:tab/>
        <w:t>at a specified time or during specified periods; or</w:t>
      </w:r>
    </w:p>
    <w:p>
      <w:pPr>
        <w:pStyle w:val="nzIndenta"/>
      </w:pPr>
      <w:r>
        <w:tab/>
        <w:t>(d)</w:t>
      </w:r>
      <w:r>
        <w:tab/>
        <w:t>if a specified requirement is complied with; or</w:t>
      </w:r>
    </w:p>
    <w:p>
      <w:pPr>
        <w:pStyle w:val="nzIndenta"/>
      </w:pPr>
      <w:r>
        <w:tab/>
        <w:t>(e)</w:t>
      </w:r>
      <w:r>
        <w:tab/>
        <w:t>in other specified circumstances.</w:t>
      </w:r>
    </w:p>
    <w:p>
      <w:pPr>
        <w:pStyle w:val="nzSubsection"/>
      </w:pPr>
      <w:r>
        <w:tab/>
        <w:t>(2)</w:t>
      </w:r>
      <w:r>
        <w:tab/>
        <w:t xml:space="preserve">In subsection (1) — </w:t>
      </w:r>
    </w:p>
    <w:p>
      <w:pPr>
        <w:pStyle w:val="nzDefstart"/>
      </w:pPr>
      <w:r>
        <w:rPr>
          <w:b/>
        </w:rPr>
        <w:tab/>
      </w:r>
      <w:r>
        <w:rPr>
          <w:rStyle w:val="CharDefText"/>
        </w:rPr>
        <w:t>specified</w:t>
      </w:r>
      <w:r>
        <w:t xml:space="preserve"> means specified in the order or permit.</w:t>
      </w:r>
    </w:p>
    <w:p>
      <w:pPr>
        <w:pStyle w:val="nzSubsection"/>
      </w:pPr>
      <w:r>
        <w:tab/>
        <w:t>(3)</w:t>
      </w:r>
      <w:r>
        <w:tab/>
        <w:t xml:space="preserve">The regulations may prescribe matters that are to be taken to apply, or to not apply to — </w:t>
      </w:r>
    </w:p>
    <w:p>
      <w:pPr>
        <w:pStyle w:val="nzIndenta"/>
      </w:pPr>
      <w:r>
        <w:tab/>
        <w:t>(a)</w:t>
      </w:r>
      <w:r>
        <w:tab/>
        <w:t>all orders or orders of a class specified in the regulations; or</w:t>
      </w:r>
    </w:p>
    <w:p>
      <w:pPr>
        <w:pStyle w:val="nzIndenta"/>
      </w:pPr>
      <w:r>
        <w:tab/>
        <w:t>(b)</w:t>
      </w:r>
      <w:r>
        <w:tab/>
        <w:t>all permits or permits of a class specified in the regulations.</w:t>
      </w:r>
    </w:p>
    <w:p>
      <w:pPr>
        <w:pStyle w:val="nzHeading5"/>
      </w:pPr>
      <w:r>
        <w:rPr>
          <w:rStyle w:val="CharSectno"/>
        </w:rPr>
        <w:t>43</w:t>
      </w:r>
      <w:r>
        <w:t>.</w:t>
      </w:r>
      <w:r>
        <w:tab/>
        <w:t>Regulations about giving access approvals</w:t>
      </w:r>
    </w:p>
    <w:p>
      <w:pPr>
        <w:pStyle w:val="nzSubsection"/>
      </w:pPr>
      <w:r>
        <w:tab/>
      </w:r>
      <w:r>
        <w:tab/>
        <w:t xml:space="preserve">The regulations may provide for — </w:t>
      </w:r>
    </w:p>
    <w:p>
      <w:pPr>
        <w:pStyle w:val="nzIndenta"/>
      </w:pPr>
      <w:r>
        <w:tab/>
        <w:t>(a)</w:t>
      </w:r>
      <w:r>
        <w:tab/>
        <w:t>applications for access approvals to be given; and</w:t>
      </w:r>
    </w:p>
    <w:p>
      <w:pPr>
        <w:pStyle w:val="nzIndenta"/>
      </w:pPr>
      <w:r>
        <w:tab/>
        <w:t>(b)</w:t>
      </w:r>
      <w:r>
        <w:tab/>
        <w:t>the submission of information and documentation in support of applications; and</w:t>
      </w:r>
    </w:p>
    <w:p>
      <w:pPr>
        <w:pStyle w:val="nzIndenta"/>
      </w:pPr>
      <w:r>
        <w:tab/>
        <w:t>(c)</w:t>
      </w:r>
      <w:r>
        <w:tab/>
        <w:t>the grounds for giving access approvals; and</w:t>
      </w:r>
    </w:p>
    <w:p>
      <w:pPr>
        <w:pStyle w:val="nzIndenta"/>
      </w:pPr>
      <w:r>
        <w:tab/>
        <w:t>(d)</w:t>
      </w:r>
      <w:r>
        <w:tab/>
        <w:t>the content of orders and permits; and</w:t>
      </w:r>
    </w:p>
    <w:p>
      <w:pPr>
        <w:pStyle w:val="nzIndenta"/>
      </w:pPr>
      <w:r>
        <w:tab/>
        <w:t>(e)</w:t>
      </w:r>
      <w:r>
        <w:tab/>
        <w:t>applications for, and other matters relating to, the variation of an access approval; and</w:t>
      </w:r>
    </w:p>
    <w:p>
      <w:pPr>
        <w:pStyle w:val="nzIndenta"/>
      </w:pPr>
      <w:r>
        <w:tab/>
        <w:t>(f)</w:t>
      </w:r>
      <w:r>
        <w:tab/>
        <w:t>the suspension or cancellation of an access approval; and</w:t>
      </w:r>
    </w:p>
    <w:p>
      <w:pPr>
        <w:pStyle w:val="nzIndenta"/>
      </w:pPr>
      <w:r>
        <w:tab/>
        <w:t>(g)</w:t>
      </w:r>
      <w:r>
        <w:tab/>
        <w:t>fees for applications mentioned in paragraphs (a) and (e).</w:t>
      </w:r>
    </w:p>
    <w:p>
      <w:pPr>
        <w:pStyle w:val="nzHeading3"/>
      </w:pPr>
      <w:r>
        <w:rPr>
          <w:rStyle w:val="CharDivNo"/>
        </w:rPr>
        <w:t>Division 4</w:t>
      </w:r>
      <w:r>
        <w:t> — </w:t>
      </w:r>
      <w:r>
        <w:rPr>
          <w:rStyle w:val="CharDivText"/>
        </w:rPr>
        <w:t>Accreditation</w:t>
      </w:r>
    </w:p>
    <w:p>
      <w:pPr>
        <w:pStyle w:val="nzHeading5"/>
      </w:pPr>
      <w:r>
        <w:rPr>
          <w:rStyle w:val="CharSectno"/>
        </w:rPr>
        <w:t>44</w:t>
      </w:r>
      <w:r>
        <w:t>.</w:t>
      </w:r>
      <w:r>
        <w:tab/>
        <w:t>Accreditation of persons in relation to certain heavy vehicles</w:t>
      </w:r>
    </w:p>
    <w:p>
      <w:pPr>
        <w:pStyle w:val="nzSubsection"/>
      </w:pPr>
      <w:r>
        <w:tab/>
        <w:t>(1)</w:t>
      </w:r>
      <w:r>
        <w:tab/>
        <w:t>The regulations are to provide for the accreditation of persons by the Commissioner of Main Roads for the purposes of sections 33(4) and 40(2).</w:t>
      </w:r>
    </w:p>
    <w:p>
      <w:pPr>
        <w:pStyle w:val="nzSubsection"/>
      </w:pPr>
      <w:r>
        <w:tab/>
        <w:t>(2)</w:t>
      </w:r>
      <w:r>
        <w:tab/>
        <w:t xml:space="preserve">A person cannot be accredited in relation to a vehicle unless the person — </w:t>
      </w:r>
    </w:p>
    <w:p>
      <w:pPr>
        <w:pStyle w:val="nzIndenta"/>
      </w:pPr>
      <w:r>
        <w:tab/>
        <w:t>(a)</w:t>
      </w:r>
      <w:r>
        <w:tab/>
        <w:t>controls or directs the operation of the vehicle; or</w:t>
      </w:r>
    </w:p>
    <w:p>
      <w:pPr>
        <w:pStyle w:val="nzIndenta"/>
      </w:pPr>
      <w:r>
        <w:tab/>
        <w:t>(b)</w:t>
      </w:r>
      <w:r>
        <w:tab/>
        <w:t>is of a prescribed class of person in relation to the vehicle.</w:t>
      </w:r>
    </w:p>
    <w:p>
      <w:pPr>
        <w:pStyle w:val="nzSubsection"/>
      </w:pPr>
      <w:r>
        <w:tab/>
        <w:t>(3)</w:t>
      </w:r>
      <w:r>
        <w:tab/>
        <w:t>A person mentioned in subsection (2)(a) or (b) may, but need not, be a person connected with the vehicle.</w:t>
      </w:r>
    </w:p>
    <w:p>
      <w:pPr>
        <w:pStyle w:val="nz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nzIndenta"/>
      </w:pPr>
      <w:r>
        <w:tab/>
        <w:t>(a)</w:t>
      </w:r>
      <w:r>
        <w:tab/>
        <w:t>comply with prescribed standards about ensuring and demonstrating compliance with mass, dimension or loading requirements; and</w:t>
      </w:r>
    </w:p>
    <w:p>
      <w:pPr>
        <w:pStyle w:val="nzIndenta"/>
      </w:pPr>
      <w:r>
        <w:tab/>
        <w:t>(b)</w:t>
      </w:r>
      <w:r>
        <w:tab/>
        <w:t>ensure and demonstrate compliance with provisions of this Act about standards of vehicles mentioned in subsection (2); and</w:t>
      </w:r>
    </w:p>
    <w:p>
      <w:pPr>
        <w:pStyle w:val="nzIndenta"/>
      </w:pPr>
      <w:r>
        <w:tab/>
        <w:t>(c)</w:t>
      </w:r>
      <w:r>
        <w:tab/>
        <w:t>ensure and demonstrate compliance with any written law that is relevant to the driving or operation of vehicles mentioned in section 33(4) or 40(2).</w:t>
      </w:r>
    </w:p>
    <w:p>
      <w:pPr>
        <w:pStyle w:val="nzHeading5"/>
      </w:pPr>
      <w:r>
        <w:rPr>
          <w:rStyle w:val="CharSectno"/>
        </w:rPr>
        <w:t>45</w:t>
      </w:r>
      <w:r>
        <w:t>.</w:t>
      </w:r>
      <w:r>
        <w:tab/>
        <w:t>Regulations about accreditation</w:t>
      </w:r>
    </w:p>
    <w:p>
      <w:pPr>
        <w:pStyle w:val="nzSubsection"/>
      </w:pPr>
      <w:r>
        <w:tab/>
      </w:r>
      <w:r>
        <w:tab/>
        <w:t xml:space="preserve">The regulations may provide for — </w:t>
      </w:r>
    </w:p>
    <w:p>
      <w:pPr>
        <w:pStyle w:val="nzIndenta"/>
      </w:pPr>
      <w:r>
        <w:tab/>
        <w:t>(a)</w:t>
      </w:r>
      <w:r>
        <w:tab/>
        <w:t>applications for persons to be accredited; and</w:t>
      </w:r>
    </w:p>
    <w:p>
      <w:pPr>
        <w:pStyle w:val="nzIndenta"/>
      </w:pPr>
      <w:r>
        <w:tab/>
        <w:t>(b)</w:t>
      </w:r>
      <w:r>
        <w:tab/>
        <w:t>the submission of information and documentation in support of applications; and</w:t>
      </w:r>
    </w:p>
    <w:p>
      <w:pPr>
        <w:pStyle w:val="nzIndenta"/>
      </w:pPr>
      <w:r>
        <w:tab/>
        <w:t>(c)</w:t>
      </w:r>
      <w:r>
        <w:tab/>
        <w:t>the form and content of accreditation documentation, including the issue of certificates; and</w:t>
      </w:r>
    </w:p>
    <w:p>
      <w:pPr>
        <w:pStyle w:val="nzIndenta"/>
      </w:pPr>
      <w:r>
        <w:tab/>
        <w:t>(d)</w:t>
      </w:r>
      <w:r>
        <w:tab/>
        <w:t>the duration of accreditation; and</w:t>
      </w:r>
    </w:p>
    <w:p>
      <w:pPr>
        <w:pStyle w:val="nzIndenta"/>
      </w:pPr>
      <w:r>
        <w:tab/>
        <w:t>(e)</w:t>
      </w:r>
      <w:r>
        <w:tab/>
        <w:t xml:space="preserve">the action to be taken by or on behalf of an accredited person so as to continue to be accredited including — </w:t>
      </w:r>
    </w:p>
    <w:p>
      <w:pPr>
        <w:pStyle w:val="nzIndenti"/>
      </w:pPr>
      <w:r>
        <w:tab/>
        <w:t>(i)</w:t>
      </w:r>
      <w:r>
        <w:tab/>
        <w:t xml:space="preserve">providing the Commissioner of Main Roads with, or allowing the Commissioner of Main Roads access to, information and documentation — </w:t>
      </w:r>
    </w:p>
    <w:p>
      <w:pPr>
        <w:pStyle w:val="nzIndentI0"/>
      </w:pPr>
      <w:r>
        <w:tab/>
        <w:t>(I)</w:t>
      </w:r>
      <w:r>
        <w:tab/>
        <w:t>that is in an accredited person’s possession and is relevant to whether the person should continue to be accredited; or</w:t>
      </w:r>
    </w:p>
    <w:p>
      <w:pPr>
        <w:pStyle w:val="nzIndentI0"/>
      </w:pPr>
      <w:r>
        <w:tab/>
        <w:t>(II)</w:t>
      </w:r>
      <w:r>
        <w:tab/>
        <w:t>that is required to be held or kept under a written law about drivers or operators of vehicles mentioned in section 33(4) or 40(2);</w:t>
      </w:r>
    </w:p>
    <w:p>
      <w:pPr>
        <w:pStyle w:val="nzIndenti"/>
      </w:pPr>
      <w:r>
        <w:tab/>
      </w:r>
      <w:r>
        <w:tab/>
        <w:t>and</w:t>
      </w:r>
    </w:p>
    <w:p>
      <w:pPr>
        <w:pStyle w:val="nzIndenti"/>
      </w:pPr>
      <w:r>
        <w:tab/>
        <w:t>(ii)</w:t>
      </w:r>
      <w:r>
        <w:tab/>
        <w:t>conducting internal reviews or independent auditing of management systems; and</w:t>
      </w:r>
    </w:p>
    <w:p>
      <w:pPr>
        <w:pStyle w:val="nzIndenti"/>
      </w:pPr>
      <w:r>
        <w:tab/>
        <w:t>(iii)</w:t>
      </w:r>
      <w:r>
        <w:tab/>
        <w:t>training drivers or operators of vehicles mentioned in section 33(4) or 40(2) and personnel involved in management systems;</w:t>
      </w:r>
    </w:p>
    <w:p>
      <w:pPr>
        <w:pStyle w:val="nzIndenta"/>
      </w:pPr>
      <w:r>
        <w:tab/>
      </w:r>
      <w:r>
        <w:tab/>
        <w:t>and</w:t>
      </w:r>
    </w:p>
    <w:p>
      <w:pPr>
        <w:pStyle w:val="nzIndenta"/>
      </w:pPr>
      <w:r>
        <w:tab/>
        <w:t>(f)</w:t>
      </w:r>
      <w:r>
        <w:tab/>
        <w:t>the keeping and production of records; and</w:t>
      </w:r>
    </w:p>
    <w:p>
      <w:pPr>
        <w:pStyle w:val="nzIndenta"/>
      </w:pPr>
      <w:r>
        <w:tab/>
        <w:t>(g)</w:t>
      </w:r>
      <w:r>
        <w:tab/>
        <w:t>the qualifications, knowledge or experience to be attained and maintained by persons who conduct internal reviews or independent auditing of management systems; and</w:t>
      </w:r>
    </w:p>
    <w:p>
      <w:pPr>
        <w:pStyle w:val="nzIndenta"/>
      </w:pPr>
      <w:r>
        <w:tab/>
        <w:t>(h)</w:t>
      </w:r>
      <w:r>
        <w:tab/>
        <w:t>applications for, and other matters relating to, the renewal or variation of accreditation; and</w:t>
      </w:r>
    </w:p>
    <w:p>
      <w:pPr>
        <w:pStyle w:val="nzIndenta"/>
      </w:pPr>
      <w:r>
        <w:tab/>
        <w:t>(i)</w:t>
      </w:r>
      <w:r>
        <w:tab/>
        <w:t>the suspension or cancellation of accreditation if action required to be taken by or on behalf of an accredited person is not taken or a person is no longer fit to be accredited; and</w:t>
      </w:r>
    </w:p>
    <w:p>
      <w:pPr>
        <w:pStyle w:val="nzIndenta"/>
      </w:pPr>
      <w:r>
        <w:tab/>
        <w:t>(j)</w:t>
      </w:r>
      <w:r>
        <w:tab/>
        <w:t>fees for applications mentioned in paragraphs (a) and (h).</w:t>
      </w:r>
    </w:p>
    <w:p>
      <w:pPr>
        <w:pStyle w:val="nzHeading5"/>
      </w:pPr>
      <w:r>
        <w:rPr>
          <w:rStyle w:val="CharSectno"/>
        </w:rPr>
        <w:t>46</w:t>
      </w:r>
      <w:r>
        <w:t>.</w:t>
      </w:r>
      <w:r>
        <w:tab/>
        <w:t>Effect of suspension or cancellation of accreditation on modification or access approval</w:t>
      </w:r>
    </w:p>
    <w:p>
      <w:pPr>
        <w:pStyle w:val="nzSubsection"/>
      </w:pPr>
      <w:r>
        <w:tab/>
        <w:t>(1)</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cancelled under the regulations,</w:t>
      </w:r>
    </w:p>
    <w:p>
      <w:pPr>
        <w:pStyle w:val="nzSubsection"/>
      </w:pPr>
      <w:r>
        <w:tab/>
      </w:r>
      <w:r>
        <w:tab/>
        <w:t>the modification or approval is of no effect on and from the day of the cancellation of the accreditation.</w:t>
      </w:r>
    </w:p>
    <w:p>
      <w:pPr>
        <w:pStyle w:val="nzSubsection"/>
      </w:pPr>
      <w:r>
        <w:tab/>
        <w:t>(2)</w:t>
      </w:r>
      <w:r>
        <w:tab/>
        <w:t xml:space="preserve">If — </w:t>
      </w:r>
    </w:p>
    <w:p>
      <w:pPr>
        <w:pStyle w:val="nzIndenta"/>
      </w:pPr>
      <w:r>
        <w:tab/>
        <w:t>(a)</w:t>
      </w:r>
      <w:r>
        <w:tab/>
        <w:t>section 33(4) or 40(2) requires a person to be accredited for a mass or dimension requirement to be modified or for an access approval to be given; and</w:t>
      </w:r>
    </w:p>
    <w:p>
      <w:pPr>
        <w:pStyle w:val="nzIndenta"/>
      </w:pPr>
      <w:r>
        <w:tab/>
        <w:t>(b)</w:t>
      </w:r>
      <w:r>
        <w:tab/>
        <w:t>the accreditation is subsequently suspended under the regulations,</w:t>
      </w:r>
    </w:p>
    <w:p>
      <w:pPr>
        <w:pStyle w:val="nzSubsection"/>
      </w:pPr>
      <w:r>
        <w:tab/>
      </w:r>
      <w:r>
        <w:tab/>
        <w:t>the modification or approval is of no effect for the period of the suspension.</w:t>
      </w:r>
    </w:p>
    <w:p>
      <w:pPr>
        <w:pStyle w:val="nz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nz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nzHeading2"/>
      </w:pPr>
      <w:r>
        <w:rPr>
          <w:rStyle w:val="CharPartNo"/>
        </w:rPr>
        <w:t>Part 5</w:t>
      </w:r>
      <w:r>
        <w:t> — </w:t>
      </w:r>
      <w:r>
        <w:rPr>
          <w:rStyle w:val="CharPartText"/>
        </w:rPr>
        <w:t>Categories of breach of mass, dimension or loading requirements</w:t>
      </w:r>
    </w:p>
    <w:p>
      <w:pPr>
        <w:pStyle w:val="nzHeading3"/>
      </w:pPr>
      <w:r>
        <w:rPr>
          <w:rStyle w:val="CharDivNo"/>
        </w:rPr>
        <w:t>Division 1</w:t>
      </w:r>
      <w:r>
        <w:t> — </w:t>
      </w:r>
      <w:r>
        <w:rPr>
          <w:rStyle w:val="CharDivText"/>
        </w:rPr>
        <w:t>The categories of breach</w:t>
      </w:r>
    </w:p>
    <w:p>
      <w:pPr>
        <w:pStyle w:val="nzHeading5"/>
      </w:pPr>
      <w:r>
        <w:rPr>
          <w:rStyle w:val="CharSectno"/>
        </w:rPr>
        <w:t>47</w:t>
      </w:r>
      <w:r>
        <w:t>.</w:t>
      </w:r>
      <w:r>
        <w:tab/>
        <w:t>Categories of breach</w:t>
      </w:r>
    </w:p>
    <w:p>
      <w:pPr>
        <w:pStyle w:val="nzSubsection"/>
        <w:rPr>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nzIndenta"/>
        <w:rPr>
          <w:lang w:val="en-US"/>
        </w:rPr>
      </w:pPr>
      <w:r>
        <w:rPr>
          <w:lang w:val="en-US"/>
        </w:rPr>
        <w:tab/>
        <w:t>(a)</w:t>
      </w:r>
      <w:r>
        <w:rPr>
          <w:lang w:val="en-US"/>
        </w:rPr>
        <w:tab/>
        <w:t>a minor risk breach; or</w:t>
      </w:r>
    </w:p>
    <w:p>
      <w:pPr>
        <w:pStyle w:val="nzIndenta"/>
        <w:rPr>
          <w:lang w:val="en-US"/>
        </w:rPr>
      </w:pPr>
      <w:r>
        <w:rPr>
          <w:lang w:val="en-US"/>
        </w:rPr>
        <w:tab/>
        <w:t>(b)</w:t>
      </w:r>
      <w:r>
        <w:rPr>
          <w:lang w:val="en-US"/>
        </w:rPr>
        <w:tab/>
        <w:t>a substantial risk breach; or</w:t>
      </w:r>
    </w:p>
    <w:p>
      <w:pPr>
        <w:pStyle w:val="nzIndenta"/>
        <w:rPr>
          <w:lang w:val="en-US"/>
        </w:rPr>
      </w:pPr>
      <w:r>
        <w:rPr>
          <w:lang w:val="en-US"/>
        </w:rPr>
        <w:tab/>
        <w:t>(c)</w:t>
      </w:r>
      <w:r>
        <w:rPr>
          <w:lang w:val="en-US"/>
        </w:rPr>
        <w:tab/>
        <w:t>a severe risk breach.</w:t>
      </w:r>
    </w:p>
    <w:p>
      <w:pPr>
        <w:pStyle w:val="nzHeading3"/>
      </w:pPr>
      <w:r>
        <w:rPr>
          <w:rStyle w:val="CharDivNo"/>
        </w:rPr>
        <w:t>Division 2</w:t>
      </w:r>
      <w:r>
        <w:t> — </w:t>
      </w:r>
      <w:r>
        <w:rPr>
          <w:rStyle w:val="CharDivText"/>
        </w:rPr>
        <w:t>Mass requirements: categories of breach</w:t>
      </w:r>
    </w:p>
    <w:p>
      <w:pPr>
        <w:pStyle w:val="nzHeading5"/>
      </w:pPr>
      <w:r>
        <w:rPr>
          <w:rStyle w:val="CharSectno"/>
        </w:rPr>
        <w:t>48</w:t>
      </w:r>
      <w:r>
        <w:t>.</w:t>
      </w:r>
      <w:r>
        <w:tab/>
        <w:t>Mass requirements: minor risk breaches</w:t>
      </w:r>
    </w:p>
    <w:p>
      <w:pPr>
        <w:pStyle w:val="nzSubsection"/>
        <w:rPr>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nzIndenta"/>
        <w:rPr>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nzIndenta"/>
        <w:rPr>
          <w:lang w:val="en-US"/>
        </w:rPr>
      </w:pPr>
      <w:r>
        <w:rPr>
          <w:lang w:val="en-US"/>
        </w:rPr>
        <w:tab/>
        <w:t>(b)</w:t>
      </w:r>
      <w:r>
        <w:rPr>
          <w:lang w:val="en-US"/>
        </w:rPr>
        <w:tab/>
        <w:t>0.5 t.</w:t>
      </w:r>
    </w:p>
    <w:p>
      <w:pPr>
        <w:pStyle w:val="nzSubsection"/>
        <w:rPr>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nzHeading5"/>
      </w:pPr>
      <w:r>
        <w:rPr>
          <w:rStyle w:val="CharSectno"/>
        </w:rPr>
        <w:t>49</w:t>
      </w:r>
      <w:r>
        <w:t>.</w:t>
      </w:r>
      <w:r>
        <w:tab/>
        <w:t>Mass requirements: substantial risk breaches</w:t>
      </w:r>
    </w:p>
    <w:p>
      <w:pPr>
        <w:pStyle w:val="nzSubsection"/>
        <w:rPr>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nzIndenta"/>
        <w:rPr>
          <w:lang w:val="en-US"/>
        </w:rPr>
      </w:pPr>
      <w:r>
        <w:rPr>
          <w:lang w:val="en-US"/>
        </w:rPr>
        <w:tab/>
        <w:t>(a)</w:t>
      </w:r>
      <w:r>
        <w:rPr>
          <w:lang w:val="en-US"/>
        </w:rPr>
        <w:tab/>
        <w:t>equal to or greater than the limit set out in section 48(1) or (2) as is applicable in the case</w:t>
      </w:r>
      <w:r>
        <w:rPr>
          <w:szCs w:val="23"/>
          <w:lang w:val="en-US"/>
        </w:rPr>
        <w:t>; and</w:t>
      </w:r>
    </w:p>
    <w:p>
      <w:pPr>
        <w:pStyle w:val="nzIndenta"/>
        <w:rPr>
          <w:lang w:val="en-US"/>
        </w:rPr>
      </w:pPr>
      <w:r>
        <w:rPr>
          <w:lang w:val="en-US"/>
        </w:rPr>
        <w:tab/>
        <w:t>(b)</w:t>
      </w:r>
      <w:r>
        <w:rPr>
          <w:lang w:val="en-US"/>
        </w:rPr>
        <w:tab/>
        <w:t xml:space="preserve">less than </w:t>
      </w:r>
      <w:r>
        <w:t>the amount of the maximum mass permitted under the requirement,</w:t>
      </w:r>
      <w:r>
        <w:rPr>
          <w:lang w:val="en-US"/>
        </w:rPr>
        <w:t xml:space="preserve"> plus 20% of that amount, rounded up to the nearest 0.1 t.</w:t>
      </w:r>
    </w:p>
    <w:p>
      <w:pPr>
        <w:pStyle w:val="nzHeading5"/>
      </w:pPr>
      <w:r>
        <w:rPr>
          <w:rStyle w:val="CharSectno"/>
        </w:rPr>
        <w:t>50</w:t>
      </w:r>
      <w:r>
        <w:t>.</w:t>
      </w:r>
      <w:r>
        <w:tab/>
        <w:t>Mass requirements: severe risk breaches</w:t>
      </w:r>
    </w:p>
    <w:p>
      <w:pPr>
        <w:pStyle w:val="nzSubsection"/>
        <w:rPr>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nzHeading3"/>
      </w:pPr>
      <w:r>
        <w:rPr>
          <w:rStyle w:val="CharDivNo"/>
        </w:rPr>
        <w:t>Division 3</w:t>
      </w:r>
      <w:r>
        <w:t> — </w:t>
      </w:r>
      <w:r>
        <w:rPr>
          <w:rStyle w:val="CharDivText"/>
        </w:rPr>
        <w:t>Dimension requirements: categories of breach</w:t>
      </w:r>
    </w:p>
    <w:p>
      <w:pPr>
        <w:pStyle w:val="nzHeading5"/>
      </w:pPr>
      <w:r>
        <w:rPr>
          <w:rStyle w:val="CharSectno"/>
        </w:rPr>
        <w:t>51</w:t>
      </w:r>
      <w:r>
        <w:t>.</w:t>
      </w:r>
      <w:r>
        <w:tab/>
        <w:t xml:space="preserve">Terms used </w:t>
      </w:r>
    </w:p>
    <w:p>
      <w:pPr>
        <w:pStyle w:val="nzSubsection"/>
      </w:pPr>
      <w:r>
        <w:tab/>
      </w:r>
      <w:r>
        <w:tab/>
        <w:t xml:space="preserve">In this Division — </w:t>
      </w:r>
    </w:p>
    <w:p>
      <w:pPr>
        <w:pStyle w:val="nz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nzDefstart"/>
      </w:pPr>
      <w:r>
        <w:rPr>
          <w:b/>
        </w:rPr>
        <w:tab/>
      </w:r>
      <w:r>
        <w:rPr>
          <w:rStyle w:val="CharDefText"/>
        </w:rPr>
        <w:t>warning requirement</w:t>
      </w:r>
      <w:r>
        <w:t xml:space="preserve"> means a prescribed requirement that relates to warning signals for a load.</w:t>
      </w:r>
    </w:p>
    <w:p>
      <w:pPr>
        <w:pStyle w:val="nzHeading5"/>
      </w:pPr>
      <w:r>
        <w:rPr>
          <w:rStyle w:val="CharSectno"/>
        </w:rPr>
        <w:t>52</w:t>
      </w:r>
      <w:r>
        <w:t>.</w:t>
      </w:r>
      <w:r>
        <w:tab/>
        <w:t>Dimension requirements: minor risk breaches</w:t>
      </w:r>
    </w:p>
    <w:p>
      <w:pPr>
        <w:pStyle w:val="nzSubsection"/>
        <w:rPr>
          <w:lang w:val="en-US"/>
        </w:rPr>
      </w:pPr>
      <w:r>
        <w:tab/>
      </w:r>
      <w:r>
        <w:tab/>
      </w:r>
      <w:r>
        <w:rPr>
          <w:lang w:val="en-US"/>
        </w:rPr>
        <w:t xml:space="preserve">A breach of a dimension requirement is a minor risk breach if the extent </w:t>
      </w:r>
      <w:r>
        <w:rPr>
          <w:szCs w:val="23"/>
          <w:lang w:val="en-US"/>
        </w:rPr>
        <w:t xml:space="preserve">of the breach — </w:t>
      </w:r>
    </w:p>
    <w:p>
      <w:pPr>
        <w:pStyle w:val="nz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nz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nz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nzHeading5"/>
      </w:pPr>
      <w:r>
        <w:rPr>
          <w:rStyle w:val="CharSectno"/>
        </w:rPr>
        <w:t>53</w:t>
      </w:r>
      <w:r>
        <w:t>.</w:t>
      </w:r>
      <w:r>
        <w:tab/>
        <w:t>Dimension requirements: substantial risk breaches</w:t>
      </w:r>
    </w:p>
    <w:p>
      <w:pPr>
        <w:pStyle w:val="nzSubsection"/>
        <w:rPr>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nz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nz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nz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nzSubsection"/>
        <w:rPr>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nzIndenta"/>
        <w:rPr>
          <w:lang w:val="en-US"/>
        </w:rPr>
      </w:pPr>
      <w:r>
        <w:rPr>
          <w:lang w:val="en-US"/>
        </w:rPr>
        <w:tab/>
        <w:t>(a)</w:t>
      </w:r>
      <w:r>
        <w:rPr>
          <w:lang w:val="en-US"/>
        </w:rPr>
        <w:tab/>
        <w:t>at night; or</w:t>
      </w:r>
    </w:p>
    <w:p>
      <w:pPr>
        <w:pStyle w:val="nzIndenta"/>
        <w:rPr>
          <w:szCs w:val="23"/>
          <w:lang w:val="en-US"/>
        </w:rPr>
      </w:pPr>
      <w:r>
        <w:rPr>
          <w:lang w:val="en-US"/>
        </w:rPr>
        <w:tab/>
        <w:t>(b)</w:t>
      </w:r>
      <w:r>
        <w:rPr>
          <w:lang w:val="en-US"/>
        </w:rPr>
        <w:tab/>
        <w:t xml:space="preserve">in weather conditions causing reduced </w:t>
      </w:r>
      <w:r>
        <w:rPr>
          <w:szCs w:val="23"/>
          <w:lang w:val="en-US"/>
        </w:rPr>
        <w:t>visibility.</w:t>
      </w:r>
    </w:p>
    <w:p>
      <w:pPr>
        <w:pStyle w:val="nz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nz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nzHeading5"/>
      </w:pPr>
      <w:r>
        <w:rPr>
          <w:rStyle w:val="CharSectno"/>
        </w:rPr>
        <w:t>54</w:t>
      </w:r>
      <w:r>
        <w:t>.</w:t>
      </w:r>
      <w:r>
        <w:tab/>
        <w:t>Dimension requirements: severe risk breaches</w:t>
      </w:r>
    </w:p>
    <w:p>
      <w:pPr>
        <w:pStyle w:val="nzSubsection"/>
        <w:rPr>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nz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nz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nz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nzSubsection"/>
        <w:rPr>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nzIndenta"/>
        <w:rPr>
          <w:lang w:val="en-US"/>
        </w:rPr>
      </w:pPr>
      <w:r>
        <w:rPr>
          <w:lang w:val="en-US"/>
        </w:rPr>
        <w:tab/>
        <w:t>(a)</w:t>
      </w:r>
      <w:r>
        <w:rPr>
          <w:lang w:val="en-US"/>
        </w:rPr>
        <w:tab/>
        <w:t>at night; or</w:t>
      </w:r>
    </w:p>
    <w:p>
      <w:pPr>
        <w:pStyle w:val="nzIndenta"/>
        <w:rPr>
          <w:szCs w:val="23"/>
          <w:lang w:val="en-US"/>
        </w:rPr>
      </w:pPr>
      <w:r>
        <w:rPr>
          <w:lang w:val="en-US"/>
        </w:rPr>
        <w:tab/>
        <w:t>(b)</w:t>
      </w:r>
      <w:r>
        <w:rPr>
          <w:lang w:val="en-US"/>
        </w:rPr>
        <w:tab/>
        <w:t xml:space="preserve">in weather conditions causing reduced </w:t>
      </w:r>
      <w:r>
        <w:rPr>
          <w:szCs w:val="23"/>
          <w:lang w:val="en-US"/>
        </w:rPr>
        <w:t>visibility.</w:t>
      </w:r>
    </w:p>
    <w:p>
      <w:pPr>
        <w:pStyle w:val="nzSubsection"/>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nzSubsection"/>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nzHeading5"/>
      </w:pPr>
      <w:r>
        <w:rPr>
          <w:rStyle w:val="CharSectno"/>
        </w:rPr>
        <w:t>55</w:t>
      </w:r>
      <w:r>
        <w:t>.</w:t>
      </w:r>
      <w:r>
        <w:tab/>
        <w:t>Dangerous projections</w:t>
      </w:r>
    </w:p>
    <w:p>
      <w:pPr>
        <w:pStyle w:val="nzSubsection"/>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nzIndenta"/>
        <w:rPr>
          <w:lang w:val="en-US"/>
        </w:rPr>
      </w:pPr>
      <w:r>
        <w:rPr>
          <w:lang w:val="en-US"/>
        </w:rPr>
        <w:tab/>
        <w:t>(a)</w:t>
      </w:r>
      <w:r>
        <w:rPr>
          <w:lang w:val="en-US"/>
        </w:rPr>
        <w:tab/>
        <w:t>at night; or</w:t>
      </w:r>
    </w:p>
    <w:p>
      <w:pPr>
        <w:pStyle w:val="nzIndenta"/>
        <w:rPr>
          <w:lang w:val="en-US"/>
        </w:rPr>
      </w:pPr>
      <w:r>
        <w:rPr>
          <w:lang w:val="en-US"/>
        </w:rPr>
        <w:tab/>
        <w:t>(b)</w:t>
      </w:r>
      <w:r>
        <w:rPr>
          <w:lang w:val="en-US"/>
        </w:rPr>
        <w:tab/>
        <w:t>in weather conditions causing reduced visibility.</w:t>
      </w:r>
    </w:p>
    <w:p>
      <w:pPr>
        <w:pStyle w:val="nzSubsection"/>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nzIndenta"/>
        <w:rPr>
          <w:lang w:val="en-US"/>
        </w:rPr>
      </w:pPr>
      <w:r>
        <w:rPr>
          <w:lang w:val="en-US"/>
        </w:rPr>
        <w:tab/>
        <w:t>(a)</w:t>
      </w:r>
      <w:r>
        <w:rPr>
          <w:lang w:val="en-US"/>
        </w:rPr>
        <w:tab/>
        <w:t>at night; or</w:t>
      </w:r>
    </w:p>
    <w:p>
      <w:pPr>
        <w:pStyle w:val="nzIndenta"/>
        <w:rPr>
          <w:lang w:val="en-US"/>
        </w:rPr>
      </w:pPr>
      <w:r>
        <w:rPr>
          <w:lang w:val="en-US"/>
        </w:rPr>
        <w:tab/>
        <w:t>(b)</w:t>
      </w:r>
      <w:r>
        <w:rPr>
          <w:lang w:val="en-US"/>
        </w:rPr>
        <w:tab/>
        <w:t>in weather conditions causing reduced visibility.</w:t>
      </w:r>
    </w:p>
    <w:p>
      <w:pPr>
        <w:pStyle w:val="nzHeading3"/>
      </w:pPr>
      <w:r>
        <w:rPr>
          <w:rStyle w:val="CharDivNo"/>
        </w:rPr>
        <w:t>Division 4</w:t>
      </w:r>
      <w:r>
        <w:t> — </w:t>
      </w:r>
      <w:r>
        <w:rPr>
          <w:rStyle w:val="CharDivText"/>
        </w:rPr>
        <w:t>Loading requirements: categories of breach</w:t>
      </w:r>
    </w:p>
    <w:p>
      <w:pPr>
        <w:pStyle w:val="nzHeading5"/>
      </w:pPr>
      <w:r>
        <w:rPr>
          <w:rStyle w:val="CharSectno"/>
        </w:rPr>
        <w:t>56</w:t>
      </w:r>
      <w:r>
        <w:t>.</w:t>
      </w:r>
      <w:r>
        <w:tab/>
        <w:t>Determining whether breach of a loading requirement gives rise to certain risks</w:t>
      </w:r>
    </w:p>
    <w:p>
      <w:pPr>
        <w:pStyle w:val="nzSubsection"/>
        <w:rPr>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nzIndenta"/>
        <w:rPr>
          <w:lang w:val="en-US"/>
        </w:rPr>
      </w:pPr>
      <w:r>
        <w:rPr>
          <w:lang w:val="en-US"/>
        </w:rPr>
        <w:tab/>
        <w:t>(a)</w:t>
      </w:r>
      <w:r>
        <w:rPr>
          <w:lang w:val="en-US"/>
        </w:rPr>
        <w:tab/>
        <w:t>the nature and extent of the breach; and</w:t>
      </w:r>
    </w:p>
    <w:p>
      <w:pPr>
        <w:pStyle w:val="nzIndenta"/>
        <w:rPr>
          <w:lang w:val="en-US"/>
        </w:rPr>
      </w:pPr>
      <w:r>
        <w:rPr>
          <w:lang w:val="en-US"/>
        </w:rPr>
        <w:tab/>
        <w:t>(b)</w:t>
      </w:r>
      <w:r>
        <w:rPr>
          <w:lang w:val="en-US"/>
        </w:rPr>
        <w:tab/>
        <w:t>the consequences or potential consequences of the breach; and</w:t>
      </w:r>
    </w:p>
    <w:p>
      <w:pPr>
        <w:pStyle w:val="nzIndenta"/>
        <w:rPr>
          <w:lang w:val="en-US"/>
        </w:rPr>
      </w:pPr>
      <w:r>
        <w:rPr>
          <w:lang w:val="en-US"/>
        </w:rPr>
        <w:tab/>
        <w:t>(c)</w:t>
      </w:r>
      <w:r>
        <w:rPr>
          <w:lang w:val="en-US"/>
        </w:rPr>
        <w:tab/>
        <w:t>any other relevant factors.</w:t>
      </w:r>
    </w:p>
    <w:p>
      <w:pPr>
        <w:pStyle w:val="nzHeading5"/>
      </w:pPr>
      <w:r>
        <w:rPr>
          <w:rStyle w:val="CharSectno"/>
        </w:rPr>
        <w:t>57</w:t>
      </w:r>
      <w:r>
        <w:t>.</w:t>
      </w:r>
      <w:r>
        <w:tab/>
        <w:t>When a load’s becoming displaced or unsecured is imminent</w:t>
      </w:r>
    </w:p>
    <w:p>
      <w:pPr>
        <w:pStyle w:val="nzSubsection"/>
        <w:rPr>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nzIndenta"/>
        <w:rPr>
          <w:lang w:val="en-US"/>
        </w:rPr>
      </w:pPr>
      <w:r>
        <w:rPr>
          <w:lang w:val="en-US"/>
        </w:rPr>
        <w:tab/>
        <w:t>(a)</w:t>
      </w:r>
      <w:r>
        <w:rPr>
          <w:lang w:val="en-US"/>
        </w:rPr>
        <w:tab/>
        <w:t>the nature and condition of the vehicle; and</w:t>
      </w:r>
    </w:p>
    <w:p>
      <w:pPr>
        <w:pStyle w:val="nzIndenta"/>
        <w:rPr>
          <w:lang w:val="en-US"/>
        </w:rPr>
      </w:pPr>
      <w:r>
        <w:rPr>
          <w:lang w:val="en-US"/>
        </w:rPr>
        <w:tab/>
        <w:t>(b)</w:t>
      </w:r>
      <w:r>
        <w:rPr>
          <w:lang w:val="en-US"/>
        </w:rPr>
        <w:tab/>
        <w:t>the nature, condition, placement and securing of the load; and</w:t>
      </w:r>
    </w:p>
    <w:p>
      <w:pPr>
        <w:pStyle w:val="nzIndenta"/>
        <w:rPr>
          <w:lang w:val="en-US"/>
        </w:rPr>
      </w:pPr>
      <w:r>
        <w:rPr>
          <w:lang w:val="en-US"/>
        </w:rPr>
        <w:tab/>
        <w:t>(c)</w:t>
      </w:r>
      <w:r>
        <w:rPr>
          <w:lang w:val="en-US"/>
        </w:rPr>
        <w:tab/>
        <w:t>the length of the journey; and</w:t>
      </w:r>
    </w:p>
    <w:p>
      <w:pPr>
        <w:pStyle w:val="nzIndenta"/>
        <w:rPr>
          <w:lang w:val="en-US"/>
        </w:rPr>
      </w:pPr>
      <w:r>
        <w:rPr>
          <w:lang w:val="en-US"/>
        </w:rPr>
        <w:tab/>
        <w:t>(d)</w:t>
      </w:r>
      <w:r>
        <w:rPr>
          <w:lang w:val="en-US"/>
        </w:rPr>
        <w:tab/>
        <w:t>the nature and condition of the route of the journey; and</w:t>
      </w:r>
    </w:p>
    <w:p>
      <w:pPr>
        <w:pStyle w:val="nzIndenta"/>
        <w:rPr>
          <w:lang w:val="en-US"/>
        </w:rPr>
      </w:pPr>
      <w:r>
        <w:rPr>
          <w:lang w:val="en-US"/>
        </w:rPr>
        <w:tab/>
        <w:t>(e)</w:t>
      </w:r>
      <w:r>
        <w:rPr>
          <w:lang w:val="en-US"/>
        </w:rPr>
        <w:tab/>
        <w:t>any other relevant factors.</w:t>
      </w:r>
    </w:p>
    <w:p>
      <w:pPr>
        <w:pStyle w:val="nz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nzHeading5"/>
      </w:pPr>
      <w:r>
        <w:rPr>
          <w:rStyle w:val="CharSectno"/>
        </w:rPr>
        <w:t>58</w:t>
      </w:r>
      <w:r>
        <w:t>.</w:t>
      </w:r>
      <w:r>
        <w:tab/>
        <w:t>Loading requirements: minor risk breaches</w:t>
      </w:r>
    </w:p>
    <w:p>
      <w:pPr>
        <w:pStyle w:val="nzSubsection"/>
        <w:rPr>
          <w:lang w:val="en-US"/>
        </w:rPr>
      </w:pPr>
      <w:r>
        <w:tab/>
      </w:r>
      <w:r>
        <w:tab/>
      </w:r>
      <w:r>
        <w:rPr>
          <w:lang w:val="en-US"/>
        </w:rPr>
        <w:t xml:space="preserve">A breach of a loading requirement is a minor risk breach if — </w:t>
      </w:r>
    </w:p>
    <w:p>
      <w:pPr>
        <w:pStyle w:val="nzIndenta"/>
        <w:rPr>
          <w:lang w:val="en-US"/>
        </w:rPr>
      </w:pPr>
      <w:r>
        <w:tab/>
        <w:t>(a)</w:t>
      </w:r>
      <w:r>
        <w:tab/>
        <w:t xml:space="preserve">the </w:t>
      </w:r>
      <w:r>
        <w:rPr>
          <w:lang w:val="en-US"/>
        </w:rPr>
        <w:t>load concerned has not become displaced or unsecured; and</w:t>
      </w:r>
    </w:p>
    <w:p>
      <w:pPr>
        <w:pStyle w:val="nzIndenta"/>
        <w:rPr>
          <w:lang w:val="en-US"/>
        </w:rPr>
      </w:pPr>
      <w:r>
        <w:rPr>
          <w:lang w:val="en-US"/>
        </w:rPr>
        <w:tab/>
        <w:t>(b)</w:t>
      </w:r>
      <w:r>
        <w:rPr>
          <w:lang w:val="en-US"/>
        </w:rPr>
        <w:tab/>
        <w:t>the load’s becoming displaced or unsecured is not imminent; and</w:t>
      </w:r>
    </w:p>
    <w:p>
      <w:pPr>
        <w:pStyle w:val="nz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nzHeading5"/>
      </w:pPr>
      <w:r>
        <w:rPr>
          <w:rStyle w:val="CharSectno"/>
        </w:rPr>
        <w:t>59</w:t>
      </w:r>
      <w:r>
        <w:t>.</w:t>
      </w:r>
      <w:r>
        <w:tab/>
        <w:t>Loading requirements: substantial risk breaches</w:t>
      </w:r>
    </w:p>
    <w:p>
      <w:pPr>
        <w:pStyle w:val="nzSubsection"/>
        <w:rPr>
          <w:lang w:val="en-US"/>
        </w:rPr>
      </w:pPr>
      <w:r>
        <w:rPr>
          <w:lang w:val="en-US"/>
        </w:rPr>
        <w:tab/>
        <w:t>(1)</w:t>
      </w:r>
      <w:r>
        <w:rPr>
          <w:lang w:val="en-US"/>
        </w:rPr>
        <w:tab/>
        <w:t xml:space="preserve">A breach of a loading requirement is a substantial risk breach if — </w:t>
      </w:r>
    </w:p>
    <w:p>
      <w:pPr>
        <w:pStyle w:val="nzIndenta"/>
        <w:rPr>
          <w:lang w:val="en-US"/>
        </w:rPr>
      </w:pPr>
      <w:r>
        <w:rPr>
          <w:lang w:val="en-US"/>
        </w:rPr>
        <w:tab/>
        <w:t>(a)</w:t>
      </w:r>
      <w:r>
        <w:rPr>
          <w:lang w:val="en-US"/>
        </w:rPr>
        <w:tab/>
        <w:t>the load concerned has become displaced or unsecured; or</w:t>
      </w:r>
    </w:p>
    <w:p>
      <w:pPr>
        <w:pStyle w:val="nzIndenta"/>
        <w:rPr>
          <w:lang w:val="en-US"/>
        </w:rPr>
      </w:pPr>
      <w:r>
        <w:rPr>
          <w:lang w:val="en-US"/>
        </w:rPr>
        <w:tab/>
        <w:t>(b)</w:t>
      </w:r>
      <w:r>
        <w:rPr>
          <w:lang w:val="en-US"/>
        </w:rPr>
        <w:tab/>
        <w:t>the load’s becoming displaced or unsecured is imminent,</w:t>
      </w:r>
    </w:p>
    <w:p>
      <w:pPr>
        <w:pStyle w:val="nz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nzSubsection"/>
        <w:rPr>
          <w:lang w:val="en-US"/>
        </w:rPr>
      </w:pPr>
      <w:r>
        <w:rPr>
          <w:lang w:val="en-US"/>
        </w:rPr>
        <w:tab/>
        <w:t>(2)</w:t>
      </w:r>
      <w:r>
        <w:rPr>
          <w:lang w:val="en-US"/>
        </w:rPr>
        <w:tab/>
        <w:t xml:space="preserve">A breach of a loading requirement is a substantial risk breach if — </w:t>
      </w:r>
    </w:p>
    <w:p>
      <w:pPr>
        <w:pStyle w:val="nzIndenta"/>
        <w:rPr>
          <w:lang w:val="en-US"/>
        </w:rPr>
      </w:pPr>
      <w:r>
        <w:rPr>
          <w:lang w:val="en-US"/>
        </w:rPr>
        <w:tab/>
        <w:t>(a)</w:t>
      </w:r>
      <w:r>
        <w:rPr>
          <w:lang w:val="en-US"/>
        </w:rPr>
        <w:tab/>
        <w:t>the load concerned has not become displaced or unsecured; or</w:t>
      </w:r>
    </w:p>
    <w:p>
      <w:pPr>
        <w:pStyle w:val="nzIndenta"/>
        <w:rPr>
          <w:lang w:val="en-US"/>
        </w:rPr>
      </w:pPr>
      <w:r>
        <w:rPr>
          <w:lang w:val="en-US"/>
        </w:rPr>
        <w:tab/>
        <w:t>(b)</w:t>
      </w:r>
      <w:r>
        <w:rPr>
          <w:lang w:val="en-US"/>
        </w:rPr>
        <w:tab/>
        <w:t>the load’s becoming displaced or unsecured is not imminent,</w:t>
      </w:r>
    </w:p>
    <w:p>
      <w:pPr>
        <w:pStyle w:val="nz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nzHeading5"/>
      </w:pPr>
      <w:r>
        <w:rPr>
          <w:rStyle w:val="CharSectno"/>
        </w:rPr>
        <w:t>60</w:t>
      </w:r>
      <w:r>
        <w:t>.</w:t>
      </w:r>
      <w:r>
        <w:tab/>
        <w:t>Loading requirements: severe risk breaches</w:t>
      </w:r>
    </w:p>
    <w:p>
      <w:pPr>
        <w:pStyle w:val="nzSubsection"/>
        <w:rPr>
          <w:lang w:val="en-US"/>
        </w:rPr>
      </w:pPr>
      <w:r>
        <w:rPr>
          <w:lang w:val="en-US"/>
        </w:rPr>
        <w:tab/>
      </w:r>
      <w:r>
        <w:rPr>
          <w:lang w:val="en-US"/>
        </w:rPr>
        <w:tab/>
        <w:t xml:space="preserve">A breach of a loading requirement is a severe risk breach if — </w:t>
      </w:r>
    </w:p>
    <w:p>
      <w:pPr>
        <w:pStyle w:val="nzIndenta"/>
        <w:rPr>
          <w:lang w:val="en-US"/>
        </w:rPr>
      </w:pPr>
      <w:r>
        <w:rPr>
          <w:lang w:val="en-US"/>
        </w:rPr>
        <w:tab/>
        <w:t>(a)</w:t>
      </w:r>
      <w:r>
        <w:rPr>
          <w:lang w:val="en-US"/>
        </w:rPr>
        <w:tab/>
        <w:t>the load concerned has become displaced or unsecured; or</w:t>
      </w:r>
    </w:p>
    <w:p>
      <w:pPr>
        <w:pStyle w:val="nzIndenta"/>
        <w:rPr>
          <w:lang w:val="en-US"/>
        </w:rPr>
      </w:pPr>
      <w:r>
        <w:rPr>
          <w:lang w:val="en-US"/>
        </w:rPr>
        <w:tab/>
        <w:t>(b)</w:t>
      </w:r>
      <w:r>
        <w:rPr>
          <w:lang w:val="en-US"/>
        </w:rPr>
        <w:tab/>
        <w:t>the load’s becoming displaced or unsecured is imminent,</w:t>
      </w:r>
    </w:p>
    <w:p>
      <w:pPr>
        <w:pStyle w:val="nz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nzHeading2"/>
      </w:pPr>
      <w:r>
        <w:rPr>
          <w:rStyle w:val="CharPartNo"/>
        </w:rPr>
        <w:t>Part 6</w:t>
      </w:r>
      <w:r>
        <w:t> — </w:t>
      </w:r>
      <w:r>
        <w:rPr>
          <w:rStyle w:val="CharPartText"/>
        </w:rPr>
        <w:t>Directions as to MDLR breaches, defect notices and improvement notices</w:t>
      </w:r>
    </w:p>
    <w:p>
      <w:pPr>
        <w:pStyle w:val="nzHeading3"/>
      </w:pPr>
      <w:r>
        <w:rPr>
          <w:rStyle w:val="CharDivNo"/>
        </w:rPr>
        <w:t>Division 1</w:t>
      </w:r>
      <w:r>
        <w:t> — </w:t>
      </w:r>
      <w:r>
        <w:rPr>
          <w:rStyle w:val="CharDivText"/>
        </w:rPr>
        <w:t>General</w:t>
      </w:r>
    </w:p>
    <w:p>
      <w:pPr>
        <w:pStyle w:val="nzHeading5"/>
      </w:pPr>
      <w:r>
        <w:rPr>
          <w:rStyle w:val="CharSectno"/>
        </w:rPr>
        <w:t>61</w:t>
      </w:r>
      <w:r>
        <w:t>.</w:t>
      </w:r>
      <w:r>
        <w:tab/>
        <w:t>Application of Part in relation to other directions</w:t>
      </w:r>
    </w:p>
    <w:p>
      <w:pPr>
        <w:pStyle w:val="nz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nzHeading3"/>
      </w:pPr>
      <w:r>
        <w:rPr>
          <w:rStyle w:val="CharDivNo"/>
        </w:rPr>
        <w:t>Division 2</w:t>
      </w:r>
      <w:r>
        <w:t> — </w:t>
      </w:r>
      <w:r>
        <w:rPr>
          <w:rStyle w:val="CharDivText"/>
        </w:rPr>
        <w:t>Rectification of breaches of mass, dimension or loading requirements</w:t>
      </w:r>
    </w:p>
    <w:p>
      <w:pPr>
        <w:pStyle w:val="nzHeading5"/>
      </w:pPr>
      <w:r>
        <w:rPr>
          <w:rStyle w:val="CharSectno"/>
        </w:rPr>
        <w:t>62</w:t>
      </w:r>
      <w:r>
        <w:t>.</w:t>
      </w:r>
      <w:r>
        <w:tab/>
        <w:t>Term used: rectification action</w:t>
      </w:r>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nzDefpara"/>
      </w:pPr>
      <w:r>
        <w:tab/>
        <w:t>(a)</w:t>
      </w:r>
      <w:r>
        <w:tab/>
        <w:t>stops the vehicle being involved in the commission of the breach; or</w:t>
      </w:r>
    </w:p>
    <w:p>
      <w:pPr>
        <w:pStyle w:val="nzDefpara"/>
      </w:pPr>
      <w:r>
        <w:tab/>
        <w:t>(b)</w:t>
      </w:r>
      <w:r>
        <w:tab/>
        <w:t>renders the vehicle unlikely to be involved in the commission of a further and imminent breach of a similar kind.</w:t>
      </w:r>
    </w:p>
    <w:p>
      <w:pPr>
        <w:pStyle w:val="nzHeading5"/>
      </w:pPr>
      <w:r>
        <w:rPr>
          <w:rStyle w:val="CharSectno"/>
        </w:rPr>
        <w:t>63</w:t>
      </w:r>
      <w:r>
        <w:t>.</w:t>
      </w:r>
      <w:r>
        <w:tab/>
        <w:t>Minor risk breaches</w:t>
      </w:r>
    </w:p>
    <w:p>
      <w:pPr>
        <w:pStyle w:val="nz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nzIndenta"/>
      </w:pPr>
      <w:r>
        <w:tab/>
        <w:t>(a)</w:t>
      </w:r>
      <w:r>
        <w:tab/>
        <w:t xml:space="preserve">in the circumstances — </w:t>
      </w:r>
    </w:p>
    <w:p>
      <w:pPr>
        <w:pStyle w:val="nzIndenti"/>
      </w:pPr>
      <w:r>
        <w:tab/>
        <w:t>(i)</w:t>
      </w:r>
      <w:r>
        <w:tab/>
        <w:t>it is reasonable to take rectification action in relation to the vehicle; and</w:t>
      </w:r>
    </w:p>
    <w:p>
      <w:pPr>
        <w:pStyle w:val="nzIndenti"/>
      </w:pPr>
      <w:r>
        <w:tab/>
        <w:t>(ii)</w:t>
      </w:r>
      <w:r>
        <w:tab/>
        <w:t>the rectification action can be carried out easily;</w:t>
      </w:r>
    </w:p>
    <w:p>
      <w:pPr>
        <w:pStyle w:val="nzIndenta"/>
      </w:pPr>
      <w:r>
        <w:tab/>
      </w:r>
      <w:r>
        <w:tab/>
        <w:t>or</w:t>
      </w:r>
    </w:p>
    <w:p>
      <w:pPr>
        <w:pStyle w:val="nz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nzIndenta"/>
      </w:pPr>
      <w:r>
        <w:rPr>
          <w:lang w:val="en-US"/>
        </w:rPr>
        <w:tab/>
        <w:t>(c)</w:t>
      </w:r>
      <w:r>
        <w:rPr>
          <w:lang w:val="en-US"/>
        </w:rPr>
        <w:tab/>
      </w:r>
      <w:r>
        <w:t>other circumstances justify the giving of the direction</w:t>
      </w:r>
      <w:r>
        <w:rPr>
          <w:lang w:val="en-US"/>
        </w:rPr>
        <w:t>.</w:t>
      </w:r>
    </w:p>
    <w:p>
      <w:pPr>
        <w:pStyle w:val="nz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nz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nz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nzIndenti"/>
        <w:rPr>
          <w:lang w:val="en-US"/>
        </w:rPr>
      </w:pPr>
      <w:r>
        <w:rPr>
          <w:lang w:val="en-US"/>
        </w:rPr>
        <w:tab/>
        <w:t>(i)</w:t>
      </w:r>
      <w:r>
        <w:rPr>
          <w:lang w:val="en-US"/>
        </w:rPr>
        <w:tab/>
        <w:t>that is within a distance of 30 km from the location of the vehicle when the direction is given; or</w:t>
      </w:r>
    </w:p>
    <w:p>
      <w:pPr>
        <w:pStyle w:val="nzIndenti"/>
      </w:pPr>
      <w:r>
        <w:tab/>
        <w:t>(ii)</w:t>
      </w:r>
      <w:r>
        <w:tab/>
        <w:t>if the direction is given in the course of a journey of the vehicle, that is along the forward route of the journey;</w:t>
      </w:r>
    </w:p>
    <w:p>
      <w:pPr>
        <w:pStyle w:val="nzIndenta"/>
      </w:pPr>
      <w:r>
        <w:tab/>
      </w:r>
      <w:r>
        <w:tab/>
        <w:t>and</w:t>
      </w:r>
    </w:p>
    <w:p>
      <w:pPr>
        <w:pStyle w:val="nz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nzHeading5"/>
      </w:pPr>
      <w:r>
        <w:rPr>
          <w:rStyle w:val="CharSectno"/>
        </w:rPr>
        <w:t>64</w:t>
      </w:r>
      <w:r>
        <w:t>.</w:t>
      </w:r>
      <w:r>
        <w:tab/>
        <w:t>Substantial risk breaches</w:t>
      </w:r>
    </w:p>
    <w:p>
      <w:pPr>
        <w:pStyle w:val="nz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nzIndenta"/>
        <w:rPr>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nzIndenta"/>
      </w:pPr>
      <w:r>
        <w:tab/>
        <w:t>(b)</w:t>
      </w:r>
      <w:r>
        <w:tab/>
      </w:r>
      <w:r>
        <w:rPr>
          <w:lang w:val="en-US"/>
        </w:rPr>
        <w:t>specific instructions or standing instructions have been given by the CEO that require the moving of the vehicle in the relevant circumstances; or</w:t>
      </w:r>
    </w:p>
    <w:p>
      <w:pPr>
        <w:pStyle w:val="nzIndenta"/>
      </w:pPr>
      <w:r>
        <w:rPr>
          <w:lang w:val="en-US"/>
        </w:rPr>
        <w:tab/>
        <w:t>(c)</w:t>
      </w:r>
      <w:r>
        <w:rPr>
          <w:lang w:val="en-US"/>
        </w:rPr>
        <w:tab/>
      </w:r>
      <w:r>
        <w:t>other circumstances justify the moving of the vehicle to another location.</w:t>
      </w:r>
    </w:p>
    <w:p>
      <w:pPr>
        <w:pStyle w:val="nz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nz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nzIndenta"/>
        <w:rPr>
          <w:lang w:val="en-US"/>
        </w:rPr>
      </w:pPr>
      <w:r>
        <w:tab/>
        <w:t>(b)</w:t>
      </w:r>
      <w:r>
        <w:tab/>
        <w:t>to</w:t>
      </w:r>
      <w:r>
        <w:rPr>
          <w:lang w:val="en-US"/>
        </w:rPr>
        <w:t xml:space="preserve"> ensure that the vehicle remains at the specified location until rectification action is taken in relation to it.</w:t>
      </w:r>
    </w:p>
    <w:p>
      <w:pPr>
        <w:pStyle w:val="nzSubsection"/>
        <w:rPr>
          <w:lang w:val="en-US"/>
        </w:rPr>
      </w:pPr>
      <w:r>
        <w:rPr>
          <w:lang w:val="en-US"/>
        </w:rPr>
        <w:tab/>
        <w:t>(3)</w:t>
      </w:r>
      <w:r>
        <w:rPr>
          <w:lang w:val="en-US"/>
        </w:rPr>
        <w:tab/>
        <w:t>A location specified under subsection (2) may, but need not, be</w:t>
      </w:r>
      <w:r>
        <w:rPr>
          <w:szCs w:val="23"/>
          <w:lang w:val="en-US"/>
        </w:rPr>
        <w:t xml:space="preserve"> — </w:t>
      </w:r>
    </w:p>
    <w:p>
      <w:pPr>
        <w:pStyle w:val="nzIndenta"/>
        <w:rPr>
          <w:lang w:val="en-US"/>
        </w:rPr>
      </w:pPr>
      <w:r>
        <w:rPr>
          <w:lang w:val="en-US"/>
        </w:rPr>
        <w:tab/>
        <w:t>(a)</w:t>
      </w:r>
      <w:r>
        <w:rPr>
          <w:lang w:val="en-US"/>
        </w:rPr>
        <w:tab/>
        <w:t>the intended destination of the journey concerned; or</w:t>
      </w:r>
    </w:p>
    <w:p>
      <w:pPr>
        <w:pStyle w:val="nzIndenta"/>
        <w:rPr>
          <w:szCs w:val="23"/>
          <w:lang w:val="en-US"/>
        </w:rPr>
      </w:pPr>
      <w:r>
        <w:rPr>
          <w:lang w:val="en-US"/>
        </w:rPr>
        <w:tab/>
        <w:t>(b)</w:t>
      </w:r>
      <w:r>
        <w:rPr>
          <w:lang w:val="en-US"/>
        </w:rPr>
        <w:tab/>
        <w:t xml:space="preserve">the base of the driver of the vehicle </w:t>
      </w:r>
      <w:r>
        <w:rPr>
          <w:szCs w:val="23"/>
          <w:lang w:val="en-US"/>
        </w:rPr>
        <w:t>concerned.</w:t>
      </w:r>
    </w:p>
    <w:p>
      <w:pPr>
        <w:pStyle w:val="nz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nz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65</w:t>
      </w:r>
      <w:r>
        <w:t>.</w:t>
      </w:r>
      <w:r>
        <w:tab/>
        <w:t>Severe risk breaches</w:t>
      </w:r>
    </w:p>
    <w:p>
      <w:pPr>
        <w:pStyle w:val="nz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nzIndenta"/>
      </w:pPr>
      <w:r>
        <w:tab/>
        <w:t>(a)</w:t>
      </w:r>
      <w:r>
        <w:tab/>
        <w:t xml:space="preserve">moving the vehicle to another location is justified in the circumstances because — </w:t>
      </w:r>
    </w:p>
    <w:p>
      <w:pPr>
        <w:pStyle w:val="nzIndenti"/>
        <w:rPr>
          <w:lang w:val="en-US"/>
        </w:rPr>
      </w:pPr>
      <w:r>
        <w:rPr>
          <w:lang w:val="en-US"/>
        </w:rPr>
        <w:tab/>
        <w:t>(i)</w:t>
      </w:r>
      <w:r>
        <w:rPr>
          <w:lang w:val="en-US"/>
        </w:rPr>
        <w:tab/>
        <w:t xml:space="preserve">there is a risk to the welfare of people or live animals in </w:t>
      </w:r>
      <w:r>
        <w:rPr>
          <w:szCs w:val="23"/>
          <w:lang w:val="en-US"/>
        </w:rPr>
        <w:t>or on the vehicle; or</w:t>
      </w:r>
    </w:p>
    <w:p>
      <w:pPr>
        <w:pStyle w:val="nzIndenti"/>
        <w:rPr>
          <w:lang w:val="en-US"/>
        </w:rPr>
      </w:pPr>
      <w:r>
        <w:rPr>
          <w:lang w:val="en-US"/>
        </w:rPr>
        <w:tab/>
        <w:t>(ii)</w:t>
      </w:r>
      <w:r>
        <w:rPr>
          <w:lang w:val="en-US"/>
        </w:rPr>
        <w:tab/>
        <w:t>there is an appreciable risk of harm to public safety, the environment, road infrastructure or public amenity;</w:t>
      </w:r>
    </w:p>
    <w:p>
      <w:pPr>
        <w:pStyle w:val="nzIndenta"/>
        <w:rPr>
          <w:lang w:val="en-US"/>
        </w:rPr>
      </w:pPr>
      <w:r>
        <w:rPr>
          <w:szCs w:val="23"/>
          <w:lang w:val="en-US"/>
        </w:rPr>
        <w:tab/>
      </w:r>
      <w:r>
        <w:rPr>
          <w:szCs w:val="23"/>
          <w:lang w:val="en-US"/>
        </w:rPr>
        <w:tab/>
        <w:t>or</w:t>
      </w:r>
    </w:p>
    <w:p>
      <w:pPr>
        <w:pStyle w:val="nzIndenta"/>
        <w:rPr>
          <w:lang w:val="en-US"/>
        </w:rPr>
      </w:pPr>
      <w:r>
        <w:tab/>
        <w:t>(b)</w:t>
      </w:r>
      <w:r>
        <w:tab/>
      </w:r>
      <w:r>
        <w:rPr>
          <w:lang w:val="en-US"/>
        </w:rPr>
        <w:t>specific instructions or standing instructions have been given by the CEO that require the moving of the vehicle in the relevant circumstances.</w:t>
      </w:r>
    </w:p>
    <w:p>
      <w:pPr>
        <w:pStyle w:val="nzSubsection"/>
        <w:rPr>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nz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nz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nzIndenta"/>
        <w:rPr>
          <w:lang w:val="en-US"/>
        </w:rPr>
      </w:pPr>
      <w:r>
        <w:tab/>
        <w:t>(b)</w:t>
      </w:r>
      <w:r>
        <w:tab/>
        <w:t>to</w:t>
      </w:r>
      <w:r>
        <w:rPr>
          <w:lang w:val="en-US"/>
        </w:rPr>
        <w:t xml:space="preserve"> ensure that the vehicle remains at the specified location until rectification action is taken in relation to it.</w:t>
      </w:r>
    </w:p>
    <w:p>
      <w:pPr>
        <w:pStyle w:val="nzSubsection"/>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nzSubsection"/>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nzHeading5"/>
      </w:pPr>
      <w:r>
        <w:rPr>
          <w:rStyle w:val="CharSectno"/>
        </w:rPr>
        <w:t>66</w:t>
      </w:r>
      <w:r>
        <w:t>.</w:t>
      </w:r>
      <w:r>
        <w:tab/>
        <w:t>Directions etc. to be complied with</w:t>
      </w:r>
    </w:p>
    <w:p>
      <w:pPr>
        <w:pStyle w:val="nzSubsection"/>
      </w:pPr>
      <w:r>
        <w:tab/>
      </w:r>
      <w:r>
        <w:tab/>
        <w:t>A person to whom a direction is given under section 63(2) or (3), 64(2) or (5) or 65(3) or (5) must not, without reasonable excuse, fail to comply with the direction.</w:t>
      </w:r>
    </w:p>
    <w:p>
      <w:pPr>
        <w:pStyle w:val="nzPenstart"/>
      </w:pPr>
      <w:r>
        <w:tab/>
        <w:t>Penalty: a fine of 100 PU.</w:t>
      </w:r>
    </w:p>
    <w:p>
      <w:pPr>
        <w:pStyle w:val="nzHeading5"/>
      </w:pPr>
      <w:r>
        <w:rPr>
          <w:rStyle w:val="CharSectno"/>
        </w:rPr>
        <w:t>67</w:t>
      </w:r>
      <w:r>
        <w:t>.</w:t>
      </w:r>
      <w:r>
        <w:tab/>
        <w:t>Authorisation to continue journey if only minor risk breaches</w:t>
      </w:r>
    </w:p>
    <w:p>
      <w:pPr>
        <w:pStyle w:val="nz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nzSubsection"/>
        <w:rPr>
          <w:lang w:val="en-US"/>
        </w:rPr>
      </w:pPr>
      <w:r>
        <w:rPr>
          <w:lang w:val="en-US"/>
        </w:rPr>
        <w:tab/>
        <w:t>(2)</w:t>
      </w:r>
      <w:r>
        <w:rPr>
          <w:lang w:val="en-US"/>
        </w:rPr>
        <w:tab/>
        <w:t xml:space="preserve">A police officer may authorise the continuation of the journey if — </w:t>
      </w:r>
    </w:p>
    <w:p>
      <w:pPr>
        <w:pStyle w:val="nz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nzIndenta"/>
      </w:pPr>
      <w:r>
        <w:tab/>
        <w:t>(b)</w:t>
      </w:r>
      <w:r>
        <w:tab/>
        <w:t>any direction given to take rectification action in relation to the vehicle has been complied with.</w:t>
      </w:r>
    </w:p>
    <w:p>
      <w:pPr>
        <w:pStyle w:val="nzHeading5"/>
      </w:pPr>
      <w:r>
        <w:rPr>
          <w:rStyle w:val="CharSectno"/>
        </w:rPr>
        <w:t>68</w:t>
      </w:r>
      <w:r>
        <w:t>.</w:t>
      </w:r>
      <w:r>
        <w:tab/>
        <w:t>Operation of directions in relation to detachable vehicles</w:t>
      </w:r>
    </w:p>
    <w:p>
      <w:pPr>
        <w:pStyle w:val="nzSubsection"/>
        <w:rPr>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nzIndenta"/>
      </w:pPr>
      <w:r>
        <w:tab/>
        <w:t>(a)</w:t>
      </w:r>
      <w:r>
        <w:tab/>
        <w:t xml:space="preserve">the direction — </w:t>
      </w:r>
    </w:p>
    <w:p>
      <w:pPr>
        <w:pStyle w:val="nzIndenti"/>
      </w:pPr>
      <w:r>
        <w:tab/>
        <w:t>(i)</w:t>
      </w:r>
      <w:r>
        <w:tab/>
        <w:t xml:space="preserve">requires rectification action to be taken in relation to the attached vehicle; or </w:t>
      </w:r>
    </w:p>
    <w:p>
      <w:pPr>
        <w:pStyle w:val="nzIndenti"/>
      </w:pPr>
      <w:r>
        <w:tab/>
        <w:t>(ii)</w:t>
      </w:r>
      <w:r>
        <w:tab/>
        <w:t>prevents the attached vehicle from being separately driven or moved;</w:t>
      </w:r>
    </w:p>
    <w:p>
      <w:pPr>
        <w:pStyle w:val="nzIndenta"/>
      </w:pPr>
      <w:r>
        <w:tab/>
      </w:r>
      <w:r>
        <w:tab/>
        <w:t>or</w:t>
      </w:r>
    </w:p>
    <w:p>
      <w:pPr>
        <w:pStyle w:val="nzIndenta"/>
        <w:rPr>
          <w:lang w:val="en-US"/>
        </w:rPr>
      </w:pPr>
      <w:r>
        <w:rPr>
          <w:lang w:val="en-US"/>
        </w:rPr>
        <w:tab/>
        <w:t>(b)</w:t>
      </w:r>
      <w:r>
        <w:rPr>
          <w:lang w:val="en-US"/>
        </w:rPr>
        <w:tab/>
        <w:t>moving the attached vehicle when detached would in itself involve the contravention of a road law.</w:t>
      </w:r>
    </w:p>
    <w:p>
      <w:pPr>
        <w:pStyle w:val="nzHeading5"/>
      </w:pPr>
      <w:r>
        <w:rPr>
          <w:rStyle w:val="CharSectno"/>
        </w:rPr>
        <w:t>69</w:t>
      </w:r>
      <w:r>
        <w:t>.</w:t>
      </w:r>
      <w:r>
        <w:tab/>
        <w:t>Directions and authorisations to be in writing</w:t>
      </w:r>
    </w:p>
    <w:p>
      <w:pPr>
        <w:pStyle w:val="nz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nzSubsection"/>
        <w:rPr>
          <w:lang w:val="en-US"/>
        </w:rPr>
      </w:pPr>
      <w:r>
        <w:rPr>
          <w:lang w:val="en-US"/>
        </w:rPr>
        <w:tab/>
        <w:t>(2)</w:t>
      </w:r>
      <w:r>
        <w:rPr>
          <w:lang w:val="en-US"/>
        </w:rPr>
        <w:tab/>
      </w:r>
      <w:r>
        <w:t>Subsection (1) does not apply</w:t>
      </w:r>
      <w:r>
        <w:rPr>
          <w:lang w:val="en-US"/>
        </w:rPr>
        <w:t xml:space="preserve"> — </w:t>
      </w:r>
    </w:p>
    <w:p>
      <w:pPr>
        <w:pStyle w:val="nz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nzIndenta"/>
        <w:rPr>
          <w:lang w:val="en-US"/>
        </w:rPr>
      </w:pPr>
      <w:r>
        <w:rPr>
          <w:lang w:val="en-US"/>
        </w:rPr>
        <w:tab/>
        <w:t>(b)</w:t>
      </w:r>
      <w:r>
        <w:rPr>
          <w:lang w:val="en-US"/>
        </w:rPr>
        <w:tab/>
        <w:t>in prescribed circumstances.</w:t>
      </w:r>
    </w:p>
    <w:p>
      <w:pPr>
        <w:pStyle w:val="nzHeading3"/>
      </w:pPr>
      <w:r>
        <w:rPr>
          <w:rStyle w:val="CharDivNo"/>
        </w:rPr>
        <w:t>Division 3</w:t>
      </w:r>
      <w:r>
        <w:t> — </w:t>
      </w:r>
      <w:r>
        <w:rPr>
          <w:rStyle w:val="CharDivText"/>
        </w:rPr>
        <w:t>Defect notices</w:t>
      </w:r>
    </w:p>
    <w:p>
      <w:pPr>
        <w:pStyle w:val="nzHeading5"/>
      </w:pPr>
      <w:r>
        <w:rPr>
          <w:rStyle w:val="CharSectno"/>
        </w:rPr>
        <w:t>70</w:t>
      </w:r>
      <w:r>
        <w:t>.</w:t>
      </w:r>
      <w:r>
        <w:tab/>
        <w:t xml:space="preserve">Terms used </w:t>
      </w:r>
    </w:p>
    <w:p>
      <w:pPr>
        <w:pStyle w:val="nzSubsection"/>
      </w:pPr>
      <w:r>
        <w:tab/>
      </w:r>
      <w:r>
        <w:tab/>
        <w:t xml:space="preserve">In this Division — </w:t>
      </w:r>
    </w:p>
    <w:p>
      <w:pPr>
        <w:pStyle w:val="nz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nzDefstart"/>
      </w:pPr>
      <w:r>
        <w:rPr>
          <w:b/>
        </w:rPr>
        <w:tab/>
      </w:r>
      <w:r>
        <w:rPr>
          <w:rStyle w:val="CharDefText"/>
        </w:rPr>
        <w:t>defect notice</w:t>
      </w:r>
      <w:r>
        <w:t xml:space="preserve"> means a notice mentioned in section 71(1);</w:t>
      </w:r>
    </w:p>
    <w:p>
      <w:pPr>
        <w:pStyle w:val="nzDefstart"/>
      </w:pPr>
      <w:r>
        <w:rPr>
          <w:b/>
        </w:rPr>
        <w:tab/>
      </w:r>
      <w:r>
        <w:rPr>
          <w:rStyle w:val="CharDefText"/>
        </w:rPr>
        <w:t>inspection station</w:t>
      </w:r>
      <w:r>
        <w:t xml:space="preserve"> means premises at which vehicles are examined and tested for the purposes of this Act and that are operated by — </w:t>
      </w:r>
    </w:p>
    <w:p>
      <w:pPr>
        <w:pStyle w:val="nzDefpara"/>
      </w:pPr>
      <w:r>
        <w:tab/>
        <w:t>(a)</w:t>
      </w:r>
      <w:r>
        <w:tab/>
        <w:t>the CEO; or</w:t>
      </w:r>
    </w:p>
    <w:p>
      <w:pPr>
        <w:pStyle w:val="nzDefpara"/>
      </w:pPr>
      <w:r>
        <w:tab/>
        <w:t>(b)</w:t>
      </w:r>
      <w:r>
        <w:tab/>
        <w:t>a person authorised by the CEO to establish such premises;</w:t>
      </w:r>
    </w:p>
    <w:p>
      <w:pPr>
        <w:pStyle w:val="nzDefstart"/>
      </w:pPr>
      <w:r>
        <w:rPr>
          <w:b/>
        </w:rPr>
        <w:tab/>
      </w:r>
      <w:r>
        <w:rPr>
          <w:rStyle w:val="CharDefText"/>
        </w:rPr>
        <w:t>vehicle examiner</w:t>
      </w:r>
      <w:r>
        <w:t xml:space="preserve"> means — </w:t>
      </w:r>
    </w:p>
    <w:p>
      <w:pPr>
        <w:pStyle w:val="nz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nzDefpara"/>
      </w:pPr>
      <w:r>
        <w:tab/>
        <w:t>(b)</w:t>
      </w:r>
      <w:r>
        <w:tab/>
        <w:t>a person authorised by the CEO as a person to examine and test vehicles for the purposes of this Act.</w:t>
      </w:r>
    </w:p>
    <w:p>
      <w:pPr>
        <w:pStyle w:val="nzHeading5"/>
      </w:pPr>
      <w:r>
        <w:rPr>
          <w:rStyle w:val="CharSectno"/>
        </w:rPr>
        <w:t>71</w:t>
      </w:r>
      <w:r>
        <w:t>.</w:t>
      </w:r>
      <w:r>
        <w:tab/>
        <w:t>Notices in relation to vehicle defects</w:t>
      </w:r>
    </w:p>
    <w:p>
      <w:pPr>
        <w:pStyle w:val="nz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nzIndenta"/>
        <w:rPr>
          <w:lang w:val="en-US"/>
        </w:rPr>
      </w:pPr>
      <w:r>
        <w:rPr>
          <w:lang w:val="en-US"/>
        </w:rPr>
        <w:tab/>
        <w:t>(a)</w:t>
      </w:r>
      <w:r>
        <w:rPr>
          <w:lang w:val="en-US"/>
        </w:rPr>
        <w:tab/>
        <w:t>the vehicle is not to be driven at all; or</w:t>
      </w:r>
    </w:p>
    <w:p>
      <w:pPr>
        <w:pStyle w:val="nzIndenta"/>
        <w:rPr>
          <w:lang w:val="en-US"/>
        </w:rPr>
      </w:pPr>
      <w:r>
        <w:rPr>
          <w:lang w:val="en-US"/>
        </w:rPr>
        <w:tab/>
        <w:t>(b)</w:t>
      </w:r>
      <w:r>
        <w:rPr>
          <w:lang w:val="en-US"/>
        </w:rPr>
        <w:tab/>
        <w:t>the vehicle is not to be driven except at a time or during a period specified in the direction; or</w:t>
      </w:r>
    </w:p>
    <w:p>
      <w:pPr>
        <w:pStyle w:val="nz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nzIndenta"/>
      </w:pPr>
      <w:r>
        <w:tab/>
        <w:t>(d)</w:t>
      </w:r>
      <w:r>
        <w:tab/>
        <w:t xml:space="preserve">the </w:t>
      </w:r>
      <w:r>
        <w:rPr>
          <w:lang w:val="en-US"/>
        </w:rPr>
        <w:t>vehicle</w:t>
      </w:r>
      <w:r>
        <w:t xml:space="preserve"> is not to be driven except in accordance with any reasonable condition specified in the direction.</w:t>
      </w:r>
    </w:p>
    <w:p>
      <w:pPr>
        <w:pStyle w:val="nz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nzHeading5"/>
      </w:pPr>
      <w:r>
        <w:rPr>
          <w:rStyle w:val="CharSectno"/>
        </w:rPr>
        <w:t>72</w:t>
      </w:r>
      <w:r>
        <w:t>.</w:t>
      </w:r>
      <w:r>
        <w:tab/>
        <w:t>Form and content of defect notices</w:t>
      </w:r>
    </w:p>
    <w:p>
      <w:pPr>
        <w:pStyle w:val="nzSubsection"/>
      </w:pPr>
      <w:r>
        <w:rPr>
          <w:lang w:val="en-US"/>
        </w:rPr>
        <w:tab/>
      </w:r>
      <w:r>
        <w:rPr>
          <w:lang w:val="en-US"/>
        </w:rPr>
        <w:tab/>
        <w:t>A defect notice is to</w:t>
      </w:r>
      <w:r>
        <w:t xml:space="preserve"> — </w:t>
      </w:r>
    </w:p>
    <w:p>
      <w:pPr>
        <w:pStyle w:val="nzIndenta"/>
        <w:rPr>
          <w:lang w:val="en-US"/>
        </w:rPr>
      </w:pPr>
      <w:r>
        <w:rPr>
          <w:lang w:val="en-US"/>
        </w:rPr>
        <w:tab/>
        <w:t>(a)</w:t>
      </w:r>
      <w:r>
        <w:rPr>
          <w:lang w:val="en-US"/>
        </w:rPr>
        <w:tab/>
        <w:t>be in writing in a form approved by the CEO; and</w:t>
      </w:r>
    </w:p>
    <w:p>
      <w:pPr>
        <w:pStyle w:val="nzIndenta"/>
      </w:pPr>
      <w:r>
        <w:tab/>
        <w:t>(b)</w:t>
      </w:r>
      <w:r>
        <w:tab/>
        <w:t>specify the alleged defect; and</w:t>
      </w:r>
    </w:p>
    <w:p>
      <w:pPr>
        <w:pStyle w:val="nzIndenta"/>
      </w:pPr>
      <w:r>
        <w:tab/>
        <w:t>(c)</w:t>
      </w:r>
      <w:r>
        <w:tab/>
        <w:t>set out each direction given under section 71(1) and, if relevant, section 71(2); and</w:t>
      </w:r>
    </w:p>
    <w:p>
      <w:pPr>
        <w:pStyle w:val="nzIndenta"/>
      </w:pPr>
      <w:r>
        <w:tab/>
        <w:t>(d)</w:t>
      </w:r>
      <w:r>
        <w:tab/>
        <w:t xml:space="preserve">state when the notice comes into force, being either — </w:t>
      </w:r>
    </w:p>
    <w:p>
      <w:pPr>
        <w:pStyle w:val="nzIndenti"/>
      </w:pPr>
      <w:r>
        <w:tab/>
        <w:t>(i)</w:t>
      </w:r>
      <w:r>
        <w:tab/>
        <w:t>when the notice is issued; or</w:t>
      </w:r>
    </w:p>
    <w:p>
      <w:pPr>
        <w:pStyle w:val="nzIndenti"/>
      </w:pPr>
      <w:r>
        <w:tab/>
        <w:t>(ii)</w:t>
      </w:r>
      <w:r>
        <w:tab/>
        <w:t>a later time.</w:t>
      </w:r>
    </w:p>
    <w:p>
      <w:pPr>
        <w:pStyle w:val="nzHeading5"/>
      </w:pPr>
      <w:r>
        <w:rPr>
          <w:rStyle w:val="CharSectno"/>
        </w:rPr>
        <w:t>73</w:t>
      </w:r>
      <w:r>
        <w:t>.</w:t>
      </w:r>
      <w:r>
        <w:tab/>
        <w:t>Service of defect notices</w:t>
      </w:r>
    </w:p>
    <w:p>
      <w:pPr>
        <w:pStyle w:val="nzSubsection"/>
      </w:pPr>
      <w:r>
        <w:tab/>
        <w:t>(1)</w:t>
      </w:r>
      <w:r>
        <w:tab/>
        <w:t xml:space="preserve">A person who issues a defect notice for a vehicle must serve the notice — </w:t>
      </w:r>
    </w:p>
    <w:p>
      <w:pPr>
        <w:pStyle w:val="nz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nzIndenta"/>
      </w:pPr>
      <w:r>
        <w:tab/>
        <w:t>(b)</w:t>
      </w:r>
      <w:r>
        <w:tab/>
        <w:t>by affixing a copy of the defect notice to the vehicle in a conspicuous place.</w:t>
      </w:r>
    </w:p>
    <w:p>
      <w:pPr>
        <w:pStyle w:val="nzSubsection"/>
      </w:pPr>
      <w:r>
        <w:tab/>
        <w:t>(2)</w:t>
      </w:r>
      <w:r>
        <w:tab/>
        <w:t>While a defect notice is in force, a person must not —</w:t>
      </w:r>
    </w:p>
    <w:p>
      <w:pPr>
        <w:pStyle w:val="nzIndenta"/>
      </w:pPr>
      <w:r>
        <w:tab/>
        <w:t>(a)</w:t>
      </w:r>
      <w:r>
        <w:tab/>
        <w:t>damage or destroy the notice or a copy of it; or</w:t>
      </w:r>
    </w:p>
    <w:p>
      <w:pPr>
        <w:pStyle w:val="nzIndenta"/>
      </w:pPr>
      <w:r>
        <w:tab/>
        <w:t>(b)</w:t>
      </w:r>
      <w:r>
        <w:tab/>
        <w:t>remove from the vehicle a sticker affixed to the vehicle under subsection (1)(a); or</w:t>
      </w:r>
    </w:p>
    <w:p>
      <w:pPr>
        <w:pStyle w:val="nzIndenta"/>
      </w:pPr>
      <w:r>
        <w:tab/>
        <w:t>(c)</w:t>
      </w:r>
      <w:r>
        <w:tab/>
        <w:t>if a copy of the notice is affixed to the vehicle under subsection (1)(b), remove the copy from the vehicle except for the purpose of ensuring that the notice is complied with.</w:t>
      </w:r>
    </w:p>
    <w:p>
      <w:pPr>
        <w:pStyle w:val="nzPenstart"/>
      </w:pPr>
      <w:r>
        <w:tab/>
        <w:t>Penalty: a fine of 40 PU.</w:t>
      </w:r>
    </w:p>
    <w:p>
      <w:pPr>
        <w:pStyle w:val="nzSubsection"/>
      </w:pPr>
      <w:r>
        <w:tab/>
        <w:t>(3)</w:t>
      </w:r>
      <w:r>
        <w:tab/>
        <w:t>Subsection (2)(b) does not apply to a person who is repairing a vehicle if —</w:t>
      </w:r>
    </w:p>
    <w:p>
      <w:pPr>
        <w:pStyle w:val="nzIndenta"/>
      </w:pPr>
      <w:r>
        <w:tab/>
        <w:t>(a)</w:t>
      </w:r>
      <w:r>
        <w:tab/>
        <w:t>it is reasonably necessary to remove the sticker in order to rectify a defect specified in the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5"/>
      </w:pPr>
      <w:r>
        <w:rPr>
          <w:rStyle w:val="CharSectno"/>
        </w:rPr>
        <w:t>74</w:t>
      </w:r>
      <w:r>
        <w:t>.</w:t>
      </w:r>
      <w:r>
        <w:tab/>
        <w:t>Duration of defect notice</w:t>
      </w:r>
    </w:p>
    <w:p>
      <w:pPr>
        <w:pStyle w:val="nzSubsection"/>
      </w:pPr>
      <w:r>
        <w:tab/>
        <w:t>(1)</w:t>
      </w:r>
      <w:r>
        <w:tab/>
        <w:t>A defect notice has effect from the time stated in the notice.</w:t>
      </w:r>
    </w:p>
    <w:p>
      <w:pPr>
        <w:pStyle w:val="nzSubsection"/>
      </w:pPr>
      <w:r>
        <w:tab/>
        <w:t>(2)</w:t>
      </w:r>
      <w:r>
        <w:tab/>
        <w:t>A defect notice ceases to have effect when —</w:t>
      </w:r>
    </w:p>
    <w:p>
      <w:pPr>
        <w:pStyle w:val="nzIndenta"/>
      </w:pPr>
      <w:r>
        <w:tab/>
        <w:t>(a)</w:t>
      </w:r>
      <w:r>
        <w:tab/>
        <w:t>a vehicle examiner, or an authorised police officer, finds that each defect specified in the notice has been rectified; or</w:t>
      </w:r>
    </w:p>
    <w:p>
      <w:pPr>
        <w:pStyle w:val="nzIndenta"/>
      </w:pPr>
      <w:r>
        <w:tab/>
        <w:t>(b)</w:t>
      </w:r>
      <w:r>
        <w:tab/>
        <w:t>a vehicle examiner issues a further defect notice in respect of a defect of the vehicle.</w:t>
      </w:r>
    </w:p>
    <w:p>
      <w:pPr>
        <w:pStyle w:val="nzSubsection"/>
      </w:pPr>
      <w:r>
        <w:tab/>
        <w:t>(3)</w:t>
      </w:r>
      <w:r>
        <w:tab/>
        <w:t xml:space="preserve">In subsection (2) — </w:t>
      </w:r>
    </w:p>
    <w:p>
      <w:pPr>
        <w:pStyle w:val="nz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nzHeading5"/>
      </w:pPr>
      <w:r>
        <w:rPr>
          <w:rStyle w:val="CharSectno"/>
        </w:rPr>
        <w:t>75</w:t>
      </w:r>
      <w:r>
        <w:t>.</w:t>
      </w:r>
      <w:r>
        <w:tab/>
        <w:t>Defect notices and directions to be complied with</w:t>
      </w:r>
    </w:p>
    <w:p>
      <w:pPr>
        <w:pStyle w:val="nzSubsection"/>
      </w:pPr>
      <w:r>
        <w:tab/>
        <w:t>(1)</w:t>
      </w:r>
      <w:r>
        <w:tab/>
        <w:t xml:space="preserve">If there is affixed to a vehicle — </w:t>
      </w:r>
    </w:p>
    <w:p>
      <w:pPr>
        <w:pStyle w:val="nzIndenta"/>
      </w:pPr>
      <w:r>
        <w:tab/>
        <w:t>(a)</w:t>
      </w:r>
      <w:r>
        <w:tab/>
        <w:t>under section 73(1)(a), a sticker; or</w:t>
      </w:r>
    </w:p>
    <w:p>
      <w:pPr>
        <w:pStyle w:val="nzIndenta"/>
      </w:pPr>
      <w:r>
        <w:tab/>
        <w:t>(b)</w:t>
      </w:r>
      <w:r>
        <w:tab/>
        <w:t>under section 73(1)(b), a copy of a defect notice,</w:t>
      </w:r>
    </w:p>
    <w:p>
      <w:pPr>
        <w:pStyle w:val="nzSubsection"/>
      </w:pPr>
      <w:r>
        <w:tab/>
      </w:r>
      <w:r>
        <w:tab/>
        <w:t>a person must not, without reasonable excuse, drive the vehicle, or cause or permit the vehicle to be driven, on a road unless the vehicle is driven in accordance with the applicable defect notice.</w:t>
      </w:r>
    </w:p>
    <w:p>
      <w:pPr>
        <w:pStyle w:val="nz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nzSubsection"/>
      </w:pPr>
      <w:r>
        <w:tab/>
        <w:t>(3)</w:t>
      </w:r>
      <w:r>
        <w:tab/>
        <w:t>A person to whom a direction is given under section 71(2) must not, without reasonable excuse, fail to comply with the direction.</w:t>
      </w:r>
    </w:p>
    <w:p>
      <w:pPr>
        <w:pStyle w:val="nzPenstart"/>
      </w:pPr>
      <w:r>
        <w:tab/>
        <w:t>Penalty applicable to subsections (1) and (3): a fine of 50 PU.</w:t>
      </w:r>
    </w:p>
    <w:p>
      <w:pPr>
        <w:pStyle w:val="nzHeading5"/>
      </w:pPr>
      <w:r>
        <w:rPr>
          <w:rStyle w:val="CharSectno"/>
        </w:rPr>
        <w:t>76</w:t>
      </w:r>
      <w:r>
        <w:t>.</w:t>
      </w:r>
      <w:r>
        <w:tab/>
        <w:t>Powers of vehicle examiners</w:t>
      </w:r>
    </w:p>
    <w:p>
      <w:pPr>
        <w:pStyle w:val="nzSubsection"/>
      </w:pPr>
      <w:r>
        <w:tab/>
      </w:r>
      <w:r>
        <w:tab/>
        <w:t xml:space="preserve">A vehicle examiner has, in relation to a vehicle submitted for examination by the owner of the vehicle, the CEO or a police officer — </w:t>
      </w:r>
    </w:p>
    <w:p>
      <w:pPr>
        <w:pStyle w:val="nzIndenta"/>
      </w:pPr>
      <w:r>
        <w:tab/>
        <w:t>(a)</w:t>
      </w:r>
      <w:r>
        <w:tab/>
        <w:t>all the powers that a police officer has under this Division; and</w:t>
      </w:r>
    </w:p>
    <w:p>
      <w:pPr>
        <w:pStyle w:val="nzIndenta"/>
      </w:pPr>
      <w:r>
        <w:tab/>
        <w:t>(b)</w:t>
      </w:r>
      <w:r>
        <w:tab/>
        <w:t xml:space="preserve">all the powers that a police officer has under the </w:t>
      </w:r>
      <w:r>
        <w:rPr>
          <w:i/>
          <w:iCs/>
        </w:rPr>
        <w:t>Road Traffic (Administration) Act 2008</w:t>
      </w:r>
      <w:r>
        <w:t xml:space="preserve"> in relation to the exercise of those powers.</w:t>
      </w:r>
    </w:p>
    <w:p>
      <w:pPr>
        <w:pStyle w:val="nzHeading3"/>
      </w:pPr>
      <w:r>
        <w:rPr>
          <w:rStyle w:val="CharDivNo"/>
        </w:rPr>
        <w:t>Division 4</w:t>
      </w:r>
      <w:r>
        <w:t> — </w:t>
      </w:r>
      <w:r>
        <w:rPr>
          <w:rStyle w:val="CharDivText"/>
        </w:rPr>
        <w:t>Improvement notices</w:t>
      </w:r>
    </w:p>
    <w:p>
      <w:pPr>
        <w:pStyle w:val="nzHeading5"/>
      </w:pPr>
      <w:r>
        <w:rPr>
          <w:rStyle w:val="CharSectno"/>
        </w:rPr>
        <w:t>77</w:t>
      </w:r>
      <w:r>
        <w:t>.</w:t>
      </w:r>
      <w:r>
        <w:tab/>
        <w:t xml:space="preserve">Terms used </w:t>
      </w:r>
    </w:p>
    <w:p>
      <w:pPr>
        <w:pStyle w:val="nzSubsection"/>
        <w:rPr>
          <w:lang w:val="en-US"/>
        </w:rPr>
      </w:pPr>
      <w:r>
        <w:rPr>
          <w:lang w:val="en-US"/>
        </w:rPr>
        <w:tab/>
      </w:r>
      <w:r>
        <w:rPr>
          <w:lang w:val="en-US"/>
        </w:rPr>
        <w:tab/>
        <w:t xml:space="preserve">In this Division — </w:t>
      </w:r>
    </w:p>
    <w:p>
      <w:pPr>
        <w:pStyle w:val="nzDefstart"/>
        <w:rPr>
          <w:lang w:val="en-US"/>
        </w:rPr>
      </w:pPr>
      <w:r>
        <w:rPr>
          <w:b/>
          <w:lang w:val="en-US"/>
        </w:rPr>
        <w:tab/>
      </w:r>
      <w:r>
        <w:rPr>
          <w:rStyle w:val="CharDefText"/>
        </w:rPr>
        <w:t>approved officer</w:t>
      </w:r>
      <w:r>
        <w:t xml:space="preserve"> </w:t>
      </w:r>
      <w:r>
        <w:rPr>
          <w:lang w:val="en-US"/>
        </w:rPr>
        <w:t xml:space="preserve">means — </w:t>
      </w:r>
    </w:p>
    <w:p>
      <w:pPr>
        <w:pStyle w:val="nzDefpara"/>
        <w:rPr>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nzDefpara"/>
        <w:rPr>
          <w:lang w:val="en-US"/>
        </w:rPr>
      </w:pPr>
      <w:r>
        <w:rPr>
          <w:lang w:val="en-US"/>
        </w:rPr>
        <w:tab/>
        <w:t>(b)</w:t>
      </w:r>
      <w:r>
        <w:rPr>
          <w:lang w:val="en-US"/>
        </w:rPr>
        <w:tab/>
        <w:t>a warden of a class of wardens nominated by the CEO as approved officers for the purposes of this Division; or</w:t>
      </w:r>
    </w:p>
    <w:p>
      <w:pPr>
        <w:pStyle w:val="nzDefpara"/>
        <w:rPr>
          <w:lang w:val="en-US"/>
        </w:rPr>
      </w:pPr>
      <w:r>
        <w:rPr>
          <w:lang w:val="en-US"/>
        </w:rPr>
        <w:tab/>
        <w:t>(c)</w:t>
      </w:r>
      <w:r>
        <w:rPr>
          <w:lang w:val="en-US"/>
        </w:rPr>
        <w:tab/>
        <w:t xml:space="preserve">a police officer nominated as an approved officer for the purposes of this Division by — </w:t>
      </w:r>
    </w:p>
    <w:p>
      <w:pPr>
        <w:pStyle w:val="nzDefsubpara"/>
        <w:rPr>
          <w:lang w:val="en-US"/>
        </w:rPr>
      </w:pPr>
      <w:r>
        <w:rPr>
          <w:lang w:val="en-US"/>
        </w:rPr>
        <w:tab/>
        <w:t>(i)</w:t>
      </w:r>
      <w:r>
        <w:rPr>
          <w:lang w:val="en-US"/>
        </w:rPr>
        <w:tab/>
        <w:t>the Commissioner of Police; or</w:t>
      </w:r>
    </w:p>
    <w:p>
      <w:pPr>
        <w:pStyle w:val="nz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nzDefpara"/>
        <w:rPr>
          <w:lang w:val="en-US"/>
        </w:rPr>
      </w:pPr>
      <w:r>
        <w:rPr>
          <w:szCs w:val="23"/>
          <w:lang w:val="en-US"/>
        </w:rPr>
        <w:tab/>
      </w:r>
      <w:r>
        <w:rPr>
          <w:szCs w:val="23"/>
          <w:lang w:val="en-US"/>
        </w:rPr>
        <w:tab/>
        <w:t>or</w:t>
      </w:r>
    </w:p>
    <w:p>
      <w:pPr>
        <w:pStyle w:val="nzDefpara"/>
        <w:rPr>
          <w:lang w:val="en-US"/>
        </w:rPr>
      </w:pPr>
      <w:r>
        <w:tab/>
        <w:t>(d)</w:t>
      </w:r>
      <w:r>
        <w:tab/>
      </w:r>
      <w:r>
        <w:rPr>
          <w:lang w:val="en-US"/>
        </w:rPr>
        <w:t xml:space="preserve">a police officer of a class of police officers nominated as approved officers for the purposes of this Division by — </w:t>
      </w:r>
    </w:p>
    <w:p>
      <w:pPr>
        <w:pStyle w:val="nzDefsubpara"/>
        <w:rPr>
          <w:lang w:val="en-US"/>
        </w:rPr>
      </w:pPr>
      <w:r>
        <w:rPr>
          <w:lang w:val="en-US"/>
        </w:rPr>
        <w:tab/>
        <w:t>(i)</w:t>
      </w:r>
      <w:r>
        <w:rPr>
          <w:lang w:val="en-US"/>
        </w:rPr>
        <w:tab/>
        <w:t>the Commissioner of Police; or</w:t>
      </w:r>
    </w:p>
    <w:p>
      <w:pPr>
        <w:pStyle w:val="nz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nz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nz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nzHeading5"/>
        <w:rPr>
          <w:lang w:val="en-US"/>
        </w:rPr>
      </w:pPr>
      <w:r>
        <w:rPr>
          <w:rStyle w:val="CharSectno"/>
        </w:rPr>
        <w:t>78</w:t>
      </w:r>
      <w:r>
        <w:t>.</w:t>
      </w:r>
      <w:r>
        <w:tab/>
        <w:t>Improvement notices</w:t>
      </w:r>
    </w:p>
    <w:p>
      <w:pPr>
        <w:pStyle w:val="nz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nzIndenta"/>
      </w:pPr>
      <w:r>
        <w:tab/>
        <w:t>(a)</w:t>
      </w:r>
      <w:r>
        <w:tab/>
        <w:t>stops the person being involved in the commission of the breach; or</w:t>
      </w:r>
    </w:p>
    <w:p>
      <w:pPr>
        <w:pStyle w:val="nzIndenta"/>
      </w:pPr>
      <w:r>
        <w:tab/>
        <w:t>(b)</w:t>
      </w:r>
      <w:r>
        <w:tab/>
        <w:t>renders the person unlikely to be involved in the commission of a further breach of a similar kind.</w:t>
      </w:r>
    </w:p>
    <w:p>
      <w:pPr>
        <w:pStyle w:val="nz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nz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nzIndenta"/>
      </w:pPr>
      <w:r>
        <w:tab/>
        <w:t>(a)</w:t>
      </w:r>
      <w:r>
        <w:tab/>
        <w:t>whether or not the notice should be given in the circumstances; or</w:t>
      </w:r>
    </w:p>
    <w:p>
      <w:pPr>
        <w:pStyle w:val="nzIndenta"/>
      </w:pPr>
      <w:r>
        <w:tab/>
        <w:t>(b)</w:t>
      </w:r>
      <w:r>
        <w:tab/>
        <w:t>the appropriateness or otherwise of the proposed requirements of the notice.</w:t>
      </w:r>
    </w:p>
    <w:p>
      <w:pPr>
        <w:pStyle w:val="nzSubsection"/>
      </w:pPr>
      <w:r>
        <w:tab/>
        <w:t>(4)</w:t>
      </w:r>
      <w:r>
        <w:tab/>
        <w:t xml:space="preserve">In subsection (3) — </w:t>
      </w:r>
    </w:p>
    <w:p>
      <w:pPr>
        <w:pStyle w:val="nzDefstart"/>
      </w:pPr>
      <w:r>
        <w:tab/>
      </w:r>
      <w:r>
        <w:rPr>
          <w:rStyle w:val="CharDefText"/>
        </w:rPr>
        <w:t>consulting officer</w:t>
      </w:r>
      <w:r>
        <w:t xml:space="preserve"> — </w:t>
      </w:r>
    </w:p>
    <w:p>
      <w:pPr>
        <w:pStyle w:val="nz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nz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nzSubsection"/>
      </w:pPr>
      <w:r>
        <w:tab/>
        <w:t>(5)</w:t>
      </w:r>
      <w:r>
        <w:tab/>
        <w:t>Failure to comply with subsection (3) does not affect the validity of the improvement notice.</w:t>
      </w:r>
    </w:p>
    <w:p>
      <w:pPr>
        <w:pStyle w:val="nzHeading5"/>
      </w:pPr>
      <w:r>
        <w:rPr>
          <w:rStyle w:val="CharSectno"/>
        </w:rPr>
        <w:t>79</w:t>
      </w:r>
      <w:r>
        <w:t>.</w:t>
      </w:r>
      <w:r>
        <w:tab/>
        <w:t>Form and content of improvement notices</w:t>
      </w:r>
    </w:p>
    <w:p>
      <w:pPr>
        <w:pStyle w:val="nzSubsection"/>
        <w:rPr>
          <w:lang w:val="en-US"/>
        </w:rPr>
      </w:pPr>
      <w:r>
        <w:rPr>
          <w:lang w:val="en-US"/>
        </w:rPr>
        <w:tab/>
      </w:r>
      <w:r>
        <w:rPr>
          <w:lang w:val="en-US"/>
        </w:rPr>
        <w:tab/>
        <w:t xml:space="preserve">An improvement notice must — </w:t>
      </w:r>
    </w:p>
    <w:p>
      <w:pPr>
        <w:pStyle w:val="nzIndenta"/>
      </w:pPr>
      <w:r>
        <w:tab/>
        <w:t>(a)</w:t>
      </w:r>
      <w:r>
        <w:tab/>
        <w:t>be in writing; and</w:t>
      </w:r>
    </w:p>
    <w:p>
      <w:pPr>
        <w:pStyle w:val="nzIndenta"/>
        <w:rPr>
          <w:lang w:val="en-US"/>
        </w:rPr>
      </w:pPr>
      <w:r>
        <w:rPr>
          <w:lang w:val="en-US"/>
        </w:rPr>
        <w:tab/>
        <w:t>(b)</w:t>
      </w:r>
      <w:r>
        <w:rPr>
          <w:lang w:val="en-US"/>
        </w:rPr>
        <w:tab/>
        <w:t>state that it is given under section 78(1) or (2), as is applicable in the case; and</w:t>
      </w:r>
    </w:p>
    <w:p>
      <w:pPr>
        <w:pStyle w:val="nzIndenta"/>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nzIndenta"/>
        <w:rPr>
          <w:lang w:val="en-US"/>
        </w:rPr>
      </w:pPr>
      <w:r>
        <w:rPr>
          <w:lang w:val="en-US"/>
        </w:rPr>
        <w:tab/>
        <w:t>(d)</w:t>
      </w:r>
      <w:r>
        <w:rPr>
          <w:lang w:val="en-US"/>
        </w:rPr>
        <w:tab/>
        <w:t>state the grounds for the belief; and</w:t>
      </w:r>
    </w:p>
    <w:p>
      <w:pPr>
        <w:pStyle w:val="nzIndenta"/>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nzIndenta"/>
        <w:rPr>
          <w:lang w:val="en-US"/>
        </w:rPr>
      </w:pPr>
      <w:r>
        <w:tab/>
        <w:t>(f)</w:t>
      </w:r>
      <w:r>
        <w:tab/>
      </w:r>
      <w:r>
        <w:rPr>
          <w:lang w:val="en-US"/>
        </w:rPr>
        <w:t xml:space="preserve">specify the action to be taken that the approved officer believes would — </w:t>
      </w:r>
    </w:p>
    <w:p>
      <w:pPr>
        <w:pStyle w:val="nzIndenti"/>
      </w:pPr>
      <w:r>
        <w:tab/>
        <w:t>(i)</w:t>
      </w:r>
      <w:r>
        <w:tab/>
        <w:t>stop the person given the notice being involved in the commission of the breach; or</w:t>
      </w:r>
    </w:p>
    <w:p>
      <w:pPr>
        <w:pStyle w:val="nzIndenti"/>
      </w:pPr>
      <w:r>
        <w:tab/>
        <w:t>(ii)</w:t>
      </w:r>
      <w:r>
        <w:tab/>
        <w:t>render the person unlikely to be involved in the commission of a further breach of a similar kind;</w:t>
      </w:r>
    </w:p>
    <w:p>
      <w:pPr>
        <w:pStyle w:val="nzIndenta"/>
      </w:pPr>
      <w:r>
        <w:rPr>
          <w:lang w:val="en-US"/>
        </w:rPr>
        <w:tab/>
      </w:r>
      <w:r>
        <w:rPr>
          <w:lang w:val="en-US"/>
        </w:rPr>
        <w:tab/>
        <w:t>and</w:t>
      </w:r>
    </w:p>
    <w:p>
      <w:pPr>
        <w:pStyle w:val="nzIndenta"/>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nz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nzIndenti"/>
        <w:rPr>
          <w:szCs w:val="23"/>
          <w:lang w:val="en-US"/>
        </w:rPr>
      </w:pPr>
      <w:r>
        <w:rPr>
          <w:szCs w:val="23"/>
          <w:lang w:val="en-US"/>
        </w:rPr>
        <w:tab/>
        <w:t>(ii)</w:t>
      </w:r>
      <w:r>
        <w:rPr>
          <w:szCs w:val="23"/>
          <w:lang w:val="en-US"/>
        </w:rPr>
        <w:tab/>
        <w:t>must be at least 7 days after service of the notice if subparagraph (i) does not apply;</w:t>
      </w:r>
    </w:p>
    <w:p>
      <w:pPr>
        <w:pStyle w:val="nzIndenta"/>
      </w:pPr>
      <w:r>
        <w:rPr>
          <w:szCs w:val="23"/>
          <w:lang w:val="en-US"/>
        </w:rPr>
        <w:tab/>
      </w:r>
      <w:r>
        <w:rPr>
          <w:szCs w:val="23"/>
          <w:lang w:val="en-US"/>
        </w:rPr>
        <w:tab/>
        <w:t>and</w:t>
      </w:r>
    </w:p>
    <w:p>
      <w:pPr>
        <w:pStyle w:val="nzIndenta"/>
        <w:rPr>
          <w:lang w:val="en-US"/>
        </w:rPr>
      </w:pPr>
      <w:r>
        <w:rPr>
          <w:lang w:val="en-US"/>
        </w:rPr>
        <w:tab/>
        <w:t>(h)</w:t>
      </w:r>
      <w:r>
        <w:rPr>
          <w:lang w:val="en-US"/>
        </w:rPr>
        <w:tab/>
        <w:t>include information about obtaining a review of the notice.</w:t>
      </w:r>
    </w:p>
    <w:p>
      <w:pPr>
        <w:pStyle w:val="nzHeading5"/>
      </w:pPr>
      <w:r>
        <w:rPr>
          <w:rStyle w:val="CharSectno"/>
        </w:rPr>
        <w:t>80</w:t>
      </w:r>
      <w:r>
        <w:t>.</w:t>
      </w:r>
      <w:r>
        <w:tab/>
        <w:t>Improvement notice to be complied with</w:t>
      </w:r>
    </w:p>
    <w:p>
      <w:pPr>
        <w:pStyle w:val="nzSubsection"/>
        <w:rPr>
          <w:lang w:val="en-US"/>
        </w:rPr>
      </w:pPr>
      <w:r>
        <w:rPr>
          <w:lang w:val="en-US"/>
        </w:rPr>
        <w:tab/>
        <w:t>(1)</w:t>
      </w:r>
      <w:r>
        <w:rPr>
          <w:lang w:val="en-US"/>
        </w:rPr>
        <w:tab/>
        <w:t>A person who is given an improvement notice must not, without reasonable excuse, fail to comply with the notice.</w:t>
      </w:r>
    </w:p>
    <w:p>
      <w:pPr>
        <w:pStyle w:val="nzPenstart"/>
      </w:pPr>
      <w:r>
        <w:tab/>
        <w:t>Penalty: a fine of 200 PU.</w:t>
      </w:r>
    </w:p>
    <w:p>
      <w:pPr>
        <w:pStyle w:val="nz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nzIndenta"/>
      </w:pPr>
      <w:r>
        <w:tab/>
        <w:t>(a)</w:t>
      </w:r>
      <w:r>
        <w:tab/>
        <w:t>stopped the person being involved in the commission of the breach; or</w:t>
      </w:r>
    </w:p>
    <w:p>
      <w:pPr>
        <w:pStyle w:val="nzIndenta"/>
      </w:pPr>
      <w:r>
        <w:tab/>
        <w:t>(b)</w:t>
      </w:r>
      <w:r>
        <w:tab/>
        <w:t>rendered the person unlikely to be involved in the commission of a further breach of a similar kind; or</w:t>
      </w:r>
    </w:p>
    <w:p>
      <w:pPr>
        <w:pStyle w:val="nzIndenta"/>
      </w:pPr>
      <w:r>
        <w:tab/>
        <w:t>(c)</w:t>
      </w:r>
      <w:r>
        <w:tab/>
        <w:t>rendered the person unlikely to become involved in the commission of the breach,</w:t>
      </w:r>
    </w:p>
    <w:p>
      <w:pPr>
        <w:pStyle w:val="nzSubsection"/>
        <w:rPr>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nzHeading5"/>
      </w:pPr>
      <w:r>
        <w:rPr>
          <w:rStyle w:val="CharSectno"/>
        </w:rPr>
        <w:t>81</w:t>
      </w:r>
      <w:r>
        <w:t>.</w:t>
      </w:r>
      <w:r>
        <w:tab/>
        <w:t>Amendment of improvement notices</w:t>
      </w:r>
    </w:p>
    <w:p>
      <w:pPr>
        <w:pStyle w:val="nzSubsection"/>
        <w:rPr>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nzSubsection"/>
        <w:rPr>
          <w:lang w:val="en-US"/>
        </w:rPr>
      </w:pPr>
      <w:r>
        <w:rPr>
          <w:lang w:val="en-US"/>
        </w:rPr>
        <w:tab/>
        <w:t>(2)</w:t>
      </w:r>
      <w:r>
        <w:rPr>
          <w:lang w:val="en-US"/>
        </w:rPr>
        <w:tab/>
        <w:t>An improvement notice given by an approved officer who is a police officer may be amended by another approved officer who is a police officer.</w:t>
      </w:r>
    </w:p>
    <w:p>
      <w:pPr>
        <w:pStyle w:val="nz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nzSubsection"/>
        <w:rPr>
          <w:lang w:val="en-US"/>
        </w:rPr>
      </w:pPr>
      <w:r>
        <w:rPr>
          <w:lang w:val="en-US"/>
        </w:rPr>
        <w:tab/>
        <w:t>(4)</w:t>
      </w:r>
      <w:r>
        <w:rPr>
          <w:lang w:val="en-US"/>
        </w:rPr>
        <w:tab/>
        <w:t>An amendment of an improvement notice is made by giving notice of the amendment to the person who was given the improvement notice.</w:t>
      </w:r>
    </w:p>
    <w:p>
      <w:pPr>
        <w:pStyle w:val="nzSubsection"/>
        <w:rPr>
          <w:lang w:val="en-US"/>
        </w:rPr>
      </w:pPr>
      <w:r>
        <w:rPr>
          <w:lang w:val="en-US"/>
        </w:rPr>
        <w:tab/>
        <w:t>(5)</w:t>
      </w:r>
      <w:r>
        <w:rPr>
          <w:lang w:val="en-US"/>
        </w:rPr>
        <w:tab/>
        <w:t xml:space="preserve">Notice of an amendment of an improvement notice must — </w:t>
      </w:r>
    </w:p>
    <w:p>
      <w:pPr>
        <w:pStyle w:val="nzIndenta"/>
      </w:pPr>
      <w:r>
        <w:tab/>
        <w:t>(a)</w:t>
      </w:r>
      <w:r>
        <w:tab/>
        <w:t>be in writing; and</w:t>
      </w:r>
    </w:p>
    <w:p>
      <w:pPr>
        <w:pStyle w:val="nzIndenta"/>
        <w:rPr>
          <w:lang w:val="en-US"/>
        </w:rPr>
      </w:pPr>
      <w:r>
        <w:rPr>
          <w:lang w:val="en-US"/>
        </w:rPr>
        <w:tab/>
        <w:t>(b)</w:t>
      </w:r>
      <w:r>
        <w:rPr>
          <w:lang w:val="en-US"/>
        </w:rPr>
        <w:tab/>
        <w:t>state that it is given under this section; and</w:t>
      </w:r>
    </w:p>
    <w:p>
      <w:pPr>
        <w:pStyle w:val="nzIndenta"/>
      </w:pPr>
      <w:r>
        <w:tab/>
        <w:t>(c)</w:t>
      </w:r>
      <w:r>
        <w:tab/>
      </w:r>
      <w:r>
        <w:rPr>
          <w:szCs w:val="23"/>
          <w:lang w:val="en-US"/>
        </w:rPr>
        <w:t>state the terms of the amendment; and</w:t>
      </w:r>
    </w:p>
    <w:p>
      <w:pPr>
        <w:pStyle w:val="nzIndenta"/>
        <w:rPr>
          <w:lang w:val="en-US"/>
        </w:rPr>
      </w:pPr>
      <w:r>
        <w:rPr>
          <w:lang w:val="en-US"/>
        </w:rPr>
        <w:tab/>
        <w:t>(d)</w:t>
      </w:r>
      <w:r>
        <w:rPr>
          <w:lang w:val="en-US"/>
        </w:rPr>
        <w:tab/>
        <w:t>state the reasons for the amendment; and</w:t>
      </w:r>
    </w:p>
    <w:p>
      <w:pPr>
        <w:pStyle w:val="nzIndenta"/>
        <w:rPr>
          <w:lang w:val="en-US"/>
        </w:rPr>
      </w:pPr>
      <w:r>
        <w:rPr>
          <w:lang w:val="en-US"/>
        </w:rPr>
        <w:tab/>
        <w:t>(e)</w:t>
      </w:r>
      <w:r>
        <w:rPr>
          <w:lang w:val="en-US"/>
        </w:rPr>
        <w:tab/>
        <w:t>include information about obtaining a review of the notice.</w:t>
      </w:r>
    </w:p>
    <w:p>
      <w:pPr>
        <w:pStyle w:val="nzHeading5"/>
      </w:pPr>
      <w:r>
        <w:rPr>
          <w:rStyle w:val="CharSectno"/>
        </w:rPr>
        <w:t>82</w:t>
      </w:r>
      <w:r>
        <w:t>.</w:t>
      </w:r>
      <w:r>
        <w:tab/>
        <w:t>Cancellation of improvement notices</w:t>
      </w:r>
    </w:p>
    <w:p>
      <w:pPr>
        <w:pStyle w:val="nz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nz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nzIndenta"/>
        <w:rPr>
          <w:lang w:val="en-US"/>
        </w:rPr>
      </w:pPr>
      <w:r>
        <w:rPr>
          <w:lang w:val="en-US"/>
        </w:rPr>
        <w:tab/>
        <w:t>(a)</w:t>
      </w:r>
      <w:r>
        <w:rPr>
          <w:lang w:val="en-US"/>
        </w:rPr>
        <w:tab/>
        <w:t>the Commissioner of Police; or</w:t>
      </w:r>
    </w:p>
    <w:p>
      <w:pPr>
        <w:pStyle w:val="nz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nzSubsection"/>
        <w:rPr>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nzSubsection"/>
        <w:rPr>
          <w:lang w:val="en-US"/>
        </w:rPr>
      </w:pPr>
      <w:r>
        <w:rPr>
          <w:lang w:val="en-US"/>
        </w:rPr>
        <w:tab/>
        <w:t>(4)</w:t>
      </w:r>
      <w:r>
        <w:rPr>
          <w:lang w:val="en-US"/>
        </w:rPr>
        <w:tab/>
        <w:t>The regulations may make provision for or with respect to determining the seniority in rank of officers for the purposes of this section.</w:t>
      </w:r>
    </w:p>
    <w:p>
      <w:pPr>
        <w:pStyle w:val="nzHeading5"/>
      </w:pPr>
      <w:r>
        <w:rPr>
          <w:rStyle w:val="CharSectno"/>
        </w:rPr>
        <w:t>83</w:t>
      </w:r>
      <w:r>
        <w:t>.</w:t>
      </w:r>
      <w:r>
        <w:tab/>
        <w:t>Clearance certificates</w:t>
      </w:r>
    </w:p>
    <w:p>
      <w:pPr>
        <w:pStyle w:val="nzSubsection"/>
        <w:rPr>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nz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nz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nz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nzHeading2"/>
      </w:pPr>
      <w:r>
        <w:rPr>
          <w:rStyle w:val="CharPartNo"/>
        </w:rPr>
        <w:t>Part 7</w:t>
      </w:r>
      <w:r>
        <w:t> — </w:t>
      </w:r>
      <w:r>
        <w:rPr>
          <w:rStyle w:val="CharPartText"/>
        </w:rPr>
        <w:t>Container weight declarations</w:t>
      </w:r>
    </w:p>
    <w:p>
      <w:pPr>
        <w:pStyle w:val="nzHeading3"/>
      </w:pPr>
      <w:r>
        <w:rPr>
          <w:rStyle w:val="CharDivNo"/>
        </w:rPr>
        <w:t>Division 1</w:t>
      </w:r>
      <w:r>
        <w:t> — </w:t>
      </w:r>
      <w:r>
        <w:rPr>
          <w:rStyle w:val="CharDivText"/>
        </w:rPr>
        <w:t>Obligations in relation to container weight declarations</w:t>
      </w:r>
    </w:p>
    <w:p>
      <w:pPr>
        <w:pStyle w:val="nzHeading5"/>
      </w:pPr>
      <w:r>
        <w:rPr>
          <w:rStyle w:val="CharSectno"/>
        </w:rPr>
        <w:t>84</w:t>
      </w:r>
      <w:r>
        <w:t>.</w:t>
      </w:r>
      <w:r>
        <w:tab/>
        <w:t xml:space="preserve">Terms used </w:t>
      </w:r>
    </w:p>
    <w:p>
      <w:pPr>
        <w:pStyle w:val="nzSubsection"/>
        <w:rPr>
          <w:lang w:val="en-US"/>
        </w:rPr>
      </w:pPr>
      <w:r>
        <w:rPr>
          <w:lang w:val="en-US"/>
        </w:rPr>
        <w:tab/>
      </w:r>
      <w:r>
        <w:rPr>
          <w:lang w:val="en-US"/>
        </w:rPr>
        <w:tab/>
        <w:t xml:space="preserve">In this Division — </w:t>
      </w:r>
    </w:p>
    <w:p>
      <w:pPr>
        <w:pStyle w:val="nz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nzDefpara"/>
        <w:rPr>
          <w:lang w:val="en-US"/>
        </w:rPr>
      </w:pPr>
      <w:r>
        <w:rPr>
          <w:lang w:val="en-US"/>
        </w:rPr>
        <w:tab/>
        <w:t>(a)</w:t>
      </w:r>
      <w:r>
        <w:rPr>
          <w:lang w:val="en-US"/>
        </w:rPr>
        <w:tab/>
        <w:t xml:space="preserve">that sets out — </w:t>
      </w:r>
    </w:p>
    <w:p>
      <w:pPr>
        <w:pStyle w:val="nzDefsubpara"/>
        <w:rPr>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nzDefsubpara"/>
        <w:rPr>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responsible entity for the consigned freight container; and</w:t>
      </w:r>
    </w:p>
    <w:p>
      <w:pPr>
        <w:pStyle w:val="nzDefsubpara"/>
        <w:rPr>
          <w:lang w:val="en-US"/>
        </w:rPr>
      </w:pPr>
      <w:r>
        <w:rPr>
          <w:lang w:val="en-US"/>
        </w:rPr>
        <w:tab/>
        <w:t>(iii)</w:t>
      </w:r>
      <w:r>
        <w:rPr>
          <w:lang w:val="en-US"/>
        </w:rPr>
        <w:tab/>
        <w:t>the date of the declaration; and</w:t>
      </w:r>
    </w:p>
    <w:p>
      <w:pPr>
        <w:pStyle w:val="nzDefsubpara"/>
        <w:rPr>
          <w:lang w:val="en-US"/>
        </w:rPr>
      </w:pPr>
      <w:r>
        <w:rPr>
          <w:lang w:val="en-US"/>
        </w:rPr>
        <w:tab/>
        <w:t>(iv)</w:t>
      </w:r>
      <w:r>
        <w:rPr>
          <w:lang w:val="en-US"/>
        </w:rPr>
        <w:tab/>
        <w:t>any other information required by the regulations;</w:t>
      </w:r>
    </w:p>
    <w:p>
      <w:pPr>
        <w:pStyle w:val="nzDefpara"/>
        <w:rPr>
          <w:lang w:val="en-US"/>
        </w:rPr>
      </w:pPr>
      <w:r>
        <w:rPr>
          <w:lang w:val="en-US"/>
        </w:rPr>
        <w:tab/>
      </w:r>
      <w:r>
        <w:rPr>
          <w:lang w:val="en-US"/>
        </w:rPr>
        <w:tab/>
        <w:t>and</w:t>
      </w:r>
    </w:p>
    <w:p>
      <w:pPr>
        <w:pStyle w:val="nz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nzDefpara"/>
        <w:rPr>
          <w:szCs w:val="23"/>
          <w:lang w:val="en-US"/>
        </w:rPr>
      </w:pPr>
      <w:r>
        <w:rPr>
          <w:lang w:val="en-US"/>
        </w:rPr>
        <w:tab/>
        <w:t>(c)</w:t>
      </w:r>
      <w:r>
        <w:rPr>
          <w:lang w:val="en-US"/>
        </w:rPr>
        <w:tab/>
        <w:t>in a form that complies with prescribed requirements</w:t>
      </w:r>
      <w:r>
        <w:rPr>
          <w:szCs w:val="23"/>
          <w:lang w:val="en-US"/>
        </w:rPr>
        <w:t>;</w:t>
      </w:r>
    </w:p>
    <w:p>
      <w:pPr>
        <w:pStyle w:val="nzDefstart"/>
        <w:rPr>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nzDefstart"/>
        <w:rPr>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that states or purports to state the weight of the container and its contents and includes a copy or a version of such a declaration in any form.</w:t>
      </w:r>
    </w:p>
    <w:p>
      <w:pPr>
        <w:pStyle w:val="nzHeading5"/>
      </w:pPr>
      <w:r>
        <w:rPr>
          <w:rStyle w:val="CharSectno"/>
        </w:rPr>
        <w:t>85</w:t>
      </w:r>
      <w:r>
        <w:t>.</w:t>
      </w:r>
      <w:r>
        <w:tab/>
        <w:t>Form of container weight declaration</w:t>
      </w:r>
    </w:p>
    <w:p>
      <w:pPr>
        <w:pStyle w:val="nzSubsection"/>
        <w:rPr>
          <w:lang w:val="en-US"/>
        </w:rPr>
      </w:pPr>
      <w:r>
        <w:rPr>
          <w:lang w:val="en-US"/>
        </w:rPr>
        <w:tab/>
      </w:r>
      <w:r>
        <w:rPr>
          <w:lang w:val="en-US"/>
        </w:rPr>
        <w:tab/>
        <w:t xml:space="preserve">A container weight declaration may be — </w:t>
      </w:r>
    </w:p>
    <w:p>
      <w:pPr>
        <w:pStyle w:val="nzIndenta"/>
        <w:rPr>
          <w:lang w:val="en-US"/>
        </w:rPr>
      </w:pPr>
      <w:r>
        <w:rPr>
          <w:lang w:val="en-US"/>
        </w:rPr>
        <w:tab/>
        <w:t>(a)</w:t>
      </w:r>
      <w:r>
        <w:rPr>
          <w:lang w:val="en-US"/>
        </w:rPr>
        <w:tab/>
        <w:t xml:space="preserve">in one or more documents or other formats, </w:t>
      </w:r>
      <w:r>
        <w:rPr>
          <w:szCs w:val="23"/>
          <w:lang w:val="en-US"/>
        </w:rPr>
        <w:t>including in electronic form; or</w:t>
      </w:r>
    </w:p>
    <w:p>
      <w:pPr>
        <w:pStyle w:val="nzIndenta"/>
        <w:rPr>
          <w:lang w:val="en-US"/>
        </w:rPr>
      </w:pPr>
      <w:r>
        <w:rPr>
          <w:lang w:val="en-US"/>
        </w:rPr>
        <w:tab/>
        <w:t>(b)</w:t>
      </w:r>
      <w:r>
        <w:rPr>
          <w:lang w:val="en-US"/>
        </w:rPr>
        <w:tab/>
        <w:t>wholly or partly in a placard attached or affixed to the consigned freight container; or</w:t>
      </w:r>
    </w:p>
    <w:p>
      <w:pPr>
        <w:pStyle w:val="nzIndenta"/>
      </w:pPr>
      <w:r>
        <w:tab/>
        <w:t>(c)</w:t>
      </w:r>
      <w:r>
        <w:tab/>
        <w:t>in a form that complies with prescribed requirements.</w:t>
      </w:r>
    </w:p>
    <w:p>
      <w:pPr>
        <w:pStyle w:val="nzHeading5"/>
      </w:pPr>
      <w:r>
        <w:rPr>
          <w:rStyle w:val="CharSectno"/>
        </w:rPr>
        <w:t>86</w:t>
      </w:r>
      <w:r>
        <w:t>.</w:t>
      </w:r>
      <w:r>
        <w:tab/>
        <w:t>Duty of responsible entity</w:t>
      </w:r>
    </w:p>
    <w:p>
      <w:pPr>
        <w:pStyle w:val="nz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nz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nz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nzPenstart"/>
      </w:pPr>
      <w:r>
        <w:tab/>
        <w:t>Penalty: a fine of 50 PU.</w:t>
      </w:r>
    </w:p>
    <w:p>
      <w:pPr>
        <w:pStyle w:val="nzSubsection"/>
      </w:pPr>
      <w:r>
        <w:rPr>
          <w:lang w:val="en-US"/>
        </w:rPr>
        <w:tab/>
        <w:t>(2)</w:t>
      </w:r>
      <w:r>
        <w:rPr>
          <w:lang w:val="en-US"/>
        </w:rPr>
        <w:tab/>
        <w:t>In a prosecution for an offence under subsection (1) the person charged has the benefit of the reasonable steps defence.</w:t>
      </w:r>
    </w:p>
    <w:p>
      <w:pPr>
        <w:pStyle w:val="nzHeading5"/>
      </w:pPr>
      <w:r>
        <w:rPr>
          <w:rStyle w:val="CharSectno"/>
        </w:rPr>
        <w:t>87</w:t>
      </w:r>
      <w:r>
        <w:t>.</w:t>
      </w:r>
      <w:r>
        <w:tab/>
        <w:t xml:space="preserve">Duty of </w:t>
      </w:r>
      <w:r>
        <w:rPr>
          <w:lang w:val="en-US"/>
        </w:rPr>
        <w:t>responsible person</w:t>
      </w:r>
    </w:p>
    <w:p>
      <w:pPr>
        <w:pStyle w:val="nzSubsection"/>
        <w:rPr>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nzSubsection"/>
        <w:rPr>
          <w:lang w:val="en-US"/>
        </w:rPr>
      </w:pPr>
      <w:r>
        <w:rPr>
          <w:lang w:val="en-US"/>
        </w:rPr>
        <w:tab/>
        <w:t>(2)</w:t>
      </w:r>
      <w:r>
        <w:rPr>
          <w:lang w:val="en-US"/>
        </w:rPr>
        <w:tab/>
        <w:t>A responsible person for a vehicle who arranges for a consigned freight container to be transported in this State by the vehicle and another road or rail carrier must ensure that, by the time the other carrier receives the container, the other carrier is provided with a complying container weight declaration relating to the container.</w:t>
      </w:r>
    </w:p>
    <w:p>
      <w:pPr>
        <w:pStyle w:val="nzPenstart"/>
      </w:pPr>
      <w:r>
        <w:tab/>
        <w:t>Penalty applicable to subsections (1) and (2): a fine of 50 PU.</w:t>
      </w:r>
    </w:p>
    <w:p>
      <w:pPr>
        <w:pStyle w:val="nz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nzSubsection"/>
      </w:pPr>
      <w:r>
        <w:rPr>
          <w:lang w:val="en-US"/>
        </w:rPr>
        <w:tab/>
        <w:t>(4)</w:t>
      </w:r>
      <w:r>
        <w:rPr>
          <w:lang w:val="en-US"/>
        </w:rPr>
        <w:tab/>
        <w:t>In a prosecution for an offence under subsection (1) or (2) the person charged has the benefit of the reasonable steps defence.</w:t>
      </w:r>
    </w:p>
    <w:p>
      <w:pPr>
        <w:pStyle w:val="nzHeading5"/>
      </w:pPr>
      <w:r>
        <w:rPr>
          <w:rStyle w:val="CharSectno"/>
        </w:rPr>
        <w:t>88</w:t>
      </w:r>
      <w:r>
        <w:t>.</w:t>
      </w:r>
      <w:r>
        <w:tab/>
        <w:t>Duty of driver</w:t>
      </w:r>
    </w:p>
    <w:p>
      <w:pPr>
        <w:pStyle w:val="nz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nz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nzPenstart"/>
      </w:pPr>
      <w:r>
        <w:tab/>
        <w:t>Penalty applicable to subsections (1) and (2): a fine of 50 PU.</w:t>
      </w:r>
    </w:p>
    <w:p>
      <w:pPr>
        <w:pStyle w:val="nzSubsection"/>
      </w:pPr>
      <w:r>
        <w:rPr>
          <w:lang w:val="en-US"/>
        </w:rPr>
        <w:tab/>
        <w:t>(3)</w:t>
      </w:r>
      <w:r>
        <w:rPr>
          <w:lang w:val="en-US"/>
        </w:rPr>
        <w:tab/>
        <w:t>In a prosecution for an offence under subsection (1) or (2) the person charged has the benefit of the reasonable steps defence.</w:t>
      </w:r>
    </w:p>
    <w:p>
      <w:pPr>
        <w:pStyle w:val="nzHeading3"/>
      </w:pPr>
      <w:r>
        <w:rPr>
          <w:rStyle w:val="CharDivNo"/>
        </w:rPr>
        <w:t>Division 2</w:t>
      </w:r>
      <w:r>
        <w:t> — </w:t>
      </w:r>
      <w:r>
        <w:rPr>
          <w:rStyle w:val="CharDivText"/>
        </w:rPr>
        <w:t xml:space="preserve">Recovery of losses resulting from not providing accurate container weight declarations </w:t>
      </w:r>
    </w:p>
    <w:p>
      <w:pPr>
        <w:pStyle w:val="nzHeading5"/>
      </w:pPr>
      <w:r>
        <w:rPr>
          <w:rStyle w:val="CharSectno"/>
        </w:rPr>
        <w:t>89</w:t>
      </w:r>
      <w:r>
        <w:t>.</w:t>
      </w:r>
      <w:r>
        <w:tab/>
        <w:t>Recovery of losses if container weight declaration not provided</w:t>
      </w:r>
    </w:p>
    <w:p>
      <w:pPr>
        <w:pStyle w:val="nzSubsection"/>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nz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nz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nzSubsection"/>
        <w:rPr>
          <w:lang w:val="en-US"/>
        </w:rPr>
      </w:pPr>
      <w:r>
        <w:rPr>
          <w:lang w:val="en-US"/>
        </w:rPr>
        <w:tab/>
        <w:t>(2)</w:t>
      </w:r>
      <w:r>
        <w:rPr>
          <w:lang w:val="en-US"/>
        </w:rPr>
        <w:tab/>
        <w:t xml:space="preserve">Losses that may be recovered include any or all of the following — </w:t>
      </w:r>
    </w:p>
    <w:p>
      <w:pPr>
        <w:pStyle w:val="nzIndenta"/>
        <w:rPr>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nzIndenta"/>
        <w:rPr>
          <w:lang w:val="en-US"/>
        </w:rPr>
      </w:pPr>
      <w:r>
        <w:rPr>
          <w:lang w:val="en-US"/>
        </w:rPr>
        <w:tab/>
        <w:t>(b)</w:t>
      </w:r>
      <w:r>
        <w:rPr>
          <w:lang w:val="en-US"/>
        </w:rPr>
        <w:tab/>
        <w:t>any loss incurred as a result of the goods being spoiled or damaged;</w:t>
      </w:r>
    </w:p>
    <w:p>
      <w:pPr>
        <w:pStyle w:val="nzIndenta"/>
        <w:rPr>
          <w:lang w:val="en-US"/>
        </w:rPr>
      </w:pPr>
      <w:r>
        <w:rPr>
          <w:lang w:val="en-US"/>
        </w:rPr>
        <w:tab/>
        <w:t>(c)</w:t>
      </w:r>
      <w:r>
        <w:rPr>
          <w:lang w:val="en-US"/>
        </w:rPr>
        <w:tab/>
        <w:t>any loss incurred from the need to provide another vehicle, and any loss incurred from any delay in the provision of another vehicle;</w:t>
      </w:r>
    </w:p>
    <w:p>
      <w:pPr>
        <w:pStyle w:val="nzIndenta"/>
        <w:rPr>
          <w:lang w:val="en-US"/>
        </w:rPr>
      </w:pPr>
      <w:r>
        <w:rPr>
          <w:lang w:val="en-US"/>
        </w:rPr>
        <w:tab/>
        <w:t>(d)</w:t>
      </w:r>
      <w:r>
        <w:rPr>
          <w:lang w:val="en-US"/>
        </w:rPr>
        <w:tab/>
        <w:t>any costs or expenses incurred in weighing the consigned freight container or any of its contents or both.</w:t>
      </w:r>
    </w:p>
    <w:p>
      <w:pPr>
        <w:pStyle w:val="nzHeading5"/>
      </w:pPr>
      <w:r>
        <w:rPr>
          <w:rStyle w:val="CharSectno"/>
        </w:rPr>
        <w:t>90</w:t>
      </w:r>
      <w:r>
        <w:t>.</w:t>
      </w:r>
      <w:r>
        <w:tab/>
        <w:t>Recovery of losses for provision of inaccurate container weight declaration</w:t>
      </w:r>
    </w:p>
    <w:p>
      <w:pPr>
        <w:pStyle w:val="nzSubsection"/>
        <w:rPr>
          <w:lang w:val="en-US"/>
        </w:rPr>
      </w:pPr>
      <w:r>
        <w:rPr>
          <w:lang w:val="en-US"/>
        </w:rPr>
        <w:tab/>
        <w:t>(1)</w:t>
      </w:r>
      <w:r>
        <w:rPr>
          <w:lang w:val="en-US"/>
        </w:rPr>
        <w:tab/>
        <w:t xml:space="preserve">This section applies if — </w:t>
      </w:r>
    </w:p>
    <w:p>
      <w:pPr>
        <w:pStyle w:val="nzIndenta"/>
        <w:rPr>
          <w:lang w:val="en-US"/>
        </w:rPr>
      </w:pPr>
      <w:r>
        <w:rPr>
          <w:lang w:val="en-US"/>
        </w:rPr>
        <w:tab/>
        <w:t>(a)</w:t>
      </w:r>
      <w:r>
        <w:rPr>
          <w:lang w:val="en-US"/>
        </w:rPr>
        <w:tab/>
        <w:t>a container weight declaration relating to a consigned freight container is provided as required under section 86(1)(a) or 87(1) or (2); and</w:t>
      </w:r>
    </w:p>
    <w:p>
      <w:pPr>
        <w:pStyle w:val="nzIndenta"/>
        <w:rPr>
          <w:lang w:val="en-US"/>
        </w:rPr>
      </w:pPr>
      <w:r>
        <w:rPr>
          <w:lang w:val="en-US"/>
        </w:rPr>
        <w:tab/>
        <w:t>(b)</w:t>
      </w:r>
      <w:r>
        <w:rPr>
          <w:lang w:val="en-US"/>
        </w:rPr>
        <w:tab/>
        <w:t xml:space="preserve">the declaration contains information — </w:t>
      </w:r>
    </w:p>
    <w:p>
      <w:pPr>
        <w:pStyle w:val="nzIndenti"/>
        <w:rPr>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nz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nzIndenta"/>
      </w:pPr>
      <w:r>
        <w:tab/>
      </w:r>
      <w:r>
        <w:tab/>
        <w:t>and</w:t>
      </w:r>
    </w:p>
    <w:p>
      <w:pPr>
        <w:pStyle w:val="nz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nz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nzIndenti"/>
        <w:rPr>
          <w:lang w:val="en-US"/>
        </w:rPr>
      </w:pPr>
      <w:r>
        <w:rPr>
          <w:lang w:val="en-US"/>
        </w:rPr>
        <w:tab/>
        <w:t>(i)</w:t>
      </w:r>
      <w:r>
        <w:rPr>
          <w:lang w:val="en-US"/>
        </w:rPr>
        <w:tab/>
        <w:t xml:space="preserve">reasonably believed that the vehicle </w:t>
      </w:r>
      <w:r>
        <w:rPr>
          <w:szCs w:val="23"/>
          <w:lang w:val="en-US"/>
        </w:rPr>
        <w:t>was not in breach of a mass requirement; and</w:t>
      </w:r>
    </w:p>
    <w:p>
      <w:pPr>
        <w:pStyle w:val="nzIndenti"/>
        <w:rPr>
          <w:lang w:val="en-US"/>
        </w:rPr>
      </w:pPr>
      <w:r>
        <w:rPr>
          <w:lang w:val="en-US"/>
        </w:rPr>
        <w:tab/>
        <w:t>(ii)</w:t>
      </w:r>
      <w:r>
        <w:rPr>
          <w:lang w:val="en-US"/>
        </w:rPr>
        <w:tab/>
        <w:t>did not know, and could not reasonably be expected to know, that the weight stated or indicated in the declaration was lower than the actual weight of the container;</w:t>
      </w:r>
    </w:p>
    <w:p>
      <w:pPr>
        <w:pStyle w:val="nzIndenta"/>
        <w:rPr>
          <w:lang w:val="en-US"/>
        </w:rPr>
      </w:pPr>
      <w:r>
        <w:rPr>
          <w:lang w:val="en-US"/>
        </w:rPr>
        <w:tab/>
      </w:r>
      <w:r>
        <w:rPr>
          <w:lang w:val="en-US"/>
        </w:rPr>
        <w:tab/>
        <w:t>and</w:t>
      </w:r>
    </w:p>
    <w:p>
      <w:pPr>
        <w:pStyle w:val="nzIndenta"/>
        <w:rPr>
          <w:lang w:val="en-US"/>
        </w:rPr>
      </w:pPr>
      <w:r>
        <w:rPr>
          <w:lang w:val="en-US"/>
        </w:rPr>
        <w:tab/>
        <w:t>(e)</w:t>
      </w:r>
      <w:r>
        <w:rPr>
          <w:lang w:val="en-US"/>
        </w:rPr>
        <w:tab/>
        <w:t>a person suffers loss as a result of the reliance mentioned in paragraph (c).</w:t>
      </w:r>
    </w:p>
    <w:p>
      <w:pPr>
        <w:pStyle w:val="nzSubsection"/>
        <w:rPr>
          <w:lang w:val="en-US"/>
        </w:rPr>
      </w:pPr>
      <w:r>
        <w:rPr>
          <w:lang w:val="en-US"/>
        </w:rPr>
        <w:tab/>
        <w:t>(2)</w:t>
      </w:r>
      <w:r>
        <w:rPr>
          <w:lang w:val="en-US"/>
        </w:rPr>
        <w:tab/>
        <w:t xml:space="preserve">A person mentioned in subsection (1)(e) — </w:t>
      </w:r>
    </w:p>
    <w:p>
      <w:pPr>
        <w:pStyle w:val="nz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nz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nzSubsection"/>
        <w:rPr>
          <w:lang w:val="en-US"/>
        </w:rPr>
      </w:pPr>
      <w:r>
        <w:rPr>
          <w:lang w:val="en-US"/>
        </w:rPr>
        <w:tab/>
        <w:t>(3)</w:t>
      </w:r>
      <w:r>
        <w:rPr>
          <w:lang w:val="en-US"/>
        </w:rPr>
        <w:tab/>
        <w:t xml:space="preserve">Losses that may be recovered by a person mentioned in subsection (1)(e) include any or all of the following — </w:t>
      </w:r>
    </w:p>
    <w:p>
      <w:pPr>
        <w:pStyle w:val="nzIndenta"/>
        <w:rPr>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nz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nzIndenta"/>
        <w:rPr>
          <w:lang w:val="en-US"/>
        </w:rPr>
      </w:pPr>
      <w:r>
        <w:rPr>
          <w:lang w:val="en-US"/>
        </w:rPr>
        <w:tab/>
        <w:t>(c)</w:t>
      </w:r>
      <w:r>
        <w:rPr>
          <w:lang w:val="en-US"/>
        </w:rPr>
        <w:tab/>
        <w:t>any loss incurred from delays in the delivery of the consigned freight container or any goods contained in it or of other goods;</w:t>
      </w:r>
    </w:p>
    <w:p>
      <w:pPr>
        <w:pStyle w:val="nzIndenta"/>
        <w:rPr>
          <w:lang w:val="en-US"/>
        </w:rPr>
      </w:pPr>
      <w:r>
        <w:rPr>
          <w:lang w:val="en-US"/>
        </w:rPr>
        <w:tab/>
        <w:t>(d)</w:t>
      </w:r>
      <w:r>
        <w:rPr>
          <w:lang w:val="en-US"/>
        </w:rPr>
        <w:tab/>
        <w:t>any loss incurred as a result of the goods being spoiled or damaged;</w:t>
      </w:r>
    </w:p>
    <w:p>
      <w:pPr>
        <w:pStyle w:val="nzIndenta"/>
        <w:rPr>
          <w:lang w:val="en-US"/>
        </w:rPr>
      </w:pPr>
      <w:r>
        <w:rPr>
          <w:lang w:val="en-US"/>
        </w:rPr>
        <w:tab/>
        <w:t>(e)</w:t>
      </w:r>
      <w:r>
        <w:rPr>
          <w:lang w:val="en-US"/>
        </w:rPr>
        <w:tab/>
        <w:t>any loss incurred from the need to provide another vehicle, and any loss incurred from any delay in the provision of another vehicle;</w:t>
      </w:r>
    </w:p>
    <w:p>
      <w:pPr>
        <w:pStyle w:val="nzIndenta"/>
        <w:rPr>
          <w:lang w:val="en-US"/>
        </w:rPr>
      </w:pPr>
      <w:r>
        <w:rPr>
          <w:lang w:val="en-US"/>
        </w:rPr>
        <w:tab/>
        <w:t>(f)</w:t>
      </w:r>
      <w:r>
        <w:rPr>
          <w:lang w:val="en-US"/>
        </w:rPr>
        <w:tab/>
        <w:t>any costs or expenses incurred in weighing the consigned freight container or any of its contents or both.</w:t>
      </w:r>
    </w:p>
    <w:p>
      <w:pPr>
        <w:pStyle w:val="nzHeading5"/>
      </w:pPr>
      <w:r>
        <w:rPr>
          <w:rStyle w:val="CharSectno"/>
        </w:rPr>
        <w:t>91</w:t>
      </w:r>
      <w:r>
        <w:t>.</w:t>
      </w:r>
      <w:r>
        <w:tab/>
        <w:t>Recovery of amount by responsible entity</w:t>
      </w:r>
    </w:p>
    <w:p>
      <w:pPr>
        <w:pStyle w:val="nzSubsection"/>
        <w:rPr>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nzSubsection"/>
        <w:rPr>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(the </w:t>
      </w:r>
      <w:r>
        <w:rPr>
          <w:rStyle w:val="CharDefText"/>
        </w:rPr>
        <w:t>attributable amount</w:t>
      </w:r>
      <w:r>
        <w:rPr>
          <w:lang w:val="en-US"/>
        </w:rPr>
        <w:t>) of the monetary value paid or payable by the responsible entity under the order as is attributable to that information.</w:t>
      </w:r>
    </w:p>
    <w:p>
      <w:pPr>
        <w:pStyle w:val="nzSubsection"/>
        <w:rPr>
          <w:lang w:val="en-US"/>
        </w:rPr>
      </w:pPr>
      <w:r>
        <w:rPr>
          <w:lang w:val="en-US"/>
        </w:rPr>
        <w:tab/>
        <w:t>(3)</w:t>
      </w:r>
      <w:r>
        <w:rPr>
          <w:lang w:val="en-US"/>
        </w:rPr>
        <w:tab/>
        <w:t xml:space="preserve">The responsible entity may enforce that right by — </w:t>
      </w:r>
    </w:p>
    <w:p>
      <w:pPr>
        <w:pStyle w:val="nzIndenta"/>
        <w:rPr>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nzIndenta"/>
        <w:rPr>
          <w:lang w:val="en-US"/>
        </w:rPr>
      </w:pPr>
      <w:r>
        <w:rPr>
          <w:lang w:val="en-US"/>
        </w:rPr>
        <w:tab/>
        <w:t>(b)</w:t>
      </w:r>
      <w:r>
        <w:rPr>
          <w:lang w:val="en-US"/>
        </w:rPr>
        <w:tab/>
        <w:t>bringing separate proceedings in a court of competent jurisdiction for an order for payment of the attributable amount.</w:t>
      </w:r>
    </w:p>
    <w:p>
      <w:pPr>
        <w:pStyle w:val="nzHeading5"/>
      </w:pPr>
      <w:r>
        <w:rPr>
          <w:rStyle w:val="CharSectno"/>
        </w:rPr>
        <w:t>92</w:t>
      </w:r>
      <w:r>
        <w:t>.</w:t>
      </w:r>
      <w:r>
        <w:tab/>
        <w:t>Assessment of monetary value or attributable amount</w:t>
      </w:r>
    </w:p>
    <w:p>
      <w:pPr>
        <w:pStyle w:val="nzSubsection"/>
        <w:rPr>
          <w:lang w:val="en-US"/>
        </w:rPr>
      </w:pPr>
      <w:r>
        <w:rPr>
          <w:lang w:val="en-US"/>
        </w:rPr>
        <w:tab/>
        <w:t>(1)</w:t>
      </w:r>
      <w:r>
        <w:rPr>
          <w:lang w:val="en-US"/>
        </w:rPr>
        <w:tab/>
        <w:t xml:space="preserve">In making an order under this Division, a court may assess in the manner that it considers appropriate — </w:t>
      </w:r>
    </w:p>
    <w:p>
      <w:pPr>
        <w:pStyle w:val="nzIndenta"/>
        <w:rPr>
          <w:lang w:val="en-US"/>
        </w:rPr>
      </w:pPr>
      <w:r>
        <w:rPr>
          <w:lang w:val="en-US"/>
        </w:rPr>
        <w:tab/>
        <w:t>(a)</w:t>
      </w:r>
      <w:r>
        <w:rPr>
          <w:lang w:val="en-US"/>
        </w:rPr>
        <w:tab/>
        <w:t>the monetary value of any loss, as mentioned in section 89 or 90</w:t>
      </w:r>
      <w:r>
        <w:rPr>
          <w:szCs w:val="23"/>
          <w:lang w:val="en-US"/>
        </w:rPr>
        <w:t>; or</w:t>
      </w:r>
    </w:p>
    <w:p>
      <w:pPr>
        <w:pStyle w:val="nzIndenta"/>
        <w:rPr>
          <w:lang w:val="en-US"/>
        </w:rPr>
      </w:pPr>
      <w:r>
        <w:rPr>
          <w:lang w:val="en-US"/>
        </w:rPr>
        <w:tab/>
        <w:t>(b)</w:t>
      </w:r>
      <w:r>
        <w:rPr>
          <w:lang w:val="en-US"/>
        </w:rPr>
        <w:tab/>
        <w:t>the attributable amount, as mentioned in section 91.</w:t>
      </w:r>
    </w:p>
    <w:p>
      <w:pPr>
        <w:pStyle w:val="nzSubsection"/>
        <w:rPr>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nzHeading5"/>
      </w:pPr>
      <w:r>
        <w:rPr>
          <w:rStyle w:val="CharSectno"/>
        </w:rPr>
        <w:t>93</w:t>
      </w:r>
      <w:r>
        <w:t>.</w:t>
      </w:r>
      <w:r>
        <w:tab/>
        <w:t>Costs</w:t>
      </w:r>
    </w:p>
    <w:p>
      <w:pPr>
        <w:pStyle w:val="nzSubsection"/>
        <w:rPr>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nzSubsection"/>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nzIndenta"/>
        <w:rPr>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nzIndenta"/>
        <w:rPr>
          <w:lang w:val="en-US"/>
        </w:rPr>
      </w:pPr>
      <w:r>
        <w:rPr>
          <w:lang w:val="en-US"/>
        </w:rPr>
        <w:tab/>
        <w:t>(b)</w:t>
      </w:r>
      <w:r>
        <w:rPr>
          <w:lang w:val="en-US"/>
        </w:rPr>
        <w:tab/>
        <w:t>a container weight declaration was not provided.</w:t>
      </w:r>
    </w:p>
    <w:p>
      <w:pPr>
        <w:pStyle w:val="nz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nzHeading2"/>
      </w:pPr>
      <w:r>
        <w:rPr>
          <w:rStyle w:val="CharPartNo"/>
        </w:rPr>
        <w:t>Part 8</w:t>
      </w:r>
      <w:r>
        <w:t> — </w:t>
      </w:r>
      <w:r>
        <w:rPr>
          <w:rStyle w:val="CharPartText"/>
        </w:rPr>
        <w:t>Other MDLR offences</w:t>
      </w:r>
    </w:p>
    <w:p>
      <w:pPr>
        <w:pStyle w:val="nzHeading3"/>
      </w:pPr>
      <w:r>
        <w:rPr>
          <w:rStyle w:val="CharDivNo"/>
        </w:rPr>
        <w:t>Division 1</w:t>
      </w:r>
      <w:r>
        <w:t> — </w:t>
      </w:r>
      <w:r>
        <w:rPr>
          <w:rStyle w:val="CharDivText"/>
        </w:rPr>
        <w:t>False or misleading transport documentation offences</w:t>
      </w:r>
    </w:p>
    <w:p>
      <w:pPr>
        <w:pStyle w:val="nzHeading5"/>
      </w:pPr>
      <w:r>
        <w:rPr>
          <w:rStyle w:val="CharSectno"/>
        </w:rPr>
        <w:t>94</w:t>
      </w:r>
      <w:r>
        <w:t>.</w:t>
      </w:r>
      <w:r>
        <w:tab/>
        <w:t xml:space="preserve">Terms used </w:t>
      </w:r>
    </w:p>
    <w:p>
      <w:pPr>
        <w:pStyle w:val="nzSubsection"/>
      </w:pPr>
      <w:r>
        <w:tab/>
      </w:r>
      <w:r>
        <w:tab/>
        <w:t xml:space="preserve">In this Division — </w:t>
      </w:r>
    </w:p>
    <w:p>
      <w:pPr>
        <w:pStyle w:val="nzDefstart"/>
      </w:pPr>
      <w:r>
        <w:rPr>
          <w:b/>
        </w:rPr>
        <w:tab/>
      </w:r>
      <w:r>
        <w:rPr>
          <w:rStyle w:val="CharDefText"/>
        </w:rPr>
        <w:t>in the State</w:t>
      </w:r>
      <w:r>
        <w:t>, in relation to road transport, includes road transport in the State as part of a journey that is also partly outside the State;</w:t>
      </w:r>
    </w:p>
    <w:p>
      <w:pPr>
        <w:pStyle w:val="nzDefstart"/>
      </w:pPr>
      <w:r>
        <w:rPr>
          <w:b/>
        </w:rPr>
        <w:tab/>
      </w:r>
      <w:r>
        <w:rPr>
          <w:rStyle w:val="CharDefText"/>
        </w:rPr>
        <w:t>road transport</w:t>
      </w:r>
      <w:r>
        <w:t xml:space="preserve"> includes </w:t>
      </w:r>
      <w:r>
        <w:rPr>
          <w:lang w:val="en-US"/>
        </w:rPr>
        <w:t>transport partly by road and partly by some other means.</w:t>
      </w:r>
    </w:p>
    <w:p>
      <w:pPr>
        <w:pStyle w:val="nzHeading5"/>
      </w:pPr>
      <w:r>
        <w:rPr>
          <w:rStyle w:val="CharSectno"/>
        </w:rPr>
        <w:t>95</w:t>
      </w:r>
      <w:r>
        <w:t>.</w:t>
      </w:r>
      <w:r>
        <w:tab/>
        <w:t>Consignors: transport documentation</w:t>
      </w:r>
    </w:p>
    <w:p>
      <w:pPr>
        <w:pStyle w:val="nzSubsection"/>
        <w:rPr>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96</w:t>
      </w:r>
      <w:r>
        <w:t>.</w:t>
      </w:r>
      <w:r>
        <w:tab/>
        <w:t>Packers: transport documentation</w:t>
      </w:r>
    </w:p>
    <w:p>
      <w:pPr>
        <w:pStyle w:val="nzSubsection"/>
        <w:rPr>
          <w:lang w:val="en-US"/>
        </w:rPr>
      </w:pPr>
      <w:r>
        <w:rPr>
          <w:lang w:val="en-US"/>
        </w:rPr>
        <w:tab/>
      </w:r>
      <w:r>
        <w:rPr>
          <w:lang w:val="en-US"/>
        </w:rPr>
        <w:tab/>
        <w:t xml:space="preserve">A person who is a packer of goods commits an offence if — </w:t>
      </w:r>
    </w:p>
    <w:p>
      <w:pPr>
        <w:pStyle w:val="nz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nz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97</w:t>
      </w:r>
      <w:r>
        <w:t>.</w:t>
      </w:r>
      <w:r>
        <w:tab/>
        <w:t>Loaders: transport documentation</w:t>
      </w:r>
    </w:p>
    <w:p>
      <w:pPr>
        <w:pStyle w:val="nzSubsection"/>
        <w:rPr>
          <w:lang w:val="en-US"/>
        </w:rPr>
      </w:pPr>
      <w:r>
        <w:rPr>
          <w:lang w:val="en-US"/>
        </w:rPr>
        <w:tab/>
      </w:r>
      <w:r>
        <w:rPr>
          <w:lang w:val="en-US"/>
        </w:rPr>
        <w:tab/>
        <w:t xml:space="preserve">A person who is a loader in relation to a vehicle commits an offence if — </w:t>
      </w:r>
    </w:p>
    <w:p>
      <w:pPr>
        <w:pStyle w:val="nzIndenta"/>
        <w:rPr>
          <w:lang w:val="en-US"/>
        </w:rPr>
      </w:pPr>
      <w:r>
        <w:rPr>
          <w:lang w:val="en-US"/>
        </w:rPr>
        <w:tab/>
        <w:t>(a)</w:t>
      </w:r>
      <w:r>
        <w:rPr>
          <w:lang w:val="en-US"/>
        </w:rPr>
        <w:tab/>
        <w:t>goods are loaded on the vehicle for road transport; and</w:t>
      </w:r>
    </w:p>
    <w:p>
      <w:pPr>
        <w:pStyle w:val="nz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98</w:t>
      </w:r>
      <w:r>
        <w:t>.</w:t>
      </w:r>
      <w:r>
        <w:tab/>
        <w:t>Receivers: transport documentation</w:t>
      </w:r>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nzDefpara"/>
        <w:rPr>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nzDefpara"/>
        <w:rPr>
          <w:lang w:val="en-US"/>
        </w:rPr>
      </w:pPr>
      <w:r>
        <w:rPr>
          <w:lang w:val="en-US"/>
        </w:rPr>
        <w:tab/>
        <w:t>(b)</w:t>
      </w:r>
      <w:r>
        <w:rPr>
          <w:lang w:val="en-US"/>
        </w:rPr>
        <w:tab/>
        <w:t xml:space="preserve">unpack the goods after they are first unloaded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rPr>
          <w:lang w:val="en-US"/>
        </w:rPr>
      </w:pPr>
      <w:r>
        <w:rPr>
          <w:lang w:val="en-US"/>
        </w:rPr>
        <w:tab/>
        <w:t xml:space="preserve">but does not include a person of a class declared by the regulations to be </w:t>
      </w:r>
      <w:r>
        <w:rPr>
          <w:szCs w:val="23"/>
          <w:lang w:val="en-US"/>
        </w:rPr>
        <w:t>excluded from this definition.</w:t>
      </w:r>
    </w:p>
    <w:p>
      <w:pPr>
        <w:pStyle w:val="nz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nzIndenta"/>
        <w:rPr>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nzIndenta"/>
        <w:rPr>
          <w:lang w:val="en-US"/>
        </w:rPr>
      </w:pPr>
      <w:r>
        <w:rPr>
          <w:lang w:val="en-US"/>
        </w:rPr>
        <w:tab/>
        <w:t>(b)</w:t>
      </w:r>
      <w:r>
        <w:rPr>
          <w:lang w:val="en-US"/>
        </w:rPr>
        <w:tab/>
        <w:t>the transport documentation relating to the consignment of the goods for road transport in the State is false or misleading in a material particular relating to a mass, dimension or loading requirement that is applicable to any or all of the goods.</w:t>
      </w:r>
    </w:p>
    <w:p>
      <w:pPr>
        <w:pStyle w:val="nzPenstart"/>
      </w:pPr>
      <w:r>
        <w:tab/>
        <w:t>Penalty: a fine of 200 PU.</w:t>
      </w:r>
    </w:p>
    <w:p>
      <w:pPr>
        <w:pStyle w:val="nzHeading5"/>
      </w:pPr>
      <w:r>
        <w:rPr>
          <w:rStyle w:val="CharSectno"/>
        </w:rPr>
        <w:t>99</w:t>
      </w:r>
      <w:r>
        <w:t>.</w:t>
      </w:r>
      <w:r>
        <w:tab/>
        <w:t>Responsible entity: container weight declaration</w:t>
      </w:r>
    </w:p>
    <w:p>
      <w:pPr>
        <w:pStyle w:val="nz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nzPenstart"/>
      </w:pPr>
      <w:r>
        <w:tab/>
        <w:t>Penalty: a fine of 200 PU.</w:t>
      </w:r>
    </w:p>
    <w:p>
      <w:pPr>
        <w:pStyle w:val="nzHeading5"/>
      </w:pPr>
      <w:r>
        <w:rPr>
          <w:rStyle w:val="CharSectno"/>
        </w:rPr>
        <w:t>100</w:t>
      </w:r>
      <w:r>
        <w:t>.</w:t>
      </w:r>
      <w:r>
        <w:tab/>
        <w:t>Responsible person for vehicle: container weight declaration</w:t>
      </w:r>
    </w:p>
    <w:p>
      <w:pPr>
        <w:pStyle w:val="nz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nzPenstart"/>
      </w:pPr>
      <w:r>
        <w:tab/>
        <w:t>Penalty: a fine of 200 PU.</w:t>
      </w:r>
    </w:p>
    <w:p>
      <w:pPr>
        <w:pStyle w:val="nzHeading5"/>
      </w:pPr>
      <w:r>
        <w:rPr>
          <w:rStyle w:val="CharSectno"/>
        </w:rPr>
        <w:t>101</w:t>
      </w:r>
      <w:r>
        <w:t>.</w:t>
      </w:r>
      <w:r>
        <w:tab/>
        <w:t>Container weight declaration: certain information not necessarily false or misleading</w:t>
      </w:r>
    </w:p>
    <w:p>
      <w:pPr>
        <w:pStyle w:val="nzSubsection"/>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nzHeading5"/>
      </w:pPr>
      <w:r>
        <w:rPr>
          <w:rStyle w:val="CharSectno"/>
        </w:rPr>
        <w:t>102</w:t>
      </w:r>
      <w:r>
        <w:t>.</w:t>
      </w:r>
      <w:r>
        <w:tab/>
        <w:t>Reasonable steps defence</w:t>
      </w:r>
    </w:p>
    <w:p>
      <w:pPr>
        <w:pStyle w:val="nzSubsection"/>
        <w:rPr>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nzHeading3"/>
      </w:pPr>
      <w:r>
        <w:rPr>
          <w:rStyle w:val="CharDivNo"/>
        </w:rPr>
        <w:t>Division 2</w:t>
      </w:r>
      <w:r>
        <w:t> — </w:t>
      </w:r>
      <w:r>
        <w:rPr>
          <w:rStyle w:val="CharDivText"/>
        </w:rPr>
        <w:t>Miscellaneous MDLR offences</w:t>
      </w:r>
    </w:p>
    <w:p>
      <w:pPr>
        <w:pStyle w:val="nzHeading5"/>
      </w:pPr>
      <w:r>
        <w:rPr>
          <w:rStyle w:val="CharSectno"/>
        </w:rPr>
        <w:t>103</w:t>
      </w:r>
      <w:r>
        <w:t>.</w:t>
      </w:r>
      <w:r>
        <w:tab/>
        <w:t>Weight of freight container: consignors’ duties</w:t>
      </w:r>
    </w:p>
    <w:p>
      <w:pPr>
        <w:pStyle w:val="nzSubsection"/>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nzPenstart"/>
      </w:pPr>
      <w:r>
        <w:tab/>
        <w:t>Penalty: a fine of 100 PU.</w:t>
      </w:r>
    </w:p>
    <w:p>
      <w:pPr>
        <w:pStyle w:val="nzSubsection"/>
        <w:rPr>
          <w:lang w:val="en-US"/>
        </w:rPr>
      </w:pPr>
      <w:r>
        <w:rPr>
          <w:lang w:val="en-US"/>
        </w:rPr>
        <w:tab/>
        <w:t>(2)</w:t>
      </w:r>
      <w:r>
        <w:rPr>
          <w:lang w:val="en-US"/>
        </w:rPr>
        <w:tab/>
        <w:t>In a prosecution for an offence under subsection (1) the person charged has the benefit of the reasonable steps defence.</w:t>
      </w:r>
    </w:p>
    <w:p>
      <w:pPr>
        <w:pStyle w:val="nzHeading5"/>
      </w:pPr>
      <w:r>
        <w:rPr>
          <w:rStyle w:val="CharSectno"/>
        </w:rPr>
        <w:t>104</w:t>
      </w:r>
      <w:r>
        <w:t>.</w:t>
      </w:r>
      <w:r>
        <w:tab/>
        <w:t>Weight of freight container: packers’ duties</w:t>
      </w:r>
    </w:p>
    <w:p>
      <w:pPr>
        <w:pStyle w:val="nz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nzPenstart"/>
      </w:pPr>
      <w:r>
        <w:tab/>
        <w:t>Penalty: a fine of 100 PU.</w:t>
      </w:r>
    </w:p>
    <w:p>
      <w:pPr>
        <w:pStyle w:val="nzSubsection"/>
        <w:rPr>
          <w:lang w:val="en-US"/>
        </w:rPr>
      </w:pPr>
      <w:r>
        <w:rPr>
          <w:lang w:val="en-US"/>
        </w:rPr>
        <w:tab/>
        <w:t>(2)</w:t>
      </w:r>
      <w:r>
        <w:rPr>
          <w:lang w:val="en-US"/>
        </w:rPr>
        <w:tab/>
        <w:t>In a prosecution for an offence under subsection (1) the person charged has the benefit of the reasonable steps defence.</w:t>
      </w:r>
    </w:p>
    <w:p>
      <w:pPr>
        <w:pStyle w:val="nzHeading5"/>
      </w:pPr>
      <w:r>
        <w:rPr>
          <w:rStyle w:val="CharSectno"/>
        </w:rPr>
        <w:t>105</w:t>
      </w:r>
      <w:r>
        <w:t>.</w:t>
      </w:r>
      <w:r>
        <w:tab/>
        <w:t>Dismissal or other victimisation of employee or contractor assisting with or reporting breaches</w:t>
      </w:r>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nzDefstart"/>
        <w:rPr>
          <w:lang w:val="en-US"/>
        </w:rPr>
      </w:pPr>
      <w:r>
        <w:rPr>
          <w:b/>
          <w:lang w:val="en-US"/>
        </w:rPr>
        <w:tab/>
      </w:r>
      <w:r>
        <w:rPr>
          <w:rStyle w:val="CharDefText"/>
        </w:rPr>
        <w:t>public agency</w:t>
      </w:r>
      <w:r>
        <w:t xml:space="preserve"> </w:t>
      </w:r>
      <w:r>
        <w:rPr>
          <w:lang w:val="en-US"/>
        </w:rPr>
        <w:t>means the CEO, a corresponding authority, an Australian police officer, a warden or any other public authority of any jurisdiction.</w:t>
      </w:r>
    </w:p>
    <w:p>
      <w:pPr>
        <w:pStyle w:val="nzSubsection"/>
        <w:rPr>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nzIndenta"/>
        <w:rPr>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nzIndenta"/>
        <w:rPr>
          <w:lang w:val="en-US"/>
        </w:rPr>
      </w:pPr>
      <w:r>
        <w:rPr>
          <w:lang w:val="en-US"/>
        </w:rPr>
        <w:tab/>
        <w:t>(b)</w:t>
      </w:r>
      <w:r>
        <w:rPr>
          <w:lang w:val="en-US"/>
        </w:rPr>
        <w:tab/>
        <w:t>has made a complaint about an MDLR offence or an alleged MDLR offence to the employer, a fellow employee or fellow contractor, a trade union or a public agency.</w:t>
      </w:r>
    </w:p>
    <w:p>
      <w:pPr>
        <w:pStyle w:val="nzPenstart"/>
      </w:pPr>
      <w:r>
        <w:tab/>
        <w:t>Penalty: a fine of 200 PU.</w:t>
      </w:r>
    </w:p>
    <w:p>
      <w:pPr>
        <w:pStyle w:val="nzSubsection"/>
        <w:rPr>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nzIndenta"/>
        <w:rPr>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nzIndenta"/>
        <w:rPr>
          <w:lang w:val="en-US"/>
        </w:rPr>
      </w:pPr>
      <w:r>
        <w:rPr>
          <w:lang w:val="en-US"/>
        </w:rPr>
        <w:tab/>
        <w:t>(b)</w:t>
      </w:r>
      <w:r>
        <w:rPr>
          <w:lang w:val="en-US"/>
        </w:rPr>
        <w:tab/>
        <w:t>has made a complaint about an MDLR offence or an alleged MDLR offence to a former employer, a former fellow employee or former fellow contractor, a trade union or a public agency.</w:t>
      </w:r>
    </w:p>
    <w:p>
      <w:pPr>
        <w:pStyle w:val="nzPenstart"/>
      </w:pPr>
      <w:r>
        <w:tab/>
        <w:t>Penalty: a fine of 200 PU.</w:t>
      </w:r>
    </w:p>
    <w:p>
      <w:pPr>
        <w:pStyle w:val="nzSubsection"/>
        <w:rPr>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nzSubsection"/>
        <w:rPr>
          <w:lang w:val="en-US"/>
        </w:rPr>
      </w:pPr>
      <w:r>
        <w:rPr>
          <w:lang w:val="en-US"/>
        </w:rPr>
        <w:tab/>
        <w:t>(5)</w:t>
      </w:r>
      <w:r>
        <w:rPr>
          <w:lang w:val="en-US"/>
        </w:rPr>
        <w:tab/>
        <w:t xml:space="preserve">If a person is found guilty of an offence under subsection (2) or (3), the court may, in addition to imposing a penalty on the offender, make either or both of the following orders — </w:t>
      </w:r>
    </w:p>
    <w:p>
      <w:pPr>
        <w:pStyle w:val="nzIndenta"/>
        <w:rPr>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nzIndenta"/>
        <w:rPr>
          <w:lang w:val="en-US"/>
        </w:rPr>
      </w:pPr>
      <w:r>
        <w:rPr>
          <w:lang w:val="en-US"/>
        </w:rPr>
        <w:tab/>
        <w:t>(b)</w:t>
      </w:r>
      <w:r>
        <w:rPr>
          <w:lang w:val="en-US"/>
        </w:rPr>
        <w:tab/>
        <w:t xml:space="preserve">an order that — </w:t>
      </w:r>
    </w:p>
    <w:p>
      <w:pPr>
        <w:pStyle w:val="nz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nz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nzSubsection"/>
        <w:rPr>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nzSubsection"/>
        <w:rPr>
          <w:lang w:val="en-US"/>
        </w:rPr>
      </w:pPr>
      <w:r>
        <w:rPr>
          <w:lang w:val="en-US"/>
        </w:rPr>
        <w:tab/>
        <w:t>(7)</w:t>
      </w:r>
      <w:r>
        <w:rPr>
          <w:lang w:val="en-US"/>
        </w:rPr>
        <w:tab/>
        <w:t>An order for payment of damages under subsection (5) is enforceable as if it were a judgment of the court in its civil jurisdiction.</w:t>
      </w:r>
    </w:p>
    <w:p>
      <w:pPr>
        <w:pStyle w:val="nzSubsection"/>
        <w:rPr>
          <w:lang w:val="en-US"/>
        </w:rPr>
      </w:pPr>
      <w:r>
        <w:rPr>
          <w:lang w:val="en-US"/>
        </w:rPr>
        <w:tab/>
        <w:t>(8)</w:t>
      </w:r>
      <w:r>
        <w:rPr>
          <w:lang w:val="en-US"/>
        </w:rPr>
        <w:tab/>
        <w:t>A person must comply with an order under subsection (5).</w:t>
      </w:r>
    </w:p>
    <w:p>
      <w:pPr>
        <w:pStyle w:val="nzPenstart"/>
      </w:pPr>
      <w:r>
        <w:tab/>
        <w:t>Penalty: a fine of 200 PU.</w:t>
      </w:r>
    </w:p>
    <w:p>
      <w:pPr>
        <w:pStyle w:val="nzHeading5"/>
      </w:pPr>
      <w:r>
        <w:rPr>
          <w:rStyle w:val="CharSectno"/>
        </w:rPr>
        <w:t>106</w:t>
      </w:r>
      <w:r>
        <w:t>.</w:t>
      </w:r>
      <w:r>
        <w:tab/>
        <w:t>Coercing, inducing or offering incentive</w:t>
      </w:r>
    </w:p>
    <w:p>
      <w:pPr>
        <w:pStyle w:val="nzSubsection"/>
        <w:rPr>
          <w:lang w:val="en-US"/>
        </w:rPr>
      </w:pPr>
      <w:r>
        <w:rPr>
          <w:lang w:val="en-US"/>
        </w:rPr>
        <w:tab/>
        <w:t>(1)</w:t>
      </w:r>
      <w:r>
        <w:rPr>
          <w:lang w:val="en-US"/>
        </w:rPr>
        <w:tab/>
        <w:t>In this section —</w:t>
      </w:r>
    </w:p>
    <w:p>
      <w:pPr>
        <w:pStyle w:val="nz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nzSubsection"/>
        <w:rPr>
          <w:lang w:val="en-US"/>
        </w:rPr>
      </w:pPr>
      <w:r>
        <w:rPr>
          <w:lang w:val="en-US"/>
        </w:rPr>
        <w:tab/>
        <w:t>(2)</w:t>
      </w:r>
      <w:r>
        <w:rPr>
          <w:lang w:val="en-US"/>
        </w:rPr>
        <w:tab/>
        <w:t>A person must not urge another person to commit an MDLR offence</w:t>
      </w:r>
      <w:r>
        <w:rPr>
          <w:szCs w:val="23"/>
          <w:lang w:val="en-US"/>
        </w:rPr>
        <w:t>.</w:t>
      </w:r>
    </w:p>
    <w:p>
      <w:pPr>
        <w:pStyle w:val="nzPenstart"/>
      </w:pPr>
      <w:r>
        <w:tab/>
        <w:t>Penalty: a fine of 200 PU.</w:t>
      </w:r>
    </w:p>
    <w:p>
      <w:pPr>
        <w:pStyle w:val="nzSubsection"/>
      </w:pPr>
      <w:r>
        <w:rPr>
          <w:lang w:val="en-US"/>
        </w:rPr>
        <w:tab/>
        <w:t>(3)</w:t>
      </w:r>
      <w:r>
        <w:rPr>
          <w:lang w:val="en-US"/>
        </w:rPr>
        <w:tab/>
        <w:t xml:space="preserve">This section does not affect the liability of the person who actually </w:t>
      </w:r>
      <w:r>
        <w:rPr>
          <w:szCs w:val="23"/>
          <w:lang w:val="en-US"/>
        </w:rPr>
        <w:t>committed the offence.</w:t>
      </w:r>
    </w:p>
    <w:p>
      <w:pPr>
        <w:pStyle w:val="nzHeading5"/>
      </w:pPr>
      <w:r>
        <w:rPr>
          <w:rStyle w:val="CharSectno"/>
        </w:rPr>
        <w:t>107</w:t>
      </w:r>
      <w:r>
        <w:t>.</w:t>
      </w:r>
      <w:r>
        <w:tab/>
        <w:t>Certain false or misleading information not to be provided to involved persons</w:t>
      </w:r>
    </w:p>
    <w:p>
      <w:pPr>
        <w:pStyle w:val="nzSubsection"/>
      </w:pPr>
      <w:r>
        <w:tab/>
        <w:t>(1)</w:t>
      </w:r>
      <w:r>
        <w:tab/>
        <w:t xml:space="preserve">An involved person must not provide to another involved person information in oral or written form that is false or misleading in a material particular if — </w:t>
      </w:r>
    </w:p>
    <w:p>
      <w:pPr>
        <w:pStyle w:val="nzIndenta"/>
      </w:pPr>
      <w:r>
        <w:tab/>
        <w:t>(a)</w:t>
      </w:r>
      <w:r>
        <w:tab/>
        <w:t>the person providing the information either knows that, or is reckless as to whether, the information is false or misleading in a material particular; and</w:t>
      </w:r>
    </w:p>
    <w:p>
      <w:pPr>
        <w:pStyle w:val="nz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nz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nzPenstart"/>
      </w:pPr>
      <w:r>
        <w:tab/>
        <w:t>Penalty: a fine of 200 PU.</w:t>
      </w:r>
    </w:p>
    <w:p>
      <w:pPr>
        <w:pStyle w:val="nzSubsection"/>
        <w:rPr>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nzSubsection"/>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nzHeading2"/>
      </w:pPr>
      <w:r>
        <w:rPr>
          <w:rStyle w:val="CharPartNo"/>
        </w:rPr>
        <w:t>Part 9</w:t>
      </w:r>
      <w:r>
        <w:rPr>
          <w:rStyle w:val="CharDivNo"/>
        </w:rPr>
        <w:t> </w:t>
      </w:r>
      <w:r>
        <w:t>—</w:t>
      </w:r>
      <w:r>
        <w:rPr>
          <w:rStyle w:val="CharDivText"/>
        </w:rPr>
        <w:t> </w:t>
      </w:r>
      <w:r>
        <w:rPr>
          <w:rStyle w:val="CharPartText"/>
        </w:rPr>
        <w:t>Liability for MDLR offences committed by other persons</w:t>
      </w:r>
    </w:p>
    <w:p>
      <w:pPr>
        <w:pStyle w:val="nzHeading5"/>
      </w:pPr>
      <w:r>
        <w:rPr>
          <w:rStyle w:val="CharSectno"/>
        </w:rPr>
        <w:t>108</w:t>
      </w:r>
      <w:r>
        <w:t>.</w:t>
      </w:r>
      <w:r>
        <w:tab/>
        <w:t>Liability of the officers of bodies corporate</w:t>
      </w:r>
    </w:p>
    <w:p>
      <w:pPr>
        <w:pStyle w:val="nzSubsection"/>
      </w:pPr>
      <w:r>
        <w:tab/>
        <w:t>(1)</w:t>
      </w:r>
      <w:r>
        <w:tab/>
        <w:t xml:space="preserve">In this section — </w:t>
      </w:r>
    </w:p>
    <w:p>
      <w:pPr>
        <w:pStyle w:val="nz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nzSubsection"/>
      </w:pPr>
      <w:r>
        <w:tab/>
        <w:t>(2)</w:t>
      </w:r>
      <w:r>
        <w:tab/>
        <w:t>If a body corporate is charged with an MDLR offence, every person who was an officer of the body at the time the offence is alleged to have been committed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nzHeading5"/>
      </w:pPr>
      <w:r>
        <w:rPr>
          <w:rStyle w:val="CharSectno"/>
        </w:rPr>
        <w:t>109</w:t>
      </w:r>
      <w:r>
        <w:t>.</w:t>
      </w:r>
      <w:r>
        <w:tab/>
        <w:t>Liability of partners and persons managing partnerships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partnership;</w:t>
      </w:r>
    </w:p>
    <w:p>
      <w:pPr>
        <w:pStyle w:val="nzDefstart"/>
      </w:pPr>
      <w:r>
        <w:rPr>
          <w:b/>
        </w:rPr>
        <w:tab/>
      </w:r>
      <w:r>
        <w:rPr>
          <w:rStyle w:val="CharDefText"/>
        </w:rPr>
        <w:t>partner</w:t>
      </w:r>
      <w:r>
        <w:rPr>
          <w:bCs/>
        </w:rPr>
        <w:t>,</w:t>
      </w:r>
      <w:r>
        <w:t xml:space="preserve"> in relation to a partnership, includes each person who is concerned in the management of the partnership.</w:t>
      </w:r>
    </w:p>
    <w:p>
      <w:pPr>
        <w:pStyle w:val="nz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nzSubsection"/>
      </w:pPr>
      <w:r>
        <w:tab/>
        <w:t>(3)</w:t>
      </w:r>
      <w:r>
        <w:tab/>
        <w:t>If a person and a partner are charged as permitted by subsection (2) and the person is convicted of the offence, the partner is to be taken to have also committed the offence, subject to subsection (6).</w:t>
      </w:r>
    </w:p>
    <w:p>
      <w:pPr>
        <w:pStyle w:val="nz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nz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nz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nzHeading5"/>
      </w:pPr>
      <w:r>
        <w:rPr>
          <w:rStyle w:val="CharSectno"/>
        </w:rPr>
        <w:t>110</w:t>
      </w:r>
      <w:r>
        <w:t>.</w:t>
      </w:r>
      <w:r>
        <w:tab/>
        <w:t>Liability of persons managing unincorporated associations</w:t>
      </w:r>
    </w:p>
    <w:p>
      <w:pPr>
        <w:pStyle w:val="nzSubsection"/>
      </w:pPr>
      <w:r>
        <w:tab/>
        <w:t>(1)</w:t>
      </w:r>
      <w:r>
        <w:tab/>
        <w:t xml:space="preserve">In this section — </w:t>
      </w:r>
    </w:p>
    <w:p>
      <w:pPr>
        <w:pStyle w:val="nz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nz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nzSubsection"/>
      </w:pPr>
      <w:r>
        <w:tab/>
        <w:t>(3)</w:t>
      </w:r>
      <w:r>
        <w:tab/>
        <w:t>If person 1 and another person are charged as permitted by subsection (2) and person 1 is convicted of the offence, the other person is to be taken to have also committed the offence, subject to subsection (6).</w:t>
      </w:r>
    </w:p>
    <w:p>
      <w:pPr>
        <w:pStyle w:val="nz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nzSubsection"/>
      </w:pPr>
      <w:r>
        <w:tab/>
        <w:t>(5)</w:t>
      </w:r>
      <w:r>
        <w:tab/>
        <w:t>If a person is charged as permitted by subsection (4) and it is proved that person 1 committed the offence, the person charged is to be taken to have also committed the offence, subject to subsection (6).</w:t>
      </w:r>
    </w:p>
    <w:p>
      <w:pPr>
        <w:pStyle w:val="nz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nzHeading5"/>
      </w:pPr>
      <w:r>
        <w:rPr>
          <w:rStyle w:val="CharSectno"/>
        </w:rPr>
        <w:t>111</w:t>
      </w:r>
      <w:r>
        <w:t>.</w:t>
      </w:r>
      <w:r>
        <w:tab/>
        <w:t>Liability of employers</w:t>
      </w:r>
    </w:p>
    <w:p>
      <w:pPr>
        <w:pStyle w:val="nzSubsection"/>
      </w:pPr>
      <w:r>
        <w:tab/>
        <w:t>(1)</w:t>
      </w:r>
      <w:r>
        <w:tab/>
        <w:t xml:space="preserve">If a person is charged with an MDLR offence, the person’s employer at the time the offence is alleged to have been committed may also be charged with the offence. </w:t>
      </w:r>
    </w:p>
    <w:p>
      <w:pPr>
        <w:pStyle w:val="nz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nzSubsection"/>
      </w:pPr>
      <w:r>
        <w:tab/>
        <w:t>(3)</w:t>
      </w:r>
      <w:r>
        <w:tab/>
        <w:t>If a person commits an MDLR offence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nz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nzHeading5"/>
      </w:pPr>
      <w:r>
        <w:rPr>
          <w:rStyle w:val="CharSectno"/>
        </w:rPr>
        <w:t>112</w:t>
      </w:r>
      <w:r>
        <w:t>.</w:t>
      </w:r>
      <w:r>
        <w:tab/>
        <w:t>Liability of offender not affected</w:t>
      </w:r>
    </w:p>
    <w:p>
      <w:pPr>
        <w:pStyle w:val="nzSubsection"/>
        <w:rPr>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nzHeading2"/>
      </w:pPr>
      <w:r>
        <w:rPr>
          <w:rStyle w:val="CharPartNo"/>
        </w:rPr>
        <w:t>Part 10</w:t>
      </w:r>
      <w:r>
        <w:t> — </w:t>
      </w:r>
      <w:r>
        <w:rPr>
          <w:rStyle w:val="CharPartText"/>
        </w:rPr>
        <w:t>Defences</w:t>
      </w:r>
    </w:p>
    <w:p>
      <w:pPr>
        <w:pStyle w:val="nzHeading3"/>
      </w:pPr>
      <w:r>
        <w:rPr>
          <w:rStyle w:val="CharDivNo"/>
        </w:rPr>
        <w:t>Division 1</w:t>
      </w:r>
      <w:r>
        <w:t> — </w:t>
      </w:r>
      <w:r>
        <w:rPr>
          <w:rStyle w:val="CharDivText"/>
        </w:rPr>
        <w:t>Reasonable steps defences</w:t>
      </w:r>
    </w:p>
    <w:p>
      <w:pPr>
        <w:pStyle w:val="nzHeading5"/>
      </w:pPr>
      <w:r>
        <w:rPr>
          <w:rStyle w:val="CharSectno"/>
        </w:rPr>
        <w:t>113</w:t>
      </w:r>
      <w:r>
        <w:t>.</w:t>
      </w:r>
      <w:r>
        <w:tab/>
        <w:t>Reasonable steps defence</w:t>
      </w:r>
    </w:p>
    <w:p>
      <w:pPr>
        <w:pStyle w:val="nz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nzIndenta"/>
      </w:pPr>
      <w:r>
        <w:tab/>
        <w:t>(a)</w:t>
      </w:r>
      <w:r>
        <w:tab/>
        <w:t>the person did not know, and could not reasonably be expected to have known, that the offence was committed; and</w:t>
      </w:r>
    </w:p>
    <w:p>
      <w:pPr>
        <w:pStyle w:val="nzIndenta"/>
      </w:pPr>
      <w:r>
        <w:tab/>
        <w:t>(b)</w:t>
      </w:r>
      <w:r>
        <w:tab/>
        <w:t xml:space="preserve">either — </w:t>
      </w:r>
    </w:p>
    <w:p>
      <w:pPr>
        <w:pStyle w:val="nzIndenti"/>
      </w:pPr>
      <w:r>
        <w:tab/>
        <w:t>(i)</w:t>
      </w:r>
      <w:r>
        <w:tab/>
        <w:t>the person had taken all reasonable steps to prevent the commission of the offence; or</w:t>
      </w:r>
    </w:p>
    <w:p>
      <w:pPr>
        <w:pStyle w:val="nzIndenti"/>
      </w:pPr>
      <w:r>
        <w:tab/>
        <w:t>(ii)</w:t>
      </w:r>
      <w:r>
        <w:tab/>
        <w:t>there were no steps that the person could reasonably be expected to have taken to prevent the commission of the offence.</w:t>
      </w:r>
    </w:p>
    <w:p>
      <w:pPr>
        <w:pStyle w:val="nzSubsection"/>
        <w:rPr>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nzIndenta"/>
        <w:rPr>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nzIndenta"/>
        <w:rPr>
          <w:lang w:val="en-US"/>
        </w:rPr>
      </w:pPr>
      <w:r>
        <w:rPr>
          <w:lang w:val="en-US"/>
        </w:rPr>
        <w:tab/>
        <w:t>(b)</w:t>
      </w:r>
      <w:r>
        <w:rPr>
          <w:lang w:val="en-US"/>
        </w:rPr>
        <w:tab/>
        <w:t xml:space="preserve">the measures available and measures taken for any or all of the following — </w:t>
      </w:r>
    </w:p>
    <w:p>
      <w:pPr>
        <w:pStyle w:val="nzIndenti"/>
        <w:rPr>
          <w:lang w:val="en-US"/>
        </w:rPr>
      </w:pPr>
      <w:r>
        <w:rPr>
          <w:lang w:val="en-US"/>
        </w:rPr>
        <w:tab/>
        <w:t>(i)</w:t>
      </w:r>
      <w:r>
        <w:rPr>
          <w:lang w:val="en-US"/>
        </w:rPr>
        <w:tab/>
        <w:t>to accurately and safely weigh or measure the vehicle or its load or to safely secure the load in or on the vehicle;</w:t>
      </w:r>
    </w:p>
    <w:p>
      <w:pPr>
        <w:pStyle w:val="nz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nz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nz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nz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nzIndenta"/>
        <w:rPr>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nzIndenti"/>
        <w:rPr>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nzIndenti"/>
        <w:rPr>
          <w:lang w:val="en-US"/>
        </w:rPr>
      </w:pPr>
      <w:r>
        <w:rPr>
          <w:lang w:val="en-US"/>
        </w:rPr>
        <w:tab/>
        <w:t>(ii)</w:t>
      </w:r>
      <w:r>
        <w:rPr>
          <w:lang w:val="en-US"/>
        </w:rPr>
        <w:tab/>
        <w:t>to provide information, instruction, training and supervision to employees to enable compliance with relevant laws;</w:t>
      </w:r>
    </w:p>
    <w:p>
      <w:pPr>
        <w:pStyle w:val="nzIndenti"/>
        <w:rPr>
          <w:lang w:val="en-US"/>
        </w:rPr>
      </w:pPr>
      <w:r>
        <w:rPr>
          <w:lang w:val="en-US"/>
        </w:rPr>
        <w:tab/>
        <w:t>(iii)</w:t>
      </w:r>
      <w:r>
        <w:rPr>
          <w:lang w:val="en-US"/>
        </w:rPr>
        <w:tab/>
        <w:t>to maintain equipment and work systems to enable compliance with relevant laws;</w:t>
      </w:r>
    </w:p>
    <w:p>
      <w:pPr>
        <w:pStyle w:val="nzIndenti"/>
        <w:rPr>
          <w:lang w:val="en-US"/>
        </w:rPr>
      </w:pPr>
      <w:r>
        <w:rPr>
          <w:lang w:val="en-US"/>
        </w:rPr>
        <w:tab/>
        <w:t>(iv)</w:t>
      </w:r>
      <w:r>
        <w:rPr>
          <w:lang w:val="en-US"/>
        </w:rPr>
        <w:tab/>
        <w:t>to address and remedy similar compliance problems that may have occurred in the past;</w:t>
      </w:r>
    </w:p>
    <w:p>
      <w:pPr>
        <w:pStyle w:val="nzIndenta"/>
        <w:rPr>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nz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nzHeading3"/>
      </w:pPr>
      <w:r>
        <w:rPr>
          <w:rStyle w:val="CharDivNo"/>
        </w:rPr>
        <w:t>Division 2</w:t>
      </w:r>
      <w:r>
        <w:t> — </w:t>
      </w:r>
      <w:r>
        <w:rPr>
          <w:rStyle w:val="CharDivText"/>
        </w:rPr>
        <w:t>Other defences</w:t>
      </w:r>
    </w:p>
    <w:p>
      <w:pPr>
        <w:pStyle w:val="nzHeading5"/>
      </w:pPr>
      <w:r>
        <w:rPr>
          <w:rStyle w:val="CharSectno"/>
        </w:rPr>
        <w:t>114</w:t>
      </w:r>
      <w:r>
        <w:t>.</w:t>
      </w:r>
      <w:r>
        <w:tab/>
        <w:t xml:space="preserve">Defence for </w:t>
      </w:r>
      <w:r>
        <w:rPr>
          <w:lang w:val="en-US"/>
        </w:rPr>
        <w:t>responsible person</w:t>
      </w:r>
      <w:r>
        <w:t>s</w:t>
      </w:r>
    </w:p>
    <w:p>
      <w:pPr>
        <w:pStyle w:val="nzSubsection"/>
        <w:rPr>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nzIndenta"/>
        <w:rPr>
          <w:lang w:val="en-US"/>
        </w:rPr>
      </w:pPr>
      <w:r>
        <w:rPr>
          <w:lang w:val="en-US"/>
        </w:rPr>
        <w:tab/>
        <w:t>(a)</w:t>
      </w:r>
      <w:r>
        <w:rPr>
          <w:lang w:val="en-US"/>
        </w:rPr>
        <w:tab/>
        <w:t xml:space="preserve">a person who — </w:t>
      </w:r>
    </w:p>
    <w:p>
      <w:pPr>
        <w:pStyle w:val="nzIndenti"/>
        <w:rPr>
          <w:lang w:val="en-US"/>
        </w:rPr>
      </w:pPr>
      <w:r>
        <w:rPr>
          <w:lang w:val="en-US"/>
        </w:rPr>
        <w:tab/>
        <w:t>(i)</w:t>
      </w:r>
      <w:r>
        <w:rPr>
          <w:lang w:val="en-US"/>
        </w:rPr>
        <w:tab/>
        <w:t>did not have express or implied authority to use the vehicle; and</w:t>
      </w:r>
    </w:p>
    <w:p>
      <w:pPr>
        <w:pStyle w:val="nzIndenti"/>
        <w:rPr>
          <w:lang w:val="en-US"/>
        </w:rPr>
      </w:pPr>
      <w:r>
        <w:rPr>
          <w:lang w:val="en-US"/>
        </w:rPr>
        <w:tab/>
        <w:t>(ii)</w:t>
      </w:r>
      <w:r>
        <w:rPr>
          <w:lang w:val="en-US"/>
        </w:rPr>
        <w:tab/>
      </w:r>
      <w:r>
        <w:t>was not</w:t>
      </w:r>
      <w:r>
        <w:rPr>
          <w:lang w:val="en-US"/>
        </w:rPr>
        <w:t xml:space="preserve"> an employee or agent of the person charged;</w:t>
      </w:r>
    </w:p>
    <w:p>
      <w:pPr>
        <w:pStyle w:val="nzIndenta"/>
      </w:pPr>
      <w:r>
        <w:tab/>
      </w:r>
      <w:r>
        <w:tab/>
        <w:t>or</w:t>
      </w:r>
    </w:p>
    <w:p>
      <w:pPr>
        <w:pStyle w:val="nz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nzIndenta"/>
        <w:rPr>
          <w:lang w:val="en-US"/>
        </w:rPr>
      </w:pPr>
      <w:r>
        <w:rPr>
          <w:lang w:val="en-US"/>
        </w:rPr>
        <w:tab/>
        <w:t>(c)</w:t>
      </w:r>
      <w:r>
        <w:rPr>
          <w:lang w:val="en-US"/>
        </w:rPr>
        <w:tab/>
        <w:t>an agent, in any capacity, of the person charged who was acting at the relevant time outside the scope of the agency.</w:t>
      </w:r>
    </w:p>
    <w:p>
      <w:pPr>
        <w:pStyle w:val="nz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nzIndenta"/>
        <w:rPr>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nzIndenta"/>
        <w:rPr>
          <w:lang w:val="en-US"/>
        </w:rPr>
      </w:pPr>
      <w:r>
        <w:rPr>
          <w:lang w:val="en-US"/>
        </w:rPr>
        <w:tab/>
        <w:t>(b)</w:t>
      </w:r>
      <w:r>
        <w:rPr>
          <w:lang w:val="en-US"/>
        </w:rPr>
        <w:tab/>
        <w:t>after the vehicle ceased to be under the person’s control, a material change was made that resulted in the alleged defect.</w:t>
      </w:r>
    </w:p>
    <w:p>
      <w:pPr>
        <w:pStyle w:val="nzHeading5"/>
      </w:pPr>
      <w:r>
        <w:rPr>
          <w:rStyle w:val="CharSectno"/>
        </w:rPr>
        <w:t>115</w:t>
      </w:r>
      <w:r>
        <w:t>.</w:t>
      </w:r>
      <w:r>
        <w:tab/>
        <w:t>Defence for drivers</w:t>
      </w:r>
    </w:p>
    <w:p>
      <w:pPr>
        <w:pStyle w:val="nzSubsection"/>
        <w:rPr>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nzIndenta"/>
        <w:rPr>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nzIndenta"/>
        <w:rPr>
          <w:lang w:val="en-US"/>
        </w:rPr>
      </w:pPr>
      <w:r>
        <w:rPr>
          <w:lang w:val="en-US"/>
        </w:rPr>
        <w:tab/>
        <w:t>(b)</w:t>
      </w:r>
      <w:r>
        <w:rPr>
          <w:lang w:val="en-US"/>
        </w:rPr>
        <w:tab/>
        <w:t>did not know and could not reasonably be expected to have known of the defect; and</w:t>
      </w:r>
    </w:p>
    <w:p>
      <w:pPr>
        <w:pStyle w:val="nzIndenta"/>
        <w:rPr>
          <w:lang w:val="en-US"/>
        </w:rPr>
      </w:pPr>
      <w:r>
        <w:rPr>
          <w:lang w:val="en-US"/>
        </w:rPr>
        <w:tab/>
        <w:t>(c)</w:t>
      </w:r>
      <w:r>
        <w:rPr>
          <w:lang w:val="en-US"/>
        </w:rPr>
        <w:tab/>
        <w:t>could not reasonably be expected to have sought to ascertain whether there was or was likely to be a defect relating to the vehicle.</w:t>
      </w:r>
    </w:p>
    <w:p>
      <w:pPr>
        <w:pStyle w:val="nzHeading5"/>
      </w:pPr>
      <w:r>
        <w:rPr>
          <w:rStyle w:val="CharSectno"/>
        </w:rPr>
        <w:t>116</w:t>
      </w:r>
      <w:r>
        <w:t>.</w:t>
      </w:r>
      <w:r>
        <w:tab/>
        <w:t>Laws as to criminal responsibility not affected</w:t>
      </w:r>
    </w:p>
    <w:p>
      <w:pPr>
        <w:pStyle w:val="nzSubsection"/>
      </w:pPr>
      <w:r>
        <w:tab/>
      </w:r>
      <w:r>
        <w:tab/>
        <w:t xml:space="preserve">The defences described in this Part are in addition to, and do not affect, the operation of </w:t>
      </w:r>
      <w:r>
        <w:rPr>
          <w:i/>
        </w:rPr>
        <w:t>The Criminal Code</w:t>
      </w:r>
      <w:r>
        <w:t xml:space="preserve"> Chapter V.</w:t>
      </w:r>
    </w:p>
    <w:p>
      <w:pPr>
        <w:pStyle w:val="nzHeading2"/>
      </w:pPr>
      <w:r>
        <w:rPr>
          <w:rStyle w:val="CharPartNo"/>
        </w:rPr>
        <w:t>Part 11</w:t>
      </w:r>
      <w:r>
        <w:t> — </w:t>
      </w:r>
      <w:r>
        <w:rPr>
          <w:rStyle w:val="CharPartText"/>
        </w:rPr>
        <w:t>Court imposed sanctions</w:t>
      </w:r>
    </w:p>
    <w:p>
      <w:pPr>
        <w:pStyle w:val="nzHeading3"/>
      </w:pPr>
      <w:r>
        <w:rPr>
          <w:rStyle w:val="CharDivNo"/>
        </w:rPr>
        <w:t>Division 1</w:t>
      </w:r>
      <w:r>
        <w:t> — </w:t>
      </w:r>
      <w:r>
        <w:rPr>
          <w:rStyle w:val="CharDivText"/>
        </w:rPr>
        <w:t>Term used in this Part</w:t>
      </w:r>
    </w:p>
    <w:p>
      <w:pPr>
        <w:pStyle w:val="nzHeading5"/>
      </w:pPr>
      <w:r>
        <w:rPr>
          <w:rStyle w:val="CharSectno"/>
        </w:rPr>
        <w:t>117</w:t>
      </w:r>
      <w:r>
        <w:t>.</w:t>
      </w:r>
      <w:r>
        <w:tab/>
        <w:t>Term used: associate</w:t>
      </w:r>
    </w:p>
    <w:p>
      <w:pPr>
        <w:pStyle w:val="nzSubsection"/>
      </w:pPr>
      <w:r>
        <w:tab/>
      </w:r>
      <w:r>
        <w:tab/>
        <w:t xml:space="preserve">In this Part — </w:t>
      </w:r>
    </w:p>
    <w:p>
      <w:pPr>
        <w:pStyle w:val="nzDefstart"/>
      </w:pPr>
      <w:r>
        <w:rPr>
          <w:b/>
        </w:rPr>
        <w:tab/>
      </w:r>
      <w:r>
        <w:rPr>
          <w:rStyle w:val="CharDefText"/>
        </w:rPr>
        <w:t>associate</w:t>
      </w:r>
      <w:r>
        <w:t>, of a person (</w:t>
      </w:r>
      <w:r>
        <w:rPr>
          <w:rStyle w:val="CharDefText"/>
        </w:rPr>
        <w:t>person 1</w:t>
      </w:r>
      <w:r>
        <w:rPr>
          <w:bCs/>
        </w:rPr>
        <w:t xml:space="preserve">), means a person who is — </w:t>
      </w:r>
    </w:p>
    <w:p>
      <w:pPr>
        <w:pStyle w:val="nzDefpara"/>
        <w:rPr>
          <w:lang w:val="en-US"/>
        </w:rPr>
      </w:pPr>
      <w:r>
        <w:rPr>
          <w:lang w:val="en-US"/>
        </w:rPr>
        <w:tab/>
        <w:t>(a)</w:t>
      </w:r>
      <w:r>
        <w:rPr>
          <w:lang w:val="en-US"/>
        </w:rPr>
        <w:tab/>
        <w:t>person 1’s spouse; or</w:t>
      </w:r>
    </w:p>
    <w:p>
      <w:pPr>
        <w:pStyle w:val="nzDefpara"/>
        <w:rPr>
          <w:lang w:val="en-US"/>
        </w:rPr>
      </w:pPr>
      <w:r>
        <w:rPr>
          <w:lang w:val="en-US"/>
        </w:rPr>
        <w:tab/>
        <w:t>(b)</w:t>
      </w:r>
      <w:r>
        <w:rPr>
          <w:lang w:val="en-US"/>
        </w:rPr>
        <w:tab/>
        <w:t>a parent, sibling or child of person 1; or</w:t>
      </w:r>
    </w:p>
    <w:p>
      <w:pPr>
        <w:pStyle w:val="nzDefpara"/>
        <w:rPr>
          <w:lang w:val="en-US"/>
        </w:rPr>
      </w:pPr>
      <w:r>
        <w:rPr>
          <w:lang w:val="en-US"/>
        </w:rPr>
        <w:tab/>
        <w:t>(c)</w:t>
      </w:r>
      <w:r>
        <w:rPr>
          <w:lang w:val="en-US"/>
        </w:rPr>
        <w:tab/>
      </w:r>
      <w:r>
        <w:t xml:space="preserve">a </w:t>
      </w:r>
      <w:r>
        <w:rPr>
          <w:lang w:val="en-US"/>
        </w:rPr>
        <w:t>member of the same household as person 1; or</w:t>
      </w:r>
    </w:p>
    <w:p>
      <w:pPr>
        <w:pStyle w:val="nzDefpara"/>
        <w:rPr>
          <w:lang w:val="en-US"/>
        </w:rPr>
      </w:pPr>
      <w:r>
        <w:rPr>
          <w:lang w:val="en-US"/>
        </w:rPr>
        <w:tab/>
        <w:t>(d)</w:t>
      </w:r>
      <w:r>
        <w:rPr>
          <w:lang w:val="en-US"/>
        </w:rPr>
        <w:tab/>
      </w:r>
      <w:r>
        <w:t>a</w:t>
      </w:r>
      <w:r>
        <w:rPr>
          <w:lang w:val="en-US"/>
        </w:rPr>
        <w:t xml:space="preserve"> partner of person 1; or</w:t>
      </w:r>
    </w:p>
    <w:p>
      <w:pPr>
        <w:pStyle w:val="nz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nzDefpara"/>
        <w:rPr>
          <w:lang w:val="en-US"/>
        </w:rPr>
      </w:pPr>
      <w:r>
        <w:rPr>
          <w:lang w:val="en-US"/>
        </w:rPr>
        <w:tab/>
        <w:t>(f)</w:t>
      </w:r>
      <w:r>
        <w:rPr>
          <w:lang w:val="en-US"/>
        </w:rPr>
        <w:tab/>
        <w:t>a trustee of a trust in which person 1 is a beneficiary or, in the case of a discretionary trust, an object; or</w:t>
      </w:r>
    </w:p>
    <w:p>
      <w:pPr>
        <w:pStyle w:val="nzDefpara"/>
        <w:rPr>
          <w:lang w:val="en-US"/>
        </w:rPr>
      </w:pPr>
      <w:r>
        <w:rPr>
          <w:lang w:val="en-US"/>
        </w:rPr>
        <w:tab/>
        <w:t>(g)</w:t>
      </w:r>
      <w:r>
        <w:rPr>
          <w:lang w:val="en-US"/>
        </w:rPr>
        <w:tab/>
        <w:t>a beneficiary (including an object of a discretionary trust) of a trust of which person 1 is a trustee; or</w:t>
      </w:r>
    </w:p>
    <w:p>
      <w:pPr>
        <w:pStyle w:val="nz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nz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nzDefpara"/>
        <w:rPr>
          <w:lang w:val="en-US"/>
        </w:rPr>
      </w:pPr>
      <w:r>
        <w:rPr>
          <w:lang w:val="en-US"/>
        </w:rPr>
        <w:tab/>
        <w:t>(j)</w:t>
      </w:r>
      <w:r>
        <w:rPr>
          <w:lang w:val="en-US"/>
        </w:rPr>
        <w:tab/>
        <w:t>a body corporate (other than a public company whose shares are listed on a stock exchange) in which person 1 is a shareholder; or</w:t>
      </w:r>
    </w:p>
    <w:p>
      <w:pPr>
        <w:pStyle w:val="nz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nz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nz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nzHeading3"/>
      </w:pPr>
      <w:r>
        <w:rPr>
          <w:rStyle w:val="CharDivNo"/>
        </w:rPr>
        <w:t>Division 2</w:t>
      </w:r>
      <w:r>
        <w:t> — </w:t>
      </w:r>
      <w:r>
        <w:rPr>
          <w:rStyle w:val="CharDivText"/>
        </w:rPr>
        <w:t>General matters as to sentencing for MDLR offences</w:t>
      </w:r>
    </w:p>
    <w:p>
      <w:pPr>
        <w:pStyle w:val="nzHeading5"/>
      </w:pPr>
      <w:r>
        <w:rPr>
          <w:rStyle w:val="CharSectno"/>
        </w:rPr>
        <w:t>118</w:t>
      </w:r>
      <w:r>
        <w:t>.</w:t>
      </w:r>
      <w:r>
        <w:tab/>
        <w:t>Sentencing principles</w:t>
      </w:r>
    </w:p>
    <w:p>
      <w:pPr>
        <w:pStyle w:val="nzSubsection"/>
      </w:pPr>
      <w:r>
        <w:tab/>
        <w:t>(1)</w:t>
      </w:r>
      <w:r>
        <w:tab/>
        <w:t>An order under this Part may be made in conjunction with any sentencing option available under a road law or any other written law to a court sentencing a person who is found guilty of an MDLR offence.</w:t>
      </w:r>
    </w:p>
    <w:p>
      <w:pPr>
        <w:pStyle w:val="nzSubsection"/>
      </w:pPr>
      <w:r>
        <w:tab/>
        <w:t>(2)</w:t>
      </w:r>
      <w:r>
        <w:tab/>
        <w:t>An order under this Part forms part of the sentence.</w:t>
      </w:r>
    </w:p>
    <w:p>
      <w:pPr>
        <w:pStyle w:val="nzSubsection"/>
      </w:pPr>
      <w:r>
        <w:tab/>
        <w:t>(3)</w:t>
      </w:r>
      <w:r>
        <w:tab/>
        <w:t>Nothing in this Part affects the duties or powers that a court or other person or body has apart from this Part.</w:t>
      </w:r>
    </w:p>
    <w:p>
      <w:pPr>
        <w:pStyle w:val="nzHeading5"/>
      </w:pPr>
      <w:r>
        <w:rPr>
          <w:rStyle w:val="CharSectno"/>
        </w:rPr>
        <w:t>119</w:t>
      </w:r>
      <w:r>
        <w:t>.</w:t>
      </w:r>
      <w:r>
        <w:tab/>
        <w:t>Default categorisation</w:t>
      </w:r>
    </w:p>
    <w:p>
      <w:pPr>
        <w:pStyle w:val="nzSubsection"/>
        <w:rPr>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nzSubsection"/>
        <w:rPr>
          <w:lang w:val="en-US"/>
        </w:rPr>
      </w:pPr>
      <w:r>
        <w:rPr>
          <w:lang w:val="en-US"/>
        </w:rPr>
        <w:tab/>
        <w:t>(2)</w:t>
      </w:r>
      <w:r>
        <w:rPr>
          <w:lang w:val="en-US"/>
        </w:rPr>
        <w:tab/>
      </w:r>
      <w:r>
        <w:t>I</w:t>
      </w:r>
      <w:r>
        <w:rPr>
          <w:lang w:val="en-US"/>
        </w:rPr>
        <w:t>f a court is satisfied that there has been a breach of a mass, dimension or loading requirement and that the breach is at least a substantial risk breach but is not satisfied that the breach is a severe risk breach, it may treat the breach as a substantial risk breach.</w:t>
      </w:r>
    </w:p>
    <w:p>
      <w:pPr>
        <w:pStyle w:val="nzHeading5"/>
      </w:pPr>
      <w:r>
        <w:rPr>
          <w:rStyle w:val="CharSectno"/>
        </w:rPr>
        <w:t>120</w:t>
      </w:r>
      <w:r>
        <w:t>.</w:t>
      </w:r>
      <w:r>
        <w:tab/>
        <w:t>Matters to be considered by courts when sentencing</w:t>
      </w:r>
    </w:p>
    <w:p>
      <w:pPr>
        <w:pStyle w:val="nzSubsection"/>
        <w:rPr>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nzIndenta"/>
        <w:rPr>
          <w:lang w:val="en-US"/>
        </w:rPr>
      </w:pPr>
      <w:r>
        <w:rPr>
          <w:lang w:val="en-US"/>
        </w:rPr>
        <w:tab/>
        <w:t>(a)</w:t>
      </w:r>
      <w:r>
        <w:rPr>
          <w:lang w:val="en-US"/>
        </w:rPr>
        <w:tab/>
        <w:t xml:space="preserve">that a minor risk breach may give rise to either or both of the following — </w:t>
      </w:r>
    </w:p>
    <w:p>
      <w:pPr>
        <w:pStyle w:val="nzIndenti"/>
        <w:rPr>
          <w:lang w:val="en-US"/>
        </w:rPr>
      </w:pPr>
      <w:r>
        <w:rPr>
          <w:lang w:val="en-US"/>
        </w:rPr>
        <w:tab/>
        <w:t>(i)</w:t>
      </w:r>
      <w:r>
        <w:rPr>
          <w:lang w:val="en-US"/>
        </w:rPr>
        <w:tab/>
        <w:t>an appreciable risk of accelerated road wear;</w:t>
      </w:r>
    </w:p>
    <w:p>
      <w:pPr>
        <w:pStyle w:val="nzIndenti"/>
        <w:rPr>
          <w:lang w:val="en-US"/>
        </w:rPr>
      </w:pPr>
      <w:r>
        <w:rPr>
          <w:lang w:val="en-US"/>
        </w:rPr>
        <w:tab/>
        <w:t>(ii)</w:t>
      </w:r>
      <w:r>
        <w:rPr>
          <w:lang w:val="en-US"/>
        </w:rPr>
        <w:tab/>
        <w:t>an appreciable risk of unfair commercial advantage;</w:t>
      </w:r>
    </w:p>
    <w:p>
      <w:pPr>
        <w:pStyle w:val="nzIndenta"/>
        <w:rPr>
          <w:lang w:val="en-US"/>
        </w:rPr>
      </w:pPr>
      <w:r>
        <w:rPr>
          <w:lang w:val="en-US"/>
        </w:rPr>
        <w:tab/>
        <w:t>(b)</w:t>
      </w:r>
      <w:r>
        <w:rPr>
          <w:lang w:val="en-US"/>
        </w:rPr>
        <w:tab/>
        <w:t xml:space="preserve">that a substantial risk breach may give rise to one or more of the following — </w:t>
      </w:r>
    </w:p>
    <w:p>
      <w:pPr>
        <w:pStyle w:val="nzIndenti"/>
        <w:rPr>
          <w:lang w:val="en-US"/>
        </w:rPr>
      </w:pPr>
      <w:r>
        <w:rPr>
          <w:lang w:val="en-US"/>
        </w:rPr>
        <w:tab/>
        <w:t>(i)</w:t>
      </w:r>
      <w:r>
        <w:rPr>
          <w:lang w:val="en-US"/>
        </w:rPr>
        <w:tab/>
        <w:t>a substantial risk of accelerated road wear;</w:t>
      </w:r>
    </w:p>
    <w:p>
      <w:pPr>
        <w:pStyle w:val="nzIndenti"/>
        <w:rPr>
          <w:lang w:val="en-US"/>
        </w:rPr>
      </w:pPr>
      <w:r>
        <w:rPr>
          <w:lang w:val="en-US"/>
        </w:rPr>
        <w:tab/>
        <w:t>(ii)</w:t>
      </w:r>
      <w:r>
        <w:rPr>
          <w:lang w:val="en-US"/>
        </w:rPr>
        <w:tab/>
        <w:t>an appreciable risk of damage to road infrastructure;</w:t>
      </w:r>
    </w:p>
    <w:p>
      <w:pPr>
        <w:pStyle w:val="nzIndenti"/>
        <w:rPr>
          <w:lang w:val="en-US"/>
        </w:rPr>
      </w:pPr>
      <w:r>
        <w:rPr>
          <w:lang w:val="en-US"/>
        </w:rPr>
        <w:tab/>
        <w:t>(iii)</w:t>
      </w:r>
      <w:r>
        <w:rPr>
          <w:lang w:val="en-US"/>
        </w:rPr>
        <w:tab/>
        <w:t>an appreciable risk of increased traffic congestion;</w:t>
      </w:r>
    </w:p>
    <w:p>
      <w:pPr>
        <w:pStyle w:val="nzIndenti"/>
        <w:rPr>
          <w:lang w:val="en-US"/>
        </w:rPr>
      </w:pPr>
      <w:r>
        <w:rPr>
          <w:lang w:val="en-US"/>
        </w:rPr>
        <w:tab/>
        <w:t>(iv)</w:t>
      </w:r>
      <w:r>
        <w:rPr>
          <w:lang w:val="en-US"/>
        </w:rPr>
        <w:tab/>
        <w:t>an appreciable risk of diminished public amenity;</w:t>
      </w:r>
    </w:p>
    <w:p>
      <w:pPr>
        <w:pStyle w:val="nzIndenti"/>
        <w:rPr>
          <w:lang w:val="en-US"/>
        </w:rPr>
      </w:pPr>
      <w:r>
        <w:rPr>
          <w:lang w:val="en-US"/>
        </w:rPr>
        <w:tab/>
        <w:t>(v)</w:t>
      </w:r>
      <w:r>
        <w:rPr>
          <w:lang w:val="en-US"/>
        </w:rPr>
        <w:tab/>
        <w:t>a substantial risk of unfair commercial advantage;</w:t>
      </w:r>
    </w:p>
    <w:p>
      <w:pPr>
        <w:pStyle w:val="nzIndenta"/>
        <w:rPr>
          <w:lang w:val="en-US"/>
        </w:rPr>
      </w:pPr>
      <w:r>
        <w:rPr>
          <w:lang w:val="en-US"/>
        </w:rPr>
        <w:tab/>
        <w:t>(c)</w:t>
      </w:r>
      <w:r>
        <w:rPr>
          <w:lang w:val="en-US"/>
        </w:rPr>
        <w:tab/>
        <w:t xml:space="preserve">that a severe risk breach may give rise to one or more of the following — </w:t>
      </w:r>
    </w:p>
    <w:p>
      <w:pPr>
        <w:pStyle w:val="nzIndenti"/>
        <w:rPr>
          <w:lang w:val="en-US"/>
        </w:rPr>
      </w:pPr>
      <w:r>
        <w:rPr>
          <w:lang w:val="en-US"/>
        </w:rPr>
        <w:tab/>
        <w:t>(i)</w:t>
      </w:r>
      <w:r>
        <w:rPr>
          <w:lang w:val="en-US"/>
        </w:rPr>
        <w:tab/>
        <w:t xml:space="preserve">an appreciable risk of harm to public safety or the </w:t>
      </w:r>
      <w:r>
        <w:rPr>
          <w:szCs w:val="23"/>
          <w:lang w:val="en-US"/>
        </w:rPr>
        <w:t>environment;</w:t>
      </w:r>
    </w:p>
    <w:p>
      <w:pPr>
        <w:pStyle w:val="nzIndenti"/>
        <w:rPr>
          <w:lang w:val="en-US"/>
        </w:rPr>
      </w:pPr>
      <w:r>
        <w:rPr>
          <w:lang w:val="en-US"/>
        </w:rPr>
        <w:tab/>
        <w:t>(ii)</w:t>
      </w:r>
      <w:r>
        <w:rPr>
          <w:lang w:val="en-US"/>
        </w:rPr>
        <w:tab/>
        <w:t>a serious risk of accelerated road wear;</w:t>
      </w:r>
    </w:p>
    <w:p>
      <w:pPr>
        <w:pStyle w:val="nzIndenti"/>
        <w:rPr>
          <w:lang w:val="en-US"/>
        </w:rPr>
      </w:pPr>
      <w:r>
        <w:rPr>
          <w:lang w:val="en-US"/>
        </w:rPr>
        <w:tab/>
        <w:t>(iii)</w:t>
      </w:r>
      <w:r>
        <w:rPr>
          <w:lang w:val="en-US"/>
        </w:rPr>
        <w:tab/>
        <w:t>a serious risk of harm to road infrastructure;</w:t>
      </w:r>
    </w:p>
    <w:p>
      <w:pPr>
        <w:pStyle w:val="nzIndenti"/>
        <w:rPr>
          <w:lang w:val="en-US"/>
        </w:rPr>
      </w:pPr>
      <w:r>
        <w:rPr>
          <w:lang w:val="en-US"/>
        </w:rPr>
        <w:tab/>
        <w:t>(iv)</w:t>
      </w:r>
      <w:r>
        <w:rPr>
          <w:lang w:val="en-US"/>
        </w:rPr>
        <w:tab/>
        <w:t>a serious risk of increased traffic congestion;</w:t>
      </w:r>
    </w:p>
    <w:p>
      <w:pPr>
        <w:pStyle w:val="nzIndenti"/>
        <w:rPr>
          <w:lang w:val="en-US"/>
        </w:rPr>
      </w:pPr>
      <w:r>
        <w:rPr>
          <w:lang w:val="en-US"/>
        </w:rPr>
        <w:tab/>
        <w:t>(v)</w:t>
      </w:r>
      <w:r>
        <w:rPr>
          <w:lang w:val="en-US"/>
        </w:rPr>
        <w:tab/>
        <w:t>a serious risk of diminished public amenity;</w:t>
      </w:r>
    </w:p>
    <w:p>
      <w:pPr>
        <w:pStyle w:val="nzIndenti"/>
        <w:rPr>
          <w:lang w:val="en-US"/>
        </w:rPr>
      </w:pPr>
      <w:r>
        <w:rPr>
          <w:lang w:val="en-US"/>
        </w:rPr>
        <w:tab/>
        <w:t>(vi)</w:t>
      </w:r>
      <w:r>
        <w:rPr>
          <w:lang w:val="en-US"/>
        </w:rPr>
        <w:tab/>
        <w:t>a serious risk of unfair commercial advantage.</w:t>
      </w:r>
    </w:p>
    <w:p>
      <w:pPr>
        <w:pStyle w:val="nz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nz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nz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nzHeading5"/>
      </w:pPr>
      <w:r>
        <w:rPr>
          <w:rStyle w:val="CharSectno"/>
        </w:rPr>
        <w:t>121</w:t>
      </w:r>
      <w:r>
        <w:t>.</w:t>
      </w:r>
      <w:r>
        <w:tab/>
        <w:t>Prohibition order has priority</w:t>
      </w:r>
    </w:p>
    <w:p>
      <w:pPr>
        <w:pStyle w:val="nzSubsection"/>
        <w:rPr>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nzHeading5"/>
      </w:pPr>
      <w:r>
        <w:rPr>
          <w:rStyle w:val="CharSectno"/>
        </w:rPr>
        <w:t>122</w:t>
      </w:r>
      <w:r>
        <w:t>.</w:t>
      </w:r>
      <w:r>
        <w:tab/>
        <w:t>Previous convictions of MDLR offences</w:t>
      </w:r>
    </w:p>
    <w:p>
      <w:pPr>
        <w:pStyle w:val="nzSubsection"/>
        <w:rPr>
          <w:lang w:val="en-US"/>
        </w:rPr>
      </w:pPr>
      <w:r>
        <w:rPr>
          <w:lang w:val="en-US"/>
        </w:rPr>
        <w:tab/>
      </w:r>
      <w:r>
        <w:rPr>
          <w:lang w:val="en-US"/>
        </w:rPr>
        <w:tab/>
        <w:t xml:space="preserve">For the purpose of determining whether a person has been previously convicted of an MDLR offence — </w:t>
      </w:r>
    </w:p>
    <w:p>
      <w:pPr>
        <w:pStyle w:val="nzIndenta"/>
        <w:rPr>
          <w:lang w:val="en-US"/>
        </w:rPr>
      </w:pPr>
      <w:r>
        <w:rPr>
          <w:lang w:val="en-US"/>
        </w:rPr>
        <w:tab/>
        <w:t>(a)</w:t>
      </w:r>
      <w:r>
        <w:rPr>
          <w:lang w:val="en-US"/>
        </w:rPr>
        <w:tab/>
        <w:t>it is immaterial whether the breaches concerned are of the same risk category or of different risk categories; and</w:t>
      </w:r>
    </w:p>
    <w:p>
      <w:pPr>
        <w:pStyle w:val="nz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nzHeading3"/>
      </w:pPr>
      <w:r>
        <w:rPr>
          <w:rStyle w:val="CharDivNo"/>
        </w:rPr>
        <w:t>Division 3</w:t>
      </w:r>
      <w:r>
        <w:t> — </w:t>
      </w:r>
      <w:r>
        <w:rPr>
          <w:rStyle w:val="CharDivText"/>
        </w:rPr>
        <w:t>Commercial benefits penalty orders</w:t>
      </w:r>
    </w:p>
    <w:p>
      <w:pPr>
        <w:pStyle w:val="nzHeading5"/>
      </w:pPr>
      <w:r>
        <w:rPr>
          <w:rStyle w:val="CharSectno"/>
        </w:rPr>
        <w:t>123</w:t>
      </w:r>
      <w:r>
        <w:t>.</w:t>
      </w:r>
      <w:r>
        <w:tab/>
        <w:t>Commercial benefits penalty orders</w:t>
      </w:r>
    </w:p>
    <w:p>
      <w:pPr>
        <w:pStyle w:val="nzSubsection"/>
        <w:rPr>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nzSubsection"/>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nzIndenta"/>
        <w:rPr>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nzIndenta"/>
        <w:rPr>
          <w:lang w:val="en-US"/>
        </w:rPr>
      </w:pPr>
      <w:r>
        <w:rPr>
          <w:lang w:val="en-US"/>
        </w:rPr>
        <w:tab/>
        <w:t>(b)</w:t>
      </w:r>
      <w:r>
        <w:rPr>
          <w:lang w:val="en-US"/>
        </w:rPr>
        <w:tab/>
        <w:t>in the case of a journey that was interrupted or not commenced because of action taken by a police officer or warden in connection with the commission of the offence, that would have been received or receivable, by the person or by an associate of the person, from the commission of the offence had the journey been completed.</w:t>
      </w:r>
    </w:p>
    <w:p>
      <w:pPr>
        <w:pStyle w:val="nzSubsection"/>
        <w:rPr>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nzIndenta"/>
        <w:rPr>
          <w:lang w:val="en-US"/>
        </w:rPr>
      </w:pPr>
      <w:r>
        <w:rPr>
          <w:lang w:val="en-US"/>
        </w:rPr>
        <w:tab/>
        <w:t>(a)</w:t>
      </w:r>
      <w:r>
        <w:rPr>
          <w:lang w:val="en-US"/>
        </w:rPr>
        <w:tab/>
        <w:t>benefits of any kind, whether monetary or otherwise; and</w:t>
      </w:r>
    </w:p>
    <w:p>
      <w:pPr>
        <w:pStyle w:val="nzIndenta"/>
        <w:rPr>
          <w:szCs w:val="23"/>
          <w:lang w:val="en-US"/>
        </w:rPr>
      </w:pPr>
      <w:r>
        <w:rPr>
          <w:lang w:val="en-US"/>
        </w:rPr>
        <w:tab/>
        <w:t>(b)</w:t>
      </w:r>
      <w:r>
        <w:rPr>
          <w:lang w:val="en-US"/>
        </w:rPr>
        <w:tab/>
        <w:t>any other matters that it considers relevant, including</w:t>
      </w:r>
      <w:r>
        <w:rPr>
          <w:szCs w:val="23"/>
          <w:lang w:val="en-US"/>
        </w:rPr>
        <w:t xml:space="preserve"> — </w:t>
      </w:r>
    </w:p>
    <w:p>
      <w:pPr>
        <w:pStyle w:val="nzIndenti"/>
        <w:rPr>
          <w:lang w:val="en-US"/>
        </w:rPr>
      </w:pPr>
      <w:r>
        <w:rPr>
          <w:lang w:val="en-US"/>
        </w:rPr>
        <w:tab/>
        <w:t>(i)</w:t>
      </w:r>
      <w:r>
        <w:rPr>
          <w:lang w:val="en-US"/>
        </w:rPr>
        <w:tab/>
        <w:t>the value of any goods involved in the offence; and</w:t>
      </w:r>
    </w:p>
    <w:p>
      <w:pPr>
        <w:pStyle w:val="nz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nzSubsection"/>
        <w:rPr>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nzSubsection"/>
        <w:rPr>
          <w:lang w:val="en-US"/>
        </w:rPr>
      </w:pPr>
      <w:r>
        <w:rPr>
          <w:lang w:val="en-US"/>
        </w:rPr>
        <w:tab/>
        <w:t>(5)</w:t>
      </w:r>
      <w:r>
        <w:rPr>
          <w:lang w:val="en-US"/>
        </w:rPr>
        <w:tab/>
        <w:t xml:space="preserve">Nothing in this section prevents the court from ordering payment of an amount that is — </w:t>
      </w:r>
    </w:p>
    <w:p>
      <w:pPr>
        <w:pStyle w:val="nzIndenta"/>
        <w:rPr>
          <w:lang w:val="en-US"/>
        </w:rPr>
      </w:pPr>
      <w:r>
        <w:rPr>
          <w:lang w:val="en-US"/>
        </w:rPr>
        <w:tab/>
        <w:t>(a)</w:t>
      </w:r>
      <w:r>
        <w:rPr>
          <w:lang w:val="en-US"/>
        </w:rPr>
        <w:tab/>
        <w:t>less than 3 times the estimated gross commercial benefit; or</w:t>
      </w:r>
    </w:p>
    <w:p>
      <w:pPr>
        <w:pStyle w:val="nzIndenta"/>
        <w:rPr>
          <w:lang w:val="en-US"/>
        </w:rPr>
      </w:pPr>
      <w:r>
        <w:rPr>
          <w:lang w:val="en-US"/>
        </w:rPr>
        <w:tab/>
        <w:t>(b)</w:t>
      </w:r>
      <w:r>
        <w:rPr>
          <w:lang w:val="en-US"/>
        </w:rPr>
        <w:tab/>
        <w:t>less than the estimated gross commercial benefit.</w:t>
      </w:r>
    </w:p>
    <w:p>
      <w:pPr>
        <w:pStyle w:val="nzHeading3"/>
      </w:pPr>
      <w:r>
        <w:rPr>
          <w:rStyle w:val="CharDivNo"/>
        </w:rPr>
        <w:t>Division 4</w:t>
      </w:r>
      <w:r>
        <w:t> — </w:t>
      </w:r>
      <w:r>
        <w:rPr>
          <w:rStyle w:val="CharDivText"/>
        </w:rPr>
        <w:t>Driver and vehicle licence sanctions</w:t>
      </w:r>
    </w:p>
    <w:p>
      <w:pPr>
        <w:pStyle w:val="nzHeading5"/>
      </w:pPr>
      <w:r>
        <w:rPr>
          <w:rStyle w:val="CharSectno"/>
        </w:rPr>
        <w:t>124</w:t>
      </w:r>
      <w:r>
        <w:t>.</w:t>
      </w:r>
      <w:r>
        <w:tab/>
        <w:t>Power to affect driver’s licence</w:t>
      </w:r>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MDLR offence by driver</w:t>
      </w:r>
      <w:r>
        <w:t xml:space="preserve"> means an MDLR offence that — </w:t>
      </w:r>
    </w:p>
    <w:p>
      <w:pPr>
        <w:pStyle w:val="nz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nzDefpara"/>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nzDefstart"/>
      </w:pPr>
      <w:r>
        <w:rPr>
          <w:b/>
        </w:rPr>
        <w:tab/>
      </w:r>
      <w:r>
        <w:rPr>
          <w:rStyle w:val="CharDefText"/>
        </w:rPr>
        <w:t>specified</w:t>
      </w:r>
      <w:r>
        <w:t xml:space="preserve"> means specified by the court.</w:t>
      </w:r>
    </w:p>
    <w:p>
      <w:pPr>
        <w:pStyle w:val="nzSubsection"/>
        <w:rPr>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nzIndenta"/>
        <w:rPr>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nzIndenta"/>
        <w:rPr>
          <w:lang w:val="en-US"/>
        </w:rPr>
      </w:pPr>
      <w:r>
        <w:rPr>
          <w:lang w:val="en-US"/>
        </w:rPr>
        <w:tab/>
        <w:t>(b)</w:t>
      </w:r>
      <w:r>
        <w:rPr>
          <w:lang w:val="en-US"/>
        </w:rPr>
        <w:tab/>
        <w:t xml:space="preserve">that for a specified term not exceeding </w:t>
      </w:r>
      <w:r>
        <w:t>5 years</w:t>
      </w:r>
      <w:r>
        <w:rPr>
          <w:lang w:val="en-US"/>
        </w:rPr>
        <w:t>, the person is disqualified from driving on a road a motor vehicle of a class of a specified kind.</w:t>
      </w:r>
    </w:p>
    <w:p>
      <w:pPr>
        <w:pStyle w:val="nzSubsection"/>
        <w:rPr>
          <w:lang w:val="en-US"/>
        </w:rPr>
      </w:pPr>
      <w:r>
        <w:rPr>
          <w:lang w:val="en-US"/>
        </w:rPr>
        <w:tab/>
        <w:t>(3)</w:t>
      </w:r>
      <w:r>
        <w:rPr>
          <w:lang w:val="en-US"/>
        </w:rPr>
        <w:tab/>
        <w:t xml:space="preserve">An order under this section — </w:t>
      </w:r>
    </w:p>
    <w:p>
      <w:pPr>
        <w:pStyle w:val="nzIndenta"/>
        <w:rPr>
          <w:lang w:val="en-US"/>
        </w:rPr>
      </w:pPr>
      <w:r>
        <w:rPr>
          <w:lang w:val="en-US"/>
        </w:rPr>
        <w:tab/>
        <w:t>(a)</w:t>
      </w:r>
      <w:r>
        <w:rPr>
          <w:lang w:val="en-US"/>
        </w:rPr>
        <w:tab/>
        <w:t>operates by force of this Act and takes effect immediately or from a specified later date; and</w:t>
      </w:r>
    </w:p>
    <w:p>
      <w:pPr>
        <w:pStyle w:val="nzIndenta"/>
        <w:rPr>
          <w:lang w:val="en-US"/>
        </w:rPr>
      </w:pPr>
      <w:r>
        <w:tab/>
        <w:t>(b)</w:t>
      </w:r>
      <w:r>
        <w:tab/>
        <w:t xml:space="preserve">may be made in relation to </w:t>
      </w:r>
      <w:r>
        <w:rPr>
          <w:lang w:val="en-US"/>
        </w:rPr>
        <w:t>a driver’s licence despite the class or classes of vehicles to which it applies.</w:t>
      </w:r>
    </w:p>
    <w:p>
      <w:pPr>
        <w:pStyle w:val="nzSubsection"/>
      </w:pPr>
      <w:r>
        <w:tab/>
        <w:t>(4)</w:t>
      </w:r>
      <w:r>
        <w:tab/>
        <w:t xml:space="preserve">A term mentioned in subsection (2)(a) or (b) is concurrent with — </w:t>
      </w:r>
    </w:p>
    <w:p>
      <w:pPr>
        <w:pStyle w:val="nzIndenta"/>
      </w:pPr>
      <w:r>
        <w:tab/>
        <w:t>(a)</w:t>
      </w:r>
      <w:r>
        <w:tab/>
        <w:t>any other term for which the person is disqualified from obtaining or holding a driver’s licence; or</w:t>
      </w:r>
    </w:p>
    <w:p>
      <w:pPr>
        <w:pStyle w:val="nzIndenta"/>
      </w:pPr>
      <w:r>
        <w:tab/>
        <w:t>(b)</w:t>
      </w:r>
      <w:r>
        <w:tab/>
        <w:t>any term for which the person’s driver’s licence is or may be suspended,</w:t>
      </w:r>
    </w:p>
    <w:p>
      <w:pPr>
        <w:pStyle w:val="nzSubsection"/>
      </w:pPr>
      <w:r>
        <w:tab/>
      </w:r>
      <w:r>
        <w:tab/>
        <w:t>unless the court orders that the term is to be cumulative on those terms.</w:t>
      </w:r>
    </w:p>
    <w:p>
      <w:pPr>
        <w:pStyle w:val="nzSubsection"/>
      </w:pPr>
      <w:r>
        <w:tab/>
        <w:t>(5)</w:t>
      </w:r>
      <w:r>
        <w:tab/>
        <w:t>The court must ensure that the details of the MDLR offence by driver and the order are sent to the CEO.</w:t>
      </w:r>
    </w:p>
    <w:p>
      <w:pPr>
        <w:pStyle w:val="nzSubsection"/>
      </w:pPr>
      <w:r>
        <w:tab/>
        <w:t>(6)</w:t>
      </w:r>
      <w:r>
        <w:tab/>
        <w:t xml:space="preserve">This section does not affect — </w:t>
      </w:r>
    </w:p>
    <w:p>
      <w:pPr>
        <w:pStyle w:val="nzIndenta"/>
      </w:pPr>
      <w:r>
        <w:tab/>
        <w:t>(a)</w:t>
      </w:r>
      <w:r>
        <w:tab/>
        <w:t xml:space="preserve">the operation of the </w:t>
      </w:r>
      <w:r>
        <w:rPr>
          <w:i/>
        </w:rPr>
        <w:t>Motor Vehicle (Third Party Insurance) Act 1943</w:t>
      </w:r>
      <w:r>
        <w:t xml:space="preserve"> section 18; or</w:t>
      </w:r>
    </w:p>
    <w:p>
      <w:pPr>
        <w:pStyle w:val="nzIndenta"/>
      </w:pPr>
      <w:r>
        <w:tab/>
        <w:t>(b)</w:t>
      </w:r>
      <w:r>
        <w:tab/>
        <w:t xml:space="preserve">any power that the court has under the </w:t>
      </w:r>
      <w:r>
        <w:rPr>
          <w:i/>
        </w:rPr>
        <w:t>Sentencing Act 1995</w:t>
      </w:r>
      <w:r>
        <w:t xml:space="preserve"> section 105; or</w:t>
      </w:r>
    </w:p>
    <w:p>
      <w:pPr>
        <w:pStyle w:val="nzIndenta"/>
      </w:pPr>
      <w:r>
        <w:tab/>
        <w:t>(c)</w:t>
      </w:r>
      <w:r>
        <w:tab/>
        <w:t>any other right or duty of a court to disqualify a person from holding or obtaining a driver’s licence.</w:t>
      </w:r>
    </w:p>
    <w:p>
      <w:pPr>
        <w:pStyle w:val="nzHeading5"/>
      </w:pPr>
      <w:r>
        <w:rPr>
          <w:rStyle w:val="CharSectno"/>
        </w:rPr>
        <w:t>125</w:t>
      </w:r>
      <w:r>
        <w:t>.</w:t>
      </w:r>
      <w:r>
        <w:tab/>
        <w:t>Power to affect vehicle licence</w:t>
      </w:r>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MDLR offence by vehicle licence holder</w:t>
      </w:r>
      <w:r>
        <w:t xml:space="preserve"> means an MDLR offence that — </w:t>
      </w:r>
    </w:p>
    <w:p>
      <w:pPr>
        <w:pStyle w:val="nzDefpara"/>
        <w:rPr>
          <w:lang w:val="en-US"/>
        </w:rPr>
      </w:pPr>
      <w:r>
        <w:rPr>
          <w:lang w:val="en-US"/>
        </w:rPr>
        <w:tab/>
        <w:t>(a)</w:t>
      </w:r>
      <w:r>
        <w:rPr>
          <w:lang w:val="en-US"/>
        </w:rPr>
        <w:tab/>
        <w:t>was committed in relation to a vehicle by a person to whom a licence in respect of the vehicle has been granted; and</w:t>
      </w:r>
    </w:p>
    <w:p>
      <w:pPr>
        <w:pStyle w:val="nz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nzDefstart"/>
      </w:pPr>
      <w:r>
        <w:rPr>
          <w:b/>
        </w:rPr>
        <w:tab/>
      </w:r>
      <w:r>
        <w:rPr>
          <w:rStyle w:val="CharDefText"/>
        </w:rPr>
        <w:t>specified</w:t>
      </w:r>
      <w:r>
        <w:t xml:space="preserve"> means specified by the court.</w:t>
      </w:r>
    </w:p>
    <w:p>
      <w:pPr>
        <w:pStyle w:val="nzSubsection"/>
        <w:rPr>
          <w:lang w:val="en-US"/>
        </w:rPr>
      </w:pPr>
      <w:r>
        <w:rPr>
          <w:lang w:val="en-US"/>
        </w:rPr>
        <w:tab/>
        <w:t>(2)</w:t>
      </w:r>
      <w:r>
        <w:rPr>
          <w:lang w:val="en-US"/>
        </w:rPr>
        <w:tab/>
        <w:t xml:space="preserve">The court that finds a person guilty of an MDLR offence by vehicle licence holder may order — </w:t>
      </w:r>
    </w:p>
    <w:p>
      <w:pPr>
        <w:pStyle w:val="nzIndenta"/>
        <w:rPr>
          <w:lang w:val="en-US"/>
        </w:rPr>
      </w:pPr>
      <w:r>
        <w:rPr>
          <w:lang w:val="en-US"/>
        </w:rPr>
        <w:tab/>
        <w:t>(a)</w:t>
      </w:r>
      <w:r>
        <w:rPr>
          <w:lang w:val="en-US"/>
        </w:rPr>
        <w:tab/>
        <w:t xml:space="preserve">that the licence of the vehicle </w:t>
      </w:r>
      <w:r>
        <w:rPr>
          <w:szCs w:val="23"/>
          <w:lang w:val="en-US"/>
        </w:rPr>
        <w:t>is cancelled; and</w:t>
      </w:r>
    </w:p>
    <w:p>
      <w:pPr>
        <w:pStyle w:val="nzIndenta"/>
        <w:rPr>
          <w:lang w:val="en-US"/>
        </w:rPr>
      </w:pPr>
      <w:r>
        <w:rPr>
          <w:lang w:val="en-US"/>
        </w:rPr>
        <w:tab/>
        <w:t>(b)</w:t>
      </w:r>
      <w:r>
        <w:rPr>
          <w:lang w:val="en-US"/>
        </w:rPr>
        <w:tab/>
        <w:t xml:space="preserve">that for a specified term not exceeding </w:t>
      </w:r>
      <w:r>
        <w:t>5 years</w:t>
      </w:r>
      <w:r>
        <w:rPr>
          <w:lang w:val="en-US"/>
        </w:rPr>
        <w:t xml:space="preserve"> the person is disqualified from holding or obtaining a vehicle licence in respect of the vehicle.</w:t>
      </w:r>
    </w:p>
    <w:p>
      <w:pPr>
        <w:pStyle w:val="nzSubsection"/>
        <w:rPr>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nzSubsection"/>
        <w:rPr>
          <w:lang w:val="en-US"/>
        </w:rPr>
      </w:pPr>
      <w:r>
        <w:rPr>
          <w:lang w:val="en-US"/>
        </w:rPr>
        <w:tab/>
        <w:t>(4)</w:t>
      </w:r>
      <w:r>
        <w:rPr>
          <w:lang w:val="en-US"/>
        </w:rPr>
        <w:tab/>
        <w:t>If the court considers that another person who is not present in court may be substantially affected by an order under this section, the court may issue a summons to that other person to show cause why the order should not be made.</w:t>
      </w:r>
    </w:p>
    <w:p>
      <w:pPr>
        <w:pStyle w:val="nzSubsection"/>
        <w:rPr>
          <w:lang w:val="en-US"/>
        </w:rPr>
      </w:pPr>
      <w:r>
        <w:rPr>
          <w:lang w:val="en-US"/>
        </w:rPr>
        <w:tab/>
        <w:t>(5)</w:t>
      </w:r>
      <w:r>
        <w:rPr>
          <w:lang w:val="en-US"/>
        </w:rPr>
        <w:tab/>
        <w:t>An order under this section operates by force of this Act and takes effect immediately or from a later specified date.</w:t>
      </w:r>
    </w:p>
    <w:p>
      <w:pPr>
        <w:pStyle w:val="nz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nzSubsection"/>
      </w:pPr>
      <w:r>
        <w:tab/>
        <w:t>(7)</w:t>
      </w:r>
      <w:r>
        <w:tab/>
        <w:t>The court must ensure that the details of the MDLR offence by vehicle licence holder and the order are sent to the CEO.</w:t>
      </w:r>
    </w:p>
    <w:p>
      <w:pPr>
        <w:pStyle w:val="nzSubsection"/>
      </w:pPr>
      <w:r>
        <w:tab/>
        <w:t>(8)</w:t>
      </w:r>
      <w:r>
        <w:tab/>
        <w:t xml:space="preserve">This section does not affect the operation of the </w:t>
      </w:r>
      <w:r>
        <w:rPr>
          <w:i/>
        </w:rPr>
        <w:t>Fines, Penalties and Infringement Notices Enforcement Act 1994</w:t>
      </w:r>
      <w:r>
        <w:t xml:space="preserve"> section 19 or 43.</w:t>
      </w:r>
    </w:p>
    <w:p>
      <w:pPr>
        <w:pStyle w:val="nzHeading3"/>
      </w:pPr>
      <w:r>
        <w:rPr>
          <w:rStyle w:val="CharDivNo"/>
        </w:rPr>
        <w:t>Division 5</w:t>
      </w:r>
      <w:r>
        <w:t> — </w:t>
      </w:r>
      <w:r>
        <w:rPr>
          <w:rStyle w:val="CharDivText"/>
        </w:rPr>
        <w:t>Supervisory intervention orders</w:t>
      </w:r>
    </w:p>
    <w:p>
      <w:pPr>
        <w:pStyle w:val="nzHeading5"/>
      </w:pPr>
      <w:r>
        <w:rPr>
          <w:rStyle w:val="CharSectno"/>
        </w:rPr>
        <w:t>126</w:t>
      </w:r>
      <w:r>
        <w:t>.</w:t>
      </w:r>
      <w:r>
        <w:tab/>
        <w:t>Supervisory intervention orders</w:t>
      </w:r>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nzDefpara"/>
        <w:rPr>
          <w:lang w:val="en-US"/>
        </w:rPr>
      </w:pPr>
      <w:r>
        <w:rPr>
          <w:lang w:val="en-US"/>
        </w:rPr>
        <w:tab/>
        <w:t>(a)</w:t>
      </w:r>
      <w:r>
        <w:rPr>
          <w:lang w:val="en-US"/>
        </w:rPr>
        <w:tab/>
        <w:t xml:space="preserve">the performance of the person in complying with — </w:t>
      </w:r>
    </w:p>
    <w:p>
      <w:pPr>
        <w:pStyle w:val="nzDefsubpara"/>
        <w:rPr>
          <w:lang w:val="en-US"/>
        </w:rPr>
      </w:pPr>
      <w:r>
        <w:rPr>
          <w:lang w:val="en-US"/>
        </w:rPr>
        <w:tab/>
        <w:t>(i)</w:t>
      </w:r>
      <w:r>
        <w:rPr>
          <w:lang w:val="en-US"/>
        </w:rPr>
        <w:tab/>
        <w:t xml:space="preserve">the breached laws or the provisions of this Act specified in the </w:t>
      </w:r>
      <w:r>
        <w:rPr>
          <w:szCs w:val="23"/>
          <w:lang w:val="en-US"/>
        </w:rPr>
        <w:t>order; and</w:t>
      </w:r>
    </w:p>
    <w:p>
      <w:pPr>
        <w:pStyle w:val="nzDefsubpara"/>
        <w:rPr>
          <w:lang w:val="en-US"/>
        </w:rPr>
      </w:pPr>
      <w:r>
        <w:rPr>
          <w:lang w:val="en-US"/>
        </w:rPr>
        <w:tab/>
        <w:t>(ii)</w:t>
      </w:r>
      <w:r>
        <w:rPr>
          <w:lang w:val="en-US"/>
        </w:rPr>
        <w:tab/>
        <w:t>the requirements of the order;</w:t>
      </w:r>
    </w:p>
    <w:p>
      <w:pPr>
        <w:pStyle w:val="nzDefpara"/>
        <w:rPr>
          <w:lang w:val="en-US"/>
        </w:rPr>
      </w:pPr>
      <w:r>
        <w:rPr>
          <w:lang w:val="en-US"/>
        </w:rPr>
        <w:tab/>
      </w:r>
      <w:r>
        <w:rPr>
          <w:lang w:val="en-US"/>
        </w:rPr>
        <w:tab/>
        <w:t>and</w:t>
      </w:r>
    </w:p>
    <w:p>
      <w:pPr>
        <w:pStyle w:val="nzDefpara"/>
        <w:rPr>
          <w:lang w:val="en-US"/>
        </w:rPr>
      </w:pPr>
      <w:r>
        <w:rPr>
          <w:lang w:val="en-US"/>
        </w:rPr>
        <w:tab/>
        <w:t>(b)</w:t>
      </w:r>
      <w:r>
        <w:rPr>
          <w:lang w:val="en-US"/>
        </w:rPr>
        <w:tab/>
        <w:t xml:space="preserve">without limiting the above — </w:t>
      </w:r>
    </w:p>
    <w:p>
      <w:pPr>
        <w:pStyle w:val="nz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nzDefsubpara"/>
      </w:pPr>
      <w:r>
        <w:tab/>
        <w:t>(ii)</w:t>
      </w:r>
      <w:r>
        <w:tab/>
      </w:r>
      <w:r>
        <w:rPr>
          <w:lang w:val="en-US"/>
        </w:rPr>
        <w:t>the results of those things having been done.</w:t>
      </w:r>
    </w:p>
    <w:p>
      <w:pPr>
        <w:pStyle w:val="nzSubsection"/>
        <w:rPr>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nzSubsection"/>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nz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nzIndenti"/>
        <w:rPr>
          <w:lang w:val="en-US"/>
        </w:rPr>
      </w:pPr>
      <w:r>
        <w:rPr>
          <w:lang w:val="en-US"/>
        </w:rPr>
        <w:tab/>
        <w:t>(i)</w:t>
      </w:r>
      <w:r>
        <w:rPr>
          <w:lang w:val="en-US"/>
        </w:rPr>
        <w:tab/>
        <w:t xml:space="preserve">appointing or removing staff to or from particular </w:t>
      </w:r>
      <w:r>
        <w:rPr>
          <w:szCs w:val="23"/>
          <w:lang w:val="en-US"/>
        </w:rPr>
        <w:t>activities or positions;</w:t>
      </w:r>
    </w:p>
    <w:p>
      <w:pPr>
        <w:pStyle w:val="nzIndenti"/>
        <w:rPr>
          <w:lang w:val="en-US"/>
        </w:rPr>
      </w:pPr>
      <w:r>
        <w:rPr>
          <w:lang w:val="en-US"/>
        </w:rPr>
        <w:tab/>
        <w:t>(ii)</w:t>
      </w:r>
      <w:r>
        <w:rPr>
          <w:lang w:val="en-US"/>
        </w:rPr>
        <w:tab/>
        <w:t>training and supervising staff;</w:t>
      </w:r>
    </w:p>
    <w:p>
      <w:pPr>
        <w:pStyle w:val="nzIndenti"/>
        <w:rPr>
          <w:lang w:val="en-US"/>
        </w:rPr>
      </w:pPr>
      <w:r>
        <w:rPr>
          <w:lang w:val="en-US"/>
        </w:rPr>
        <w:tab/>
        <w:t>(iii)</w:t>
      </w:r>
      <w:r>
        <w:rPr>
          <w:lang w:val="en-US"/>
        </w:rPr>
        <w:tab/>
        <w:t>obtaining expert advice as to compliance;</w:t>
      </w:r>
    </w:p>
    <w:p>
      <w:pPr>
        <w:pStyle w:val="nzIndenti"/>
        <w:rPr>
          <w:lang w:val="en-US"/>
        </w:rPr>
      </w:pPr>
      <w:r>
        <w:rPr>
          <w:lang w:val="en-US"/>
        </w:rPr>
        <w:tab/>
        <w:t>(iv)</w:t>
      </w:r>
      <w:r>
        <w:rPr>
          <w:lang w:val="en-US"/>
        </w:rPr>
        <w:tab/>
        <w:t>installing monitoring, compliance, managerial or operational equipment;</w:t>
      </w:r>
    </w:p>
    <w:p>
      <w:pPr>
        <w:pStyle w:val="nzIndenti"/>
        <w:rPr>
          <w:lang w:val="en-US"/>
        </w:rPr>
      </w:pPr>
      <w:r>
        <w:rPr>
          <w:lang w:val="en-US"/>
        </w:rPr>
        <w:tab/>
        <w:t>(v)</w:t>
      </w:r>
      <w:r>
        <w:rPr>
          <w:lang w:val="en-US"/>
        </w:rPr>
        <w:tab/>
        <w:t>implementing monitoring, compliance, managerial or operational practices, systems or procedures;</w:t>
      </w:r>
    </w:p>
    <w:p>
      <w:pPr>
        <w:pStyle w:val="nzIndenta"/>
        <w:rPr>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nzIndenta"/>
        <w:rPr>
          <w:lang w:val="en-US"/>
        </w:rPr>
      </w:pPr>
      <w:r>
        <w:rPr>
          <w:lang w:val="en-US"/>
        </w:rPr>
        <w:tab/>
        <w:t>(c)</w:t>
      </w:r>
      <w:r>
        <w:rPr>
          <w:lang w:val="en-US"/>
        </w:rPr>
        <w:tab/>
        <w:t>to furnish compliance reports to the CEO or the court or both as specified in the order;</w:t>
      </w:r>
    </w:p>
    <w:p>
      <w:pPr>
        <w:pStyle w:val="nzIndenta"/>
        <w:rPr>
          <w:lang w:val="en-US"/>
        </w:rPr>
      </w:pPr>
      <w:r>
        <w:rPr>
          <w:lang w:val="en-US"/>
        </w:rPr>
        <w:tab/>
        <w:t>(d)</w:t>
      </w:r>
      <w:r>
        <w:rPr>
          <w:lang w:val="en-US"/>
        </w:rPr>
        <w:tab/>
        <w:t xml:space="preserve">to appoint a person to have responsibilities — </w:t>
      </w:r>
    </w:p>
    <w:p>
      <w:pPr>
        <w:pStyle w:val="nzIndenti"/>
        <w:rPr>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nz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nzIndenti"/>
        <w:rPr>
          <w:lang w:val="en-US"/>
        </w:rPr>
      </w:pPr>
      <w:r>
        <w:rPr>
          <w:lang w:val="en-US"/>
        </w:rPr>
        <w:tab/>
        <w:t>(iii)</w:t>
      </w:r>
      <w:r>
        <w:rPr>
          <w:lang w:val="en-US"/>
        </w:rPr>
        <w:tab/>
        <w:t>to furnish compliance reports to the CEO or the court or both as specified in the order.</w:t>
      </w:r>
    </w:p>
    <w:p>
      <w:pPr>
        <w:pStyle w:val="nz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nz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nz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nzIndenta"/>
        <w:rPr>
          <w:lang w:val="en-US"/>
        </w:rPr>
      </w:pPr>
      <w:r>
        <w:rPr>
          <w:lang w:val="en-US"/>
        </w:rPr>
        <w:tab/>
        <w:t>(a)</w:t>
      </w:r>
      <w:r>
        <w:rPr>
          <w:lang w:val="en-US"/>
        </w:rPr>
        <w:tab/>
        <w:t>the MDLR offences for which the person has been convicted</w:t>
      </w:r>
      <w:r>
        <w:rPr>
          <w:szCs w:val="23"/>
          <w:lang w:val="en-US"/>
        </w:rPr>
        <w:t>; and</w:t>
      </w:r>
    </w:p>
    <w:p>
      <w:pPr>
        <w:pStyle w:val="nz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nz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nz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nzIndenta"/>
        <w:rPr>
          <w:lang w:val="en-US"/>
        </w:rPr>
      </w:pPr>
      <w:r>
        <w:rPr>
          <w:lang w:val="en-US"/>
        </w:rPr>
        <w:tab/>
        <w:t>(a)</w:t>
      </w:r>
      <w:r>
        <w:rPr>
          <w:lang w:val="en-US"/>
        </w:rPr>
        <w:tab/>
        <w:t>the CEO; or</w:t>
      </w:r>
    </w:p>
    <w:p>
      <w:pPr>
        <w:pStyle w:val="nz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nzHeading5"/>
      </w:pPr>
      <w:r>
        <w:rPr>
          <w:rStyle w:val="CharSectno"/>
        </w:rPr>
        <w:t>127</w:t>
      </w:r>
      <w:r>
        <w:t>.</w:t>
      </w:r>
      <w:r>
        <w:tab/>
        <w:t>Supervisory intervention order to be complied with</w:t>
      </w:r>
    </w:p>
    <w:p>
      <w:pPr>
        <w:pStyle w:val="nzSubsection"/>
        <w:rPr>
          <w:lang w:val="en-US"/>
        </w:rPr>
      </w:pPr>
      <w:r>
        <w:rPr>
          <w:lang w:val="en-US"/>
        </w:rPr>
        <w:tab/>
      </w:r>
      <w:r>
        <w:rPr>
          <w:lang w:val="en-US"/>
        </w:rPr>
        <w:tab/>
        <w:t>A person who is subject to a supervisory intervention order must not, without reasonable excuse, fail to comply with the order.</w:t>
      </w:r>
    </w:p>
    <w:p>
      <w:pPr>
        <w:pStyle w:val="nzPenstart"/>
      </w:pPr>
      <w:r>
        <w:tab/>
        <w:t>Penalty: a fine of 200 PU.</w:t>
      </w:r>
    </w:p>
    <w:p>
      <w:pPr>
        <w:pStyle w:val="nzHeading3"/>
      </w:pPr>
      <w:r>
        <w:rPr>
          <w:rStyle w:val="CharDivNo"/>
        </w:rPr>
        <w:t>Division 6</w:t>
      </w:r>
      <w:r>
        <w:t> — </w:t>
      </w:r>
      <w:r>
        <w:rPr>
          <w:rStyle w:val="CharDivText"/>
        </w:rPr>
        <w:t>Prohibition orders</w:t>
      </w:r>
    </w:p>
    <w:p>
      <w:pPr>
        <w:pStyle w:val="nzHeading5"/>
      </w:pPr>
      <w:r>
        <w:rPr>
          <w:rStyle w:val="CharSectno"/>
        </w:rPr>
        <w:t>128</w:t>
      </w:r>
      <w:r>
        <w:t>.</w:t>
      </w:r>
      <w:r>
        <w:tab/>
        <w:t>Prohibition orders</w:t>
      </w:r>
    </w:p>
    <w:p>
      <w:pPr>
        <w:pStyle w:val="nzSubsection"/>
        <w:rPr>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nzSubsection"/>
        <w:rPr>
          <w:lang w:val="en-US"/>
        </w:rPr>
      </w:pPr>
      <w:r>
        <w:rPr>
          <w:lang w:val="en-US"/>
        </w:rPr>
        <w:tab/>
        <w:t>(2)</w:t>
      </w:r>
      <w:r>
        <w:rPr>
          <w:lang w:val="en-US"/>
        </w:rPr>
        <w:tab/>
        <w:t>A prohibition order may, for the purpose of restricting opportunities for the person to commit or be involved in the commission of further offences under the breached provisions, prohibit the person, for a specified period, from having a specified role or responsibilities associated with road transport.</w:t>
      </w:r>
    </w:p>
    <w:p>
      <w:pPr>
        <w:pStyle w:val="nzSubsection"/>
        <w:rPr>
          <w:lang w:val="en-US"/>
        </w:rPr>
      </w:pPr>
      <w:r>
        <w:rPr>
          <w:lang w:val="en-US"/>
        </w:rPr>
        <w:tab/>
        <w:t>(3)</w:t>
      </w:r>
      <w:r>
        <w:rPr>
          <w:lang w:val="en-US"/>
        </w:rPr>
        <w:tab/>
        <w:t>The court cannot make a prohibition order that prohibits the person from driving a vehicle or holding or obtaining a vehicle licence in respect of a vehicle.</w:t>
      </w:r>
    </w:p>
    <w:p>
      <w:pPr>
        <w:pStyle w:val="nzSubsection"/>
        <w:rPr>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appropriate, having regard to — </w:t>
      </w:r>
    </w:p>
    <w:p>
      <w:pPr>
        <w:pStyle w:val="nzIndenta"/>
        <w:rPr>
          <w:lang w:val="en-US"/>
        </w:rPr>
      </w:pPr>
      <w:r>
        <w:rPr>
          <w:lang w:val="en-US"/>
        </w:rPr>
        <w:tab/>
        <w:t>(a)</w:t>
      </w:r>
      <w:r>
        <w:rPr>
          <w:lang w:val="en-US"/>
        </w:rPr>
        <w:tab/>
        <w:t>the MDLR offences for which the person has been convicted</w:t>
      </w:r>
      <w:r>
        <w:rPr>
          <w:szCs w:val="23"/>
          <w:lang w:val="en-US"/>
        </w:rPr>
        <w:t>; and</w:t>
      </w:r>
    </w:p>
    <w:p>
      <w:pPr>
        <w:pStyle w:val="nz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nzSubsection"/>
        <w:rPr>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nzIndenta"/>
        <w:rPr>
          <w:lang w:val="en-US"/>
        </w:rPr>
      </w:pPr>
      <w:r>
        <w:rPr>
          <w:lang w:val="en-US"/>
        </w:rPr>
        <w:tab/>
        <w:t>(a)</w:t>
      </w:r>
      <w:r>
        <w:rPr>
          <w:lang w:val="en-US"/>
        </w:rPr>
        <w:tab/>
        <w:t>the CEO; or</w:t>
      </w:r>
    </w:p>
    <w:p>
      <w:pPr>
        <w:pStyle w:val="nz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nzHeading5"/>
      </w:pPr>
      <w:r>
        <w:rPr>
          <w:rStyle w:val="CharSectno"/>
        </w:rPr>
        <w:t>129</w:t>
      </w:r>
      <w:r>
        <w:t>.</w:t>
      </w:r>
      <w:r>
        <w:tab/>
        <w:t>Prohibition order to be complied with</w:t>
      </w:r>
    </w:p>
    <w:p>
      <w:pPr>
        <w:pStyle w:val="nzSubsection"/>
        <w:rPr>
          <w:lang w:val="en-US"/>
        </w:rPr>
      </w:pPr>
      <w:r>
        <w:rPr>
          <w:lang w:val="en-US"/>
        </w:rPr>
        <w:tab/>
      </w:r>
      <w:r>
        <w:rPr>
          <w:lang w:val="en-US"/>
        </w:rPr>
        <w:tab/>
        <w:t>A person who is subject to a prohibition order must not, without reasonable excuse, fail to comply with the order.</w:t>
      </w:r>
    </w:p>
    <w:p>
      <w:pPr>
        <w:pStyle w:val="nzPenstart"/>
      </w:pPr>
      <w:r>
        <w:tab/>
        <w:t>Penalty: a fine of 200 PU.</w:t>
      </w:r>
    </w:p>
    <w:p>
      <w:pPr>
        <w:pStyle w:val="nzHeading2"/>
      </w:pPr>
      <w:r>
        <w:rPr>
          <w:rStyle w:val="CharPartNo"/>
        </w:rPr>
        <w:t>Part 12</w:t>
      </w:r>
      <w:r>
        <w:rPr>
          <w:rStyle w:val="CharDivNo"/>
        </w:rPr>
        <w:t> </w:t>
      </w:r>
      <w:r>
        <w:t>—</w:t>
      </w:r>
      <w:r>
        <w:rPr>
          <w:rStyle w:val="CharDivText"/>
        </w:rPr>
        <w:t> </w:t>
      </w:r>
      <w:r>
        <w:rPr>
          <w:rStyle w:val="CharPartText"/>
        </w:rPr>
        <w:t>Miscellaneous</w:t>
      </w:r>
    </w:p>
    <w:p>
      <w:pPr>
        <w:pStyle w:val="nzHeading5"/>
        <w:rPr>
          <w:snapToGrid w:val="0"/>
        </w:rPr>
      </w:pPr>
      <w:r>
        <w:rPr>
          <w:rStyle w:val="CharSectno"/>
        </w:rPr>
        <w:t>130</w:t>
      </w:r>
      <w:r>
        <w:t>.</w:t>
      </w:r>
      <w:r>
        <w:tab/>
      </w:r>
      <w:r>
        <w:rPr>
          <w:snapToGrid w:val="0"/>
        </w:rPr>
        <w:t>Substitution of vehicle in certain circumstances</w:t>
      </w:r>
    </w:p>
    <w:p>
      <w:pPr>
        <w:pStyle w:val="nzSubsection"/>
      </w:pPr>
      <w:r>
        <w:tab/>
        <w:t>(1)</w:t>
      </w:r>
      <w:r>
        <w:tab/>
        <w:t xml:space="preserve">In this section — </w:t>
      </w:r>
    </w:p>
    <w:p>
      <w:pPr>
        <w:pStyle w:val="nzDefstart"/>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nz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nzSubsection"/>
        <w:rPr>
          <w:snapToGrid w:val="0"/>
        </w:rPr>
      </w:pPr>
      <w:r>
        <w:rPr>
          <w:snapToGrid w:val="0"/>
        </w:rPr>
        <w:tab/>
        <w:t>(3)</w:t>
      </w:r>
      <w:r>
        <w:rPr>
          <w:snapToGrid w:val="0"/>
        </w:rPr>
        <w:tab/>
        <w:t>The CEO is not to give consent for the purposes mentioned in subsection (2) unless the licensee pays the prescribed fee.</w:t>
      </w:r>
    </w:p>
    <w:p>
      <w:pPr>
        <w:pStyle w:val="nzHeading5"/>
        <w:rPr>
          <w:snapToGrid w:val="0"/>
        </w:rPr>
      </w:pPr>
      <w:r>
        <w:rPr>
          <w:rStyle w:val="CharSectno"/>
        </w:rPr>
        <w:t>131</w:t>
      </w:r>
      <w:r>
        <w:t>.</w:t>
      </w:r>
      <w:r>
        <w:tab/>
      </w:r>
      <w:r>
        <w:rPr>
          <w:snapToGrid w:val="0"/>
        </w:rPr>
        <w:t>Motor vehicle pools and insurance</w:t>
      </w:r>
    </w:p>
    <w:p>
      <w:pPr>
        <w:pStyle w:val="nz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nzSubsection"/>
        <w:rPr>
          <w:snapToGrid w:val="0"/>
        </w:rPr>
      </w:pPr>
      <w:r>
        <w:rPr>
          <w:snapToGrid w:val="0"/>
        </w:rPr>
        <w:tab/>
        <w:t>(2)</w:t>
      </w:r>
      <w:r>
        <w:rPr>
          <w:snapToGrid w:val="0"/>
        </w:rPr>
        <w:tab/>
        <w:t>For the purposes of subsection (1), a carriage of passengers is under a motor vehicle pooling arrangement if the carriage — </w:t>
      </w:r>
    </w:p>
    <w:p>
      <w:pPr>
        <w:pStyle w:val="nzIndenta"/>
        <w:rPr>
          <w:snapToGrid w:val="0"/>
        </w:rPr>
      </w:pPr>
      <w:r>
        <w:rPr>
          <w:snapToGrid w:val="0"/>
        </w:rPr>
        <w:tab/>
        <w:t>(a)</w:t>
      </w:r>
      <w:r>
        <w:rPr>
          <w:snapToGrid w:val="0"/>
        </w:rPr>
        <w:tab/>
        <w:t>is incidental to the main purpose of the journey; and</w:t>
      </w:r>
    </w:p>
    <w:p>
      <w:pPr>
        <w:pStyle w:val="nzIndenta"/>
        <w:rPr>
          <w:snapToGrid w:val="0"/>
        </w:rPr>
      </w:pPr>
      <w:r>
        <w:rPr>
          <w:snapToGrid w:val="0"/>
        </w:rPr>
        <w:tab/>
        <w:t>(b)</w:t>
      </w:r>
      <w:r>
        <w:rPr>
          <w:snapToGrid w:val="0"/>
        </w:rPr>
        <w:tab/>
        <w:t>is not the result of touting for passengers by the driver or any other person; and</w:t>
      </w:r>
    </w:p>
    <w:p>
      <w:pPr>
        <w:pStyle w:val="nzIndenta"/>
        <w:rPr>
          <w:snapToGrid w:val="0"/>
        </w:rPr>
      </w:pPr>
      <w:r>
        <w:rPr>
          <w:snapToGrid w:val="0"/>
        </w:rPr>
        <w:tab/>
        <w:t>(c)</w:t>
      </w:r>
      <w:r>
        <w:rPr>
          <w:snapToGrid w:val="0"/>
        </w:rPr>
        <w:tab/>
        <w:t>is under an arrangement for the carriage of the passengers for a consideration limited to — </w:t>
      </w:r>
    </w:p>
    <w:p>
      <w:pPr>
        <w:pStyle w:val="nzIndenti"/>
        <w:rPr>
          <w:snapToGrid w:val="0"/>
        </w:rPr>
      </w:pPr>
      <w:r>
        <w:rPr>
          <w:snapToGrid w:val="0"/>
        </w:rPr>
        <w:tab/>
        <w:t>(i)</w:t>
      </w:r>
      <w:r>
        <w:rPr>
          <w:snapToGrid w:val="0"/>
        </w:rPr>
        <w:tab/>
        <w:t>an undertaking by or on behalf of the passenger to carry the driver or a member of the driver’s family on a similar journey; or</w:t>
      </w:r>
    </w:p>
    <w:p>
      <w:pPr>
        <w:pStyle w:val="nz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nzHeading2"/>
      </w:pPr>
      <w:r>
        <w:rPr>
          <w:rStyle w:val="CharPartNo"/>
        </w:rPr>
        <w:t>Part 13</w:t>
      </w:r>
      <w:r>
        <w:rPr>
          <w:rStyle w:val="CharDivNo"/>
        </w:rPr>
        <w:t> </w:t>
      </w:r>
      <w:r>
        <w:t>—</w:t>
      </w:r>
      <w:r>
        <w:rPr>
          <w:rStyle w:val="CharDivText"/>
        </w:rPr>
        <w:t> </w:t>
      </w:r>
      <w:r>
        <w:rPr>
          <w:rStyle w:val="CharPartText"/>
        </w:rPr>
        <w:t>Regulations</w:t>
      </w:r>
    </w:p>
    <w:p>
      <w:pPr>
        <w:pStyle w:val="nzHeading5"/>
      </w:pPr>
      <w:r>
        <w:rPr>
          <w:rStyle w:val="CharSectno"/>
        </w:rPr>
        <w:t>132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nzIndenta"/>
      </w:pPr>
      <w:r>
        <w:tab/>
        <w:t>(b)</w:t>
      </w:r>
      <w:r>
        <w:tab/>
        <w:t xml:space="preserve">prescribe standards or other requirements in respect of vehicles, including standards or requirements relating to — </w:t>
      </w:r>
    </w:p>
    <w:p>
      <w:pPr>
        <w:pStyle w:val="nzIndenti"/>
      </w:pPr>
      <w:r>
        <w:tab/>
        <w:t>(i)</w:t>
      </w:r>
      <w:r>
        <w:tab/>
        <w:t>the design, construction, efficiency and performance of, and the equipment to be carried on, vehicles; and</w:t>
      </w:r>
    </w:p>
    <w:p>
      <w:pPr>
        <w:pStyle w:val="nzIndenti"/>
      </w:pPr>
      <w:r>
        <w:tab/>
        <w:t>(ii)</w:t>
      </w:r>
      <w:r>
        <w:tab/>
        <w:t>the attachment of operational or safety devices; and</w:t>
      </w:r>
    </w:p>
    <w:p>
      <w:pPr>
        <w:pStyle w:val="nzIndenti"/>
      </w:pPr>
      <w:r>
        <w:tab/>
        <w:t>(iii)</w:t>
      </w:r>
      <w:r>
        <w:tab/>
        <w:t>roadworthiness; and</w:t>
      </w:r>
    </w:p>
    <w:p>
      <w:pPr>
        <w:pStyle w:val="nzIndenti"/>
      </w:pPr>
      <w:r>
        <w:tab/>
        <w:t>(iv)</w:t>
      </w:r>
      <w:r>
        <w:tab/>
        <w:t>safety, emissions and noise; and</w:t>
      </w:r>
    </w:p>
    <w:p>
      <w:pPr>
        <w:pStyle w:val="nzIndenti"/>
      </w:pPr>
      <w:r>
        <w:tab/>
        <w:t>(v)</w:t>
      </w:r>
      <w:r>
        <w:tab/>
        <w:t>the coupling of trailers and motor vehicles; and</w:t>
      </w:r>
    </w:p>
    <w:p>
      <w:pPr>
        <w:pStyle w:val="nzIndenti"/>
      </w:pPr>
      <w:r>
        <w:tab/>
        <w:t>(vi)</w:t>
      </w:r>
      <w:r>
        <w:tab/>
        <w:t>the identification of vehicles or components of vehicles; and</w:t>
      </w:r>
    </w:p>
    <w:p>
      <w:pPr>
        <w:pStyle w:val="nzIndenti"/>
      </w:pPr>
      <w:r>
        <w:tab/>
        <w:t>(vii)</w:t>
      </w:r>
      <w:r>
        <w:tab/>
        <w:t>security of vehicles and the equipment to be fitted to vehicles for the purposes of security;</w:t>
      </w:r>
    </w:p>
    <w:p>
      <w:pPr>
        <w:pStyle w:val="nzIndenta"/>
      </w:pPr>
      <w:r>
        <w:tab/>
      </w:r>
      <w:r>
        <w:tab/>
        <w:t>and</w:t>
      </w:r>
    </w:p>
    <w:p>
      <w:pPr>
        <w:pStyle w:val="nzIndenta"/>
        <w:rPr>
          <w:snapToGrid w:val="0"/>
        </w:rPr>
      </w:pPr>
      <w:r>
        <w:rPr>
          <w:snapToGrid w:val="0"/>
        </w:rPr>
        <w:tab/>
        <w:t>(c)</w:t>
      </w:r>
      <w:r>
        <w:rPr>
          <w:snapToGrid w:val="0"/>
        </w:rPr>
        <w:tab/>
        <w:t>provide for the examination and testing of vehicles including —</w:t>
      </w:r>
    </w:p>
    <w:p>
      <w:pPr>
        <w:pStyle w:val="nz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nzIndenti"/>
        <w:rPr>
          <w:snapToGrid w:val="0"/>
        </w:rPr>
      </w:pPr>
      <w:r>
        <w:rPr>
          <w:snapToGrid w:val="0"/>
        </w:rPr>
        <w:tab/>
        <w:t>(ii)</w:t>
      </w:r>
      <w:r>
        <w:rPr>
          <w:snapToGrid w:val="0"/>
        </w:rPr>
        <w:tab/>
        <w:t>requiring the payment of fees for the examination and testing of vehicles for the purposes of this Act; and</w:t>
      </w:r>
    </w:p>
    <w:p>
      <w:pPr>
        <w:pStyle w:val="nz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nzIndenta"/>
      </w:pPr>
      <w:r>
        <w:tab/>
      </w:r>
      <w:r>
        <w:tab/>
        <w:t>and</w:t>
      </w:r>
    </w:p>
    <w:p>
      <w:pPr>
        <w:pStyle w:val="nzIndenta"/>
      </w:pPr>
      <w:r>
        <w:tab/>
        <w:t>(d)</w:t>
      </w:r>
      <w:r>
        <w:tab/>
        <w:t>provide for the issue, return, retrieval and destruction of number plates except number plates issued under section 13(2) or 26(2) or optional number plates as defined in section 136; and</w:t>
      </w:r>
    </w:p>
    <w:p>
      <w:pPr>
        <w:pStyle w:val="nzIndenta"/>
        <w:rPr>
          <w:snapToGrid w:val="0"/>
        </w:rPr>
      </w:pPr>
      <w:r>
        <w:rPr>
          <w:snapToGrid w:val="0"/>
        </w:rPr>
        <w:tab/>
        <w:t>(e)</w:t>
      </w:r>
      <w:r>
        <w:rPr>
          <w:snapToGrid w:val="0"/>
        </w:rPr>
        <w:tab/>
        <w:t>prohibit or regulate the manufacture, sale or supply of — </w:t>
      </w:r>
    </w:p>
    <w:p>
      <w:pPr>
        <w:pStyle w:val="nzIndenti"/>
        <w:rPr>
          <w:snapToGrid w:val="0"/>
        </w:rPr>
      </w:pPr>
      <w:r>
        <w:rPr>
          <w:snapToGrid w:val="0"/>
        </w:rPr>
        <w:tab/>
        <w:t>(i)</w:t>
      </w:r>
      <w:r>
        <w:rPr>
          <w:snapToGrid w:val="0"/>
        </w:rPr>
        <w:tab/>
        <w:t>replicas or imitations of number plates; or</w:t>
      </w:r>
    </w:p>
    <w:p>
      <w:pPr>
        <w:pStyle w:val="nzIndenti"/>
        <w:rPr>
          <w:snapToGrid w:val="0"/>
        </w:rPr>
      </w:pPr>
      <w:r>
        <w:rPr>
          <w:snapToGrid w:val="0"/>
        </w:rPr>
        <w:tab/>
        <w:t>(ii)</w:t>
      </w:r>
      <w:r>
        <w:rPr>
          <w:snapToGrid w:val="0"/>
        </w:rPr>
        <w:tab/>
        <w:t>articles similar to number plates,</w:t>
      </w:r>
    </w:p>
    <w:p>
      <w:pPr>
        <w:pStyle w:val="nzIndenta"/>
        <w:rPr>
          <w:snapToGrid w:val="0"/>
        </w:rPr>
      </w:pPr>
      <w:r>
        <w:rPr>
          <w:snapToGrid w:val="0"/>
        </w:rPr>
        <w:tab/>
      </w:r>
      <w:r>
        <w:rPr>
          <w:snapToGrid w:val="0"/>
        </w:rPr>
        <w:tab/>
        <w:t>and provide for the confiscation and disposal of such replicas, imitations or articles; and</w:t>
      </w:r>
    </w:p>
    <w:p>
      <w:pPr>
        <w:pStyle w:val="nzIndenta"/>
      </w:pPr>
      <w:r>
        <w:rPr>
          <w:snapToGrid w:val="0"/>
        </w:rPr>
        <w:tab/>
        <w:t>(f)</w:t>
      </w:r>
      <w:r>
        <w:rPr>
          <w:snapToGrid w:val="0"/>
        </w:rPr>
        <w:tab/>
        <w:t>enable vehicles to be driven and tested; and</w:t>
      </w:r>
    </w:p>
    <w:p>
      <w:pPr>
        <w:pStyle w:val="nzIndenta"/>
      </w:pPr>
      <w:r>
        <w:tab/>
        <w:t>(g)</w:t>
      </w:r>
      <w:r>
        <w:tab/>
        <w:t>prescribe a minimum age at which an individual may apply for the grant or transfer of a vehicle licence and providing for the applicant to provide proof of age and identity; and</w:t>
      </w:r>
    </w:p>
    <w:p>
      <w:pPr>
        <w:pStyle w:val="nzIndenta"/>
      </w:pPr>
      <w:r>
        <w:tab/>
        <w:t>(h)</w:t>
      </w:r>
      <w:r>
        <w:tab/>
        <w:t>provide for matters relating to vehicles that are used to warn other road users of the presence of other vehicles; and</w:t>
      </w:r>
    </w:p>
    <w:p>
      <w:pPr>
        <w:pStyle w:val="nzIndenta"/>
      </w:pPr>
      <w:r>
        <w:rPr>
          <w:snapToGrid w:val="0"/>
        </w:rPr>
        <w:tab/>
        <w:t>(i)</w:t>
      </w:r>
      <w:r>
        <w:rPr>
          <w:snapToGrid w:val="0"/>
        </w:rPr>
        <w:tab/>
        <w:t>impose penalties not exceeding a fine of 24 PU for a first offence, and not exceeding a fine of 48 PU for any subsequent offence, under a regulation; and</w:t>
      </w:r>
    </w:p>
    <w:p>
      <w:pPr>
        <w:pStyle w:val="nz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nz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nzIndenta"/>
      </w:pPr>
      <w:r>
        <w:tab/>
        <w:t>(l)</w:t>
      </w:r>
      <w:r>
        <w:tab/>
        <w:t>require a statutory declaration to be made about a matter.</w:t>
      </w:r>
    </w:p>
    <w:p>
      <w:pPr>
        <w:pStyle w:val="nz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nzHeading5"/>
      </w:pPr>
      <w:r>
        <w:rPr>
          <w:rStyle w:val="CharSectno"/>
        </w:rPr>
        <w:t>133</w:t>
      </w:r>
      <w:r>
        <w:t>.</w:t>
      </w:r>
      <w:r>
        <w:tab/>
        <w:t>Exemptions from regulations about vehicle standards etc.</w:t>
      </w:r>
    </w:p>
    <w:p>
      <w:pPr>
        <w:pStyle w:val="nzSubsection"/>
      </w:pPr>
      <w:r>
        <w:tab/>
      </w:r>
      <w:r>
        <w:tab/>
        <w:t>The regulations may provide for the CEO to grant exemptions from regulations made under section 132(2)(b).</w:t>
      </w:r>
    </w:p>
    <w:p>
      <w:pPr>
        <w:pStyle w:val="nzHeading5"/>
      </w:pPr>
      <w:r>
        <w:rPr>
          <w:rStyle w:val="CharSectno"/>
        </w:rPr>
        <w:t>134</w:t>
      </w:r>
      <w:r>
        <w:t>.</w:t>
      </w:r>
      <w:r>
        <w:tab/>
        <w:t>Exemptions from regulations in emergencies</w:t>
      </w:r>
    </w:p>
    <w:p>
      <w:pPr>
        <w:pStyle w:val="nz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or water or services such as sewage disposal; and</w:t>
      </w:r>
    </w:p>
    <w:p>
      <w:pPr>
        <w:pStyle w:val="nzIndenta"/>
      </w:pPr>
      <w:r>
        <w:tab/>
        <w:t>(b)</w:t>
      </w:r>
      <w:r>
        <w:tab/>
        <w:t>the exemption does not present an unreasonable danger to other road users.</w:t>
      </w:r>
    </w:p>
    <w:p>
      <w:pPr>
        <w:pStyle w:val="nzHeading5"/>
      </w:pPr>
      <w:r>
        <w:rPr>
          <w:rStyle w:val="CharSectno"/>
        </w:rPr>
        <w:t>135</w:t>
      </w:r>
      <w:r>
        <w:t>.</w:t>
      </w:r>
      <w:r>
        <w:tab/>
        <w:t>Regulations about exemptions</w:t>
      </w:r>
    </w:p>
    <w:p>
      <w:pPr>
        <w:pStyle w:val="nzSubsection"/>
      </w:pPr>
      <w:r>
        <w:tab/>
        <w:t>(1)</w:t>
      </w:r>
      <w:r>
        <w:tab/>
        <w:t xml:space="preserve">In this section — </w:t>
      </w:r>
    </w:p>
    <w:p>
      <w:pPr>
        <w:pStyle w:val="nzDefstart"/>
      </w:pPr>
      <w:r>
        <w:rPr>
          <w:b/>
        </w:rPr>
        <w:tab/>
      </w:r>
      <w:r>
        <w:rPr>
          <w:rStyle w:val="CharDefText"/>
        </w:rPr>
        <w:t>exemption</w:t>
      </w:r>
      <w:r>
        <w:t xml:space="preserve"> means an exemption granted under a regulation mentioned in section 133 or 134.</w:t>
      </w:r>
    </w:p>
    <w:p>
      <w:pPr>
        <w:pStyle w:val="nzSubsection"/>
      </w:pPr>
      <w:r>
        <w:tab/>
        <w:t>(2)</w:t>
      </w:r>
      <w:r>
        <w:tab/>
        <w:t xml:space="preserve">The regulations may provide for — </w:t>
      </w:r>
    </w:p>
    <w:p>
      <w:pPr>
        <w:pStyle w:val="nzIndenta"/>
      </w:pPr>
      <w:r>
        <w:tab/>
        <w:t>(a)</w:t>
      </w:r>
      <w:r>
        <w:tab/>
        <w:t>applications for exemptions to be granted; and</w:t>
      </w:r>
    </w:p>
    <w:p>
      <w:pPr>
        <w:pStyle w:val="nzIndenta"/>
      </w:pPr>
      <w:r>
        <w:tab/>
        <w:t>(b)</w:t>
      </w:r>
      <w:r>
        <w:tab/>
        <w:t>the submission of information and documentation in support of applications; and</w:t>
      </w:r>
    </w:p>
    <w:p>
      <w:pPr>
        <w:pStyle w:val="nzIndenta"/>
      </w:pPr>
      <w:r>
        <w:tab/>
        <w:t>(c)</w:t>
      </w:r>
      <w:r>
        <w:tab/>
        <w:t>the grounds for granting exemptions; and</w:t>
      </w:r>
    </w:p>
    <w:p>
      <w:pPr>
        <w:pStyle w:val="nzIndenta"/>
      </w:pPr>
      <w:r>
        <w:tab/>
        <w:t>(d)</w:t>
      </w:r>
      <w:r>
        <w:tab/>
        <w:t>the form, content and publication of the documents by which exemptions are made; and</w:t>
      </w:r>
    </w:p>
    <w:p>
      <w:pPr>
        <w:pStyle w:val="nzIndenta"/>
      </w:pPr>
      <w:r>
        <w:tab/>
        <w:t>(e)</w:t>
      </w:r>
      <w:r>
        <w:tab/>
        <w:t>the duration of exemptions; and</w:t>
      </w:r>
    </w:p>
    <w:p>
      <w:pPr>
        <w:pStyle w:val="nzIndenta"/>
      </w:pPr>
      <w:r>
        <w:tab/>
        <w:t>(f)</w:t>
      </w:r>
      <w:r>
        <w:tab/>
        <w:t xml:space="preserve">without limiting the application of the </w:t>
      </w:r>
      <w:r>
        <w:rPr>
          <w:i/>
        </w:rPr>
        <w:t>Interpretation Act 1984</w:t>
      </w:r>
      <w:r>
        <w:t xml:space="preserve"> section 50(2)(b), the conditions to which exemptions are, or may be, subject; and</w:t>
      </w:r>
    </w:p>
    <w:p>
      <w:pPr>
        <w:pStyle w:val="nzIndenta"/>
      </w:pPr>
      <w:r>
        <w:tab/>
        <w:t>(g)</w:t>
      </w:r>
      <w:r>
        <w:tab/>
        <w:t>the effect of exemptions and failing to comply with conditions of exemptions; and</w:t>
      </w:r>
    </w:p>
    <w:p>
      <w:pPr>
        <w:pStyle w:val="nzIndenta"/>
      </w:pPr>
      <w:r>
        <w:tab/>
        <w:t>(h)</w:t>
      </w:r>
      <w:r>
        <w:tab/>
        <w:t>applications for, and other matters relating to, the variation of exemptions; and</w:t>
      </w:r>
    </w:p>
    <w:p>
      <w:pPr>
        <w:pStyle w:val="nzIndenta"/>
      </w:pPr>
      <w:r>
        <w:tab/>
        <w:t>(i)</w:t>
      </w:r>
      <w:r>
        <w:tab/>
        <w:t>the suspension or cancellation of an exemption; and</w:t>
      </w:r>
    </w:p>
    <w:p>
      <w:pPr>
        <w:pStyle w:val="nzIndenta"/>
      </w:pPr>
      <w:r>
        <w:tab/>
        <w:t>(j)</w:t>
      </w:r>
      <w:r>
        <w:tab/>
        <w:t>fees for applications mentioned in paragraphs (a) and (h).</w:t>
      </w:r>
    </w:p>
    <w:p>
      <w:pPr>
        <w:pStyle w:val="nzHeading5"/>
      </w:pPr>
      <w:r>
        <w:rPr>
          <w:rStyle w:val="CharSectno"/>
        </w:rPr>
        <w:t>136</w:t>
      </w:r>
      <w:r>
        <w:t>.</w:t>
      </w:r>
      <w:r>
        <w:tab/>
        <w:t>Schemes for optional number plates</w:t>
      </w:r>
    </w:p>
    <w:p>
      <w:pPr>
        <w:pStyle w:val="nzSubsection"/>
      </w:pPr>
      <w:r>
        <w:tab/>
        <w:t>(1)</w:t>
      </w:r>
      <w:r>
        <w:tab/>
        <w:t xml:space="preserve">The regulations may provide for schemes under which the CEO — </w:t>
      </w:r>
    </w:p>
    <w:p>
      <w:pPr>
        <w:pStyle w:val="nz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nzIndenta"/>
      </w:pPr>
      <w:r>
        <w:tab/>
        <w:t>(b)</w:t>
      </w:r>
      <w:r>
        <w:tab/>
        <w:t>supplies and, if necessary, replaces optional number plates; or</w:t>
      </w:r>
    </w:p>
    <w:p>
      <w:pPr>
        <w:pStyle w:val="nzIndenta"/>
      </w:pPr>
      <w:r>
        <w:tab/>
        <w:t>(c)</w:t>
      </w:r>
      <w:r>
        <w:tab/>
        <w:t>permits the transfer from one person to another of the right to use optional number plates; or</w:t>
      </w:r>
    </w:p>
    <w:p>
      <w:pPr>
        <w:pStyle w:val="nzIndenta"/>
      </w:pPr>
      <w:r>
        <w:tab/>
        <w:t>(d)</w:t>
      </w:r>
      <w:r>
        <w:tab/>
        <w:t>gives directions as to which vehicle optional number plates are to be used; or</w:t>
      </w:r>
    </w:p>
    <w:p>
      <w:pPr>
        <w:pStyle w:val="nzIndenta"/>
      </w:pPr>
      <w:r>
        <w:tab/>
        <w:t>(e)</w:t>
      </w:r>
      <w:r>
        <w:tab/>
        <w:t>is given the power to cancel, with or without compensation, a person’s right to use optional number plates if charges due and payable in respect of that right remain unpaid for a prescribed period.</w:t>
      </w:r>
    </w:p>
    <w:p>
      <w:pPr>
        <w:pStyle w:val="nzSubsection"/>
      </w:pPr>
      <w:r>
        <w:tab/>
        <w:t>(2)</w:t>
      </w:r>
      <w:r>
        <w:tab/>
        <w:t>The rights may be for a specified period or otherwise.</w:t>
      </w:r>
    </w:p>
    <w:p>
      <w:pPr>
        <w:pStyle w:val="nzSubsection"/>
      </w:pPr>
      <w:r>
        <w:tab/>
        <w:t>(3)</w:t>
      </w:r>
      <w:r>
        <w:tab/>
        <w:t xml:space="preserve">A scheme may be designed to be operated commercially but — </w:t>
      </w:r>
    </w:p>
    <w:p>
      <w:pPr>
        <w:pStyle w:val="nzIndenta"/>
      </w:pPr>
      <w:r>
        <w:tab/>
        <w:t>(a)</w:t>
      </w:r>
      <w:r>
        <w:tab/>
        <w:t xml:space="preserve">the sale of the rights allocated is to be — </w:t>
      </w:r>
    </w:p>
    <w:p>
      <w:pPr>
        <w:pStyle w:val="nzIndenti"/>
      </w:pPr>
      <w:r>
        <w:tab/>
        <w:t>(i)</w:t>
      </w:r>
      <w:r>
        <w:tab/>
        <w:t xml:space="preserve">by public auction or public tender; or </w:t>
      </w:r>
    </w:p>
    <w:p>
      <w:pPr>
        <w:pStyle w:val="nzIndenti"/>
      </w:pPr>
      <w:r>
        <w:tab/>
        <w:t>(ii)</w:t>
      </w:r>
      <w:r>
        <w:tab/>
        <w:t>if the Treasurer authorises the sale to be by private treaty or any other means, by the means authorised;</w:t>
      </w:r>
    </w:p>
    <w:p>
      <w:pPr>
        <w:pStyle w:val="nzIndenta"/>
      </w:pPr>
      <w:r>
        <w:tab/>
      </w:r>
      <w:r>
        <w:tab/>
        <w:t>and</w:t>
      </w:r>
    </w:p>
    <w:p>
      <w:pPr>
        <w:pStyle w:val="nzIndenta"/>
      </w:pPr>
      <w:r>
        <w:tab/>
        <w:t>(b)</w:t>
      </w:r>
      <w:r>
        <w:tab/>
        <w:t>any other charge under a scheme is to be prescribed in the regulations.</w:t>
      </w:r>
    </w:p>
    <w:p>
      <w:pPr>
        <w:pStyle w:val="nz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nzSubsection"/>
      </w:pPr>
      <w:r>
        <w:tab/>
        <w:t>(5)</w:t>
      </w:r>
      <w:r>
        <w:tab/>
        <w:t>The regulations may deal with matters that it is necessary or convenient to deal with for the purposes of, or in connection with, schemes relating to optional number plates.</w:t>
      </w:r>
    </w:p>
    <w:p>
      <w:pPr>
        <w:pStyle w:val="nzHeading5"/>
      </w:pPr>
      <w:r>
        <w:rPr>
          <w:rStyle w:val="CharSectno"/>
        </w:rPr>
        <w:t>137</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rPr>
          <w:rStyle w:val="CharSectno"/>
        </w:rPr>
        <w:t>138</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nzHeading2"/>
      </w:pPr>
      <w:r>
        <w:rPr>
          <w:rStyle w:val="CharPartNo"/>
        </w:rPr>
        <w:t>Part 14</w:t>
      </w:r>
      <w:r>
        <w:t> — </w:t>
      </w:r>
      <w:r>
        <w:rPr>
          <w:rStyle w:val="CharPartText"/>
        </w:rPr>
        <w:t>Transitional provisions</w:t>
      </w:r>
    </w:p>
    <w:p>
      <w:pPr>
        <w:pStyle w:val="nzHeading3"/>
      </w:pPr>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p>
    <w:p>
      <w:pPr>
        <w:pStyle w:val="nzHeading5"/>
      </w:pPr>
      <w:r>
        <w:rPr>
          <w:rStyle w:val="CharSectno"/>
        </w:rPr>
        <w:t>139</w:t>
      </w:r>
      <w:r>
        <w:t>.</w:t>
      </w:r>
      <w:r>
        <w:tab/>
        <w:t xml:space="preserve">Terms used </w:t>
      </w:r>
    </w:p>
    <w:p>
      <w:pPr>
        <w:pStyle w:val="nzSubsection"/>
      </w:pPr>
      <w:r>
        <w:tab/>
      </w:r>
      <w:r>
        <w:tab/>
        <w:t xml:space="preserve">In this Division — </w:t>
      </w:r>
    </w:p>
    <w:p>
      <w:pPr>
        <w:pStyle w:val="nzDefstart"/>
      </w:pPr>
      <w:r>
        <w:rPr>
          <w:b/>
        </w:rPr>
        <w:tab/>
      </w:r>
      <w:r>
        <w:rPr>
          <w:rStyle w:val="CharDefText"/>
        </w:rPr>
        <w:t>amending Act</w:t>
      </w:r>
      <w:r>
        <w:t xml:space="preserve"> means the </w:t>
      </w:r>
      <w:r>
        <w:rPr>
          <w:i/>
          <w:iCs/>
        </w:rPr>
        <w:t>Road Traffic Legislation Amendment Act 2011</w:t>
      </w:r>
      <w:r>
        <w:t>;</w:t>
      </w:r>
    </w:p>
    <w:p>
      <w:pPr>
        <w:pStyle w:val="nz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140</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141</w:t>
      </w:r>
      <w:r>
        <w:t>.</w:t>
      </w:r>
      <w:r>
        <w:tab/>
        <w:t>Vehicle licences, applications</w:t>
      </w:r>
    </w:p>
    <w:p>
      <w:pPr>
        <w:pStyle w:val="nz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nz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nzHeading5"/>
      </w:pPr>
      <w:r>
        <w:rPr>
          <w:rStyle w:val="CharSectno"/>
        </w:rPr>
        <w:t>142</w:t>
      </w:r>
      <w:r>
        <w:t>.</w:t>
      </w:r>
      <w:r>
        <w:tab/>
        <w:t>Transfer of vehicle licences</w:t>
      </w:r>
    </w:p>
    <w:p>
      <w:pPr>
        <w:pStyle w:val="nzSubsection"/>
      </w:pPr>
      <w:r>
        <w:tab/>
        <w:t>(1)</w:t>
      </w:r>
      <w:r>
        <w:tab/>
        <w:t xml:space="preserve">If, before commencement day — </w:t>
      </w:r>
    </w:p>
    <w:p>
      <w:pPr>
        <w:pStyle w:val="nzIndenta"/>
      </w:pPr>
      <w:r>
        <w:tab/>
        <w:t>(a)</w:t>
      </w:r>
      <w:r>
        <w:tab/>
        <w:t>a notice under the RT Act section 24(1)(a)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10(1)(a).</w:t>
      </w:r>
    </w:p>
    <w:p>
      <w:pPr>
        <w:pStyle w:val="nzSubsection"/>
      </w:pPr>
      <w:r>
        <w:tab/>
        <w:t>(2)</w:t>
      </w:r>
      <w:r>
        <w:tab/>
        <w:t xml:space="preserve">If, before commencement day — </w:t>
      </w:r>
    </w:p>
    <w:p>
      <w:pPr>
        <w:pStyle w:val="nzIndenta"/>
      </w:pPr>
      <w:r>
        <w:tab/>
        <w:t>(a)</w:t>
      </w:r>
      <w:r>
        <w:tab/>
        <w:t>a notice under the RT Act section 24(2) had been given to the Director General; and</w:t>
      </w:r>
    </w:p>
    <w:p>
      <w:pPr>
        <w:pStyle w:val="nzIndenta"/>
      </w:pPr>
      <w:r>
        <w:tab/>
        <w:t>(b)</w:t>
      </w:r>
      <w:r>
        <w:tab/>
        <w:t>the Director General had not taken action under the RT Act section 24(2a),</w:t>
      </w:r>
    </w:p>
    <w:p>
      <w:pPr>
        <w:pStyle w:val="nzSubsection"/>
      </w:pPr>
      <w:r>
        <w:tab/>
      </w:r>
      <w:r>
        <w:tab/>
        <w:t>on and from commencement day, the notice is to be taken to be a notice given under section 10(2).</w:t>
      </w:r>
    </w:p>
    <w:p>
      <w:pPr>
        <w:pStyle w:val="nzSubsection"/>
      </w:pPr>
      <w:r>
        <w:tab/>
        <w:t>(3)</w:t>
      </w:r>
      <w:r>
        <w:tab/>
        <w:t>A notice under the RT Act section 24(2a)(a) that was in effect immediately before commencement day is, on and from commencement day, to be taken to be a notice under section 10(3)(a).</w:t>
      </w:r>
    </w:p>
    <w:p>
      <w:pPr>
        <w:pStyle w:val="nzSubsection"/>
      </w:pPr>
      <w:r>
        <w:tab/>
        <w:t>(4)</w:t>
      </w:r>
      <w:r>
        <w:tab/>
        <w:t>A notice under the RT Act section 24(2a)(b) that was in effect immediately before commencement day is, on and from commencement day, to be taken to be a notice under section 10(3)(b).</w:t>
      </w:r>
    </w:p>
    <w:p>
      <w:pPr>
        <w:pStyle w:val="nzHeading5"/>
      </w:pPr>
      <w:r>
        <w:rPr>
          <w:rStyle w:val="CharSectno"/>
        </w:rPr>
        <w:t>143</w:t>
      </w:r>
      <w:r>
        <w:t>.</w:t>
      </w:r>
      <w:r>
        <w:tab/>
        <w:t>Change of nominated owner</w:t>
      </w:r>
    </w:p>
    <w:p>
      <w:pPr>
        <w:pStyle w:val="nzSubsection"/>
      </w:pPr>
      <w:r>
        <w:tab/>
      </w:r>
      <w:r>
        <w:tab/>
        <w:t xml:space="preserve">If, before commencement day — </w:t>
      </w:r>
    </w:p>
    <w:p>
      <w:pPr>
        <w:pStyle w:val="nzIndenta"/>
      </w:pPr>
      <w:r>
        <w:tab/>
        <w:t>(a)</w:t>
      </w:r>
      <w:r>
        <w:tab/>
        <w:t>an application is made under the RT Act section 24B(1); and</w:t>
      </w:r>
    </w:p>
    <w:p>
      <w:pPr>
        <w:pStyle w:val="nzIndenta"/>
      </w:pPr>
      <w:r>
        <w:tab/>
        <w:t>(b)</w:t>
      </w:r>
      <w:r>
        <w:tab/>
        <w:t>the application is not approved or refused,</w:t>
      </w:r>
    </w:p>
    <w:p>
      <w:pPr>
        <w:pStyle w:val="nzSubsection"/>
      </w:pPr>
      <w:r>
        <w:tab/>
      </w:r>
      <w:r>
        <w:tab/>
        <w:t>on and from commencement day, the application is to be taken to be an application made under section 12(1).</w:t>
      </w:r>
    </w:p>
    <w:p>
      <w:pPr>
        <w:pStyle w:val="nzHeading5"/>
      </w:pPr>
      <w:r>
        <w:rPr>
          <w:rStyle w:val="CharSectno"/>
        </w:rPr>
        <w:t>144</w:t>
      </w:r>
      <w:r>
        <w:t>.</w:t>
      </w:r>
      <w:r>
        <w:tab/>
        <w:t>Permits, etc., for unlicensed vehicles</w:t>
      </w:r>
    </w:p>
    <w:p>
      <w:pPr>
        <w:pStyle w:val="nzSubsection"/>
      </w:pPr>
      <w:r>
        <w:tab/>
        <w:t>(1)</w:t>
      </w:r>
      <w:r>
        <w:tab/>
        <w:t>A permit under the RT Act section 26(1) that was in effect immediately before commencement day is, on and from commencement day, to be taken to be a permit under section 13(1).</w:t>
      </w:r>
    </w:p>
    <w:p>
      <w:pPr>
        <w:pStyle w:val="nzSubsection"/>
      </w:pPr>
      <w:r>
        <w:tab/>
        <w:t>(2)</w:t>
      </w:r>
      <w:r>
        <w:tab/>
        <w:t>Number plates issued under the RT Act section 26(2) that were in effect immediately before commencement day are, on and from commencement day, to be taken to be number plates issued under section 13(2).</w:t>
      </w:r>
    </w:p>
    <w:p>
      <w:pPr>
        <w:pStyle w:val="nzSubsection"/>
      </w:pPr>
      <w:r>
        <w:tab/>
        <w:t>(3)</w:t>
      </w:r>
      <w:r>
        <w:tab/>
        <w:t>A notice under the RT Act section 26(5) that was in effect immediately before commencement day is, on and from commencement day, to be taken to be a notice under section 13(5).</w:t>
      </w:r>
    </w:p>
    <w:p>
      <w:pPr>
        <w:pStyle w:val="nzHeading5"/>
      </w:pPr>
      <w:r>
        <w:rPr>
          <w:rStyle w:val="CharSectno"/>
        </w:rPr>
        <w:t>145</w:t>
      </w:r>
      <w:r>
        <w:t>.</w:t>
      </w:r>
      <w:r>
        <w:tab/>
        <w:t>Register of vehicle licences</w:t>
      </w:r>
    </w:p>
    <w:p>
      <w:pPr>
        <w:pStyle w:val="nzSubsection"/>
      </w:pPr>
      <w:r>
        <w:tab/>
      </w:r>
      <w:r>
        <w:tab/>
        <w:t>A register under the RT Act section 27(1) that was in effect immediately before commencement day is, on and from commencement day, to be taken to be a register under section 14.</w:t>
      </w:r>
    </w:p>
    <w:p>
      <w:pPr>
        <w:pStyle w:val="nzHeading5"/>
      </w:pPr>
      <w:r>
        <w:rPr>
          <w:rStyle w:val="CharSectno"/>
        </w:rPr>
        <w:t>146</w:t>
      </w:r>
      <w:r>
        <w:t>.</w:t>
      </w:r>
      <w:r>
        <w:tab/>
        <w:t>Minister may require vehicles to be inspected</w:t>
      </w:r>
    </w:p>
    <w:p>
      <w:pPr>
        <w:pStyle w:val="nzSubsection"/>
      </w:pPr>
      <w:r>
        <w:tab/>
      </w:r>
      <w:r>
        <w:tab/>
        <w:t>A notice published under the RT Act section 29(1) that was in effect immediately before commencement day is, on and from commencement day, to be taken to be an order published under section 19(1).</w:t>
      </w:r>
    </w:p>
    <w:p>
      <w:pPr>
        <w:pStyle w:val="nzHeading5"/>
      </w:pPr>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p>
    <w:p>
      <w:pPr>
        <w:pStyle w:val="nz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nz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nz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nzSubsection"/>
      </w:pPr>
      <w:r>
        <w:tab/>
        <w:t>(4)</w:t>
      </w:r>
      <w:r>
        <w:tab/>
        <w:t>A temporary plate issued under the RT Act section 39(2) that was in use immediately before commencement day is, on and from commencement day, to be taken to be a temporary plate issued under section 26(2).</w:t>
      </w:r>
    </w:p>
    <w:p>
      <w:pPr>
        <w:pStyle w:val="nzHeading5"/>
      </w:pPr>
      <w:r>
        <w:rPr>
          <w:rStyle w:val="CharSectno"/>
        </w:rPr>
        <w:t>148</w:t>
      </w:r>
      <w:r>
        <w:t>.</w:t>
      </w:r>
      <w:r>
        <w:tab/>
        <w:t>Vehicle examiners and inspection stations</w:t>
      </w:r>
    </w:p>
    <w:p>
      <w:pPr>
        <w:pStyle w:val="nzSubsection"/>
        <w:rPr>
          <w:lang w:val="en-US"/>
        </w:rPr>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nzSubsection"/>
        <w:rPr>
          <w:lang w:val="en-US"/>
        </w:rPr>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nzSubsection"/>
      </w:pPr>
      <w:r>
        <w:tab/>
        <w:t>(3)</w:t>
      </w:r>
      <w:r>
        <w:tab/>
        <w:t>Subsections (1) and (2) do not apply to a public service officer who, on commencement day, holds an office, post or position in the department principally assisting the Minister in the administration of this Act.</w:t>
      </w:r>
    </w:p>
    <w:p>
      <w:pPr>
        <w:pStyle w:val="nzHeading5"/>
      </w:pPr>
      <w:r>
        <w:rPr>
          <w:rStyle w:val="CharSectno"/>
        </w:rPr>
        <w:t>149</w:t>
      </w:r>
      <w:r>
        <w:t>.</w:t>
      </w:r>
      <w:r>
        <w:tab/>
        <w:t>Mass requirements for class 3 vehicles used in Harvest Mass Management Scheme</w:t>
      </w:r>
    </w:p>
    <w:p>
      <w:pPr>
        <w:pStyle w:val="nz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nzHeading5"/>
      </w:pPr>
      <w:r>
        <w:rPr>
          <w:rStyle w:val="CharSectno"/>
        </w:rPr>
        <w:t>150</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bookmarkEnd w:id="41"/>
    <w:bookmarkEnd w:id="42"/>
    <w:bookmarkEnd w:id="43"/>
    <w:bookmarkEnd w:id="44"/>
    <w:bookmarkEnd w:id="45"/>
    <w:bookmarkEnd w:id="46"/>
    <w:bookmarkEnd w:id="47"/>
    <w:bookmarkEnd w:id="48"/>
    <w:bookmarkEnd w:id="49"/>
    <w:bookmarkEnd w:id="50"/>
    <w:bookmarkEnd w:id="51"/>
    <w:bookmarkEnd w:id="52"/>
    <w:bookmarkEnd w:id="53"/>
    <w:bookmarkEnd w:id="54"/>
    <w:p>
      <w:pPr>
        <w:sectPr>
          <w:headerReference w:type="even" r:id="rId26"/>
          <w:headerReference w:type="default" r:id="rId27"/>
          <w:headerReference w:type="first" r:id="rId28"/>
          <w:pgSz w:w="11906" w:h="16838" w:code="9"/>
          <w:pgMar w:top="2376" w:right="2404" w:bottom="3544" w:left="2404" w:header="720" w:footer="3379"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(Vehicles)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Road Traffic (Vehicles)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(Vehicles)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Road Traffic (Vehicles)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14</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27391</Words>
  <Characters>129834</Characters>
  <Application>Microsoft Office Word</Application>
  <DocSecurity>0</DocSecurity>
  <Lines>3416</Lines>
  <Paragraphs>1917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155308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2012 - 00-a0-01</dc:title>
  <dc:subject/>
  <dc:creator/>
  <cp:keywords/>
  <dc:description/>
  <cp:lastModifiedBy>svcMRProcess</cp:lastModifiedBy>
  <cp:revision>4</cp:revision>
  <cp:lastPrinted>2012-05-21T07:58:00Z</cp:lastPrinted>
  <dcterms:created xsi:type="dcterms:W3CDTF">2018-09-18T22:05:00Z</dcterms:created>
  <dcterms:modified xsi:type="dcterms:W3CDTF">2018-09-18T22:05:00Z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AsAtDate">
    <vt:lpwstr>21 May 2012</vt:lpwstr>
  </property>
  <property fmtid="{D5CDD505-2E9C-101B-9397-08002B2CF9AE}" pid="4" name="Suffix">
    <vt:lpwstr>00-a0-01</vt:lpwstr>
  </property>
  <property fmtid="{D5CDD505-2E9C-101B-9397-08002B2CF9AE}" pid="5" name="CommencementDate">
    <vt:lpwstr>20120521</vt:lpwstr>
  </property>
  <property fmtid="{D5CDD505-2E9C-101B-9397-08002B2CF9AE}" pid="6" name="DocumentType">
    <vt:lpwstr>Act</vt:lpwstr>
  </property>
</Properties>
</file>