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Settlement Agents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Settlement Agents Act 1981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_Toc378948273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_Toc378948274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_Toc378948275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settlement agent</w:t>
      </w:r>
      <w:r>
        <w:tab/>
      </w:r>
      <w:r>
        <w:fldChar w:fldCharType="begin"/>
      </w:r>
      <w:r>
        <w:instrText xml:space="preserve"> PAGEREF _Toc378948276 \h </w:instrText>
      </w:r>
      <w:r>
        <w:fldChar w:fldCharType="separate"/>
      </w:r>
      <w:r>
        <w:t>6</w:t>
      </w:r>
      <w:r>
        <w:fldChar w:fldCharType="end"/>
      </w:r>
    </w:p>
    <w:p>
      <w:pPr>
        <w:pStyle w:val="TOC8"/>
        <w:rPr>
          <w:rFonts w:asciiTheme="minorHAnsi" w:eastAsiaTheme="minorEastAsia" w:hAnsiTheme="minorHAnsi" w:cstheme="minorBidi"/>
          <w:szCs w:val="22"/>
        </w:rPr>
      </w:pPr>
      <w:r>
        <w:t>22.</w:t>
      </w:r>
      <w:r>
        <w:tab/>
        <w:t>Powers of investigation</w:t>
      </w:r>
      <w:r>
        <w:tab/>
      </w:r>
      <w:r>
        <w:fldChar w:fldCharType="begin"/>
      </w:r>
      <w:r>
        <w:instrText xml:space="preserve"> PAGEREF _Toc378948277 \h </w:instrText>
      </w:r>
      <w:r>
        <w:fldChar w:fldCharType="separate"/>
      </w:r>
      <w:r>
        <w:t>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review by SAT</w:t>
      </w:r>
      <w:r>
        <w:tab/>
      </w:r>
      <w:r>
        <w:fldChar w:fldCharType="begin"/>
      </w:r>
      <w:r>
        <w:instrText xml:space="preserve"> PAGEREF _Toc378948278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III — Licensing</w:t>
      </w:r>
    </w:p>
    <w:p>
      <w:pPr>
        <w:pStyle w:val="TOC8"/>
        <w:rPr>
          <w:rFonts w:asciiTheme="minorHAnsi" w:eastAsiaTheme="minorEastAsia" w:hAnsiTheme="minorHAnsi" w:cstheme="minorBidi"/>
          <w:szCs w:val="22"/>
        </w:rPr>
      </w:pPr>
      <w:r>
        <w:t>24</w:t>
      </w:r>
      <w:r>
        <w:rPr>
          <w:snapToGrid w:val="0"/>
        </w:rPr>
        <w:t>.</w:t>
      </w:r>
      <w:r>
        <w:rPr>
          <w:snapToGrid w:val="0"/>
        </w:rPr>
        <w:tab/>
        <w:t>Applications for licences</w:t>
      </w:r>
      <w:r>
        <w:tab/>
      </w:r>
      <w:r>
        <w:fldChar w:fldCharType="begin"/>
      </w:r>
      <w:r>
        <w:instrText xml:space="preserve"> PAGEREF _Toc378948280 \h </w:instrText>
      </w:r>
      <w:r>
        <w:fldChar w:fldCharType="separate"/>
      </w:r>
      <w:r>
        <w:t>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Objections to grants of licences</w:t>
      </w:r>
      <w:r>
        <w:tab/>
      </w:r>
      <w:r>
        <w:fldChar w:fldCharType="begin"/>
      </w:r>
      <w:r>
        <w:instrText xml:space="preserve"> PAGEREF _Toc378948281 \h </w:instrText>
      </w:r>
      <w:r>
        <w:fldChar w:fldCharType="separate"/>
      </w:r>
      <w:r>
        <w:t>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Settlement agents must be licensed</w:t>
      </w:r>
      <w:r>
        <w:tab/>
      </w:r>
      <w:r>
        <w:fldChar w:fldCharType="begin"/>
      </w:r>
      <w:r>
        <w:instrText xml:space="preserve"> PAGEREF _Toc378948282 \h </w:instrText>
      </w:r>
      <w:r>
        <w:fldChar w:fldCharType="separate"/>
      </w:r>
      <w:r>
        <w:t>10</w:t>
      </w:r>
      <w:r>
        <w:fldChar w:fldCharType="end"/>
      </w:r>
    </w:p>
    <w:p>
      <w:pPr>
        <w:pStyle w:val="TOC8"/>
        <w:rPr>
          <w:rFonts w:asciiTheme="minorHAnsi" w:eastAsiaTheme="minorEastAsia" w:hAnsiTheme="minorHAnsi" w:cstheme="minorBidi"/>
          <w:szCs w:val="22"/>
        </w:rPr>
      </w:pPr>
      <w:r>
        <w:t>26A</w:t>
      </w:r>
      <w:r>
        <w:rPr>
          <w:snapToGrid w:val="0"/>
        </w:rPr>
        <w:t xml:space="preserve">. </w:t>
      </w:r>
      <w:r>
        <w:rPr>
          <w:snapToGrid w:val="0"/>
        </w:rPr>
        <w:tab/>
        <w:t>Licensed real estate agent may be exempted for certain settlements</w:t>
      </w:r>
      <w:r>
        <w:tab/>
      </w:r>
      <w:r>
        <w:fldChar w:fldCharType="begin"/>
      </w:r>
      <w:r>
        <w:instrText xml:space="preserve"> PAGEREF _Toc378948283 \h </w:instrText>
      </w:r>
      <w:r>
        <w:fldChar w:fldCharType="separate"/>
      </w:r>
      <w:r>
        <w:t>10</w:t>
      </w:r>
      <w:r>
        <w:fldChar w:fldCharType="end"/>
      </w:r>
    </w:p>
    <w:p>
      <w:pPr>
        <w:pStyle w:val="TOC8"/>
        <w:rPr>
          <w:rFonts w:asciiTheme="minorHAnsi" w:eastAsiaTheme="minorEastAsia" w:hAnsiTheme="minorHAnsi" w:cstheme="minorBidi"/>
          <w:szCs w:val="22"/>
        </w:rPr>
      </w:pPr>
      <w:r>
        <w:t>26B</w:t>
      </w:r>
      <w:r>
        <w:rPr>
          <w:snapToGrid w:val="0"/>
        </w:rPr>
        <w:t xml:space="preserve">. </w:t>
      </w:r>
      <w:r>
        <w:rPr>
          <w:snapToGrid w:val="0"/>
        </w:rPr>
        <w:tab/>
        <w:t>Licensed business agent may be exempted for certain settlements</w:t>
      </w:r>
      <w:r>
        <w:tab/>
      </w:r>
      <w:r>
        <w:fldChar w:fldCharType="begin"/>
      </w:r>
      <w:r>
        <w:instrText xml:space="preserve"> PAGEREF _Toc378948284 \h </w:instrText>
      </w:r>
      <w:r>
        <w:fldChar w:fldCharType="separate"/>
      </w:r>
      <w:r>
        <w:t>13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Natural persons, licensing of</w:t>
      </w:r>
      <w:r>
        <w:tab/>
      </w:r>
      <w:r>
        <w:fldChar w:fldCharType="begin"/>
      </w:r>
      <w:r>
        <w:instrText xml:space="preserve"> PAGEREF _Toc378948285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Firms, licensing of</w:t>
      </w:r>
      <w:r>
        <w:tab/>
      </w:r>
      <w:r>
        <w:fldChar w:fldCharType="begin"/>
      </w:r>
      <w:r>
        <w:instrText xml:space="preserve"> PAGEREF _Toc378948286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Bodies corporate, licensing of</w:t>
      </w:r>
      <w:r>
        <w:tab/>
      </w:r>
      <w:r>
        <w:fldChar w:fldCharType="begin"/>
      </w:r>
      <w:r>
        <w:instrText xml:space="preserve"> PAGEREF _Toc378948287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 effect of</w:t>
      </w:r>
      <w:r>
        <w:tab/>
      </w:r>
      <w:r>
        <w:fldChar w:fldCharType="begin"/>
      </w:r>
      <w:r>
        <w:instrText xml:space="preserve"> PAGEREF _Toc378948288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Triennial certificates, grant and renewal of</w:t>
      </w:r>
      <w:r>
        <w:tab/>
      </w:r>
      <w:r>
        <w:fldChar w:fldCharType="begin"/>
      </w:r>
      <w:r>
        <w:instrText xml:space="preserve"> PAGEREF _Toc378948289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Triennial certificates, late renewal of</w:t>
      </w:r>
      <w:r>
        <w:tab/>
      </w:r>
      <w:r>
        <w:fldChar w:fldCharType="begin"/>
      </w:r>
      <w:r>
        <w:instrText xml:space="preserve"> PAGEREF _Toc378948290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Triennial certificates expired for over a year, applications to renew</w:t>
      </w:r>
      <w:r>
        <w:tab/>
      </w:r>
      <w:r>
        <w:fldChar w:fldCharType="begin"/>
      </w:r>
      <w:r>
        <w:instrText xml:space="preserve"> PAGEREF _Toc378948291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Conditions on licences and triennial certificates</w:t>
      </w:r>
      <w:r>
        <w:tab/>
      </w:r>
      <w:r>
        <w:fldChar w:fldCharType="begin"/>
      </w:r>
      <w:r>
        <w:instrText xml:space="preserve"> PAGEREF _Toc378948292 \h </w:instrText>
      </w:r>
      <w:r>
        <w:fldChar w:fldCharType="separate"/>
      </w:r>
      <w:r>
        <w:t>21</w:t>
      </w:r>
      <w:r>
        <w:fldChar w:fldCharType="end"/>
      </w:r>
    </w:p>
    <w:p>
      <w:pPr>
        <w:pStyle w:val="TOC8"/>
        <w:rPr>
          <w:rFonts w:asciiTheme="minorHAnsi" w:eastAsiaTheme="minorEastAsia" w:hAnsiTheme="minorHAnsi" w:cstheme="minorBidi"/>
          <w:szCs w:val="22"/>
        </w:rPr>
      </w:pPr>
      <w:r>
        <w:t>34A</w:t>
      </w:r>
      <w:r>
        <w:rPr>
          <w:snapToGrid w:val="0"/>
        </w:rPr>
        <w:t>.</w:t>
      </w:r>
      <w:r>
        <w:tab/>
        <w:t>Unopposed applications</w:t>
      </w:r>
      <w:r>
        <w:tab/>
      </w:r>
      <w:r>
        <w:fldChar w:fldCharType="begin"/>
      </w:r>
      <w:r>
        <w:instrText xml:space="preserve"> PAGEREF _Toc378948293 \h </w:instrText>
      </w:r>
      <w:r>
        <w:fldChar w:fldCharType="separate"/>
      </w:r>
      <w:r>
        <w:t>21</w:t>
      </w:r>
      <w:r>
        <w:fldChar w:fldCharType="end"/>
      </w:r>
    </w:p>
    <w:p>
      <w:pPr>
        <w:pStyle w:val="TOC8"/>
        <w:rPr>
          <w:rFonts w:asciiTheme="minorHAnsi" w:eastAsiaTheme="minorEastAsia" w:hAnsiTheme="minorHAnsi" w:cstheme="minorBidi"/>
          <w:szCs w:val="22"/>
        </w:rPr>
      </w:pPr>
      <w:r>
        <w:t>34B.</w:t>
      </w:r>
      <w:r>
        <w:tab/>
        <w:t>SAT may suspend licence in some cases</w:t>
      </w:r>
      <w:r>
        <w:tab/>
      </w:r>
      <w:r>
        <w:fldChar w:fldCharType="begin"/>
      </w:r>
      <w:r>
        <w:instrText xml:space="preserve"> PAGEREF _Toc378948294 \h </w:instrText>
      </w:r>
      <w:r>
        <w:fldChar w:fldCharType="separate"/>
      </w:r>
      <w:r>
        <w:t>22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Fidelity insurance and professional indemnity insurance for licensees</w:t>
      </w:r>
      <w:r>
        <w:tab/>
      </w:r>
      <w:r>
        <w:fldChar w:fldCharType="begin"/>
      </w:r>
      <w:r>
        <w:instrText xml:space="preserve"> PAGEREF _Toc378948295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Licensees to notify Commissioner of certain changes</w:t>
      </w:r>
      <w:r>
        <w:tab/>
      </w:r>
      <w:r>
        <w:fldChar w:fldCharType="begin"/>
      </w:r>
      <w:r>
        <w:instrText xml:space="preserve"> PAGEREF _Toc378948296 \h </w:instrText>
      </w:r>
      <w:r>
        <w:fldChar w:fldCharType="separate"/>
      </w:r>
      <w:r>
        <w:t>25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Registered office of licensee</w:t>
      </w:r>
      <w:r>
        <w:tab/>
      </w:r>
      <w:r>
        <w:fldChar w:fldCharType="begin"/>
      </w:r>
      <w:r>
        <w:instrText xml:space="preserve"> PAGEREF _Toc378948297 \h </w:instrText>
      </w:r>
      <w:r>
        <w:fldChar w:fldCharType="separate"/>
      </w:r>
      <w:r>
        <w:t>25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Branch office of licensee</w:t>
      </w:r>
      <w:r>
        <w:tab/>
      </w:r>
      <w:r>
        <w:fldChar w:fldCharType="begin"/>
      </w:r>
      <w:r>
        <w:instrText xml:space="preserve"> PAGEREF _Toc378948298 \h </w:instrText>
      </w:r>
      <w:r>
        <w:fldChar w:fldCharType="separate"/>
      </w:r>
      <w:r>
        <w:t>26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Triennial certificates, contents of</w:t>
      </w:r>
      <w:r>
        <w:tab/>
      </w:r>
      <w:r>
        <w:fldChar w:fldCharType="begin"/>
      </w:r>
      <w:r>
        <w:instrText xml:space="preserve"> PAGEREF _Toc378948299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Licence and triennial certificate not transferable etc.</w:t>
      </w:r>
      <w:r>
        <w:tab/>
      </w:r>
      <w:r>
        <w:fldChar w:fldCharType="begin"/>
      </w:r>
      <w:r>
        <w:instrText xml:space="preserve"> PAGEREF _Toc378948300 \h </w:instrText>
      </w:r>
      <w:r>
        <w:fldChar w:fldCharType="separate"/>
      </w:r>
      <w:r>
        <w:t>27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Use of business names by licensees</w:t>
      </w:r>
      <w:r>
        <w:tab/>
      </w:r>
      <w:r>
        <w:fldChar w:fldCharType="begin"/>
      </w:r>
      <w:r>
        <w:instrText xml:space="preserve"> PAGEREF _Toc378948301 \h </w:instrText>
      </w:r>
      <w:r>
        <w:fldChar w:fldCharType="separate"/>
      </w:r>
      <w:r>
        <w:t>27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Notices to be exhibited at offices; particulars to appear on documents</w:t>
      </w:r>
      <w:r>
        <w:tab/>
      </w:r>
      <w:r>
        <w:fldChar w:fldCharType="begin"/>
      </w:r>
      <w:r>
        <w:instrText xml:space="preserve"> PAGEREF _Toc378948302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IV — Controls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43</w:t>
      </w:r>
      <w:r>
        <w:rPr>
          <w:snapToGrid w:val="0"/>
        </w:rPr>
        <w:t>.</w:t>
      </w:r>
      <w:r>
        <w:rPr>
          <w:snapToGrid w:val="0"/>
        </w:rPr>
        <w:tab/>
        <w:t>Remuneration of settlement agents</w:t>
      </w:r>
      <w:r>
        <w:tab/>
      </w:r>
      <w:r>
        <w:fldChar w:fldCharType="begin"/>
      </w:r>
      <w:r>
        <w:instrText xml:space="preserve"> PAGEREF _Toc378948305 \h </w:instrText>
      </w:r>
      <w:r>
        <w:fldChar w:fldCharType="separate"/>
      </w:r>
      <w:r>
        <w:t>29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Maximum remuneration, disputes over remuneration etc.</w:t>
      </w:r>
      <w:r>
        <w:tab/>
      </w:r>
      <w:r>
        <w:fldChar w:fldCharType="begin"/>
      </w:r>
      <w:r>
        <w:instrText xml:space="preserve"> PAGEREF _Toc378948306 \h </w:instrText>
      </w:r>
      <w:r>
        <w:fldChar w:fldCharType="separate"/>
      </w:r>
      <w:r>
        <w:t>31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Records and premises, licensees’ duties as to</w:t>
      </w:r>
      <w:r>
        <w:tab/>
      </w:r>
      <w:r>
        <w:fldChar w:fldCharType="begin"/>
      </w:r>
      <w:r>
        <w:instrText xml:space="preserve"> PAGEREF _Toc378948307 \h </w:instrText>
      </w:r>
      <w:r>
        <w:fldChar w:fldCharType="separate"/>
      </w:r>
      <w:r>
        <w:t>33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Real estate settlement agents, functions of</w:t>
      </w:r>
      <w:r>
        <w:tab/>
      </w:r>
      <w:r>
        <w:fldChar w:fldCharType="begin"/>
      </w:r>
      <w:r>
        <w:instrText xml:space="preserve"> PAGEREF _Toc378948308 \h </w:instrText>
      </w:r>
      <w:r>
        <w:fldChar w:fldCharType="separate"/>
      </w:r>
      <w:r>
        <w:t>33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Business settlement agents, functions of</w:t>
      </w:r>
      <w:r>
        <w:tab/>
      </w:r>
      <w:r>
        <w:fldChar w:fldCharType="begin"/>
      </w:r>
      <w:r>
        <w:instrText xml:space="preserve"> PAGEREF _Toc378948309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Trust accounts</w:t>
      </w:r>
    </w:p>
    <w:p>
      <w:pPr>
        <w:pStyle w:val="TOC8"/>
        <w:rPr>
          <w:rFonts w:asciiTheme="minorHAnsi" w:eastAsiaTheme="minorEastAsia" w:hAnsiTheme="minorHAnsi" w:cstheme="minorBidi"/>
          <w:szCs w:val="22"/>
        </w:rPr>
      </w:pPr>
      <w:r>
        <w:t>48</w:t>
      </w:r>
      <w:r>
        <w:rPr>
          <w:snapToGrid w:val="0"/>
        </w:rPr>
        <w:t>.</w:t>
      </w:r>
      <w:r>
        <w:rPr>
          <w:snapToGrid w:val="0"/>
        </w:rPr>
        <w:tab/>
        <w:t>Terms used</w:t>
      </w:r>
      <w:r>
        <w:tab/>
      </w:r>
      <w:r>
        <w:fldChar w:fldCharType="begin"/>
      </w:r>
      <w:r>
        <w:instrText xml:space="preserve"> PAGEREF _Toc378948311 \h </w:instrText>
      </w:r>
      <w:r>
        <w:fldChar w:fldCharType="separate"/>
      </w:r>
      <w:r>
        <w:t>35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Trust accounts etc. of licensees</w:t>
      </w:r>
      <w:r>
        <w:tab/>
      </w:r>
      <w:r>
        <w:fldChar w:fldCharType="begin"/>
      </w:r>
      <w:r>
        <w:instrText xml:space="preserve"> PAGEREF _Toc378948312 \h </w:instrText>
      </w:r>
      <w:r>
        <w:fldChar w:fldCharType="separate"/>
      </w:r>
      <w:r>
        <w:t>36</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t>Client may ask settlement agent for separate trust account</w:t>
      </w:r>
      <w:r>
        <w:tab/>
      </w:r>
      <w:r>
        <w:fldChar w:fldCharType="begin"/>
      </w:r>
      <w:r>
        <w:instrText xml:space="preserve"> PAGEREF _Toc378948313 \h </w:instrText>
      </w:r>
      <w:r>
        <w:fldChar w:fldCharType="separate"/>
      </w:r>
      <w:r>
        <w:t>38</w:t>
      </w:r>
      <w:r>
        <w:fldChar w:fldCharType="end"/>
      </w:r>
    </w:p>
    <w:p>
      <w:pPr>
        <w:pStyle w:val="TOC8"/>
        <w:rPr>
          <w:rFonts w:asciiTheme="minorHAnsi" w:eastAsiaTheme="minorEastAsia" w:hAnsiTheme="minorHAnsi" w:cstheme="minorBidi"/>
          <w:szCs w:val="22"/>
        </w:rPr>
      </w:pPr>
      <w:r>
        <w:t>49B</w:t>
      </w:r>
      <w:r>
        <w:rPr>
          <w:snapToGrid w:val="0"/>
        </w:rPr>
        <w:t xml:space="preserve">. </w:t>
      </w:r>
      <w:r>
        <w:rPr>
          <w:snapToGrid w:val="0"/>
        </w:rPr>
        <w:tab/>
        <w:t>Interest on trust accounts</w:t>
      </w:r>
      <w:r>
        <w:tab/>
      </w:r>
      <w:r>
        <w:fldChar w:fldCharType="begin"/>
      </w:r>
      <w:r>
        <w:instrText xml:space="preserve"> PAGEREF _Toc378948314 \h </w:instrText>
      </w:r>
      <w:r>
        <w:fldChar w:fldCharType="separate"/>
      </w:r>
      <w:r>
        <w:t>39</w:t>
      </w:r>
      <w:r>
        <w:fldChar w:fldCharType="end"/>
      </w:r>
    </w:p>
    <w:p>
      <w:pPr>
        <w:pStyle w:val="TOC8"/>
        <w:rPr>
          <w:rFonts w:asciiTheme="minorHAnsi" w:eastAsiaTheme="minorEastAsia" w:hAnsiTheme="minorHAnsi" w:cstheme="minorBidi"/>
          <w:szCs w:val="22"/>
        </w:rPr>
      </w:pPr>
      <w:r>
        <w:t>49C</w:t>
      </w:r>
      <w:r>
        <w:rPr>
          <w:snapToGrid w:val="0"/>
        </w:rPr>
        <w:t xml:space="preserve">. </w:t>
      </w:r>
      <w:r>
        <w:rPr>
          <w:snapToGrid w:val="0"/>
        </w:rPr>
        <w:tab/>
        <w:t>Settlement agents to give Commissioner information about trust accounts</w:t>
      </w:r>
      <w:r>
        <w:tab/>
      </w:r>
      <w:r>
        <w:fldChar w:fldCharType="begin"/>
      </w:r>
      <w:r>
        <w:instrText xml:space="preserve"> PAGEREF _Toc378948315 \h </w:instrText>
      </w:r>
      <w:r>
        <w:fldChar w:fldCharType="separate"/>
      </w:r>
      <w:r>
        <w:t>39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Receipts, accounts etc. by settlement agents</w:t>
      </w:r>
      <w:r>
        <w:tab/>
      </w:r>
      <w:r>
        <w:fldChar w:fldCharType="begin"/>
      </w:r>
      <w:r>
        <w:instrText xml:space="preserve"> PAGEREF _Toc378948316 \h </w:instrText>
      </w:r>
      <w:r>
        <w:fldChar w:fldCharType="separate"/>
      </w:r>
      <w:r>
        <w:t>40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Audits of trust accounts</w:t>
      </w:r>
      <w:r>
        <w:tab/>
      </w:r>
      <w:r>
        <w:fldChar w:fldCharType="begin"/>
      </w:r>
      <w:r>
        <w:instrText xml:space="preserve"> PAGEREF _Toc378948317 \h </w:instrText>
      </w:r>
      <w:r>
        <w:fldChar w:fldCharType="separate"/>
      </w:r>
      <w:r>
        <w:t>41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Date of audit, Commissioner may change</w:t>
      </w:r>
      <w:r>
        <w:tab/>
      </w:r>
      <w:r>
        <w:fldChar w:fldCharType="begin"/>
      </w:r>
      <w:r>
        <w:instrText xml:space="preserve"> PAGEREF _Toc378948318 \h </w:instrText>
      </w:r>
      <w:r>
        <w:fldChar w:fldCharType="separate"/>
      </w:r>
      <w:r>
        <w:t>43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Auditors, qualification and approval of</w:t>
      </w:r>
      <w:r>
        <w:tab/>
      </w:r>
      <w:r>
        <w:fldChar w:fldCharType="begin"/>
      </w:r>
      <w:r>
        <w:instrText xml:space="preserve"> PAGEREF _Toc378948319 \h </w:instrText>
      </w:r>
      <w:r>
        <w:fldChar w:fldCharType="separate"/>
      </w:r>
      <w:r>
        <w:t>43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Auditors, appointment of</w:t>
      </w:r>
      <w:r>
        <w:tab/>
      </w:r>
      <w:r>
        <w:fldChar w:fldCharType="begin"/>
      </w:r>
      <w:r>
        <w:instrText xml:space="preserve"> PAGEREF _Toc378948320 \h </w:instrText>
      </w:r>
      <w:r>
        <w:fldChar w:fldCharType="separate"/>
      </w:r>
      <w:r>
        <w:t>44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Audit of business carried on at more than one place, directions as to</w:t>
      </w:r>
      <w:r>
        <w:tab/>
      </w:r>
      <w:r>
        <w:fldChar w:fldCharType="begin"/>
      </w:r>
      <w:r>
        <w:instrText xml:space="preserve"> PAGEREF _Toc378948321 \h </w:instrText>
      </w:r>
      <w:r>
        <w:fldChar w:fldCharType="separate"/>
      </w:r>
      <w:r>
        <w:t>44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Approvals etc. under this Division, Commissioner’s power to cancel etc.</w:t>
      </w:r>
      <w:r>
        <w:tab/>
      </w:r>
      <w:r>
        <w:fldChar w:fldCharType="begin"/>
      </w:r>
      <w:r>
        <w:instrText xml:space="preserve"> PAGEREF _Toc378948322 \h </w:instrText>
      </w:r>
      <w:r>
        <w:fldChar w:fldCharType="separate"/>
      </w:r>
      <w:r>
        <w:t>45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Audits, settlement agents’ duties and auditors’ powers as to</w:t>
      </w:r>
      <w:r>
        <w:tab/>
      </w:r>
      <w:r>
        <w:fldChar w:fldCharType="begin"/>
      </w:r>
      <w:r>
        <w:instrText xml:space="preserve"> PAGEREF _Toc378948323 \h </w:instrText>
      </w:r>
      <w:r>
        <w:fldChar w:fldCharType="separate"/>
      </w:r>
      <w:r>
        <w:t>45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Audits, bankers’ duties as to</w:t>
      </w:r>
      <w:r>
        <w:tab/>
      </w:r>
      <w:r>
        <w:fldChar w:fldCharType="begin"/>
      </w:r>
      <w:r>
        <w:instrText xml:space="preserve"> PAGEREF _Toc378948324 \h </w:instrText>
      </w:r>
      <w:r>
        <w:fldChar w:fldCharType="separate"/>
      </w:r>
      <w:r>
        <w:t>45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Auditors’ reports, content of</w:t>
      </w:r>
      <w:r>
        <w:tab/>
      </w:r>
      <w:r>
        <w:fldChar w:fldCharType="begin"/>
      </w:r>
      <w:r>
        <w:instrText xml:space="preserve"> PAGEREF _Toc378948325 \h </w:instrText>
      </w:r>
      <w:r>
        <w:fldChar w:fldCharType="separate"/>
      </w:r>
      <w:r>
        <w:t>46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Moneys etc. held on trust, statement of by settlement agents</w:t>
      </w:r>
      <w:r>
        <w:tab/>
      </w:r>
      <w:r>
        <w:fldChar w:fldCharType="begin"/>
      </w:r>
      <w:r>
        <w:instrText xml:space="preserve"> PAGEREF _Toc378948326 \h </w:instrText>
      </w:r>
      <w:r>
        <w:fldChar w:fldCharType="separate"/>
      </w:r>
      <w:r>
        <w:t>46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Auditor’s report to report breaches of law etc.</w:t>
      </w:r>
      <w:r>
        <w:tab/>
      </w:r>
      <w:r>
        <w:fldChar w:fldCharType="begin"/>
      </w:r>
      <w:r>
        <w:instrText xml:space="preserve"> PAGEREF _Toc378948327 \h </w:instrText>
      </w:r>
      <w:r>
        <w:fldChar w:fldCharType="separate"/>
      </w:r>
      <w:r>
        <w:t>47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Auditors’ duty of confidentiality</w:t>
      </w:r>
      <w:r>
        <w:tab/>
      </w:r>
      <w:r>
        <w:fldChar w:fldCharType="begin"/>
      </w:r>
      <w:r>
        <w:instrText xml:space="preserve"> PAGEREF _Toc378948328 \h </w:instrText>
      </w:r>
      <w:r>
        <w:fldChar w:fldCharType="separate"/>
      </w:r>
      <w:r>
        <w:t>48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Right of some persons to information in auditors’ reports</w:t>
      </w:r>
      <w:r>
        <w:tab/>
      </w:r>
      <w:r>
        <w:fldChar w:fldCharType="begin"/>
      </w:r>
      <w:r>
        <w:instrText xml:space="preserve"> PAGEREF _Toc378948329 \h </w:instrText>
      </w:r>
      <w:r>
        <w:fldChar w:fldCharType="separate"/>
      </w:r>
      <w:r>
        <w:t>48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Offences under this Division</w:t>
      </w:r>
      <w:r>
        <w:tab/>
      </w:r>
      <w:r>
        <w:fldChar w:fldCharType="begin"/>
      </w:r>
      <w:r>
        <w:instrText xml:space="preserve"> PAGEREF _Toc378948330 \h </w:instrText>
      </w:r>
      <w:r>
        <w:fldChar w:fldCharType="separate"/>
      </w:r>
      <w:r>
        <w:t>49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Auditors’ remuneration</w:t>
      </w:r>
      <w:r>
        <w:tab/>
      </w:r>
      <w:r>
        <w:fldChar w:fldCharType="begin"/>
      </w:r>
      <w:r>
        <w:instrText xml:space="preserve"> PAGEREF _Toc378948331 \h </w:instrText>
      </w:r>
      <w:r>
        <w:fldChar w:fldCharType="separate"/>
      </w:r>
      <w:r>
        <w:t>49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Settlement agents with no accounts to audit</w:t>
      </w:r>
      <w:r>
        <w:tab/>
      </w:r>
      <w:r>
        <w:fldChar w:fldCharType="begin"/>
      </w:r>
      <w:r>
        <w:instrText xml:space="preserve"> PAGEREF _Toc378948332 \h </w:instrText>
      </w:r>
      <w:r>
        <w:fldChar w:fldCharType="separate"/>
      </w:r>
      <w:r>
        <w:t>49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Accounts of firm or body corporate or settlement agent with branch office, effect of audits as to</w:t>
      </w:r>
      <w:r>
        <w:tab/>
      </w:r>
      <w:r>
        <w:fldChar w:fldCharType="begin"/>
      </w:r>
      <w:r>
        <w:instrText xml:space="preserve"> PAGEREF _Toc378948333 \h </w:instrText>
      </w:r>
      <w:r>
        <w:fldChar w:fldCharType="separate"/>
      </w:r>
      <w:r>
        <w:t>49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Audit of trust account, Commissioner may do</w:t>
      </w:r>
      <w:r>
        <w:tab/>
      </w:r>
      <w:r>
        <w:fldChar w:fldCharType="begin"/>
      </w:r>
      <w:r>
        <w:instrText xml:space="preserve"> PAGEREF _Toc378948334 \h </w:instrText>
      </w:r>
      <w:r>
        <w:fldChar w:fldCharType="separate"/>
      </w:r>
      <w:r>
        <w:t>50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Settlement agent to allow Commissioner’s auditor etc. to inspect accounts etc.</w:t>
      </w:r>
      <w:r>
        <w:tab/>
      </w:r>
      <w:r>
        <w:fldChar w:fldCharType="begin"/>
      </w:r>
      <w:r>
        <w:instrText xml:space="preserve"> PAGEREF _Toc378948335 \h </w:instrText>
      </w:r>
      <w:r>
        <w:fldChar w:fldCharType="separate"/>
      </w:r>
      <w:r>
        <w:t>50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Cost of audit done under s. 69</w:t>
      </w:r>
      <w:r>
        <w:tab/>
      </w:r>
      <w:r>
        <w:fldChar w:fldCharType="begin"/>
      </w:r>
      <w:r>
        <w:instrText xml:space="preserve"> PAGEREF _Toc378948336 \h </w:instrText>
      </w:r>
      <w:r>
        <w:fldChar w:fldCharType="separate"/>
      </w:r>
      <w:r>
        <w:t>51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Application of s. 63 to certain persons</w:t>
      </w:r>
      <w:r>
        <w:tab/>
      </w:r>
      <w:r>
        <w:fldChar w:fldCharType="begin"/>
      </w:r>
      <w:r>
        <w:instrText xml:space="preserve"> PAGEREF _Toc378948337 \h </w:instrText>
      </w:r>
      <w:r>
        <w:fldChar w:fldCharType="separate"/>
      </w:r>
      <w:r>
        <w:t>51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Restraining bank etc. from dealing with settlement agent’s account, SAT’s powers as to</w:t>
      </w:r>
      <w:r>
        <w:tab/>
      </w:r>
      <w:r>
        <w:fldChar w:fldCharType="begin"/>
      </w:r>
      <w:r>
        <w:instrText xml:space="preserve"> PAGEREF _Toc378948338 \h </w:instrText>
      </w:r>
      <w:r>
        <w:fldChar w:fldCharType="separate"/>
      </w:r>
      <w:r>
        <w:t>51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Suspension of settlement agents, appointment of supervisors etc., SAT’s powers as to</w:t>
      </w:r>
      <w:r>
        <w:tab/>
      </w:r>
      <w:r>
        <w:fldChar w:fldCharType="begin"/>
      </w:r>
      <w:r>
        <w:instrText xml:space="preserve"> PAGEREF _Toc378948339 \h </w:instrText>
      </w:r>
      <w:r>
        <w:fldChar w:fldCharType="separate"/>
      </w:r>
      <w:r>
        <w:t>53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Effect of s. 74 orders appointing supervisor</w:t>
      </w:r>
      <w:r>
        <w:tab/>
      </w:r>
      <w:r>
        <w:fldChar w:fldCharType="begin"/>
      </w:r>
      <w:r>
        <w:instrText xml:space="preserve"> PAGEREF _Toc378948340 \h </w:instrText>
      </w:r>
      <w:r>
        <w:fldChar w:fldCharType="separate"/>
      </w:r>
      <w:r>
        <w:t>55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Supervisors’ duties</w:t>
      </w:r>
      <w:r>
        <w:tab/>
      </w:r>
      <w:r>
        <w:fldChar w:fldCharType="begin"/>
      </w:r>
      <w:r>
        <w:instrText xml:space="preserve"> PAGEREF _Toc378948341 \h </w:instrText>
      </w:r>
      <w:r>
        <w:fldChar w:fldCharType="separate"/>
      </w:r>
      <w:r>
        <w:t>56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Hindering etc. supervisors, offence</w:t>
      </w:r>
      <w:r>
        <w:tab/>
      </w:r>
      <w:r>
        <w:fldChar w:fldCharType="begin"/>
      </w:r>
      <w:r>
        <w:instrText xml:space="preserve"> PAGEREF _Toc378948342 \h </w:instrText>
      </w:r>
      <w:r>
        <w:fldChar w:fldCharType="separate"/>
      </w:r>
      <w:r>
        <w:t>57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Discharge or variation of s. 73 or 74 order</w:t>
      </w:r>
      <w:r>
        <w:tab/>
      </w:r>
      <w:r>
        <w:fldChar w:fldCharType="begin"/>
      </w:r>
      <w:r>
        <w:instrText xml:space="preserve"> PAGEREF _Toc378948343 \h </w:instrText>
      </w:r>
      <w:r>
        <w:fldChar w:fldCharType="separate"/>
      </w:r>
      <w:r>
        <w:t>58</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SAT’s additional powers as to s. 73, 74 or 78 orders</w:t>
      </w:r>
      <w:r>
        <w:tab/>
      </w:r>
      <w:r>
        <w:fldChar w:fldCharType="begin"/>
      </w:r>
      <w:r>
        <w:instrText xml:space="preserve"> PAGEREF _Toc378948344 \h </w:instrText>
      </w:r>
      <w:r>
        <w:fldChar w:fldCharType="separate"/>
      </w:r>
      <w:r>
        <w:t>58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Service of s. 73, 74, 78 and 79 orders; penalty for breach of</w:t>
      </w:r>
      <w:r>
        <w:tab/>
      </w:r>
      <w:r>
        <w:fldChar w:fldCharType="begin"/>
      </w:r>
      <w:r>
        <w:instrText xml:space="preserve"> PAGEREF _Toc378948345 \h </w:instrText>
      </w:r>
      <w:r>
        <w:fldChar w:fldCharType="separate"/>
      </w:r>
      <w:r>
        <w:t>59</w:t>
      </w:r>
      <w:r>
        <w:fldChar w:fldCharType="end"/>
      </w:r>
    </w:p>
    <w:p>
      <w:pPr>
        <w:pStyle w:val="TOC8"/>
        <w:rPr>
          <w:rFonts w:asciiTheme="minorHAnsi" w:eastAsiaTheme="minorEastAsia" w:hAnsiTheme="minorHAnsi" w:cstheme="minorBidi"/>
          <w:szCs w:val="22"/>
        </w:rPr>
      </w:pPr>
      <w:r>
        <w:t>81.</w:t>
      </w:r>
      <w:r>
        <w:tab/>
        <w:t>Banks etc., duty to disclose certain accounts etc. if required to by authorised person</w:t>
      </w:r>
      <w:r>
        <w:tab/>
      </w:r>
      <w:r>
        <w:fldChar w:fldCharType="begin"/>
      </w:r>
      <w:r>
        <w:instrText xml:space="preserve"> PAGEREF _Toc378948346 \h </w:instrText>
      </w:r>
      <w:r>
        <w:fldChar w:fldCharType="separate"/>
      </w:r>
      <w:r>
        <w:t>61</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 xml:space="preserve">Information </w:t>
      </w:r>
      <w:r>
        <w:t>about</w:t>
      </w:r>
      <w:r>
        <w:rPr>
          <w:snapToGrid w:val="0"/>
        </w:rPr>
        <w:t xml:space="preserve"> trust accounts, Commissioner’s power to obtain</w:t>
      </w:r>
      <w:r>
        <w:tab/>
      </w:r>
      <w:r>
        <w:fldChar w:fldCharType="begin"/>
      </w:r>
      <w:r>
        <w:instrText xml:space="preserve"> PAGEREF _Toc378948347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Discipline</w:t>
      </w:r>
    </w:p>
    <w:p>
      <w:pPr>
        <w:pStyle w:val="TOC8"/>
        <w:rPr>
          <w:rFonts w:asciiTheme="minorHAnsi" w:eastAsiaTheme="minorEastAsia" w:hAnsiTheme="minorHAnsi" w:cstheme="minorBidi"/>
          <w:szCs w:val="22"/>
        </w:rPr>
      </w:pPr>
      <w:r>
        <w:t>82</w:t>
      </w:r>
      <w:r>
        <w:rPr>
          <w:snapToGrid w:val="0"/>
        </w:rPr>
        <w:t>.</w:t>
      </w:r>
      <w:r>
        <w:rPr>
          <w:snapToGrid w:val="0"/>
        </w:rPr>
        <w:tab/>
        <w:t>Code of conduct for settlement agents</w:t>
      </w:r>
      <w:r>
        <w:tab/>
      </w:r>
      <w:r>
        <w:fldChar w:fldCharType="begin"/>
      </w:r>
      <w:r>
        <w:instrText xml:space="preserve"> PAGEREF _Toc378948349 \h </w:instrText>
      </w:r>
      <w:r>
        <w:fldChar w:fldCharType="separate"/>
      </w:r>
      <w:r>
        <w:t>63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Disciplinary action by SAT, alleging cause for</w:t>
      </w:r>
      <w:r>
        <w:tab/>
      </w:r>
      <w:r>
        <w:fldChar w:fldCharType="begin"/>
      </w:r>
      <w:r>
        <w:instrText xml:space="preserve"> PAGEREF _Toc378948350 \h </w:instrText>
      </w:r>
      <w:r>
        <w:fldChar w:fldCharType="separate"/>
      </w:r>
      <w:r>
        <w:t>64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Disciplinary action, SAT’s powers as to</w:t>
      </w:r>
      <w:r>
        <w:tab/>
      </w:r>
      <w:r>
        <w:fldChar w:fldCharType="begin"/>
      </w:r>
      <w:r>
        <w:instrText xml:space="preserve"> PAGEREF _Toc378948351 \h </w:instrText>
      </w:r>
      <w:r>
        <w:fldChar w:fldCharType="separate"/>
      </w:r>
      <w:r>
        <w:t>64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Offences that cause licence and triennial certificate to be cancelled</w:t>
      </w:r>
      <w:r>
        <w:tab/>
      </w:r>
      <w:r>
        <w:fldChar w:fldCharType="begin"/>
      </w:r>
      <w:r>
        <w:instrText xml:space="preserve"> PAGEREF _Toc378948352 \h </w:instrText>
      </w:r>
      <w:r>
        <w:fldChar w:fldCharType="separate"/>
      </w:r>
      <w:r>
        <w:t>65</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Persons with cancelled licences etc., offences by and in respect of</w:t>
      </w:r>
      <w:r>
        <w:tab/>
      </w:r>
      <w:r>
        <w:fldChar w:fldCharType="begin"/>
      </w:r>
      <w:r>
        <w:instrText xml:space="preserve"> PAGEREF _Toc378948353 \h </w:instrText>
      </w:r>
      <w:r>
        <w:fldChar w:fldCharType="separate"/>
      </w:r>
      <w:r>
        <w:t>66</w:t>
      </w:r>
      <w:r>
        <w:fldChar w:fldCharType="end"/>
      </w:r>
    </w:p>
    <w:p>
      <w:pPr>
        <w:pStyle w:val="TOC2"/>
        <w:tabs>
          <w:tab w:val="right" w:leader="dot" w:pos="7086"/>
        </w:tabs>
        <w:rPr>
          <w:rFonts w:asciiTheme="minorHAnsi" w:eastAsiaTheme="minorEastAsia" w:hAnsiTheme="minorHAnsi" w:cstheme="minorBidi"/>
          <w:b w:val="0"/>
          <w:sz w:val="22"/>
          <w:szCs w:val="22"/>
        </w:rPr>
      </w:pPr>
      <w:r>
        <w:t>Part V — Fidelity Guarantee Account</w:t>
      </w:r>
    </w:p>
    <w:p>
      <w:pPr>
        <w:pStyle w:val="TOC8"/>
        <w:rPr>
          <w:rFonts w:asciiTheme="minorHAnsi" w:eastAsiaTheme="minorEastAsia" w:hAnsiTheme="minorHAnsi" w:cstheme="minorBidi"/>
          <w:szCs w:val="22"/>
        </w:rPr>
      </w:pPr>
      <w:r>
        <w:t>87.</w:t>
      </w:r>
      <w:r>
        <w:tab/>
        <w:t>Account established; administration of Account</w:t>
      </w:r>
      <w:r>
        <w:tab/>
      </w:r>
      <w:r>
        <w:fldChar w:fldCharType="begin"/>
      </w:r>
      <w:r>
        <w:instrText xml:space="preserve"> PAGEREF _Toc378948355 \h </w:instrText>
      </w:r>
      <w:r>
        <w:fldChar w:fldCharType="separate"/>
      </w:r>
      <w:r>
        <w:t>68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 xml:space="preserve">Moneys to be credited to </w:t>
      </w:r>
      <w:r>
        <w:t>Account</w:t>
      </w:r>
      <w:r>
        <w:tab/>
      </w:r>
      <w:r>
        <w:fldChar w:fldCharType="begin"/>
      </w:r>
      <w:r>
        <w:instrText xml:space="preserve"> PAGEREF _Toc378948356 \h </w:instrText>
      </w:r>
      <w:r>
        <w:fldChar w:fldCharType="separate"/>
      </w:r>
      <w:r>
        <w:t>68</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 xml:space="preserve">Investment of moneys in </w:t>
      </w:r>
      <w:r>
        <w:t>Account</w:t>
      </w:r>
      <w:r>
        <w:tab/>
      </w:r>
      <w:r>
        <w:fldChar w:fldCharType="begin"/>
      </w:r>
      <w:r>
        <w:instrText xml:space="preserve"> PAGEREF _Toc378948357 \h </w:instrText>
      </w:r>
      <w:r>
        <w:fldChar w:fldCharType="separate"/>
      </w:r>
      <w:r>
        <w:t>69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 xml:space="preserve">Expenditure from </w:t>
      </w:r>
      <w:r>
        <w:t>Account</w:t>
      </w:r>
      <w:r>
        <w:tab/>
      </w:r>
      <w:r>
        <w:fldChar w:fldCharType="begin"/>
      </w:r>
      <w:r>
        <w:instrText xml:space="preserve"> PAGEREF _Toc378948358 \h </w:instrText>
      </w:r>
      <w:r>
        <w:fldChar w:fldCharType="separate"/>
      </w:r>
      <w:r>
        <w:t>69</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 xml:space="preserve">Payments to </w:t>
      </w:r>
      <w:r>
        <w:t>Account by applicants for licences etc.</w:t>
      </w:r>
      <w:r>
        <w:tab/>
      </w:r>
      <w:r>
        <w:fldChar w:fldCharType="begin"/>
      </w:r>
      <w:r>
        <w:instrText xml:space="preserve"> PAGEREF _Toc378948359 \h </w:instrText>
      </w:r>
      <w:r>
        <w:fldChar w:fldCharType="separate"/>
      </w:r>
      <w:r>
        <w:t>70</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 xml:space="preserve">Purpose of </w:t>
      </w:r>
      <w:r>
        <w:t>Account; making claims against Account</w:t>
      </w:r>
      <w:r>
        <w:tab/>
      </w:r>
      <w:r>
        <w:fldChar w:fldCharType="begin"/>
      </w:r>
      <w:r>
        <w:instrText xml:space="preserve"> PAGEREF _Toc378948360 \h </w:instrText>
      </w:r>
      <w:r>
        <w:fldChar w:fldCharType="separate"/>
      </w:r>
      <w:r>
        <w:t>70</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Levies for Account against certificate holders</w:t>
      </w:r>
      <w:r>
        <w:tab/>
      </w:r>
      <w:r>
        <w:fldChar w:fldCharType="begin"/>
      </w:r>
      <w:r>
        <w:instrText xml:space="preserve"> PAGEREF _Toc378948361 \h </w:instrText>
      </w:r>
      <w:r>
        <w:fldChar w:fldCharType="separate"/>
      </w:r>
      <w:r>
        <w:t>71</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 xml:space="preserve">Claims against </w:t>
      </w:r>
      <w:r>
        <w:t>Account; recovery from Account</w:t>
      </w:r>
      <w:r>
        <w:tab/>
      </w:r>
      <w:r>
        <w:fldChar w:fldCharType="begin"/>
      </w:r>
      <w:r>
        <w:instrText xml:space="preserve"> PAGEREF _Toc378948362 \h </w:instrText>
      </w:r>
      <w:r>
        <w:fldChar w:fldCharType="separate"/>
      </w:r>
      <w:r>
        <w:t>71</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 xml:space="preserve">Defences to claims against </w:t>
      </w:r>
      <w:r>
        <w:t>Account</w:t>
      </w:r>
      <w:r>
        <w:tab/>
      </w:r>
      <w:r>
        <w:fldChar w:fldCharType="begin"/>
      </w:r>
      <w:r>
        <w:instrText xml:space="preserve"> PAGEREF _Toc378948363 \h </w:instrText>
      </w:r>
      <w:r>
        <w:fldChar w:fldCharType="separate"/>
      </w:r>
      <w:r>
        <w:t>72</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Subrogation of rights of claimant against Account</w:t>
      </w:r>
      <w:r>
        <w:tab/>
      </w:r>
      <w:r>
        <w:fldChar w:fldCharType="begin"/>
      </w:r>
      <w:r>
        <w:instrText xml:space="preserve"> PAGEREF _Toc378948364 \h </w:instrText>
      </w:r>
      <w:r>
        <w:fldChar w:fldCharType="separate"/>
      </w:r>
      <w:r>
        <w:t>73</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 xml:space="preserve">Insufficiency in </w:t>
      </w:r>
      <w:r>
        <w:t>Account</w:t>
      </w:r>
      <w:r>
        <w:tab/>
      </w:r>
      <w:r>
        <w:fldChar w:fldCharType="begin"/>
      </w:r>
      <w:r>
        <w:instrText xml:space="preserve"> PAGEREF _Toc378948365 \h </w:instrText>
      </w:r>
      <w:r>
        <w:fldChar w:fldCharType="separate"/>
      </w:r>
      <w:r>
        <w:t>73</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State may insure against claims</w:t>
      </w:r>
      <w:r>
        <w:tab/>
      </w:r>
      <w:r>
        <w:fldChar w:fldCharType="begin"/>
      </w:r>
      <w:r>
        <w:instrText xml:space="preserve"> PAGEREF _Toc378948366 \h </w:instrText>
      </w:r>
      <w:r>
        <w:fldChar w:fldCharType="separate"/>
      </w:r>
      <w:r>
        <w:t>74</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Application of insurance money</w:t>
      </w:r>
      <w:r>
        <w:tab/>
      </w:r>
      <w:r>
        <w:fldChar w:fldCharType="begin"/>
      </w:r>
      <w:r>
        <w:instrText xml:space="preserve"> PAGEREF _Toc378948367 \h </w:instrText>
      </w:r>
      <w:r>
        <w:fldChar w:fldCharType="separate"/>
      </w:r>
      <w:r>
        <w:t>75</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Advertising for claims in relation to defaulting licensee</w:t>
      </w:r>
      <w:r>
        <w:tab/>
      </w:r>
      <w:r>
        <w:fldChar w:fldCharType="begin"/>
      </w:r>
      <w:r>
        <w:instrText xml:space="preserve"> PAGEREF _Toc378948368 \h </w:instrText>
      </w:r>
      <w:r>
        <w:fldChar w:fldCharType="separate"/>
      </w:r>
      <w:r>
        <w:t>75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Documents etc. to support claims, CEO may require</w:t>
      </w:r>
      <w:r>
        <w:tab/>
      </w:r>
      <w:r>
        <w:fldChar w:fldCharType="begin"/>
      </w:r>
      <w:r>
        <w:instrText xml:space="preserve"> PAGEREF _Toc378948369 \h </w:instrText>
      </w:r>
      <w:r>
        <w:fldChar w:fldCharType="separate"/>
      </w:r>
      <w:r>
        <w:t>76</w:t>
      </w:r>
      <w:r>
        <w:fldChar w:fldCharType="end"/>
      </w:r>
    </w:p>
    <w:p>
      <w:pPr>
        <w:pStyle w:val="TOC2"/>
        <w:tabs>
          <w:tab w:val="right" w:leader="dot" w:pos="7086"/>
        </w:tabs>
        <w:rPr>
          <w:rFonts w:asciiTheme="minorHAnsi" w:eastAsiaTheme="minorEastAsia" w:hAnsiTheme="minorHAnsi" w:cstheme="minorBidi"/>
          <w:b w:val="0"/>
          <w:sz w:val="22"/>
          <w:szCs w:val="22"/>
        </w:rPr>
      </w:pPr>
      <w:r>
        <w:t>Part VA — Education and General Purpose Account</w:t>
      </w:r>
    </w:p>
    <w:p>
      <w:pPr>
        <w:pStyle w:val="TOC8"/>
        <w:rPr>
          <w:rFonts w:asciiTheme="minorHAnsi" w:eastAsiaTheme="minorEastAsia" w:hAnsiTheme="minorHAnsi" w:cstheme="minorBidi"/>
          <w:szCs w:val="22"/>
        </w:rPr>
      </w:pPr>
      <w:r>
        <w:t>102A</w:t>
      </w:r>
      <w:r>
        <w:rPr>
          <w:snapToGrid w:val="0"/>
        </w:rPr>
        <w:t xml:space="preserve">. </w:t>
      </w:r>
      <w:r>
        <w:rPr>
          <w:snapToGrid w:val="0"/>
        </w:rPr>
        <w:tab/>
        <w:t>Account established; administration of account</w:t>
      </w:r>
      <w:r>
        <w:tab/>
      </w:r>
      <w:r>
        <w:fldChar w:fldCharType="begin"/>
      </w:r>
      <w:r>
        <w:instrText xml:space="preserve"> PAGEREF _Toc378948371 \h </w:instrText>
      </w:r>
      <w:r>
        <w:fldChar w:fldCharType="separate"/>
      </w:r>
      <w:r>
        <w:t>77</w:t>
      </w:r>
      <w:r>
        <w:fldChar w:fldCharType="end"/>
      </w:r>
    </w:p>
    <w:p>
      <w:pPr>
        <w:pStyle w:val="TOC8"/>
        <w:rPr>
          <w:rFonts w:asciiTheme="minorHAnsi" w:eastAsiaTheme="minorEastAsia" w:hAnsiTheme="minorHAnsi" w:cstheme="minorBidi"/>
          <w:szCs w:val="22"/>
        </w:rPr>
      </w:pPr>
      <w:r>
        <w:t>102B</w:t>
      </w:r>
      <w:r>
        <w:rPr>
          <w:snapToGrid w:val="0"/>
        </w:rPr>
        <w:t xml:space="preserve">. </w:t>
      </w:r>
      <w:r>
        <w:rPr>
          <w:snapToGrid w:val="0"/>
        </w:rPr>
        <w:tab/>
        <w:t>Moneys to be credited to a</w:t>
      </w:r>
      <w:r>
        <w:t>ccount</w:t>
      </w:r>
      <w:r>
        <w:tab/>
      </w:r>
      <w:r>
        <w:fldChar w:fldCharType="begin"/>
      </w:r>
      <w:r>
        <w:instrText xml:space="preserve"> PAGEREF _Toc378948372 \h </w:instrText>
      </w:r>
      <w:r>
        <w:fldChar w:fldCharType="separate"/>
      </w:r>
      <w:r>
        <w:t>77</w:t>
      </w:r>
      <w:r>
        <w:fldChar w:fldCharType="end"/>
      </w:r>
    </w:p>
    <w:p>
      <w:pPr>
        <w:pStyle w:val="TOC8"/>
        <w:rPr>
          <w:rFonts w:asciiTheme="minorHAnsi" w:eastAsiaTheme="minorEastAsia" w:hAnsiTheme="minorHAnsi" w:cstheme="minorBidi"/>
          <w:szCs w:val="22"/>
        </w:rPr>
      </w:pPr>
      <w:r>
        <w:t>102C</w:t>
      </w:r>
      <w:r>
        <w:rPr>
          <w:snapToGrid w:val="0"/>
        </w:rPr>
        <w:t xml:space="preserve">. </w:t>
      </w:r>
      <w:r>
        <w:rPr>
          <w:snapToGrid w:val="0"/>
        </w:rPr>
        <w:tab/>
        <w:t>Expenditure from a</w:t>
      </w:r>
      <w:r>
        <w:t>ccount</w:t>
      </w:r>
      <w:r>
        <w:tab/>
      </w:r>
      <w:r>
        <w:fldChar w:fldCharType="begin"/>
      </w:r>
      <w:r>
        <w:instrText xml:space="preserve"> PAGEREF _Toc378948373 \h </w:instrText>
      </w:r>
      <w:r>
        <w:fldChar w:fldCharType="separate"/>
      </w:r>
      <w:r>
        <w:t>78</w:t>
      </w:r>
      <w:r>
        <w:fldChar w:fldCharType="end"/>
      </w:r>
    </w:p>
    <w:p>
      <w:pPr>
        <w:pStyle w:val="TOC8"/>
        <w:rPr>
          <w:rFonts w:asciiTheme="minorHAnsi" w:eastAsiaTheme="minorEastAsia" w:hAnsiTheme="minorHAnsi" w:cstheme="minorBidi"/>
          <w:szCs w:val="22"/>
        </w:rPr>
      </w:pPr>
      <w:r>
        <w:t>102D</w:t>
      </w:r>
      <w:r>
        <w:rPr>
          <w:snapToGrid w:val="0"/>
        </w:rPr>
        <w:t xml:space="preserve">. </w:t>
      </w:r>
      <w:r>
        <w:rPr>
          <w:snapToGrid w:val="0"/>
        </w:rPr>
        <w:tab/>
        <w:t>Investment of moneys in a</w:t>
      </w:r>
      <w:r>
        <w:t>ccount</w:t>
      </w:r>
      <w:r>
        <w:tab/>
      </w:r>
      <w:r>
        <w:fldChar w:fldCharType="begin"/>
      </w:r>
      <w:r>
        <w:instrText xml:space="preserve"> PAGEREF _Toc378948374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rPr>
      </w:pPr>
      <w:r>
        <w:t>Part VI — Settlement Agents Interest Account</w:t>
      </w:r>
    </w:p>
    <w:p>
      <w:pPr>
        <w:pStyle w:val="TOC8"/>
        <w:rPr>
          <w:rFonts w:asciiTheme="minorHAnsi" w:eastAsiaTheme="minorEastAsia" w:hAnsiTheme="minorHAnsi" w:cstheme="minorBidi"/>
          <w:szCs w:val="22"/>
        </w:rPr>
      </w:pPr>
      <w:r>
        <w:t>103</w:t>
      </w:r>
      <w:r>
        <w:rPr>
          <w:snapToGrid w:val="0"/>
        </w:rPr>
        <w:t>.</w:t>
      </w:r>
      <w:r>
        <w:rPr>
          <w:snapToGrid w:val="0"/>
        </w:rPr>
        <w:tab/>
        <w:t>Account established; administration of account</w:t>
      </w:r>
      <w:r>
        <w:tab/>
      </w:r>
      <w:r>
        <w:fldChar w:fldCharType="begin"/>
      </w:r>
      <w:r>
        <w:instrText xml:space="preserve"> PAGEREF _Toc378948376 \h </w:instrText>
      </w:r>
      <w:r>
        <w:fldChar w:fldCharType="separate"/>
      </w:r>
      <w:r>
        <w:t>79</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Moneys to be credited to a</w:t>
      </w:r>
      <w:r>
        <w:t>ccount</w:t>
      </w:r>
      <w:r>
        <w:tab/>
      </w:r>
      <w:r>
        <w:fldChar w:fldCharType="begin"/>
      </w:r>
      <w:r>
        <w:instrText xml:space="preserve"> PAGEREF _Toc378948377 \h </w:instrText>
      </w:r>
      <w:r>
        <w:fldChar w:fldCharType="separate"/>
      </w:r>
      <w:r>
        <w:t>79</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Expenditure from a</w:t>
      </w:r>
      <w:r>
        <w:t>ccount</w:t>
      </w:r>
      <w:r>
        <w:tab/>
      </w:r>
      <w:r>
        <w:fldChar w:fldCharType="begin"/>
      </w:r>
      <w:r>
        <w:instrText xml:space="preserve"> PAGEREF _Toc378948378 \h </w:instrText>
      </w:r>
      <w:r>
        <w:fldChar w:fldCharType="separate"/>
      </w:r>
      <w:r>
        <w:t>80</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Investment of moneys in a</w:t>
      </w:r>
      <w:r>
        <w:t>ccount</w:t>
      </w:r>
      <w:r>
        <w:tab/>
      </w:r>
      <w:r>
        <w:fldChar w:fldCharType="begin"/>
      </w:r>
      <w:r>
        <w:instrText xml:space="preserve"> PAGEREF _Toc378948379 \h </w:instrText>
      </w:r>
      <w:r>
        <w:fldChar w:fldCharType="separate"/>
      </w:r>
      <w:r>
        <w:t>80</w:t>
      </w:r>
      <w:r>
        <w:fldChar w:fldCharType="end"/>
      </w:r>
    </w:p>
    <w:p>
      <w:pPr>
        <w:pStyle w:val="TOC2"/>
        <w:tabs>
          <w:tab w:val="right" w:leader="dot" w:pos="7086"/>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110</w:t>
      </w:r>
      <w:r>
        <w:rPr>
          <w:snapToGrid w:val="0"/>
        </w:rPr>
        <w:t>.</w:t>
      </w:r>
      <w:r>
        <w:rPr>
          <w:snapToGrid w:val="0"/>
        </w:rPr>
        <w:tab/>
        <w:t>Registers of licensees etc., Commissioner to keep etc.</w:t>
      </w:r>
      <w:r>
        <w:tab/>
      </w:r>
      <w:r>
        <w:fldChar w:fldCharType="begin"/>
      </w:r>
      <w:r>
        <w:instrText xml:space="preserve"> PAGEREF _Toc378948381 \h </w:instrText>
      </w:r>
      <w:r>
        <w:fldChar w:fldCharType="separate"/>
      </w:r>
      <w:r>
        <w:t>81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Names etc. of licensees etc. to be published annually etc.; evidentiary provision</w:t>
      </w:r>
      <w:r>
        <w:tab/>
      </w:r>
      <w:r>
        <w:fldChar w:fldCharType="begin"/>
      </w:r>
      <w:r>
        <w:instrText xml:space="preserve"> PAGEREF _Toc378948382 \h </w:instrText>
      </w:r>
      <w:r>
        <w:fldChar w:fldCharType="separate"/>
      </w:r>
      <w:r>
        <w:t>81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Annual report by department</w:t>
      </w:r>
      <w:r>
        <w:tab/>
      </w:r>
      <w:r>
        <w:fldChar w:fldCharType="begin"/>
      </w:r>
      <w:r>
        <w:instrText xml:space="preserve"> PAGEREF _Toc378948383 \h </w:instrText>
      </w:r>
      <w:r>
        <w:fldChar w:fldCharType="separate"/>
      </w:r>
      <w:r>
        <w:t>82</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Reports by Commissioner to Minister</w:t>
      </w:r>
      <w:r>
        <w:tab/>
      </w:r>
      <w:r>
        <w:fldChar w:fldCharType="begin"/>
      </w:r>
      <w:r>
        <w:instrText xml:space="preserve"> PAGEREF _Toc378948384 \h </w:instrText>
      </w:r>
      <w:r>
        <w:fldChar w:fldCharType="separate"/>
      </w:r>
      <w:r>
        <w:t>82</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Refunds of fees, Commissioner’s powers as to</w:t>
      </w:r>
      <w:r>
        <w:tab/>
      </w:r>
      <w:r>
        <w:fldChar w:fldCharType="begin"/>
      </w:r>
      <w:r>
        <w:instrText xml:space="preserve"> PAGEREF _Toc378948385 \h </w:instrText>
      </w:r>
      <w:r>
        <w:fldChar w:fldCharType="separate"/>
      </w:r>
      <w:r>
        <w:t>83</w:t>
      </w:r>
      <w:r>
        <w:fldChar w:fldCharType="end"/>
      </w:r>
    </w:p>
    <w:p>
      <w:pPr>
        <w:pStyle w:val="TOC8"/>
        <w:rPr>
          <w:rFonts w:asciiTheme="minorHAnsi" w:eastAsiaTheme="minorEastAsia" w:hAnsiTheme="minorHAnsi" w:cstheme="minorBidi"/>
          <w:szCs w:val="22"/>
        </w:rPr>
      </w:pPr>
      <w:r>
        <w:t>115.</w:t>
      </w:r>
      <w:r>
        <w:tab/>
        <w:t>Protection from personal liability</w:t>
      </w:r>
      <w:r>
        <w:tab/>
      </w:r>
      <w:r>
        <w:fldChar w:fldCharType="begin"/>
      </w:r>
      <w:r>
        <w:instrText xml:space="preserve"> PAGEREF _Toc378948386 \h </w:instrText>
      </w:r>
      <w:r>
        <w:fldChar w:fldCharType="separate"/>
      </w:r>
      <w:r>
        <w:t>83</w:t>
      </w:r>
      <w:r>
        <w:fldChar w:fldCharType="end"/>
      </w:r>
    </w:p>
    <w:p>
      <w:pPr>
        <w:pStyle w:val="TOC8"/>
        <w:rPr>
          <w:rFonts w:asciiTheme="minorHAnsi" w:eastAsiaTheme="minorEastAsia" w:hAnsiTheme="minorHAnsi" w:cstheme="minorBidi"/>
          <w:szCs w:val="22"/>
        </w:rPr>
      </w:pPr>
      <w:r>
        <w:t>116.</w:t>
      </w:r>
      <w:r>
        <w:tab/>
        <w:t>Confidentiality of information officially obtained</w:t>
      </w:r>
      <w:r>
        <w:tab/>
      </w:r>
      <w:r>
        <w:fldChar w:fldCharType="begin"/>
      </w:r>
      <w:r>
        <w:instrText xml:space="preserve"> PAGEREF _Toc378948387 \h </w:instrText>
      </w:r>
      <w:r>
        <w:fldChar w:fldCharType="separate"/>
      </w:r>
      <w:r>
        <w:t>83</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Liability of directors of body corporate for defalcations</w:t>
      </w:r>
      <w:r>
        <w:tab/>
      </w:r>
      <w:r>
        <w:fldChar w:fldCharType="begin"/>
      </w:r>
      <w:r>
        <w:instrText xml:space="preserve"> PAGEREF _Toc378948388 \h </w:instrText>
      </w:r>
      <w:r>
        <w:fldChar w:fldCharType="separate"/>
      </w:r>
      <w:r>
        <w:t>83</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Other rights and remedies not affected by this Act</w:t>
      </w:r>
      <w:r>
        <w:tab/>
      </w:r>
      <w:r>
        <w:fldChar w:fldCharType="begin"/>
      </w:r>
      <w:r>
        <w:instrText xml:space="preserve"> PAGEREF _Toc378948389 \h </w:instrText>
      </w:r>
      <w:r>
        <w:fldChar w:fldCharType="separate"/>
      </w:r>
      <w:r>
        <w:t>84</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Rights conferred by Act cannot be waived</w:t>
      </w:r>
      <w:r>
        <w:tab/>
      </w:r>
      <w:r>
        <w:fldChar w:fldCharType="begin"/>
      </w:r>
      <w:r>
        <w:instrText xml:space="preserve"> PAGEREF _Toc378948390 \h </w:instrText>
      </w:r>
      <w:r>
        <w:fldChar w:fldCharType="separate"/>
      </w:r>
      <w:r>
        <w:t>84</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General penalty for offences</w:t>
      </w:r>
      <w:r>
        <w:tab/>
      </w:r>
      <w:r>
        <w:fldChar w:fldCharType="begin"/>
      </w:r>
      <w:r>
        <w:instrText xml:space="preserve"> PAGEREF _Toc378948391 \h </w:instrText>
      </w:r>
      <w:r>
        <w:fldChar w:fldCharType="separate"/>
      </w:r>
      <w:r>
        <w:t>84</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Proceedings for offences</w:t>
      </w:r>
      <w:r>
        <w:tab/>
      </w:r>
      <w:r>
        <w:fldChar w:fldCharType="begin"/>
      </w:r>
      <w:r>
        <w:instrText xml:space="preserve"> PAGEREF _Toc378948392 \h </w:instrText>
      </w:r>
      <w:r>
        <w:fldChar w:fldCharType="separate"/>
      </w:r>
      <w:r>
        <w:t>84</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Forms</w:t>
      </w:r>
      <w:r>
        <w:tab/>
      </w:r>
      <w:r>
        <w:fldChar w:fldCharType="begin"/>
      </w:r>
      <w:r>
        <w:instrText xml:space="preserve"> PAGEREF _Toc378948393 \h </w:instrText>
      </w:r>
      <w:r>
        <w:fldChar w:fldCharType="separate"/>
      </w:r>
      <w:r>
        <w:t>85</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Regulations</w:t>
      </w:r>
      <w:r>
        <w:tab/>
      </w:r>
      <w:r>
        <w:fldChar w:fldCharType="begin"/>
      </w:r>
      <w:r>
        <w:instrText xml:space="preserve"> PAGEREF _Toc378948394 \h </w:instrText>
      </w:r>
      <w:r>
        <w:fldChar w:fldCharType="separate"/>
      </w:r>
      <w:r>
        <w:t>85</w:t>
      </w:r>
      <w:r>
        <w:fldChar w:fldCharType="end"/>
      </w:r>
    </w:p>
    <w:p>
      <w:pPr>
        <w:pStyle w:val="TOC2"/>
        <w:tabs>
          <w:tab w:val="right" w:leader="dot" w:pos="7086"/>
        </w:tabs>
        <w:rPr>
          <w:rFonts w:asciiTheme="minorHAnsi" w:eastAsiaTheme="minorEastAsia" w:hAnsiTheme="minorHAnsi" w:cstheme="minorBidi"/>
          <w:b w:val="0"/>
          <w:sz w:val="22"/>
          <w:szCs w:val="22"/>
        </w:rPr>
      </w:pPr>
      <w:r>
        <w:t>Part VIII — Savings and transitional</w:t>
      </w:r>
    </w:p>
    <w:p>
      <w:pPr>
        <w:pStyle w:val="TOC8"/>
        <w:rPr>
          <w:rFonts w:asciiTheme="minorHAnsi" w:eastAsiaTheme="minorEastAsia" w:hAnsiTheme="minorHAnsi" w:cstheme="minorBidi"/>
          <w:szCs w:val="22"/>
        </w:rPr>
      </w:pPr>
      <w:r>
        <w:t>124.</w:t>
      </w:r>
      <w:r>
        <w:tab/>
        <w:t>Terms used</w:t>
      </w:r>
      <w:r>
        <w:tab/>
      </w:r>
      <w:r>
        <w:fldChar w:fldCharType="begin"/>
      </w:r>
      <w:r>
        <w:instrText xml:space="preserve"> PAGEREF _Toc378948396 \h </w:instrText>
      </w:r>
      <w:r>
        <w:fldChar w:fldCharType="separate"/>
      </w:r>
      <w:r>
        <w:t>87</w:t>
      </w:r>
      <w:r>
        <w:fldChar w:fldCharType="end"/>
      </w:r>
    </w:p>
    <w:p>
      <w:pPr>
        <w:pStyle w:val="TOC8"/>
        <w:rPr>
          <w:rFonts w:asciiTheme="minorHAnsi" w:eastAsiaTheme="minorEastAsia" w:hAnsiTheme="minorHAnsi" w:cstheme="minorBidi"/>
          <w:szCs w:val="22"/>
        </w:rPr>
      </w:pPr>
      <w:r>
        <w:t>125.</w:t>
      </w:r>
      <w:r>
        <w:tab/>
        <w:t>Former Board abolished</w:t>
      </w:r>
      <w:r>
        <w:tab/>
      </w:r>
      <w:r>
        <w:fldChar w:fldCharType="begin"/>
      </w:r>
      <w:r>
        <w:instrText xml:space="preserve"> PAGEREF _Toc378948397 \h </w:instrText>
      </w:r>
      <w:r>
        <w:fldChar w:fldCharType="separate"/>
      </w:r>
      <w:r>
        <w:t>87</w:t>
      </w:r>
      <w:r>
        <w:fldChar w:fldCharType="end"/>
      </w:r>
    </w:p>
    <w:p>
      <w:pPr>
        <w:pStyle w:val="TOC8"/>
        <w:rPr>
          <w:rFonts w:asciiTheme="minorHAnsi" w:eastAsiaTheme="minorEastAsia" w:hAnsiTheme="minorHAnsi" w:cstheme="minorBidi"/>
          <w:szCs w:val="22"/>
        </w:rPr>
      </w:pPr>
      <w:r>
        <w:t>126.</w:t>
      </w:r>
      <w:r>
        <w:tab/>
        <w:t>References to former Board</w:t>
      </w:r>
      <w:r>
        <w:tab/>
      </w:r>
      <w:r>
        <w:fldChar w:fldCharType="begin"/>
      </w:r>
      <w:r>
        <w:instrText xml:space="preserve"> PAGEREF _Toc378948398 \h </w:instrText>
      </w:r>
      <w:r>
        <w:fldChar w:fldCharType="separate"/>
      </w:r>
      <w:r>
        <w:t>87</w:t>
      </w:r>
      <w:r>
        <w:fldChar w:fldCharType="end"/>
      </w:r>
    </w:p>
    <w:p>
      <w:pPr>
        <w:pStyle w:val="TOC8"/>
        <w:rPr>
          <w:rFonts w:asciiTheme="minorHAnsi" w:eastAsiaTheme="minorEastAsia" w:hAnsiTheme="minorHAnsi" w:cstheme="minorBidi"/>
          <w:szCs w:val="22"/>
        </w:rPr>
      </w:pPr>
      <w:r>
        <w:t>127.</w:t>
      </w:r>
      <w:r>
        <w:tab/>
        <w:t>Immunity continues</w:t>
      </w:r>
      <w:r>
        <w:tab/>
      </w:r>
      <w:r>
        <w:fldChar w:fldCharType="begin"/>
      </w:r>
      <w:r>
        <w:instrText xml:space="preserve"> PAGEREF _Toc378948399 \h </w:instrText>
      </w:r>
      <w:r>
        <w:fldChar w:fldCharType="separate"/>
      </w:r>
      <w:r>
        <w:t>88</w:t>
      </w:r>
      <w:r>
        <w:fldChar w:fldCharType="end"/>
      </w:r>
    </w:p>
    <w:p>
      <w:pPr>
        <w:pStyle w:val="TOC8"/>
        <w:rPr>
          <w:rFonts w:asciiTheme="minorHAnsi" w:eastAsiaTheme="minorEastAsia" w:hAnsiTheme="minorHAnsi" w:cstheme="minorBidi"/>
          <w:szCs w:val="22"/>
        </w:rPr>
      </w:pPr>
      <w:r>
        <w:t>128.</w:t>
      </w:r>
      <w:r>
        <w:tab/>
        <w:t>Notices and rules made by former Board</w:t>
      </w:r>
      <w:r>
        <w:tab/>
      </w:r>
      <w:r>
        <w:fldChar w:fldCharType="begin"/>
      </w:r>
      <w:r>
        <w:instrText xml:space="preserve"> PAGEREF _Toc378948400 \h </w:instrText>
      </w:r>
      <w:r>
        <w:fldChar w:fldCharType="separate"/>
      </w:r>
      <w:r>
        <w:t>88</w:t>
      </w:r>
      <w:r>
        <w:fldChar w:fldCharType="end"/>
      </w:r>
    </w:p>
    <w:p>
      <w:pPr>
        <w:pStyle w:val="TOC8"/>
        <w:rPr>
          <w:rFonts w:asciiTheme="minorHAnsi" w:eastAsiaTheme="minorEastAsia" w:hAnsiTheme="minorHAnsi" w:cstheme="minorBidi"/>
          <w:szCs w:val="22"/>
        </w:rPr>
      </w:pPr>
      <w:r>
        <w:t>129.</w:t>
      </w:r>
      <w:r>
        <w:tab/>
        <w:t>References to former Registrar</w:t>
      </w:r>
      <w:r>
        <w:tab/>
      </w:r>
      <w:r>
        <w:fldChar w:fldCharType="begin"/>
      </w:r>
      <w:r>
        <w:instrText xml:space="preserve"> PAGEREF _Toc378948401 \h </w:instrText>
      </w:r>
      <w:r>
        <w:fldChar w:fldCharType="separate"/>
      </w:r>
      <w:r>
        <w:t>88</w:t>
      </w:r>
      <w:r>
        <w:fldChar w:fldCharType="end"/>
      </w:r>
    </w:p>
    <w:p>
      <w:pPr>
        <w:pStyle w:val="TOC8"/>
        <w:rPr>
          <w:rFonts w:asciiTheme="minorHAnsi" w:eastAsiaTheme="minorEastAsia" w:hAnsiTheme="minorHAnsi" w:cstheme="minorBidi"/>
          <w:szCs w:val="22"/>
        </w:rPr>
      </w:pPr>
      <w:r>
        <w:t>130.</w:t>
      </w:r>
      <w:r>
        <w:tab/>
        <w:t>Unfinished investigations by former Board</w:t>
      </w:r>
      <w:r>
        <w:tab/>
      </w:r>
      <w:r>
        <w:fldChar w:fldCharType="begin"/>
      </w:r>
      <w:r>
        <w:instrText xml:space="preserve"> PAGEREF _Toc378948402 \h </w:instrText>
      </w:r>
      <w:r>
        <w:fldChar w:fldCharType="separate"/>
      </w:r>
      <w:r>
        <w:t>89</w:t>
      </w:r>
      <w:r>
        <w:fldChar w:fldCharType="end"/>
      </w:r>
    </w:p>
    <w:p>
      <w:pPr>
        <w:pStyle w:val="TOC8"/>
        <w:rPr>
          <w:rFonts w:asciiTheme="minorHAnsi" w:eastAsiaTheme="minorEastAsia" w:hAnsiTheme="minorHAnsi" w:cstheme="minorBidi"/>
          <w:szCs w:val="22"/>
        </w:rPr>
      </w:pPr>
      <w:r>
        <w:t>131.</w:t>
      </w:r>
      <w:r>
        <w:tab/>
        <w:t>Unfinished proceedings by former Board</w:t>
      </w:r>
      <w:r>
        <w:tab/>
      </w:r>
      <w:r>
        <w:fldChar w:fldCharType="begin"/>
      </w:r>
      <w:r>
        <w:instrText xml:space="preserve"> PAGEREF _Toc378948403 \h </w:instrText>
      </w:r>
      <w:r>
        <w:fldChar w:fldCharType="separate"/>
      </w:r>
      <w:r>
        <w:t>89</w:t>
      </w:r>
      <w:r>
        <w:fldChar w:fldCharType="end"/>
      </w:r>
    </w:p>
    <w:p>
      <w:pPr>
        <w:pStyle w:val="TOC8"/>
        <w:rPr>
          <w:rFonts w:asciiTheme="minorHAnsi" w:eastAsiaTheme="minorEastAsia" w:hAnsiTheme="minorHAnsi" w:cstheme="minorBidi"/>
          <w:szCs w:val="22"/>
        </w:rPr>
      </w:pPr>
      <w:r>
        <w:t>132.</w:t>
      </w:r>
      <w:r>
        <w:tab/>
        <w:t>Winding</w:t>
      </w:r>
      <w:r>
        <w:noBreakHyphen/>
        <w:t>up former Board</w:t>
      </w:r>
      <w:r>
        <w:tab/>
      </w:r>
      <w:r>
        <w:fldChar w:fldCharType="begin"/>
      </w:r>
      <w:r>
        <w:instrText xml:space="preserve"> PAGEREF _Toc378948404 \h </w:instrText>
      </w:r>
      <w:r>
        <w:fldChar w:fldCharType="separate"/>
      </w:r>
      <w:r>
        <w:t>89</w:t>
      </w:r>
      <w:r>
        <w:fldChar w:fldCharType="end"/>
      </w:r>
    </w:p>
    <w:p>
      <w:pPr>
        <w:pStyle w:val="TOC8"/>
        <w:rPr>
          <w:rFonts w:asciiTheme="minorHAnsi" w:eastAsiaTheme="minorEastAsia" w:hAnsiTheme="minorHAnsi" w:cstheme="minorBidi"/>
          <w:szCs w:val="22"/>
        </w:rPr>
      </w:pPr>
      <w:r>
        <w:t>133.</w:t>
      </w:r>
      <w:r>
        <w:tab/>
        <w:t>Final report by former Board</w:t>
      </w:r>
      <w:r>
        <w:tab/>
      </w:r>
      <w:r>
        <w:fldChar w:fldCharType="begin"/>
      </w:r>
      <w:r>
        <w:instrText xml:space="preserve"> PAGEREF _Toc378948405 \h </w:instrText>
      </w:r>
      <w:r>
        <w:fldChar w:fldCharType="separate"/>
      </w:r>
      <w:r>
        <w:t>91</w:t>
      </w:r>
      <w:r>
        <w:fldChar w:fldCharType="end"/>
      </w:r>
    </w:p>
    <w:p>
      <w:pPr>
        <w:pStyle w:val="TOC8"/>
        <w:rPr>
          <w:rFonts w:asciiTheme="minorHAnsi" w:eastAsiaTheme="minorEastAsia" w:hAnsiTheme="minorHAnsi" w:cstheme="minorBidi"/>
          <w:szCs w:val="22"/>
        </w:rPr>
      </w:pPr>
      <w:r>
        <w:t>134.</w:t>
      </w:r>
      <w:r>
        <w:tab/>
        <w:t>Staff of former Board</w:t>
      </w:r>
      <w:r>
        <w:tab/>
      </w:r>
      <w:r>
        <w:fldChar w:fldCharType="begin"/>
      </w:r>
      <w:r>
        <w:instrText xml:space="preserve"> PAGEREF _Toc378948406 \h </w:instrText>
      </w:r>
      <w:r>
        <w:fldChar w:fldCharType="separate"/>
      </w:r>
      <w:r>
        <w:t>91</w:t>
      </w:r>
      <w:r>
        <w:fldChar w:fldCharType="end"/>
      </w:r>
    </w:p>
    <w:p>
      <w:pPr>
        <w:pStyle w:val="TOC8"/>
        <w:rPr>
          <w:rFonts w:asciiTheme="minorHAnsi" w:eastAsiaTheme="minorEastAsia" w:hAnsiTheme="minorHAnsi" w:cstheme="minorBidi"/>
          <w:szCs w:val="22"/>
        </w:rPr>
      </w:pPr>
      <w:r>
        <w:t>135.</w:t>
      </w:r>
      <w:r>
        <w:tab/>
        <w:t>Transitional regulations</w:t>
      </w:r>
      <w:r>
        <w:tab/>
      </w:r>
      <w:r>
        <w:fldChar w:fldCharType="begin"/>
      </w:r>
      <w:r>
        <w:instrText xml:space="preserve"> PAGEREF _Toc378948407 \h </w:instrText>
      </w:r>
      <w:r>
        <w:fldChar w:fldCharType="separate"/>
      </w:r>
      <w:r>
        <w:t>91</w:t>
      </w:r>
      <w:r>
        <w:fldChar w:fldCharType="end"/>
      </w:r>
    </w:p>
    <w:p>
      <w:pPr>
        <w:pStyle w:val="TOC2"/>
        <w:tabs>
          <w:tab w:val="right" w:leader="dot" w:pos="7086"/>
        </w:tabs>
        <w:rPr>
          <w:rFonts w:asciiTheme="minorHAnsi" w:eastAsiaTheme="minorEastAsia" w:hAnsiTheme="minorHAnsi" w:cstheme="minorBidi"/>
          <w:b w:val="0"/>
          <w:sz w:val="22"/>
          <w:szCs w:val="22"/>
        </w:rPr>
      </w:pPr>
      <w:r>
        <w:rPr>
          <w:rFonts w:eastAsia="MS Mincho"/>
        </w:rPr>
        <w:t>Schedule 1 — Grant of licence</w:t>
      </w:r>
    </w:p>
    <w:p>
      <w:pPr>
        <w:pStyle w:val="TOC4"/>
        <w:tabs>
          <w:tab w:val="right" w:leader="dot" w:pos="7086"/>
        </w:tabs>
        <w:rPr>
          <w:rFonts w:asciiTheme="minorHAnsi" w:eastAsiaTheme="minorEastAsia" w:hAnsiTheme="minorHAnsi" w:cstheme="minorBidi"/>
          <w:b w:val="0"/>
          <w:szCs w:val="22"/>
        </w:rPr>
      </w:pPr>
      <w:r>
        <w:rPr>
          <w:rFonts w:eastAsia="MS Mincho"/>
        </w:rPr>
        <w:t>Division 1</w:t>
      </w:r>
      <w:r>
        <w:rPr>
          <w:rFonts w:eastAsia="MS Mincho"/>
          <w:b w:val="0"/>
        </w:rPr>
        <w:t> — </w:t>
      </w:r>
      <w:r>
        <w:rPr>
          <w:rFonts w:eastAsia="MS Mincho"/>
        </w:rPr>
        <w:t>Qualifications</w:t>
      </w:r>
    </w:p>
    <w:p>
      <w:pPr>
        <w:pStyle w:val="TOC8"/>
        <w:rPr>
          <w:rFonts w:asciiTheme="minorHAnsi" w:eastAsiaTheme="minorEastAsia" w:hAnsiTheme="minorHAnsi" w:cstheme="minorBidi"/>
          <w:szCs w:val="22"/>
        </w:rPr>
      </w:pPr>
      <w:r>
        <w:t>1</w:t>
      </w:r>
      <w:r>
        <w:rPr>
          <w:snapToGrid w:val="0"/>
        </w:rPr>
        <w:t>.</w:t>
      </w:r>
      <w:r>
        <w:rPr>
          <w:snapToGrid w:val="0"/>
        </w:rPr>
        <w:tab/>
        <w:t>Real estate settlement agent</w:t>
      </w:r>
      <w:r>
        <w:tab/>
      </w:r>
      <w:r>
        <w:fldChar w:fldCharType="begin"/>
      </w:r>
      <w:r>
        <w:instrText xml:space="preserve"> PAGEREF _Toc378948410 \h </w:instrText>
      </w:r>
      <w:r>
        <w:fldChar w:fldCharType="separate"/>
      </w:r>
      <w:r>
        <w:t>93</w:t>
      </w:r>
      <w:r>
        <w:fldChar w:fldCharType="end"/>
      </w:r>
    </w:p>
    <w:p>
      <w:pPr>
        <w:pStyle w:val="TOC8"/>
        <w:rPr>
          <w:rFonts w:asciiTheme="minorHAnsi" w:eastAsiaTheme="minorEastAsia" w:hAnsiTheme="minorHAnsi" w:cstheme="minorBidi"/>
          <w:szCs w:val="22"/>
        </w:rPr>
      </w:pPr>
      <w:r>
        <w:t xml:space="preserve">2. </w:t>
      </w:r>
      <w:r>
        <w:tab/>
        <w:t>Business settlement agent</w:t>
      </w:r>
      <w:r>
        <w:tab/>
      </w:r>
      <w:r>
        <w:fldChar w:fldCharType="begin"/>
      </w:r>
      <w:r>
        <w:instrText xml:space="preserve"> PAGEREF _Toc378948411 \h </w:instrText>
      </w:r>
      <w:r>
        <w:fldChar w:fldCharType="separate"/>
      </w:r>
      <w:r>
        <w:t>94</w:t>
      </w:r>
      <w:r>
        <w:fldChar w:fldCharType="end"/>
      </w:r>
    </w:p>
    <w:p>
      <w:pPr>
        <w:pStyle w:val="TOC8"/>
        <w:rPr>
          <w:rFonts w:asciiTheme="minorHAnsi" w:eastAsiaTheme="minorEastAsia" w:hAnsiTheme="minorHAnsi" w:cstheme="minorBidi"/>
          <w:szCs w:val="22"/>
        </w:rPr>
      </w:pPr>
      <w:r>
        <w:t xml:space="preserve">3. </w:t>
      </w:r>
      <w:r>
        <w:tab/>
        <w:t>Licence by reason of qualification under cl. 1(1)(c) and 2(1)(c)</w:t>
      </w:r>
      <w:r>
        <w:tab/>
      </w:r>
      <w:r>
        <w:fldChar w:fldCharType="begin"/>
      </w:r>
      <w:r>
        <w:instrText xml:space="preserve"> PAGEREF _Toc378948412 \h </w:instrText>
      </w:r>
      <w:r>
        <w:fldChar w:fldCharType="separate"/>
      </w:r>
      <w:r>
        <w:t>95</w:t>
      </w:r>
      <w:r>
        <w:fldChar w:fldCharType="end"/>
      </w:r>
    </w:p>
    <w:p>
      <w:pPr>
        <w:pStyle w:val="TOC8"/>
        <w:rPr>
          <w:rFonts w:asciiTheme="minorHAnsi" w:eastAsiaTheme="minorEastAsia" w:hAnsiTheme="minorHAnsi" w:cstheme="minorBidi"/>
          <w:szCs w:val="22"/>
        </w:rPr>
      </w:pPr>
      <w:r>
        <w:t>4.</w:t>
      </w:r>
      <w:r>
        <w:tab/>
        <w:t>Licence by reason of qualification under cl. 1(1)(d) and 2(1)(d)</w:t>
      </w:r>
      <w:r>
        <w:tab/>
      </w:r>
      <w:r>
        <w:fldChar w:fldCharType="begin"/>
      </w:r>
      <w:r>
        <w:instrText xml:space="preserve"> PAGEREF _Toc378948413 \h </w:instrText>
      </w:r>
      <w:r>
        <w:fldChar w:fldCharType="separate"/>
      </w:r>
      <w:r>
        <w:t>95</w:t>
      </w:r>
      <w:r>
        <w:fldChar w:fldCharType="end"/>
      </w:r>
    </w:p>
    <w:p>
      <w:pPr>
        <w:pStyle w:val="TOC8"/>
        <w:rPr>
          <w:rFonts w:asciiTheme="minorHAnsi" w:eastAsiaTheme="minorEastAsia" w:hAnsiTheme="minorHAnsi" w:cstheme="minorBidi"/>
          <w:szCs w:val="22"/>
        </w:rPr>
      </w:pPr>
      <w:r>
        <w:t xml:space="preserve">5. </w:t>
      </w:r>
      <w:r>
        <w:tab/>
        <w:t>Dead or incapacitated licensee, conduct of business of</w:t>
      </w:r>
      <w:r>
        <w:tab/>
      </w:r>
      <w:r>
        <w:fldChar w:fldCharType="begin"/>
      </w:r>
      <w:r>
        <w:instrText xml:space="preserve"> PAGEREF _Toc378948414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rPr>
      </w:pPr>
      <w:r>
        <w:rPr>
          <w:rFonts w:eastAsia="MS Mincho"/>
        </w:rPr>
        <w:t>Division 2</w:t>
      </w:r>
      <w:r>
        <w:rPr>
          <w:rFonts w:eastAsia="MS Mincho"/>
          <w:b w:val="0"/>
        </w:rPr>
        <w:t> — </w:t>
      </w:r>
      <w:r>
        <w:rPr>
          <w:rFonts w:eastAsia="MS Mincho"/>
        </w:rPr>
        <w:t>Disqualification</w:t>
      </w:r>
    </w:p>
    <w:p>
      <w:pPr>
        <w:pStyle w:val="TOC8"/>
        <w:rPr>
          <w:rFonts w:asciiTheme="minorHAnsi" w:eastAsiaTheme="minorEastAsia" w:hAnsiTheme="minorHAnsi" w:cstheme="minorBidi"/>
          <w:szCs w:val="22"/>
        </w:rPr>
      </w:pPr>
      <w:r>
        <w:t>6.</w:t>
      </w:r>
      <w:r>
        <w:tab/>
        <w:t>Term used: business licence</w:t>
      </w:r>
      <w:r>
        <w:tab/>
      </w:r>
      <w:r>
        <w:fldChar w:fldCharType="begin"/>
      </w:r>
      <w:r>
        <w:instrText xml:space="preserve"> PAGEREF _Toc378948416 \h </w:instrText>
      </w:r>
      <w:r>
        <w:fldChar w:fldCharType="separate"/>
      </w:r>
      <w:r>
        <w:t>96</w:t>
      </w:r>
      <w:r>
        <w:fldChar w:fldCharType="end"/>
      </w:r>
    </w:p>
    <w:p>
      <w:pPr>
        <w:pStyle w:val="TOC8"/>
        <w:rPr>
          <w:rFonts w:asciiTheme="minorHAnsi" w:eastAsiaTheme="minorEastAsia" w:hAnsiTheme="minorHAnsi" w:cstheme="minorBidi"/>
          <w:szCs w:val="22"/>
        </w:rPr>
      </w:pPr>
      <w:r>
        <w:t xml:space="preserve">7. </w:t>
      </w:r>
      <w:r>
        <w:tab/>
        <w:t>Natural persons, disqualification of</w:t>
      </w:r>
      <w:r>
        <w:tab/>
      </w:r>
      <w:r>
        <w:fldChar w:fldCharType="begin"/>
      </w:r>
      <w:r>
        <w:instrText xml:space="preserve"> PAGEREF _Toc378948417 \h </w:instrText>
      </w:r>
      <w:r>
        <w:fldChar w:fldCharType="separate"/>
      </w:r>
      <w:r>
        <w:t>96</w:t>
      </w:r>
      <w:r>
        <w:fldChar w:fldCharType="end"/>
      </w:r>
    </w:p>
    <w:p>
      <w:pPr>
        <w:pStyle w:val="TOC8"/>
        <w:rPr>
          <w:rFonts w:asciiTheme="minorHAnsi" w:eastAsiaTheme="minorEastAsia" w:hAnsiTheme="minorHAnsi" w:cstheme="minorBidi"/>
          <w:szCs w:val="22"/>
        </w:rPr>
      </w:pPr>
      <w:r>
        <w:t xml:space="preserve">8. </w:t>
      </w:r>
      <w:r>
        <w:tab/>
        <w:t>Bodies corporate, disqualification of</w:t>
      </w:r>
      <w:r>
        <w:tab/>
      </w:r>
      <w:r>
        <w:fldChar w:fldCharType="begin"/>
      </w:r>
      <w:r>
        <w:instrText xml:space="preserve"> PAGEREF _Toc378948418 \h </w:instrText>
      </w:r>
      <w:r>
        <w:fldChar w:fldCharType="separate"/>
      </w:r>
      <w:r>
        <w:t>97</w:t>
      </w:r>
      <w:r>
        <w:fldChar w:fldCharType="end"/>
      </w:r>
    </w:p>
    <w:p>
      <w:pPr>
        <w:pStyle w:val="TOC8"/>
        <w:rPr>
          <w:rFonts w:asciiTheme="minorHAnsi" w:eastAsiaTheme="minorEastAsia" w:hAnsiTheme="minorHAnsi" w:cstheme="minorBidi"/>
          <w:szCs w:val="22"/>
        </w:rPr>
      </w:pPr>
      <w:r>
        <w:t xml:space="preserve">9. </w:t>
      </w:r>
      <w:r>
        <w:tab/>
        <w:t>Firms, disqualification of</w:t>
      </w:r>
      <w:r>
        <w:tab/>
      </w:r>
      <w:r>
        <w:fldChar w:fldCharType="begin"/>
      </w:r>
      <w:r>
        <w:instrText xml:space="preserve"> PAGEREF _Toc378948419 \h </w:instrText>
      </w:r>
      <w:r>
        <w:fldChar w:fldCharType="separate"/>
      </w:r>
      <w:r>
        <w:t>97</w:t>
      </w:r>
      <w:r>
        <w:fldChar w:fldCharType="end"/>
      </w:r>
    </w:p>
    <w:p>
      <w:pPr>
        <w:pStyle w:val="TOC4"/>
        <w:tabs>
          <w:tab w:val="right" w:leader="dot" w:pos="7086"/>
        </w:tabs>
        <w:rPr>
          <w:rFonts w:asciiTheme="minorHAnsi" w:eastAsiaTheme="minorEastAsia" w:hAnsiTheme="minorHAnsi" w:cstheme="minorBidi"/>
          <w:b w:val="0"/>
          <w:szCs w:val="22"/>
        </w:rPr>
      </w:pPr>
      <w:r>
        <w:t>Division 3 — Temporary arrangements</w:t>
      </w:r>
    </w:p>
    <w:p>
      <w:pPr>
        <w:pStyle w:val="TOC8"/>
        <w:rPr>
          <w:rFonts w:asciiTheme="minorHAnsi" w:eastAsiaTheme="minorEastAsia" w:hAnsiTheme="minorHAnsi" w:cstheme="minorBidi"/>
          <w:szCs w:val="22"/>
        </w:rPr>
      </w:pPr>
      <w:r>
        <w:t xml:space="preserve">10. </w:t>
      </w:r>
      <w:r>
        <w:tab/>
        <w:t>Death or withdrawal of partner in firm or director of body corporate, Commissioner to be notified etc.</w:t>
      </w:r>
      <w:r>
        <w:tab/>
      </w:r>
      <w:r>
        <w:fldChar w:fldCharType="begin"/>
      </w:r>
      <w:r>
        <w:instrText xml:space="preserve"> PAGEREF _Toc378948421 \h </w:instrText>
      </w:r>
      <w:r>
        <w:fldChar w:fldCharType="separate"/>
      </w:r>
      <w:r>
        <w:t>98</w:t>
      </w:r>
      <w:r>
        <w:fldChar w:fldCharType="end"/>
      </w:r>
    </w:p>
    <w:p>
      <w:pPr>
        <w:pStyle w:val="TOC2"/>
        <w:tabs>
          <w:tab w:val="right" w:leader="dot" w:pos="7086"/>
        </w:tabs>
        <w:rPr>
          <w:rFonts w:asciiTheme="minorHAnsi" w:eastAsiaTheme="minorEastAsia" w:hAnsiTheme="minorHAnsi" w:cstheme="minorBidi"/>
          <w:b w:val="0"/>
          <w:sz w:val="22"/>
          <w:szCs w:val="22"/>
        </w:rPr>
      </w:pPr>
      <w:r>
        <w:t>Schedule 2 — Functions of a settlement agent</w:t>
      </w:r>
    </w:p>
    <w:p>
      <w:pPr>
        <w:pStyle w:val="TOC8"/>
        <w:rPr>
          <w:rFonts w:asciiTheme="minorHAnsi" w:eastAsiaTheme="minorEastAsia" w:hAnsiTheme="minorHAnsi" w:cstheme="minorBidi"/>
          <w:szCs w:val="22"/>
        </w:rPr>
      </w:pPr>
      <w:r>
        <w:t>1.</w:t>
      </w:r>
      <w:r>
        <w:tab/>
        <w:t>Real estate settlement agent</w:t>
      </w:r>
      <w:r>
        <w:tab/>
      </w:r>
      <w:r>
        <w:fldChar w:fldCharType="begin"/>
      </w:r>
      <w:r>
        <w:instrText xml:space="preserve"> PAGEREF _Toc378948423 \h </w:instrText>
      </w:r>
      <w:r>
        <w:fldChar w:fldCharType="separate"/>
      </w:r>
      <w:r>
        <w:t>99</w:t>
      </w:r>
      <w:r>
        <w:fldChar w:fldCharType="end"/>
      </w:r>
    </w:p>
    <w:p>
      <w:pPr>
        <w:pStyle w:val="TOC8"/>
        <w:rPr>
          <w:rFonts w:asciiTheme="minorHAnsi" w:eastAsiaTheme="minorEastAsia" w:hAnsiTheme="minorHAnsi" w:cstheme="minorBidi"/>
          <w:szCs w:val="22"/>
        </w:rPr>
      </w:pPr>
      <w:r>
        <w:t xml:space="preserve">2. </w:t>
      </w:r>
      <w:r>
        <w:tab/>
        <w:t>Business settlement agent</w:t>
      </w:r>
      <w:r>
        <w:tab/>
      </w:r>
      <w:r>
        <w:fldChar w:fldCharType="begin"/>
      </w:r>
      <w:r>
        <w:instrText xml:space="preserve"> PAGEREF _Toc378948424 \h </w:instrText>
      </w:r>
      <w:r>
        <w:fldChar w:fldCharType="separate"/>
      </w:r>
      <w:r>
        <w:t>100</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_Toc378948426 \h </w:instrText>
      </w:r>
      <w:r>
        <w:fldChar w:fldCharType="separate"/>
      </w:r>
      <w:r>
        <w:t>102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pPr>
      <w:r>
        <w:t>Settlement Agents Act 1981</w:t>
      </w:r>
    </w:p>
    <w:p>
      <w:pPr>
        <w:pStyle w:val="LongTitle"/>
        <w:spacing w:before="1040"/>
        <w:rPr>
          <w:snapToGrid w:val="0"/>
        </w:rPr>
      </w:pPr>
      <w:r>
        <w:rPr>
          <w:snapToGrid w:val="0"/>
        </w:rPr>
        <w:t>An Act to make provision with respect to the licensing, regulation, and supervision of settlement agents, and for related purposes.</w:t>
      </w:r>
    </w:p>
    <w:p>
      <w:pPr>
        <w:pStyle w:val="Heading2"/>
      </w:pPr>
      <w:bookmarkStart w:id="1" w:name="_Toc378948272"/>
      <w:r>
        <w:rPr>
          <w:rStyle w:val="CharPartNo"/>
        </w:rPr>
        <w:t>Part I</w:t>
      </w:r>
      <w:r>
        <w:rPr>
          <w:rStyle w:val="CharDivNo"/>
        </w:rPr>
        <w:t> </w:t>
      </w:r>
      <w:r>
        <w:t>—</w:t>
      </w:r>
      <w:r>
        <w:rPr>
          <w:rStyle w:val="CharDivText"/>
        </w:rPr>
        <w:t> </w:t>
      </w:r>
      <w:r>
        <w:rPr>
          <w:rStyle w:val="CharPartText"/>
        </w:rPr>
        <w:t>Preliminary</w:t>
      </w:r>
      <w:bookmarkEnd w:id="1"/>
    </w:p>
    <w:p>
      <w:pPr>
        <w:pStyle w:val="Heading5"/>
        <w:rPr>
          <w:snapToGrid w:val="0"/>
        </w:rPr>
      </w:pPr>
      <w:bookmarkStart w:id="2" w:name="_Toc378948273"/>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3" w:name="_Toc378948274"/>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4" w:name="_Toc378948275"/>
      <w:r>
        <w:rPr>
          <w:rStyle w:val="CharSectno"/>
        </w:rPr>
        <w:t>3</w:t>
      </w:r>
      <w:r>
        <w:rPr>
          <w:snapToGrid w:val="0"/>
        </w:rPr>
        <w:t>.</w:t>
      </w:r>
      <w:r>
        <w:rPr>
          <w:snapToGrid w:val="0"/>
        </w:rPr>
        <w:tab/>
        <w:t>Terms used</w:t>
      </w:r>
      <w:bookmarkEnd w:id="4"/>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w:t>
      </w:r>
    </w:p>
    <w:p>
      <w:pPr>
        <w:pStyle w:val="Defpara"/>
      </w:pPr>
      <w:r>
        <w:tab/>
        <w:t>(c)</w:t>
      </w:r>
      <w:r>
        <w:tab/>
        <w:t>the sale, exchange, or other disposal or a purchase, exchange, or other acquisition of a share in the capital of a body corporate or an option in respect thereof;</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Interest Account</w:t>
      </w:r>
      <w:r>
        <w:t xml:space="preserve"> means the Settlement Agents Interest Account established under section 103(1);</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w:t>
      </w:r>
    </w:p>
    <w:p>
      <w:pPr>
        <w:pStyle w:val="Defpara"/>
      </w:pPr>
      <w:r>
        <w:tab/>
        <w:t>(a)</w:t>
      </w:r>
      <w:r>
        <w:tab/>
        <w:t>whether payable in cash or kind; and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Commissioner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[Section 3 amended by No. 98 of 1985 s. 3; No. 59 of 1995 s. 58; No. 26 of 1999 s. 102(2); No. 65 of 2003 s. 66(2); No. 55 of 2004 s. 1081; No. 77 of 2006 Sch. 1 cl. 156(1); No. 21 of 2008 s. 704(2); No. 8 of 2009 s. 117; No. 46 of 2009 s. 15(2); No. 58 of 2010 s. 136 and 176.]</w:t>
      </w:r>
    </w:p>
    <w:p>
      <w:pPr>
        <w:pStyle w:val="Heading5"/>
        <w:rPr>
          <w:snapToGrid w:val="0"/>
        </w:rPr>
      </w:pPr>
      <w:bookmarkStart w:id="5" w:name="_Toc378948276"/>
      <w:r>
        <w:rPr>
          <w:rStyle w:val="CharSectno"/>
        </w:rPr>
        <w:t>4</w:t>
      </w:r>
      <w:r>
        <w:rPr>
          <w:snapToGrid w:val="0"/>
        </w:rPr>
        <w:t>.</w:t>
      </w:r>
      <w:r>
        <w:rPr>
          <w:snapToGrid w:val="0"/>
        </w:rPr>
        <w:tab/>
        <w:t>Term used: settlement agent</w:t>
      </w:r>
      <w:bookmarkEnd w:id="5"/>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w:t>
      </w:r>
    </w:p>
    <w:p>
      <w:pPr>
        <w:pStyle w:val="Indenta"/>
        <w:rPr>
          <w:snapToGrid w:val="0"/>
        </w:rPr>
      </w:pPr>
      <w:r>
        <w:rPr>
          <w:snapToGrid w:val="0"/>
        </w:rPr>
        <w:tab/>
        <w:t>(a)</w:t>
      </w:r>
      <w:r>
        <w:rPr>
          <w:snapToGrid w:val="0"/>
        </w:rPr>
        <w:tab/>
        <w:t>legal practitioners, when acting in the course of the practice of their profession as such; and</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who are currently carrying on business as such in accordance with that Act, when arranging or effecting settlements to which a current exemption under section 26A or 26B, as the case may be, applies; and</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[Section 4 amended by No. 10 of 1982 s. 28; No. 64 of 1982 s. 2; No. 59 of 1995 s. 59; No. 26 of 1999 s. 102(3); No. 10 of 2001 s. 222; No. 21 of 2003 s. 22.]</w:t>
      </w:r>
    </w:p>
    <w:p>
      <w:pPr>
        <w:pStyle w:val="Footnoteheading"/>
      </w:pPr>
      <w:r>
        <w:tab/>
        <w:t>[Part II heading deleted by No. 58 of 2010 s. 137(1).]</w:t>
      </w:r>
    </w:p>
    <w:p>
      <w:pPr>
        <w:pStyle w:val="Ednotedivision"/>
      </w:pPr>
      <w:r>
        <w:t>[Division 1 (s. 5</w:t>
      </w:r>
      <w:r>
        <w:noBreakHyphen/>
        <w:t>12C) deleted by No. 58 of 2010 s. 137(2).]</w:t>
      </w:r>
    </w:p>
    <w:p>
      <w:pPr>
        <w:pStyle w:val="Ednotedivision"/>
      </w:pPr>
      <w:r>
        <w:t>[Division 1A (s. 12D and 12E) deleted by No. 58 of 2010 s. 137(2).]</w:t>
      </w:r>
    </w:p>
    <w:p>
      <w:pPr>
        <w:pStyle w:val="Ednotedivision"/>
      </w:pPr>
      <w:r>
        <w:t>[Division 2 (s. 13</w:t>
      </w:r>
      <w:r>
        <w:noBreakHyphen/>
        <w:t>18) deleted by No. 58 of 2010 s. 137(2).]</w:t>
      </w:r>
    </w:p>
    <w:p>
      <w:pPr>
        <w:pStyle w:val="Footnoteheading"/>
      </w:pPr>
      <w:r>
        <w:tab/>
        <w:t>[Division 3 heading deleted by No. 58 of 2010 s. 137(3).]</w:t>
      </w:r>
    </w:p>
    <w:p>
      <w:pPr>
        <w:pStyle w:val="Ednotesection"/>
      </w:pPr>
      <w:r>
        <w:t>[</w:t>
      </w:r>
      <w:r>
        <w:rPr>
          <w:b/>
        </w:rPr>
        <w:t>19</w:t>
      </w:r>
      <w:r>
        <w:rPr>
          <w:b/>
        </w:rPr>
        <w:noBreakHyphen/>
        <w:t>21.</w:t>
      </w:r>
      <w:r>
        <w:tab/>
        <w:t>Deleted by No. 58 of 2010 s. 138.]</w:t>
      </w:r>
    </w:p>
    <w:p>
      <w:pPr>
        <w:pStyle w:val="Heading5"/>
      </w:pPr>
      <w:bookmarkStart w:id="6" w:name="_Toc378948277"/>
      <w:r>
        <w:rPr>
          <w:rStyle w:val="CharSectno"/>
        </w:rPr>
        <w:t>22</w:t>
      </w:r>
      <w:r>
        <w:t>.</w:t>
      </w:r>
      <w:r>
        <w:tab/>
        <w:t>Powers of investigation</w:t>
      </w:r>
      <w:bookmarkEnd w:id="6"/>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by No. 58 of 2010 s. 139.]</w:t>
      </w:r>
    </w:p>
    <w:p>
      <w:pPr>
        <w:pStyle w:val="Heading5"/>
        <w:rPr>
          <w:snapToGrid w:val="0"/>
        </w:rPr>
      </w:pPr>
      <w:bookmarkStart w:id="7" w:name="_Toc378948278"/>
      <w:r>
        <w:rPr>
          <w:rStyle w:val="CharSectno"/>
        </w:rPr>
        <w:t>23</w:t>
      </w:r>
      <w:r>
        <w:rPr>
          <w:snapToGrid w:val="0"/>
        </w:rPr>
        <w:t>.</w:t>
      </w:r>
      <w:r>
        <w:rPr>
          <w:snapToGrid w:val="0"/>
        </w:rPr>
        <w:tab/>
        <w:t>Application for review by SAT</w:t>
      </w:r>
      <w:bookmarkEnd w:id="7"/>
    </w:p>
    <w:p>
      <w:pPr>
        <w:pStyle w:val="Subsection"/>
        <w:rPr>
          <w:snapToGrid w:val="0"/>
        </w:rPr>
      </w:pPr>
      <w:r>
        <w:rPr>
          <w:snapToGrid w:val="0"/>
        </w:rPr>
        <w:tab/>
        <w:t>(1)</w:t>
      </w:r>
      <w:r>
        <w:rPr>
          <w:snapToGrid w:val="0"/>
        </w:rPr>
        <w:tab/>
        <w:t xml:space="preserve">Any person aggrieved by a reviewable decision of the </w:t>
      </w:r>
      <w:r>
        <w:t>Commissioner</w:t>
      </w:r>
      <w:r>
        <w:rPr>
          <w:snapToGrid w:val="0"/>
        </w:rPr>
        <w:t xml:space="preserve"> may apply to the State Administrative Tribunal for a review of the decision.</w:t>
      </w:r>
    </w:p>
    <w:p>
      <w:pPr>
        <w:pStyle w:val="Subsection"/>
      </w:pPr>
      <w:r>
        <w:tab/>
        <w:t>(2)</w:t>
      </w:r>
      <w:r>
        <w:tab/>
        <w:t>In subsection (1) —</w:t>
      </w:r>
    </w:p>
    <w:p>
      <w:pPr>
        <w:pStyle w:val="Defstart"/>
      </w:pPr>
      <w:r>
        <w:tab/>
      </w:r>
      <w:r>
        <w:rPr>
          <w:rStyle w:val="CharDefText"/>
        </w:rPr>
        <w:t>person aggrieved</w:t>
      </w:r>
      <w:r>
        <w:t xml:space="preserve"> means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Commissioner under Part IV Division 2;</w:t>
      </w:r>
    </w:p>
    <w:p>
      <w:pPr>
        <w:pStyle w:val="Defpara"/>
      </w:pPr>
      <w:r>
        <w:tab/>
        <w:t>(c)</w:t>
      </w:r>
      <w:r>
        <w:tab/>
        <w:t>a person claiming against, or seeking the leave of the Commissioner to commence an action in relation to, the Fidelity Guarantee Account;</w:t>
      </w:r>
    </w:p>
    <w:p>
      <w:pPr>
        <w:pStyle w:val="Defstart"/>
      </w:pPr>
      <w:r>
        <w:tab/>
      </w:r>
      <w:r>
        <w:rPr>
          <w:rStyle w:val="CharDefText"/>
        </w:rPr>
        <w:t>reviewable decision</w:t>
      </w:r>
      <w:r>
        <w:t xml:space="preserve"> means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w:t>
      </w:r>
    </w:p>
    <w:p>
      <w:pPr>
        <w:pStyle w:val="Footnotesection"/>
      </w:pPr>
      <w:r>
        <w:tab/>
        <w:t>[Section 23 inserted by No. 55 of 2004 s. 1084; amended by No. 77 of 2006 Sch. 1 cl. 156(2); No. 58 of 2010 s. 140 and 176.]</w:t>
      </w:r>
    </w:p>
    <w:p>
      <w:pPr>
        <w:pStyle w:val="Heading2"/>
      </w:pPr>
      <w:bookmarkStart w:id="8" w:name="_Toc378948279"/>
      <w:r>
        <w:rPr>
          <w:rStyle w:val="CharPartNo"/>
        </w:rPr>
        <w:t>Part III</w:t>
      </w:r>
      <w:r>
        <w:rPr>
          <w:rStyle w:val="CharDivNo"/>
        </w:rPr>
        <w:t> </w:t>
      </w:r>
      <w:r>
        <w:t>—</w:t>
      </w:r>
      <w:r>
        <w:rPr>
          <w:rStyle w:val="CharDivText"/>
        </w:rPr>
        <w:t> </w:t>
      </w:r>
      <w:r>
        <w:rPr>
          <w:rStyle w:val="CharPartText"/>
        </w:rPr>
        <w:t>Licensing</w:t>
      </w:r>
      <w:bookmarkEnd w:id="8"/>
    </w:p>
    <w:p>
      <w:pPr>
        <w:pStyle w:val="Heading5"/>
        <w:spacing w:before="180"/>
        <w:rPr>
          <w:snapToGrid w:val="0"/>
        </w:rPr>
      </w:pPr>
      <w:bookmarkStart w:id="9" w:name="_Toc378948280"/>
      <w:r>
        <w:rPr>
          <w:rStyle w:val="CharSectno"/>
        </w:rPr>
        <w:t>24</w:t>
      </w:r>
      <w:r>
        <w:rPr>
          <w:snapToGrid w:val="0"/>
        </w:rPr>
        <w:t>.</w:t>
      </w:r>
      <w:r>
        <w:rPr>
          <w:snapToGrid w:val="0"/>
        </w:rPr>
        <w:tab/>
        <w:t>Applications for licences</w:t>
      </w:r>
      <w:bookmarkEnd w:id="9"/>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24 amended by No. 58 of 2010 s. 141 and 176.]</w:t>
      </w:r>
    </w:p>
    <w:p>
      <w:pPr>
        <w:pStyle w:val="Heading5"/>
        <w:rPr>
          <w:snapToGrid w:val="0"/>
        </w:rPr>
      </w:pPr>
      <w:bookmarkStart w:id="10" w:name="_Toc378948281"/>
      <w:r>
        <w:rPr>
          <w:rStyle w:val="CharSectno"/>
        </w:rPr>
        <w:t>25</w:t>
      </w:r>
      <w:r>
        <w:rPr>
          <w:snapToGrid w:val="0"/>
        </w:rPr>
        <w:t>.</w:t>
      </w:r>
      <w:r>
        <w:rPr>
          <w:snapToGrid w:val="0"/>
        </w:rPr>
        <w:tab/>
        <w:t>Objections to grants of licences</w:t>
      </w:r>
      <w:bookmarkEnd w:id="10"/>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pPr>
      <w:r>
        <w:tab/>
        <w:t>(4)</w:t>
      </w:r>
      <w:r>
        <w:tab/>
        <w:t>If the Commissioner is considering making an adverse decision in relation to the objection, the Commissioner must give the person making the objection the opportunity to give additional information in relation to that objection.</w:t>
      </w:r>
    </w:p>
    <w:p>
      <w:pPr>
        <w:pStyle w:val="Footnotesection"/>
      </w:pPr>
      <w:r>
        <w:tab/>
        <w:t>[Section 25 amended by No. 58 of 2010 s. 142 and 176.]</w:t>
      </w:r>
    </w:p>
    <w:p>
      <w:pPr>
        <w:pStyle w:val="Heading5"/>
        <w:rPr>
          <w:snapToGrid w:val="0"/>
        </w:rPr>
      </w:pPr>
      <w:bookmarkStart w:id="11" w:name="_Toc378948282"/>
      <w:r>
        <w:rPr>
          <w:rStyle w:val="CharSectno"/>
        </w:rPr>
        <w:t>26</w:t>
      </w:r>
      <w:r>
        <w:rPr>
          <w:snapToGrid w:val="0"/>
        </w:rPr>
        <w:t>.</w:t>
      </w:r>
      <w:r>
        <w:rPr>
          <w:snapToGrid w:val="0"/>
        </w:rPr>
        <w:tab/>
        <w:t>Settlement agents must be licensed</w:t>
      </w:r>
      <w:bookmarkEnd w:id="11"/>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[Section 26 amended by No. 59 of 1995 s. 85.]</w:t>
      </w:r>
    </w:p>
    <w:p>
      <w:pPr>
        <w:pStyle w:val="Heading5"/>
        <w:spacing w:before="180"/>
        <w:rPr>
          <w:snapToGrid w:val="0"/>
        </w:rPr>
      </w:pPr>
      <w:bookmarkStart w:id="12" w:name="_Toc378948283"/>
      <w:r>
        <w:rPr>
          <w:rStyle w:val="CharSectno"/>
        </w:rPr>
        <w:t>26A</w:t>
      </w:r>
      <w:r>
        <w:rPr>
          <w:snapToGrid w:val="0"/>
        </w:rPr>
        <w:t xml:space="preserve">. </w:t>
      </w:r>
      <w:r>
        <w:rPr>
          <w:snapToGrid w:val="0"/>
        </w:rPr>
        <w:tab/>
        <w:t>Licensed real estate agent may be exempted for certain settlements</w:t>
      </w:r>
      <w:bookmarkEnd w:id="12"/>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real estate settlement agent’s licence, the requirements of section 27(1)(a), (b), and (d) would be fulfilled; or</w:t>
      </w:r>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 and</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26A inserted by No. 64 of 1982 s. 3; amended by No. 58 of 2010 s. 176.]</w:t>
      </w:r>
    </w:p>
    <w:p>
      <w:pPr>
        <w:pStyle w:val="Heading5"/>
        <w:rPr>
          <w:snapToGrid w:val="0"/>
        </w:rPr>
      </w:pPr>
      <w:bookmarkStart w:id="13" w:name="_Toc378948284"/>
      <w:r>
        <w:rPr>
          <w:rStyle w:val="CharSectno"/>
        </w:rPr>
        <w:t>26B</w:t>
      </w:r>
      <w:r>
        <w:rPr>
          <w:snapToGrid w:val="0"/>
        </w:rPr>
        <w:t xml:space="preserve">. </w:t>
      </w:r>
      <w:r>
        <w:rPr>
          <w:snapToGrid w:val="0"/>
        </w:rPr>
        <w:tab/>
        <w:t>Licensed business agent may be exempted for certain settlements</w:t>
      </w:r>
      <w:bookmarkEnd w:id="13"/>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business settlement agent’s licence, the requirements of section 27(1)(a), (b), and (d) would be fulfilled; or</w:t>
      </w:r>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 and</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26B inserted by No. 64 of 1982 s. 3; amended by No. 58 of 2010 s. 176.]</w:t>
      </w:r>
    </w:p>
    <w:p>
      <w:pPr>
        <w:pStyle w:val="Heading5"/>
        <w:rPr>
          <w:snapToGrid w:val="0"/>
        </w:rPr>
      </w:pPr>
      <w:bookmarkStart w:id="14" w:name="_Toc378948285"/>
      <w:r>
        <w:rPr>
          <w:rStyle w:val="CharSectno"/>
        </w:rPr>
        <w:t>27</w:t>
      </w:r>
      <w:r>
        <w:rPr>
          <w:snapToGrid w:val="0"/>
        </w:rPr>
        <w:t>.</w:t>
      </w:r>
      <w:r>
        <w:rPr>
          <w:snapToGrid w:val="0"/>
        </w:rPr>
        <w:tab/>
        <w:t>Natural persons, licensing of</w:t>
      </w:r>
      <w:bookmarkEnd w:id="14"/>
    </w:p>
    <w:p>
      <w:pPr>
        <w:pStyle w:val="Subsection"/>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he is of or over the age of 18 years; and</w:t>
      </w:r>
    </w:p>
    <w:p>
      <w:pPr>
        <w:pStyle w:val="Indenta"/>
        <w:rPr>
          <w:snapToGrid w:val="0"/>
        </w:rPr>
      </w:pPr>
      <w:r>
        <w:rPr>
          <w:snapToGrid w:val="0"/>
        </w:rPr>
        <w:tab/>
        <w:t>(b)</w:t>
      </w:r>
      <w:r>
        <w:rPr>
          <w:snapToGrid w:val="0"/>
        </w:rPr>
        <w:tab/>
        <w:t>he is a person of good character and repute and a fit and proper person to hold a licence; and</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w:t>
      </w:r>
      <w:r>
        <w:t>Commissioner</w:t>
      </w:r>
      <w:r>
        <w:rPr>
          <w:snapToGrid w:val="0"/>
        </w:rPr>
        <w:t xml:space="preserve"> by subsection (1) in the granting of a licence.</w:t>
      </w:r>
    </w:p>
    <w:p>
      <w:pPr>
        <w:pStyle w:val="Footnotesection"/>
      </w:pPr>
      <w:r>
        <w:tab/>
        <w:t>[Section 27 amended by No. 58 of 2010 s. 176.]</w:t>
      </w:r>
    </w:p>
    <w:p>
      <w:pPr>
        <w:pStyle w:val="Heading5"/>
        <w:rPr>
          <w:snapToGrid w:val="0"/>
        </w:rPr>
      </w:pPr>
      <w:bookmarkStart w:id="15" w:name="_Toc378948286"/>
      <w:r>
        <w:rPr>
          <w:rStyle w:val="CharSectno"/>
        </w:rPr>
        <w:t>28</w:t>
      </w:r>
      <w:r>
        <w:rPr>
          <w:snapToGrid w:val="0"/>
        </w:rPr>
        <w:t>.</w:t>
      </w:r>
      <w:r>
        <w:rPr>
          <w:snapToGrid w:val="0"/>
        </w:rPr>
        <w:tab/>
        <w:t>Firms, licensing of</w:t>
      </w:r>
      <w:bookmarkEnd w:id="15"/>
    </w:p>
    <w:p>
      <w:pPr>
        <w:pStyle w:val="Subsection"/>
        <w:rPr>
          <w:snapToGrid w:val="0"/>
        </w:rPr>
      </w:pPr>
      <w:r>
        <w:rPr>
          <w:snapToGrid w:val="0"/>
        </w:rPr>
        <w:tab/>
        <w:t>(1)</w:t>
      </w:r>
      <w:r>
        <w:rPr>
          <w:snapToGrid w:val="0"/>
        </w:rPr>
        <w:tab/>
        <w:t xml:space="preserve">Subject to this Act, 2 or more persons constituting a firm who apply to the </w:t>
      </w:r>
      <w:r>
        <w:t>Commissioner</w:t>
      </w:r>
      <w:r>
        <w:rPr>
          <w:snapToGrid w:val="0"/>
        </w:rPr>
        <w:t xml:space="preserve"> for a real estate settlement agent’s licence or a business settlement agent’s licence, or both,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28 amended by No. 58 of 2010 s. 176.]</w:t>
      </w:r>
    </w:p>
    <w:p>
      <w:pPr>
        <w:pStyle w:val="Heading5"/>
        <w:rPr>
          <w:snapToGrid w:val="0"/>
        </w:rPr>
      </w:pPr>
      <w:bookmarkStart w:id="16" w:name="_Toc378948287"/>
      <w:r>
        <w:rPr>
          <w:rStyle w:val="CharSectno"/>
        </w:rPr>
        <w:t>29</w:t>
      </w:r>
      <w:r>
        <w:rPr>
          <w:snapToGrid w:val="0"/>
        </w:rPr>
        <w:t>.</w:t>
      </w:r>
      <w:r>
        <w:rPr>
          <w:snapToGrid w:val="0"/>
        </w:rPr>
        <w:tab/>
        <w:t>Bodies corporate, licensing of</w:t>
      </w:r>
      <w:bookmarkEnd w:id="16"/>
    </w:p>
    <w:p>
      <w:pPr>
        <w:pStyle w:val="Subsection"/>
        <w:rPr>
          <w:snapToGrid w:val="0"/>
        </w:rPr>
      </w:pPr>
      <w:r>
        <w:rPr>
          <w:snapToGrid w:val="0"/>
        </w:rPr>
        <w:tab/>
        <w:t>(1)</w:t>
      </w:r>
      <w:r>
        <w:rPr>
          <w:snapToGrid w:val="0"/>
        </w:rPr>
        <w:tab/>
        <w:t xml:space="preserve">Subject to this Act, a body corporate which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it has sufficient material and financial resources available to it to comply with the requirements of this Act; and</w:t>
      </w:r>
    </w:p>
    <w:p>
      <w:pPr>
        <w:pStyle w:val="Indenta"/>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29 amended by No. 58 of 2010 s. 176.]</w:t>
      </w:r>
    </w:p>
    <w:p>
      <w:pPr>
        <w:pStyle w:val="Heading5"/>
        <w:rPr>
          <w:snapToGrid w:val="0"/>
        </w:rPr>
      </w:pPr>
      <w:bookmarkStart w:id="17" w:name="_Toc378948288"/>
      <w:r>
        <w:rPr>
          <w:rStyle w:val="CharSectno"/>
        </w:rPr>
        <w:t>30</w:t>
      </w:r>
      <w:r>
        <w:rPr>
          <w:snapToGrid w:val="0"/>
        </w:rPr>
        <w:t>.</w:t>
      </w:r>
      <w:r>
        <w:rPr>
          <w:snapToGrid w:val="0"/>
        </w:rPr>
        <w:tab/>
        <w:t>Licence, effect of</w:t>
      </w:r>
      <w:bookmarkEnd w:id="17"/>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spacing w:before="80"/>
        <w:ind w:left="890" w:hanging="890"/>
      </w:pPr>
      <w:r>
        <w:tab/>
        <w:t>[Section 30 amended by No. 56 of 1995 s. 50; No. 55 of 2004 s. 1085; No. 58 of 2010 s. 176.]</w:t>
      </w:r>
    </w:p>
    <w:p>
      <w:pPr>
        <w:pStyle w:val="Heading5"/>
        <w:rPr>
          <w:snapToGrid w:val="0"/>
        </w:rPr>
      </w:pPr>
      <w:bookmarkStart w:id="18" w:name="_Toc378948289"/>
      <w:r>
        <w:rPr>
          <w:rStyle w:val="CharSectno"/>
        </w:rPr>
        <w:t>31</w:t>
      </w:r>
      <w:r>
        <w:rPr>
          <w:snapToGrid w:val="0"/>
        </w:rPr>
        <w:t>.</w:t>
      </w:r>
      <w:r>
        <w:rPr>
          <w:snapToGrid w:val="0"/>
        </w:rPr>
        <w:tab/>
        <w:t>Triennial certificates, grant and renewal of</w:t>
      </w:r>
      <w:bookmarkEnd w:id="18"/>
    </w:p>
    <w:p>
      <w:pPr>
        <w:pStyle w:val="Subsection"/>
        <w:spacing w:before="140"/>
        <w:rPr>
          <w:snapToGrid w:val="0"/>
        </w:rPr>
      </w:pPr>
      <w:r>
        <w:rPr>
          <w:snapToGrid w:val="0"/>
        </w:rPr>
        <w:tab/>
        <w:t>(1)</w:t>
      </w:r>
      <w:r>
        <w:rPr>
          <w:snapToGrid w:val="0"/>
        </w:rPr>
        <w:tab/>
        <w:t xml:space="preserve">Subject to this Act, the </w:t>
      </w:r>
      <w:r>
        <w:t>Commissioner</w:t>
      </w:r>
      <w:r>
        <w:rPr>
          <w:snapToGrid w:val="0"/>
        </w:rPr>
        <w:t xml:space="preserve"> shall on the grant of —</w:t>
      </w:r>
    </w:p>
    <w:p>
      <w:pPr>
        <w:pStyle w:val="Indenta"/>
        <w:spacing w:before="60"/>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keepNext/>
        <w:spacing w:before="60"/>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spacing w:before="120"/>
        <w:rPr>
          <w:snapToGrid w:val="0"/>
        </w:rPr>
      </w:pPr>
      <w:r>
        <w:rPr>
          <w:snapToGrid w:val="0"/>
        </w:rPr>
        <w:tab/>
      </w:r>
      <w:r>
        <w:rPr>
          <w:snapToGrid w:val="0"/>
        </w:rPr>
        <w:tab/>
        <w:t>for the period of 3 years commencing on the date on which it is granted.</w:t>
      </w:r>
    </w:p>
    <w:p>
      <w:pPr>
        <w:pStyle w:val="Subsection"/>
        <w:spacing w:before="140"/>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spacing w:before="60"/>
        <w:rPr>
          <w:snapToGrid w:val="0"/>
        </w:rPr>
      </w:pPr>
      <w:r>
        <w:rPr>
          <w:snapToGrid w:val="0"/>
        </w:rPr>
        <w:tab/>
        <w:t>(a)</w:t>
      </w:r>
      <w:r>
        <w:rPr>
          <w:snapToGrid w:val="0"/>
        </w:rPr>
        <w:tab/>
        <w:t>by the licensee, if the licensee is a person other than a firm or a body corporate; or</w:t>
      </w:r>
    </w:p>
    <w:p>
      <w:pPr>
        <w:pStyle w:val="Indenta"/>
        <w:spacing w:before="60"/>
        <w:rPr>
          <w:snapToGrid w:val="0"/>
        </w:rPr>
      </w:pPr>
      <w:r>
        <w:rPr>
          <w:snapToGrid w:val="0"/>
        </w:rPr>
        <w:tab/>
        <w:t>(b)</w:t>
      </w:r>
      <w:r>
        <w:rPr>
          <w:snapToGrid w:val="0"/>
        </w:rPr>
        <w:tab/>
        <w:t>by the person in bona fide control of the business of the licensee, if the licensee is a firm or body corporate.</w:t>
      </w:r>
    </w:p>
    <w:p>
      <w:pPr>
        <w:pStyle w:val="Subsection"/>
        <w:spacing w:before="140"/>
        <w:rPr>
          <w:snapToGrid w:val="0"/>
        </w:rPr>
      </w:pPr>
      <w:r>
        <w:rPr>
          <w:snapToGrid w:val="0"/>
        </w:rPr>
        <w:tab/>
        <w:t>(2a)</w:t>
      </w:r>
      <w:r>
        <w:rPr>
          <w:snapToGrid w:val="0"/>
        </w:rPr>
        <w:tab/>
        <w:t xml:space="preserve">The </w:t>
      </w:r>
      <w:r>
        <w:t>Commissioner</w:t>
      </w:r>
      <w:r>
        <w:rPr>
          <w:snapToGrid w:val="0"/>
        </w:rPr>
        <w:t xml:space="preserve"> may refuse to renew a triennial certificate if the licensee has not met prescribed educational requirements.</w:t>
      </w:r>
    </w:p>
    <w:p>
      <w:pPr>
        <w:pStyle w:val="Subsection"/>
        <w:spacing w:before="140"/>
        <w:rPr>
          <w:snapToGrid w:val="0"/>
        </w:rPr>
      </w:pPr>
      <w:r>
        <w:rPr>
          <w:snapToGrid w:val="0"/>
        </w:rPr>
        <w:tab/>
        <w:t>(3)</w:t>
      </w:r>
      <w:r>
        <w:rPr>
          <w:snapToGrid w:val="0"/>
        </w:rPr>
        <w:tab/>
        <w:t>At all times during the currency of the triennial certificate —</w:t>
      </w:r>
    </w:p>
    <w:p>
      <w:pPr>
        <w:pStyle w:val="Indenta"/>
        <w:spacing w:before="60"/>
        <w:rPr>
          <w:snapToGrid w:val="0"/>
        </w:rPr>
      </w:pPr>
      <w:r>
        <w:rPr>
          <w:snapToGrid w:val="0"/>
        </w:rPr>
        <w:tab/>
        <w:t>(a)</w:t>
      </w:r>
      <w:r>
        <w:rPr>
          <w:snapToGrid w:val="0"/>
        </w:rPr>
        <w:tab/>
        <w:t>if the licensee is a person other than a firm or body corporate, that person; or</w:t>
      </w:r>
    </w:p>
    <w:p>
      <w:pPr>
        <w:pStyle w:val="Indenta"/>
        <w:spacing w:before="60"/>
        <w:rPr>
          <w:snapToGrid w:val="0"/>
        </w:rPr>
      </w:pPr>
      <w:r>
        <w:rPr>
          <w:snapToGrid w:val="0"/>
        </w:rPr>
        <w:tab/>
        <w:t>(b)</w:t>
      </w:r>
      <w:r>
        <w:rPr>
          <w:snapToGrid w:val="0"/>
        </w:rPr>
        <w:tab/>
        <w:t>if the licensee is a firm or body corporate, the person in bona fide control of the business of the licensee,</w:t>
      </w:r>
    </w:p>
    <w:p>
      <w:pPr>
        <w:pStyle w:val="Subsection"/>
        <w:spacing w:before="120"/>
        <w:rPr>
          <w:snapToGrid w:val="0"/>
        </w:rPr>
      </w:pPr>
      <w:r>
        <w:rPr>
          <w:snapToGrid w:val="0"/>
        </w:rPr>
        <w:tab/>
      </w:r>
      <w:r>
        <w:rPr>
          <w:snapToGrid w:val="0"/>
        </w:rPr>
        <w:tab/>
        <w:t>shall remain ordinarily resident in the State.</w:t>
      </w:r>
    </w:p>
    <w:p>
      <w:pPr>
        <w:pStyle w:val="Footnotesection"/>
        <w:spacing w:before="80"/>
        <w:ind w:left="890" w:hanging="890"/>
      </w:pPr>
      <w:r>
        <w:tab/>
        <w:t>[Section 31 amended by No. 62 of 1996 s. 4; No. 58 of 2010 s. 176.]</w:t>
      </w:r>
    </w:p>
    <w:p>
      <w:pPr>
        <w:pStyle w:val="Heading5"/>
        <w:rPr>
          <w:snapToGrid w:val="0"/>
        </w:rPr>
      </w:pPr>
      <w:bookmarkStart w:id="19" w:name="_Toc378948290"/>
      <w:r>
        <w:rPr>
          <w:rStyle w:val="CharSectno"/>
        </w:rPr>
        <w:t>32</w:t>
      </w:r>
      <w:r>
        <w:rPr>
          <w:snapToGrid w:val="0"/>
        </w:rPr>
        <w:t>.</w:t>
      </w:r>
      <w:r>
        <w:rPr>
          <w:snapToGrid w:val="0"/>
        </w:rPr>
        <w:tab/>
        <w:t>Triennial certificates, late renewal of</w:t>
      </w:r>
      <w:bookmarkEnd w:id="19"/>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 xml:space="preserve">Where a triennial certificate is renewed more that one month but not more than 12 months after the day on which the triennial certificate expired and the licensee satisfies the </w:t>
      </w:r>
      <w:r>
        <w:t>Commissioner</w:t>
      </w:r>
      <w:r>
        <w:rPr>
          <w:snapToGrid w:val="0"/>
        </w:rPr>
        <w:t xml:space="preserve"> that there is reasonable cause for the renewal to be deemed to take effect for the period of 3 years on and from the day next succeeding the day on which the triennial certificate expired, the </w:t>
      </w:r>
      <w:r>
        <w:t>Commissioner</w:t>
      </w:r>
      <w:r>
        <w:rPr>
          <w:snapToGrid w:val="0"/>
        </w:rPr>
        <w:t xml:space="preserve"> shall so determine and the renewal shall take effect accordingly.</w:t>
      </w:r>
    </w:p>
    <w:p>
      <w:pPr>
        <w:pStyle w:val="Footnotesection"/>
      </w:pPr>
      <w:r>
        <w:tab/>
        <w:t>[Section 32 amended by No. 58 of 2010 s. 176.]</w:t>
      </w:r>
    </w:p>
    <w:p>
      <w:pPr>
        <w:pStyle w:val="Heading5"/>
        <w:rPr>
          <w:snapToGrid w:val="0"/>
        </w:rPr>
      </w:pPr>
      <w:bookmarkStart w:id="20" w:name="_Toc378948291"/>
      <w:r>
        <w:rPr>
          <w:rStyle w:val="CharSectno"/>
        </w:rPr>
        <w:t>33</w:t>
      </w:r>
      <w:r>
        <w:rPr>
          <w:snapToGrid w:val="0"/>
        </w:rPr>
        <w:t>.</w:t>
      </w:r>
      <w:r>
        <w:rPr>
          <w:snapToGrid w:val="0"/>
        </w:rPr>
        <w:tab/>
        <w:t>Triennial certificates expired for over a year, applications to renew</w:t>
      </w:r>
      <w:bookmarkEnd w:id="20"/>
    </w:p>
    <w:p>
      <w:pPr>
        <w:pStyle w:val="Subsection"/>
        <w:rPr>
          <w:snapToGrid w:val="0"/>
        </w:rPr>
      </w:pPr>
      <w:r>
        <w:rPr>
          <w:snapToGrid w:val="0"/>
        </w:rPr>
        <w:tab/>
        <w:t>(1)</w:t>
      </w:r>
      <w:r>
        <w:rPr>
          <w:snapToGrid w:val="0"/>
        </w:rPr>
        <w:tab/>
        <w:t xml:space="preserve">Where a triennial certificate expires and is not renewed within the period of 12 months thereafter an application for a renewal shall be made at least one month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(2)</w:t>
      </w:r>
      <w:r>
        <w:rPr>
          <w:snapToGrid w:val="0"/>
        </w:rPr>
        <w:tab/>
        <w:t xml:space="preserve">The application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33 amended by No. 58 of 2010 s. 143 and 176.]</w:t>
      </w:r>
    </w:p>
    <w:p>
      <w:pPr>
        <w:pStyle w:val="Heading5"/>
        <w:spacing w:before="180"/>
        <w:rPr>
          <w:snapToGrid w:val="0"/>
        </w:rPr>
      </w:pPr>
      <w:bookmarkStart w:id="21" w:name="_Toc378948292"/>
      <w:r>
        <w:rPr>
          <w:rStyle w:val="CharSectno"/>
        </w:rPr>
        <w:t>34</w:t>
      </w:r>
      <w:r>
        <w:rPr>
          <w:snapToGrid w:val="0"/>
        </w:rPr>
        <w:t>.</w:t>
      </w:r>
      <w:r>
        <w:rPr>
          <w:snapToGrid w:val="0"/>
        </w:rPr>
        <w:tab/>
        <w:t>Conditions on licences and triennial certificates</w:t>
      </w:r>
      <w:bookmarkEnd w:id="21"/>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 xml:space="preserve">The </w:t>
      </w:r>
      <w:r>
        <w:t>Commissioner</w:t>
      </w:r>
      <w:r>
        <w:rPr>
          <w:snapToGrid w:val="0"/>
        </w:rPr>
        <w:t xml:space="preserve"> may grant a licence or grant or renew a triennial certificate subject to such special conditions as the </w:t>
      </w:r>
      <w:r>
        <w:t>Commissioner</w:t>
      </w:r>
      <w:r>
        <w:rPr>
          <w:snapToGrid w:val="0"/>
        </w:rPr>
        <w:t xml:space="preserve"> thinks fit, and without limiting the generality of the foregoing any of those conditions may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spacing w:before="60"/>
        <w:ind w:left="958" w:hanging="1440"/>
      </w:pPr>
      <w:r>
        <w:tab/>
        <w:t>[Section 34 amended by No. 55 of 2004 s. 1086; No. 77 of 2006 Sch. 1 cl. 156(2); No. 58 of 2010 s. 176.]</w:t>
      </w:r>
    </w:p>
    <w:p>
      <w:pPr>
        <w:pStyle w:val="Heading5"/>
      </w:pPr>
      <w:bookmarkStart w:id="22" w:name="_Toc378948293"/>
      <w:r>
        <w:rPr>
          <w:rStyle w:val="CharSectno"/>
        </w:rPr>
        <w:t>34A</w:t>
      </w:r>
      <w:r>
        <w:rPr>
          <w:snapToGrid w:val="0"/>
        </w:rPr>
        <w:t>.</w:t>
      </w:r>
      <w:r>
        <w:tab/>
        <w:t>Unopposed applications</w:t>
      </w:r>
      <w:bookmarkEnd w:id="22"/>
    </w:p>
    <w:p>
      <w:pPr>
        <w:pStyle w:val="Subsection"/>
      </w:pPr>
      <w:r>
        <w:tab/>
        <w:t>(1)</w:t>
      </w:r>
      <w:r>
        <w:tab/>
        <w:t>Subject to this Part, a licence may be granted and a triennial certificate may be granted or renewed (as long as there is no objection in respect of a licence and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spacing w:before="90"/>
        <w:ind w:left="890" w:hanging="890"/>
      </w:pPr>
      <w:r>
        <w:tab/>
        <w:t>[Section 34A inserted by No. 55 of 2004 s. 1087; amended by No. 58 of 2010 s. 144 and 176.]</w:t>
      </w:r>
    </w:p>
    <w:p>
      <w:pPr>
        <w:pStyle w:val="Heading5"/>
      </w:pPr>
      <w:bookmarkStart w:id="23" w:name="_Toc378948294"/>
      <w:r>
        <w:rPr>
          <w:rStyle w:val="CharSectno"/>
        </w:rPr>
        <w:t>34B</w:t>
      </w:r>
      <w:r>
        <w:t>.</w:t>
      </w:r>
      <w:r>
        <w:tab/>
        <w:t>SAT may suspend licence in some cases</w:t>
      </w:r>
      <w:bookmarkEnd w:id="23"/>
    </w:p>
    <w:p>
      <w:pPr>
        <w:pStyle w:val="Subsection"/>
        <w:spacing w:before="140"/>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spacing w:before="14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pPr>
        <w:pStyle w:val="Footnotesection"/>
        <w:spacing w:before="90"/>
        <w:ind w:left="890" w:hanging="890"/>
      </w:pPr>
      <w:r>
        <w:tab/>
        <w:t>[Section 34B inserted by No. 55 of 2004 s. 1087.]</w:t>
      </w:r>
    </w:p>
    <w:p>
      <w:pPr>
        <w:pStyle w:val="Heading5"/>
        <w:rPr>
          <w:snapToGrid w:val="0"/>
        </w:rPr>
      </w:pPr>
      <w:bookmarkStart w:id="24" w:name="_Toc378948295"/>
      <w:r>
        <w:rPr>
          <w:rStyle w:val="CharSectno"/>
        </w:rPr>
        <w:t>35</w:t>
      </w:r>
      <w:r>
        <w:rPr>
          <w:snapToGrid w:val="0"/>
        </w:rPr>
        <w:t>.</w:t>
      </w:r>
      <w:r>
        <w:rPr>
          <w:snapToGrid w:val="0"/>
        </w:rPr>
        <w:tab/>
        <w:t>Fidelity insurance and professional indemnity insurance for licensees</w:t>
      </w:r>
      <w:bookmarkEnd w:id="24"/>
    </w:p>
    <w:p>
      <w:pPr>
        <w:pStyle w:val="Subsection"/>
        <w:spacing w:before="140"/>
        <w:rPr>
          <w:snapToGrid w:val="0"/>
        </w:rPr>
      </w:pPr>
      <w:r>
        <w:rPr>
          <w:snapToGrid w:val="0"/>
        </w:rPr>
        <w:tab/>
        <w:t>(1)</w:t>
      </w:r>
      <w:r>
        <w:rPr>
          <w:snapToGrid w:val="0"/>
        </w:rPr>
        <w:tab/>
        <w:t xml:space="preserve">The </w:t>
      </w:r>
      <w:r>
        <w:t>Commissioner</w:t>
      </w:r>
      <w:r>
        <w:rPr>
          <w:snapToGrid w:val="0"/>
        </w:rPr>
        <w:t xml:space="preserve"> may, from time to time, make arrangements for or in respect of the provision to licensees of fidelity insurance and professional indemnity insurance on such terms and conditions as the </w:t>
      </w:r>
      <w:r>
        <w:t>Commissioner</w:t>
      </w:r>
      <w:r>
        <w:rPr>
          <w:snapToGrid w:val="0"/>
        </w:rPr>
        <w:t xml:space="preserve"> thinks fit and, for that purpose, may, from time to time, enter into a Master Policy Agreement with an insurer appointed by the </w:t>
      </w:r>
      <w:r>
        <w:t>Commissioner</w:t>
      </w:r>
      <w:r>
        <w:rPr>
          <w:snapToGrid w:val="0"/>
        </w:rPr>
        <w:t xml:space="preserve"> and do all such acts or things that the </w:t>
      </w:r>
      <w:r>
        <w:t>Commissioner</w:t>
      </w:r>
      <w:r>
        <w:rPr>
          <w:snapToGrid w:val="0"/>
        </w:rPr>
        <w:t xml:space="preserve"> deems necessary or expedient for giving effect thereto.</w:t>
      </w:r>
    </w:p>
    <w:p>
      <w:pPr>
        <w:pStyle w:val="Subsection"/>
        <w:spacing w:before="140"/>
        <w:rPr>
          <w:snapToGrid w:val="0"/>
        </w:rPr>
      </w:pPr>
      <w:r>
        <w:rPr>
          <w:snapToGrid w:val="0"/>
        </w:rPr>
        <w:tab/>
        <w:t>(2)</w:t>
      </w:r>
      <w:r>
        <w:rPr>
          <w:snapToGrid w:val="0"/>
        </w:rPr>
        <w:tab/>
        <w:t>An arrangement in terms of subsection (1) may include provision with respect to any one or more of the following matters —</w:t>
      </w:r>
    </w:p>
    <w:p>
      <w:pPr>
        <w:pStyle w:val="Indenta"/>
        <w:rPr>
          <w:snapToGrid w:val="0"/>
        </w:rPr>
      </w:pPr>
      <w:r>
        <w:rPr>
          <w:snapToGrid w:val="0"/>
        </w:rPr>
        <w:tab/>
        <w:t>(a)</w:t>
      </w:r>
      <w:r>
        <w:rPr>
          <w:snapToGrid w:val="0"/>
        </w:rPr>
        <w:tab/>
        <w:t>the terms and conditions of the fidelity insurance and professional indemnity insurance; and</w:t>
      </w:r>
    </w:p>
    <w:p>
      <w:pPr>
        <w:pStyle w:val="Indenta"/>
        <w:rPr>
          <w:snapToGrid w:val="0"/>
        </w:rPr>
      </w:pPr>
      <w:r>
        <w:rPr>
          <w:snapToGrid w:val="0"/>
        </w:rPr>
        <w:tab/>
        <w:t>(b)</w:t>
      </w:r>
      <w:r>
        <w:rPr>
          <w:snapToGrid w:val="0"/>
        </w:rPr>
        <w:tab/>
        <w:t>subject to subsection (3), the amount or amounts of insurance cover to be provided; and</w:t>
      </w:r>
    </w:p>
    <w:p>
      <w:pPr>
        <w:pStyle w:val="Indenta"/>
        <w:spacing w:before="70"/>
        <w:rPr>
          <w:snapToGrid w:val="0"/>
        </w:rPr>
      </w:pPr>
      <w:r>
        <w:rPr>
          <w:snapToGrid w:val="0"/>
        </w:rPr>
        <w:tab/>
        <w:t>(c)</w:t>
      </w:r>
      <w:r>
        <w:rPr>
          <w:snapToGrid w:val="0"/>
        </w:rPr>
        <w:tab/>
        <w:t>the amount or amounts payable by way of premiums; and</w:t>
      </w:r>
    </w:p>
    <w:p>
      <w:pPr>
        <w:pStyle w:val="Indenta"/>
        <w:spacing w:before="70"/>
        <w:rPr>
          <w:snapToGrid w:val="0"/>
        </w:rPr>
      </w:pPr>
      <w:r>
        <w:rPr>
          <w:snapToGrid w:val="0"/>
        </w:rPr>
        <w:tab/>
        <w:t>(d)</w:t>
      </w:r>
      <w:r>
        <w:rPr>
          <w:snapToGrid w:val="0"/>
        </w:rPr>
        <w:tab/>
        <w:t>the period during which the insurance is to be provided; and</w:t>
      </w:r>
    </w:p>
    <w:p>
      <w:pPr>
        <w:pStyle w:val="Indenta"/>
        <w:spacing w:before="70"/>
        <w:rPr>
          <w:snapToGrid w:val="0"/>
        </w:rPr>
      </w:pPr>
      <w:r>
        <w:rPr>
          <w:snapToGrid w:val="0"/>
        </w:rPr>
        <w:tab/>
        <w:t>(e)</w:t>
      </w:r>
      <w:r>
        <w:rPr>
          <w:snapToGrid w:val="0"/>
        </w:rPr>
        <w:tab/>
        <w:t>the issue of certificates of insurance to licensees and the form of those certificates; and</w:t>
      </w:r>
    </w:p>
    <w:p>
      <w:pPr>
        <w:pStyle w:val="Indenta"/>
        <w:spacing w:before="70"/>
        <w:rPr>
          <w:snapToGrid w:val="0"/>
        </w:rPr>
      </w:pPr>
      <w:r>
        <w:rPr>
          <w:snapToGrid w:val="0"/>
        </w:rPr>
        <w:tab/>
        <w:t>(f)</w:t>
      </w:r>
      <w:r>
        <w:rPr>
          <w:snapToGrid w:val="0"/>
        </w:rPr>
        <w:tab/>
        <w:t>any other matters in connection with the fidelity insurance and professional indemnity insurance.</w:t>
      </w:r>
    </w:p>
    <w:p>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 xml:space="preserve">The </w:t>
      </w:r>
      <w:r>
        <w:t>Commissioner</w:t>
      </w:r>
      <w:r>
        <w:rPr>
          <w:snapToGrid w:val="0"/>
        </w:rPr>
        <w:t xml:space="preserve"> may, from time to time, negotiate such rescission or variation of the arrangement referred to in subsection (1) as the </w:t>
      </w:r>
      <w:r>
        <w:t>Commissioner</w:t>
      </w:r>
      <w:r>
        <w:rPr>
          <w:snapToGrid w:val="0"/>
        </w:rPr>
        <w:t xml:space="preserve"> considers necessary or expedient.</w:t>
      </w:r>
    </w:p>
    <w:p>
      <w:pPr>
        <w:pStyle w:val="Subsection"/>
        <w:rPr>
          <w:snapToGrid w:val="0"/>
        </w:rPr>
      </w:pPr>
      <w:r>
        <w:rPr>
          <w:snapToGrid w:val="0"/>
        </w:rPr>
        <w:tab/>
        <w:t>(5)</w:t>
      </w:r>
      <w:r>
        <w:rPr>
          <w:snapToGrid w:val="0"/>
        </w:rPr>
        <w:tab/>
        <w:t xml:space="preserve">Where the </w:t>
      </w:r>
      <w:r>
        <w:t>Commissioner</w:t>
      </w:r>
      <w:r>
        <w:rPr>
          <w:snapToGrid w:val="0"/>
        </w:rPr>
        <w:t xml:space="preserve"> has entered into a Master Policy Agreement in accordance with subsection (1) the </w:t>
      </w:r>
      <w:r>
        <w:t>Commissioner</w:t>
      </w:r>
      <w:r>
        <w:rPr>
          <w:snapToGrid w:val="0"/>
        </w:rPr>
        <w:t xml:space="preserve">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w:t>
      </w:r>
    </w:p>
    <w:p>
      <w:pPr>
        <w:pStyle w:val="Indenta"/>
        <w:rPr>
          <w:snapToGrid w:val="0"/>
        </w:rPr>
      </w:pPr>
      <w:r>
        <w:rPr>
          <w:snapToGrid w:val="0"/>
        </w:rPr>
        <w:tab/>
        <w:t>(a)</w:t>
      </w:r>
      <w:r>
        <w:rPr>
          <w:snapToGrid w:val="0"/>
        </w:rPr>
        <w:tab/>
        <w:t xml:space="preserve">the </w:t>
      </w:r>
      <w:r>
        <w:t>Commissioner</w:t>
      </w:r>
      <w:r>
        <w:rPr>
          <w:snapToGrid w:val="0"/>
        </w:rPr>
        <w:t xml:space="preserve"> shall not grant or renew a triennial certificate unless the applicant is insured in accordance with this section; and</w:t>
      </w:r>
    </w:p>
    <w:p>
      <w:pPr>
        <w:pStyle w:val="Indenta"/>
        <w:rPr>
          <w:snapToGrid w:val="0"/>
        </w:rPr>
      </w:pPr>
      <w:r>
        <w:rPr>
          <w:snapToGrid w:val="0"/>
        </w:rPr>
        <w:tab/>
        <w:t>(b)</w:t>
      </w:r>
      <w:r>
        <w:rPr>
          <w:snapToGrid w:val="0"/>
        </w:rPr>
        <w:tab/>
        <w:t>each licensee who is the holder of a triennial certificate shall —</w:t>
      </w:r>
    </w:p>
    <w:p>
      <w:pPr>
        <w:pStyle w:val="Indenti"/>
        <w:rPr>
          <w:snapToGrid w:val="0"/>
        </w:rPr>
      </w:pPr>
      <w:r>
        <w:rPr>
          <w:snapToGrid w:val="0"/>
        </w:rPr>
        <w:tab/>
        <w:t>(i)</w:t>
      </w:r>
      <w:r>
        <w:rPr>
          <w:snapToGrid w:val="0"/>
        </w:rPr>
        <w:tab/>
        <w:t>at all times remain insured under the Master Policy Agreement; and</w:t>
      </w:r>
    </w:p>
    <w:p>
      <w:pPr>
        <w:pStyle w:val="Indenti"/>
        <w:rPr>
          <w:snapToGrid w:val="0"/>
        </w:rPr>
      </w:pPr>
      <w:r>
        <w:rPr>
          <w:snapToGrid w:val="0"/>
        </w:rPr>
        <w:tab/>
        <w:t>(ii)</w:t>
      </w:r>
      <w:r>
        <w:rPr>
          <w:snapToGrid w:val="0"/>
        </w:rPr>
        <w:tab/>
        <w:t>hold a current certificate of insurance; and</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spacing w:before="60"/>
        <w:rPr>
          <w:snapToGrid w:val="0"/>
        </w:rPr>
      </w:pPr>
      <w:r>
        <w:rPr>
          <w:snapToGrid w:val="0"/>
        </w:rPr>
        <w:tab/>
        <w:t>(iv)</w:t>
      </w:r>
      <w:r>
        <w:rPr>
          <w:snapToGrid w:val="0"/>
        </w:rPr>
        <w:tab/>
        <w:t>comply with such of the provisions of the Master Policy Agreement and certificate of insurance as apply to him;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the </w:t>
      </w:r>
      <w:r>
        <w:t>Commissioner</w:t>
      </w:r>
      <w:r>
        <w:rPr>
          <w:snapToGrid w:val="0"/>
        </w:rPr>
        <w:t xml:space="preserve"> shall not grant or renew a triennial certificate unless the licensee has complied in all respects with the terms and conditions of this section and first produces to the </w:t>
      </w:r>
      <w:r>
        <w:t>Commissioner</w:t>
      </w:r>
      <w:r>
        <w:rPr>
          <w:snapToGrid w:val="0"/>
        </w:rPr>
        <w:t xml:space="preserve"> a valid certificate of insurance for the period to which the triennial certificate or the renewal relates; and</w:t>
      </w:r>
    </w:p>
    <w:p>
      <w:pPr>
        <w:pStyle w:val="Indenta"/>
        <w:spacing w:before="60"/>
        <w:rPr>
          <w:snapToGrid w:val="0"/>
        </w:rPr>
      </w:pPr>
      <w:r>
        <w:rPr>
          <w:snapToGrid w:val="0"/>
        </w:rPr>
        <w:tab/>
        <w:t>(d)</w:t>
      </w:r>
      <w:r>
        <w:rPr>
          <w:snapToGrid w:val="0"/>
        </w:rPr>
        <w:tab/>
        <w:t xml:space="preserve">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w:t>
      </w:r>
      <w:r>
        <w:t>Commissioner</w:t>
      </w:r>
      <w:r>
        <w:rPr>
          <w:snapToGrid w:val="0"/>
        </w:rPr>
        <w:t>.</w:t>
      </w:r>
    </w:p>
    <w:p>
      <w:pPr>
        <w:pStyle w:val="Ednotesubsection"/>
      </w:pPr>
      <w:r>
        <w:tab/>
        <w:t>[(7)</w:t>
      </w:r>
      <w:r>
        <w:tab/>
        <w:t>deleted]</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w:t>
      </w:r>
    </w:p>
    <w:p>
      <w:pPr>
        <w:pStyle w:val="Indenta"/>
        <w:spacing w:before="60"/>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spacing w:before="60"/>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[Section 35 amended by No. 51 of 1986 s. 46; No. 58 of 2010 s. 176.]</w:t>
      </w:r>
    </w:p>
    <w:p>
      <w:pPr>
        <w:pStyle w:val="Heading5"/>
        <w:rPr>
          <w:snapToGrid w:val="0"/>
        </w:rPr>
      </w:pPr>
      <w:bookmarkStart w:id="25" w:name="_Toc378948296"/>
      <w:r>
        <w:rPr>
          <w:rStyle w:val="CharSectno"/>
        </w:rPr>
        <w:t>36</w:t>
      </w:r>
      <w:r>
        <w:rPr>
          <w:snapToGrid w:val="0"/>
        </w:rPr>
        <w:t>.</w:t>
      </w:r>
      <w:r>
        <w:rPr>
          <w:snapToGrid w:val="0"/>
        </w:rPr>
        <w:tab/>
        <w:t>Licensees to notify Commissioner of certain changes</w:t>
      </w:r>
      <w:bookmarkEnd w:id="25"/>
    </w:p>
    <w:p>
      <w:pPr>
        <w:pStyle w:val="Subsection"/>
        <w:rPr>
          <w:snapToGrid w:val="0"/>
        </w:rPr>
      </w:pPr>
      <w:r>
        <w:rPr>
          <w:snapToGrid w:val="0"/>
        </w:rPr>
        <w:tab/>
        <w:t>(1)</w:t>
      </w:r>
      <w:r>
        <w:rPr>
          <w:snapToGrid w:val="0"/>
        </w:rPr>
        <w:tab/>
        <w:t xml:space="preserve">A licensee shall, within 14 days after commencing or ceasing to carry on business as a settlement agent, give to the </w:t>
      </w:r>
      <w:r>
        <w:t>Commissioner</w:t>
      </w:r>
      <w:r>
        <w:rPr>
          <w:snapToGrid w:val="0"/>
        </w:rPr>
        <w:t xml:space="preserve"> notice in writing of that fact.</w:t>
      </w:r>
    </w:p>
    <w:p>
      <w:pPr>
        <w:pStyle w:val="Subsection"/>
        <w:keepNext/>
        <w:rPr>
          <w:snapToGrid w:val="0"/>
        </w:rPr>
      </w:pPr>
      <w:r>
        <w:rPr>
          <w:snapToGrid w:val="0"/>
        </w:rPr>
        <w:tab/>
        <w:t>(2)</w:t>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keepLines/>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In this section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 No. 58 of 2010 s. 176.]</w:t>
      </w:r>
    </w:p>
    <w:p>
      <w:pPr>
        <w:pStyle w:val="Heading5"/>
        <w:rPr>
          <w:snapToGrid w:val="0"/>
        </w:rPr>
      </w:pPr>
      <w:bookmarkStart w:id="26" w:name="_Toc378948297"/>
      <w:r>
        <w:rPr>
          <w:rStyle w:val="CharSectno"/>
        </w:rPr>
        <w:t>37</w:t>
      </w:r>
      <w:r>
        <w:rPr>
          <w:snapToGrid w:val="0"/>
        </w:rPr>
        <w:t>.</w:t>
      </w:r>
      <w:r>
        <w:rPr>
          <w:snapToGrid w:val="0"/>
        </w:rPr>
        <w:tab/>
        <w:t>Registered office of licensee</w:t>
      </w:r>
      <w:bookmarkEnd w:id="26"/>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 </w:t>
      </w:r>
      <w:r>
        <w:t>Commissioner</w:t>
      </w:r>
      <w:r>
        <w:rPr>
          <w:snapToGrid w:val="0"/>
        </w:rPr>
        <w:t>.</w:t>
      </w:r>
    </w:p>
    <w:p>
      <w:pPr>
        <w:pStyle w:val="Footnotesection"/>
      </w:pPr>
      <w:r>
        <w:tab/>
        <w:t>[Section 37 amended by No. 59 of 1995 s. 85; No. 58 of 2010 s. 176.]</w:t>
      </w:r>
    </w:p>
    <w:p>
      <w:pPr>
        <w:pStyle w:val="Heading5"/>
        <w:rPr>
          <w:snapToGrid w:val="0"/>
        </w:rPr>
      </w:pPr>
      <w:bookmarkStart w:id="27" w:name="_Toc378948298"/>
      <w:r>
        <w:rPr>
          <w:rStyle w:val="CharSectno"/>
        </w:rPr>
        <w:t>38</w:t>
      </w:r>
      <w:r>
        <w:rPr>
          <w:snapToGrid w:val="0"/>
        </w:rPr>
        <w:t>.</w:t>
      </w:r>
      <w:r>
        <w:rPr>
          <w:snapToGrid w:val="0"/>
        </w:rPr>
        <w:tab/>
        <w:t>Branch office of licensee</w:t>
      </w:r>
      <w:bookmarkEnd w:id="27"/>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[Section 38 amended by No. 59 of 1995 s. 85; No. 58 of 2010 s. 176.]</w:t>
      </w:r>
    </w:p>
    <w:p>
      <w:pPr>
        <w:pStyle w:val="Heading5"/>
        <w:rPr>
          <w:snapToGrid w:val="0"/>
        </w:rPr>
      </w:pPr>
      <w:bookmarkStart w:id="28" w:name="_Toc378948299"/>
      <w:r>
        <w:rPr>
          <w:rStyle w:val="CharSectno"/>
        </w:rPr>
        <w:t>39</w:t>
      </w:r>
      <w:r>
        <w:rPr>
          <w:snapToGrid w:val="0"/>
        </w:rPr>
        <w:t>.</w:t>
      </w:r>
      <w:r>
        <w:rPr>
          <w:snapToGrid w:val="0"/>
        </w:rPr>
        <w:tab/>
        <w:t>Triennial certificates, contents of</w:t>
      </w:r>
      <w:bookmarkEnd w:id="28"/>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keepNext w:val="0"/>
        <w:rPr>
          <w:snapToGrid w:val="0"/>
        </w:rPr>
      </w:pPr>
      <w:bookmarkStart w:id="29" w:name="_Toc378948300"/>
      <w:r>
        <w:rPr>
          <w:rStyle w:val="CharSectno"/>
        </w:rPr>
        <w:t>40</w:t>
      </w:r>
      <w:r>
        <w:rPr>
          <w:snapToGrid w:val="0"/>
        </w:rPr>
        <w:t>.</w:t>
      </w:r>
      <w:r>
        <w:rPr>
          <w:snapToGrid w:val="0"/>
        </w:rPr>
        <w:tab/>
        <w:t>Licence and triennial certificate not transferable etc.</w:t>
      </w:r>
      <w:bookmarkEnd w:id="29"/>
    </w:p>
    <w:p>
      <w:pPr>
        <w:pStyle w:val="Subsection"/>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spacing w:before="60"/>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spacing w:before="80"/>
        <w:ind w:left="890" w:hanging="890"/>
      </w:pPr>
      <w:r>
        <w:tab/>
        <w:t>[Section 40 amended by No. 59 of 1995 s. 85.]</w:t>
      </w:r>
    </w:p>
    <w:p>
      <w:pPr>
        <w:pStyle w:val="Heading5"/>
        <w:rPr>
          <w:snapToGrid w:val="0"/>
        </w:rPr>
      </w:pPr>
      <w:bookmarkStart w:id="30" w:name="_Toc378948301"/>
      <w:r>
        <w:rPr>
          <w:rStyle w:val="CharSectno"/>
        </w:rPr>
        <w:t>41</w:t>
      </w:r>
      <w:r>
        <w:rPr>
          <w:snapToGrid w:val="0"/>
        </w:rPr>
        <w:t>.</w:t>
      </w:r>
      <w:r>
        <w:rPr>
          <w:snapToGrid w:val="0"/>
        </w:rPr>
        <w:tab/>
        <w:t>Use of business names by licensees</w:t>
      </w:r>
      <w:bookmarkEnd w:id="30"/>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w:t>
      </w:r>
    </w:p>
    <w:p>
      <w:pPr>
        <w:pStyle w:val="Indenta"/>
        <w:spacing w:before="60"/>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spacing w:before="60"/>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spacing w:before="120"/>
        <w:rPr>
          <w:snapToGrid w:val="0"/>
        </w:rPr>
      </w:pPr>
      <w:r>
        <w:rPr>
          <w:snapToGrid w:val="0"/>
        </w:rPr>
        <w:tab/>
        <w:t>(2)</w:t>
      </w:r>
      <w:r>
        <w:rPr>
          <w:snapToGrid w:val="0"/>
        </w:rPr>
        <w:tab/>
        <w:t xml:space="preserve">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spacing w:before="70"/>
        <w:rPr>
          <w:snapToGrid w:val="0"/>
        </w:rPr>
      </w:pPr>
      <w:r>
        <w:rPr>
          <w:snapToGrid w:val="0"/>
        </w:rPr>
        <w:tab/>
        <w:t>Penalty: $1 000.</w:t>
      </w:r>
    </w:p>
    <w:p>
      <w:pPr>
        <w:pStyle w:val="Footnotesection"/>
        <w:spacing w:before="100"/>
        <w:ind w:left="890" w:hanging="890"/>
      </w:pPr>
      <w:r>
        <w:tab/>
        <w:t>[Section 41 amended by No. 59 of 1995 s. 85; No. 58 of 2010 s. 176.]</w:t>
      </w:r>
    </w:p>
    <w:p>
      <w:pPr>
        <w:pStyle w:val="Heading5"/>
        <w:spacing w:before="200"/>
        <w:rPr>
          <w:snapToGrid w:val="0"/>
        </w:rPr>
      </w:pPr>
      <w:bookmarkStart w:id="31" w:name="_Toc378948302"/>
      <w:r>
        <w:rPr>
          <w:rStyle w:val="CharSectno"/>
        </w:rPr>
        <w:t>42</w:t>
      </w:r>
      <w:r>
        <w:rPr>
          <w:snapToGrid w:val="0"/>
        </w:rPr>
        <w:t>.</w:t>
      </w:r>
      <w:r>
        <w:rPr>
          <w:snapToGrid w:val="0"/>
        </w:rPr>
        <w:tab/>
        <w:t>Notices to be exhibited at offices; particulars to appear on documents</w:t>
      </w:r>
      <w:bookmarkEnd w:id="31"/>
    </w:p>
    <w:p>
      <w:pPr>
        <w:pStyle w:val="Subsection"/>
        <w:spacing w:before="120"/>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spacing w:before="60"/>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spacing w:before="60"/>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spacing w:before="120"/>
        <w:rPr>
          <w:snapToGrid w:val="0"/>
        </w:rPr>
      </w:pPr>
      <w:r>
        <w:rPr>
          <w:snapToGrid w:val="0"/>
        </w:rPr>
        <w:tab/>
        <w:t>(2)</w:t>
      </w:r>
      <w:r>
        <w:rPr>
          <w:snapToGrid w:val="0"/>
        </w:rPr>
        <w:tab/>
        <w:t>On all correspondence, and on the outside or all documents prepared, in the course of business of a licensee at his registered office and every branch office —</w:t>
      </w:r>
    </w:p>
    <w:p>
      <w:pPr>
        <w:pStyle w:val="Indenta"/>
        <w:spacing w:before="60"/>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spacing w:before="60"/>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32" w:name="_Toc378948303"/>
      <w:r>
        <w:rPr>
          <w:rStyle w:val="CharPartNo"/>
        </w:rPr>
        <w:t>Part IV</w:t>
      </w:r>
      <w:r>
        <w:t> — </w:t>
      </w:r>
      <w:r>
        <w:rPr>
          <w:rStyle w:val="CharPartText"/>
        </w:rPr>
        <w:t>Controls</w:t>
      </w:r>
      <w:bookmarkEnd w:id="32"/>
    </w:p>
    <w:p>
      <w:pPr>
        <w:pStyle w:val="Heading3"/>
      </w:pPr>
      <w:bookmarkStart w:id="33" w:name="_Toc378948304"/>
      <w:r>
        <w:rPr>
          <w:rStyle w:val="CharDivNo"/>
        </w:rPr>
        <w:t>Division 1</w:t>
      </w:r>
      <w:r>
        <w:rPr>
          <w:snapToGrid w:val="0"/>
        </w:rPr>
        <w:t> — </w:t>
      </w:r>
      <w:r>
        <w:rPr>
          <w:rStyle w:val="CharDivText"/>
        </w:rPr>
        <w:t>General</w:t>
      </w:r>
      <w:bookmarkEnd w:id="33"/>
    </w:p>
    <w:p>
      <w:pPr>
        <w:pStyle w:val="Heading5"/>
        <w:rPr>
          <w:snapToGrid w:val="0"/>
        </w:rPr>
      </w:pPr>
      <w:bookmarkStart w:id="34" w:name="_Toc378948305"/>
      <w:r>
        <w:rPr>
          <w:rStyle w:val="CharSectno"/>
        </w:rPr>
        <w:t>43</w:t>
      </w:r>
      <w:r>
        <w:rPr>
          <w:snapToGrid w:val="0"/>
        </w:rPr>
        <w:t>.</w:t>
      </w:r>
      <w:r>
        <w:rPr>
          <w:snapToGrid w:val="0"/>
        </w:rPr>
        <w:tab/>
        <w:t>Remuneration of settlement agents</w:t>
      </w:r>
      <w:bookmarkEnd w:id="34"/>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w:t>
      </w:r>
    </w:p>
    <w:p>
      <w:pPr>
        <w:pStyle w:val="Indenta"/>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keepNext/>
        <w:keepLines/>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 xml:space="preserve">Penalty: $5 000 and in the case of conviction for a second or other subsequent offence the </w:t>
      </w:r>
      <w:r>
        <w:t>convicting court or tribunal</w:t>
      </w:r>
      <w:r>
        <w:rPr>
          <w:snapToGrid w:val="0"/>
        </w:rPr>
        <w:t xml:space="preserve">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[Section 43 amended by No. 59 of 1995 s. 64 and 85; No. 58 of 2010 s. 145.]</w:t>
      </w:r>
    </w:p>
    <w:p>
      <w:pPr>
        <w:pStyle w:val="Heading5"/>
        <w:rPr>
          <w:snapToGrid w:val="0"/>
        </w:rPr>
      </w:pPr>
      <w:bookmarkStart w:id="35" w:name="_Toc378948306"/>
      <w:r>
        <w:rPr>
          <w:rStyle w:val="CharSectno"/>
        </w:rPr>
        <w:t>44</w:t>
      </w:r>
      <w:r>
        <w:rPr>
          <w:snapToGrid w:val="0"/>
        </w:rPr>
        <w:t>.</w:t>
      </w:r>
      <w:r>
        <w:rPr>
          <w:snapToGrid w:val="0"/>
        </w:rPr>
        <w:tab/>
        <w:t>Maximum remuneration, disputes over remuneration etc.</w:t>
      </w:r>
      <w:bookmarkEnd w:id="35"/>
    </w:p>
    <w:p>
      <w:pPr>
        <w:pStyle w:val="Subsection"/>
        <w:spacing w:before="180"/>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80"/>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80"/>
        <w:rPr>
          <w:snapToGrid w:val="0"/>
        </w:rPr>
      </w:pPr>
      <w:r>
        <w:rPr>
          <w:snapToGrid w:val="0"/>
        </w:rPr>
        <w:tab/>
        <w:t>(5)</w:t>
      </w:r>
      <w:r>
        <w:rPr>
          <w:snapToGrid w:val="0"/>
        </w:rPr>
        <w:tab/>
        <w:t xml:space="preserve">A person dissatisfied with the amount of any demand for remuneration rendered to him by a settlement agent may refer the matter to the </w:t>
      </w:r>
      <w:r>
        <w:t>Commissioner</w:t>
      </w:r>
      <w:r>
        <w:rPr>
          <w:snapToGrid w:val="0"/>
        </w:rPr>
        <w:t xml:space="preserve"> who,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 xml:space="preserve">Upon the conviction of a settlement agent for a second or subsequent offence under this section the </w:t>
      </w:r>
      <w:r>
        <w:t>convicting court or tribunal</w:t>
      </w:r>
      <w:r>
        <w:rPr>
          <w:snapToGrid w:val="0"/>
        </w:rPr>
        <w:t xml:space="preserve"> may also call upon him to show cause why his licence should not be cancelled or suspended.</w:t>
      </w:r>
    </w:p>
    <w:p>
      <w:pPr>
        <w:pStyle w:val="Footnotesection"/>
        <w:keepLines w:val="0"/>
      </w:pPr>
      <w:r>
        <w:tab/>
        <w:t>[Section 44 amended by No. 59 of 1995 s. 65; No. 58 of 2010 s. 146 and 176.]</w:t>
      </w:r>
    </w:p>
    <w:p>
      <w:pPr>
        <w:pStyle w:val="Heading5"/>
        <w:rPr>
          <w:snapToGrid w:val="0"/>
        </w:rPr>
      </w:pPr>
      <w:bookmarkStart w:id="36" w:name="_Toc378948307"/>
      <w:r>
        <w:rPr>
          <w:rStyle w:val="CharSectno"/>
        </w:rPr>
        <w:t>45</w:t>
      </w:r>
      <w:r>
        <w:rPr>
          <w:snapToGrid w:val="0"/>
        </w:rPr>
        <w:t>.</w:t>
      </w:r>
      <w:r>
        <w:rPr>
          <w:snapToGrid w:val="0"/>
        </w:rPr>
        <w:tab/>
        <w:t>Records and premises, licensees’ duties as to</w:t>
      </w:r>
      <w:bookmarkEnd w:id="36"/>
    </w:p>
    <w:p>
      <w:pPr>
        <w:pStyle w:val="Subsection"/>
        <w:keepNext/>
        <w:keepLines/>
        <w:spacing w:before="140"/>
        <w:rPr>
          <w:snapToGrid w:val="0"/>
        </w:rPr>
      </w:pPr>
      <w:r>
        <w:rPr>
          <w:snapToGrid w:val="0"/>
        </w:rPr>
        <w:tab/>
      </w:r>
      <w:r>
        <w:rPr>
          <w:snapToGrid w:val="0"/>
        </w:rPr>
        <w:tab/>
        <w:t>A licensee shall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[Section 45 amended by No. 59 of 1995 s. 85.]</w:t>
      </w:r>
    </w:p>
    <w:p>
      <w:pPr>
        <w:pStyle w:val="Heading5"/>
        <w:rPr>
          <w:snapToGrid w:val="0"/>
        </w:rPr>
      </w:pPr>
      <w:bookmarkStart w:id="37" w:name="_Toc378948308"/>
      <w:r>
        <w:rPr>
          <w:rStyle w:val="CharSectno"/>
        </w:rPr>
        <w:t>46</w:t>
      </w:r>
      <w:r>
        <w:rPr>
          <w:snapToGrid w:val="0"/>
        </w:rPr>
        <w:t>.</w:t>
      </w:r>
      <w:r>
        <w:rPr>
          <w:snapToGrid w:val="0"/>
        </w:rPr>
        <w:tab/>
        <w:t>Real estate settlement agents, functions of</w:t>
      </w:r>
      <w:bookmarkEnd w:id="37"/>
    </w:p>
    <w:p>
      <w:pPr>
        <w:pStyle w:val="Subsection"/>
        <w:spacing w:before="14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4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 or</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 or</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4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(7)</w:t>
      </w:r>
      <w:r>
        <w:rPr>
          <w:snapToGrid w:val="0"/>
        </w:rPr>
        <w:tab/>
        <w:t>In subsection (6) —</w:t>
      </w:r>
    </w:p>
    <w:p>
      <w:pPr>
        <w:pStyle w:val="Defstart"/>
      </w:pPr>
      <w:r>
        <w:tab/>
      </w:r>
      <w:r>
        <w:rPr>
          <w:rStyle w:val="CharDefText"/>
        </w:rPr>
        <w:t>discharge of mortgage</w:t>
      </w:r>
      <w:r>
        <w:t xml:space="preserve"> includes a withdrawal of a caveat which notifies or protects an unregistered, equitable, or statutory mortgage or charge.</w:t>
      </w:r>
    </w:p>
    <w:p>
      <w:pPr>
        <w:pStyle w:val="Footnotesection"/>
        <w:ind w:left="890" w:hanging="890"/>
      </w:pPr>
      <w:r>
        <w:tab/>
        <w:t>[Section 46 amended by No. 31 of 1997 s. 141; No. 65 of 2003 s. 66(3); No. 38 of 2005 s. 15; No. 21 of 2008 s. 704(3); No. 19 of 2010 s. 51.]</w:t>
      </w:r>
    </w:p>
    <w:p>
      <w:pPr>
        <w:pStyle w:val="Heading5"/>
        <w:rPr>
          <w:snapToGrid w:val="0"/>
        </w:rPr>
      </w:pPr>
      <w:bookmarkStart w:id="38" w:name="_Toc378948309"/>
      <w:r>
        <w:rPr>
          <w:rStyle w:val="CharSectno"/>
        </w:rPr>
        <w:t>47</w:t>
      </w:r>
      <w:r>
        <w:rPr>
          <w:snapToGrid w:val="0"/>
        </w:rPr>
        <w:t>.</w:t>
      </w:r>
      <w:r>
        <w:rPr>
          <w:snapToGrid w:val="0"/>
        </w:rPr>
        <w:tab/>
        <w:t>Business settlement agents, functions of</w:t>
      </w:r>
      <w:bookmarkEnd w:id="38"/>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pPr>
      <w:bookmarkStart w:id="39" w:name="_Toc378948310"/>
      <w:r>
        <w:rPr>
          <w:rStyle w:val="CharDivNo"/>
        </w:rPr>
        <w:t>Division 2</w:t>
      </w:r>
      <w:r>
        <w:rPr>
          <w:snapToGrid w:val="0"/>
        </w:rPr>
        <w:t> — </w:t>
      </w:r>
      <w:r>
        <w:rPr>
          <w:rStyle w:val="CharDivText"/>
        </w:rPr>
        <w:t>Trust accounts</w:t>
      </w:r>
      <w:bookmarkEnd w:id="39"/>
    </w:p>
    <w:p>
      <w:pPr>
        <w:pStyle w:val="Heading5"/>
        <w:rPr>
          <w:snapToGrid w:val="0"/>
        </w:rPr>
      </w:pPr>
      <w:bookmarkStart w:id="40" w:name="_Toc378948311"/>
      <w:r>
        <w:rPr>
          <w:rStyle w:val="CharSectno"/>
        </w:rPr>
        <w:t>48</w:t>
      </w:r>
      <w:r>
        <w:rPr>
          <w:snapToGrid w:val="0"/>
        </w:rPr>
        <w:t>.</w:t>
      </w:r>
      <w:r>
        <w:rPr>
          <w:snapToGrid w:val="0"/>
        </w:rPr>
        <w:tab/>
        <w:t>Terms used</w:t>
      </w:r>
      <w:bookmarkEnd w:id="40"/>
    </w:p>
    <w:p>
      <w:pPr>
        <w:pStyle w:val="Subsection"/>
        <w:rPr>
          <w:snapToGrid w:val="0"/>
        </w:rPr>
      </w:pPr>
      <w:r>
        <w:rPr>
          <w:snapToGrid w:val="0"/>
        </w:rPr>
        <w:tab/>
      </w:r>
      <w:r>
        <w:rPr>
          <w:snapToGrid w:val="0"/>
        </w:rPr>
        <w:tab/>
        <w:t>In this Division, unless the context otherwise requires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[Section 48 amended by No. 59 of 1995 s. 66; No. 26 of 1999 s. 102(5).]</w:t>
      </w:r>
    </w:p>
    <w:p>
      <w:pPr>
        <w:pStyle w:val="Heading5"/>
        <w:rPr>
          <w:snapToGrid w:val="0"/>
        </w:rPr>
      </w:pPr>
      <w:bookmarkStart w:id="41" w:name="_Toc378948312"/>
      <w:r>
        <w:rPr>
          <w:rStyle w:val="CharSectno"/>
        </w:rPr>
        <w:t>49</w:t>
      </w:r>
      <w:r>
        <w:rPr>
          <w:snapToGrid w:val="0"/>
        </w:rPr>
        <w:t>.</w:t>
      </w:r>
      <w:r>
        <w:rPr>
          <w:snapToGrid w:val="0"/>
        </w:rPr>
        <w:tab/>
        <w:t>Trust accounts etc. of licensees</w:t>
      </w:r>
      <w:bookmarkEnd w:id="41"/>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If —</w:t>
      </w:r>
    </w:p>
    <w:p>
      <w:pPr>
        <w:pStyle w:val="Indenta"/>
      </w:pPr>
      <w:r>
        <w:tab/>
        <w:t>(a)</w:t>
      </w:r>
      <w:r>
        <w:tab/>
        <w:t>a settlement of a real estate transaction or a business transaction is completed; and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In subsection (5a)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spacing w:before="60"/>
        <w:rPr>
          <w:snapToGrid w:val="0"/>
        </w:rPr>
      </w:pPr>
      <w:r>
        <w:rPr>
          <w:snapToGrid w:val="0"/>
        </w:rPr>
        <w:tab/>
        <w:t>(c)</w:t>
      </w:r>
      <w:r>
        <w:rPr>
          <w:snapToGrid w:val="0"/>
        </w:rPr>
        <w:tab/>
        <w:t>keep the accounts in such manner that they can be conveniently and properly audited; and</w:t>
      </w:r>
    </w:p>
    <w:p>
      <w:pPr>
        <w:pStyle w:val="Indenta"/>
        <w:spacing w:before="60"/>
        <w:rPr>
          <w:snapToGrid w:val="0"/>
        </w:rPr>
      </w:pPr>
      <w:r>
        <w:rPr>
          <w:snapToGrid w:val="0"/>
        </w:rPr>
        <w:tab/>
        <w:t>(d)</w:t>
      </w:r>
      <w:r>
        <w:rPr>
          <w:snapToGrid w:val="0"/>
        </w:rPr>
        <w:tab/>
        <w:t>correctly balance the accounts at the end of each month and certify in records that this has been done.</w:t>
      </w:r>
    </w:p>
    <w:p>
      <w:pPr>
        <w:pStyle w:val="Footnotesection"/>
      </w:pPr>
      <w:r>
        <w:tab/>
        <w:t>[Section 49 amended by No. 59 of 1995 s. 67; No. 69 of 2006 s. 36.]</w:t>
      </w:r>
    </w:p>
    <w:p>
      <w:pPr>
        <w:pStyle w:val="Heading5"/>
        <w:rPr>
          <w:snapToGrid w:val="0"/>
        </w:rPr>
      </w:pPr>
      <w:bookmarkStart w:id="42" w:name="_Toc378948313"/>
      <w:r>
        <w:rPr>
          <w:rStyle w:val="CharSectno"/>
        </w:rPr>
        <w:t>49A</w:t>
      </w:r>
      <w:r>
        <w:rPr>
          <w:snapToGrid w:val="0"/>
        </w:rPr>
        <w:t>.</w:t>
      </w:r>
      <w:r>
        <w:rPr>
          <w:snapToGrid w:val="0"/>
        </w:rPr>
        <w:tab/>
        <w:t>Client may ask settlement agent for separate trust account</w:t>
      </w:r>
      <w:bookmarkEnd w:id="42"/>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w:t>
      </w:r>
    </w:p>
    <w:p>
      <w:pPr>
        <w:pStyle w:val="Indenta"/>
        <w:spacing w:before="60"/>
        <w:rPr>
          <w:snapToGrid w:val="0"/>
        </w:rPr>
      </w:pPr>
      <w:r>
        <w:rPr>
          <w:snapToGrid w:val="0"/>
        </w:rPr>
        <w:tab/>
        <w:t>(a)</w:t>
      </w:r>
      <w:r>
        <w:rPr>
          <w:snapToGrid w:val="0"/>
        </w:rPr>
        <w:tab/>
        <w:t>the amount of moneys paid to the settlement agent; or</w:t>
      </w:r>
    </w:p>
    <w:p>
      <w:pPr>
        <w:pStyle w:val="Indenta"/>
        <w:spacing w:before="60"/>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49A inserted by No. 59 of 1995 s. 68.]</w:t>
      </w:r>
    </w:p>
    <w:p>
      <w:pPr>
        <w:pStyle w:val="Heading5"/>
        <w:rPr>
          <w:snapToGrid w:val="0"/>
        </w:rPr>
      </w:pPr>
      <w:bookmarkStart w:id="43" w:name="_Toc378948314"/>
      <w:r>
        <w:rPr>
          <w:rStyle w:val="CharSectno"/>
        </w:rPr>
        <w:t>49B</w:t>
      </w:r>
      <w:r>
        <w:rPr>
          <w:snapToGrid w:val="0"/>
        </w:rPr>
        <w:t xml:space="preserve">. </w:t>
      </w:r>
      <w:r>
        <w:rPr>
          <w:snapToGrid w:val="0"/>
        </w:rPr>
        <w:tab/>
        <w:t>Interest on trust accounts</w:t>
      </w:r>
      <w:bookmarkEnd w:id="43"/>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[Section 49B inserted by No. 59 of 1995 s. 68; amended by No. 46 of 2009 s. 15(3).]</w:t>
      </w:r>
    </w:p>
    <w:p>
      <w:pPr>
        <w:pStyle w:val="Heading5"/>
        <w:rPr>
          <w:snapToGrid w:val="0"/>
        </w:rPr>
      </w:pPr>
      <w:bookmarkStart w:id="44" w:name="_Toc378948315"/>
      <w:r>
        <w:rPr>
          <w:rStyle w:val="CharSectno"/>
        </w:rPr>
        <w:t>49C</w:t>
      </w:r>
      <w:r>
        <w:rPr>
          <w:snapToGrid w:val="0"/>
        </w:rPr>
        <w:t xml:space="preserve">. </w:t>
      </w:r>
      <w:r>
        <w:rPr>
          <w:snapToGrid w:val="0"/>
        </w:rPr>
        <w:tab/>
        <w:t>Settlement agents to give Commissioner information about trust accounts</w:t>
      </w:r>
      <w:bookmarkEnd w:id="44"/>
    </w:p>
    <w:p>
      <w:pPr>
        <w:pStyle w:val="Subsection"/>
        <w:rPr>
          <w:snapToGrid w:val="0"/>
        </w:rPr>
      </w:pPr>
      <w:r>
        <w:rPr>
          <w:snapToGrid w:val="0"/>
        </w:rPr>
        <w:tab/>
        <w:t>(1)</w:t>
      </w:r>
      <w:r>
        <w:rPr>
          <w:snapToGrid w:val="0"/>
        </w:rPr>
        <w:tab/>
        <w:t xml:space="preserve">When a settlement agent opens or closes a trust account, the settlement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If a settlement agent’s trust account is overdrawn, both the settlement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[Section 49C inserted by No. 59 of 1995 s. 68; amended by No. 58 of 2010 s. 176.]</w:t>
      </w:r>
    </w:p>
    <w:p>
      <w:pPr>
        <w:pStyle w:val="Heading5"/>
        <w:rPr>
          <w:snapToGrid w:val="0"/>
        </w:rPr>
      </w:pPr>
      <w:bookmarkStart w:id="45" w:name="_Toc378948316"/>
      <w:r>
        <w:rPr>
          <w:rStyle w:val="CharSectno"/>
        </w:rPr>
        <w:t>50</w:t>
      </w:r>
      <w:r>
        <w:rPr>
          <w:snapToGrid w:val="0"/>
        </w:rPr>
        <w:t>.</w:t>
      </w:r>
      <w:r>
        <w:rPr>
          <w:snapToGrid w:val="0"/>
        </w:rPr>
        <w:tab/>
        <w:t>Receipts, accounts etc. by settlement agents</w:t>
      </w:r>
      <w:bookmarkEnd w:id="45"/>
    </w:p>
    <w:p>
      <w:pPr>
        <w:pStyle w:val="Subsection"/>
        <w:rPr>
          <w:snapToGrid w:val="0"/>
        </w:rPr>
      </w:pPr>
      <w:r>
        <w:rPr>
          <w:snapToGrid w:val="0"/>
        </w:rPr>
        <w:tab/>
        <w:t>(1)</w:t>
      </w:r>
      <w:r>
        <w:rPr>
          <w:snapToGrid w:val="0"/>
        </w:rPr>
        <w:tab/>
        <w:t>When a settlement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 xml:space="preserve">Subsection (3) does not apply in the case of a settlement agent if the settlement agent’s auditor certifies to the </w:t>
      </w:r>
      <w:r>
        <w:t>Commissioner</w:t>
      </w:r>
      <w:r>
        <w:rPr>
          <w:snapToGrid w:val="0"/>
        </w:rPr>
        <w:t xml:space="preserve"> that he is satisfied with the system employed by the settlement agent and that the records of moneys received are so kept and entered up as to enable the accounts to be properly and conveniently audited, and the </w:t>
      </w:r>
      <w:r>
        <w:t>Commissioner</w:t>
      </w:r>
      <w:r>
        <w:rPr>
          <w:snapToGrid w:val="0"/>
        </w:rPr>
        <w:t xml:space="preserve">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[Section 50 amended by No. 59 of 1995 s. 69; No. 58 of 2010 s. 176.]</w:t>
      </w:r>
    </w:p>
    <w:p>
      <w:pPr>
        <w:pStyle w:val="Heading5"/>
        <w:rPr>
          <w:snapToGrid w:val="0"/>
        </w:rPr>
      </w:pPr>
      <w:bookmarkStart w:id="46" w:name="_Toc378948317"/>
      <w:r>
        <w:rPr>
          <w:rStyle w:val="CharSectno"/>
        </w:rPr>
        <w:t>51</w:t>
      </w:r>
      <w:r>
        <w:rPr>
          <w:snapToGrid w:val="0"/>
        </w:rPr>
        <w:t>.</w:t>
      </w:r>
      <w:r>
        <w:rPr>
          <w:snapToGrid w:val="0"/>
        </w:rPr>
        <w:tab/>
        <w:t>Audits of trust accounts</w:t>
      </w:r>
      <w:bookmarkEnd w:id="46"/>
    </w:p>
    <w:p>
      <w:pPr>
        <w:pStyle w:val="Subsection"/>
        <w:spacing w:before="150"/>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spacing w:before="150"/>
        <w:rPr>
          <w:snapToGrid w:val="0"/>
        </w:rPr>
      </w:pPr>
      <w:r>
        <w:rPr>
          <w:snapToGrid w:val="0"/>
        </w:rPr>
        <w:tab/>
        <w:t>(2)</w:t>
      </w:r>
      <w:r>
        <w:rPr>
          <w:snapToGrid w:val="0"/>
        </w:rPr>
        <w:tab/>
        <w:t xml:space="preserve">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spacing w:before="150"/>
        <w:rPr>
          <w:snapToGrid w:val="0"/>
        </w:rPr>
      </w:pPr>
      <w:r>
        <w:rPr>
          <w:snapToGrid w:val="0"/>
        </w:rPr>
        <w:tab/>
        <w:t>(3)</w:t>
      </w:r>
      <w:r>
        <w:rPr>
          <w:snapToGrid w:val="0"/>
        </w:rPr>
        <w:tab/>
        <w:t>The auditor shall within 3 months after the end of each year —</w:t>
      </w:r>
    </w:p>
    <w:p>
      <w:pPr>
        <w:pStyle w:val="Indenta"/>
        <w:spacing w:before="60"/>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spacing w:before="60"/>
        <w:rPr>
          <w:snapToGrid w:val="0"/>
        </w:rPr>
      </w:pPr>
      <w:r>
        <w:rPr>
          <w:snapToGrid w:val="0"/>
        </w:rPr>
        <w:tab/>
        <w:t>(b)</w:t>
      </w:r>
      <w:r>
        <w:rPr>
          <w:snapToGrid w:val="0"/>
        </w:rPr>
        <w:tab/>
        <w:t>deliver a copy of the report so verified to the settlement agent.</w:t>
      </w:r>
    </w:p>
    <w:p>
      <w:pPr>
        <w:pStyle w:val="Subsection"/>
        <w:spacing w:before="150"/>
        <w:rPr>
          <w:snapToGrid w:val="0"/>
        </w:rPr>
      </w:pPr>
      <w:r>
        <w:rPr>
          <w:snapToGrid w:val="0"/>
        </w:rPr>
        <w:tab/>
        <w:t>(4)</w:t>
      </w:r>
      <w:r>
        <w:rPr>
          <w:snapToGrid w:val="0"/>
        </w:rPr>
        <w:tab/>
        <w:t>The settlement agent shall retain the copy of the report and produce it on demand pursuant to section 61(3).</w:t>
      </w:r>
    </w:p>
    <w:p>
      <w:pPr>
        <w:pStyle w:val="Subsection"/>
        <w:spacing w:before="150"/>
      </w:pPr>
      <w:r>
        <w:tab/>
        <w:t>(5)</w:t>
      </w:r>
      <w:r>
        <w:tab/>
        <w:t>The Commissioner may, in circumstances he or she considers appropriate, extend the time limit for lodging reports.</w:t>
      </w:r>
    </w:p>
    <w:p>
      <w:pPr>
        <w:pStyle w:val="Subsection"/>
        <w:spacing w:before="150"/>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settlement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settlement agent if the </w:t>
      </w:r>
      <w:r>
        <w:t>Commissioner</w:t>
      </w:r>
      <w:r>
        <w:rPr>
          <w:snapToGrid w:val="0"/>
        </w:rPr>
        <w:t xml:space="preserve"> so directs but otherwise shall be paid by the </w:t>
      </w:r>
      <w:r>
        <w:t>Commissioner</w:t>
      </w:r>
      <w:r>
        <w:rPr>
          <w:snapToGrid w:val="0"/>
        </w:rPr>
        <w:t>.</w:t>
      </w:r>
    </w:p>
    <w:p>
      <w:pPr>
        <w:pStyle w:val="Subsection"/>
        <w:keepNext/>
        <w:rPr>
          <w:snapToGrid w:val="0"/>
        </w:rPr>
      </w:pPr>
      <w:r>
        <w:rPr>
          <w:snapToGrid w:val="0"/>
        </w:rPr>
        <w:tab/>
        <w:t>(8)</w:t>
      </w:r>
      <w:r>
        <w:rPr>
          <w:snapToGrid w:val="0"/>
        </w:rPr>
        <w:tab/>
        <w:t>Apart from the annual audit and any interim audit provided for in this section, there shall be —</w:t>
      </w:r>
    </w:p>
    <w:p>
      <w:pPr>
        <w:pStyle w:val="Indenta"/>
        <w:rPr>
          <w:snapToGrid w:val="0"/>
        </w:rPr>
      </w:pPr>
      <w:r>
        <w:rPr>
          <w:snapToGrid w:val="0"/>
        </w:rPr>
        <w:tab/>
        <w:t>(a)</w:t>
      </w:r>
      <w:r>
        <w:rPr>
          <w:snapToGrid w:val="0"/>
        </w:rPr>
        <w:tab/>
        <w:t xml:space="preserve">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 and</w:t>
      </w:r>
    </w:p>
    <w:p>
      <w:pPr>
        <w:pStyle w:val="Indenta"/>
        <w:rPr>
          <w:snapToGrid w:val="0"/>
        </w:rPr>
      </w:pPr>
      <w:r>
        <w:rPr>
          <w:snapToGrid w:val="0"/>
        </w:rPr>
        <w:tab/>
        <w:t>(b)</w:t>
      </w:r>
      <w:r>
        <w:rPr>
          <w:snapToGrid w:val="0"/>
        </w:rPr>
        <w:tab/>
        <w:t xml:space="preserve">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w:t>
      </w:r>
      <w:r>
        <w:t>Commissioner</w:t>
      </w:r>
      <w:r>
        <w:rPr>
          <w:snapToGrid w:val="0"/>
        </w:rPr>
        <w:t xml:space="preserve"> a report of such termination audit.</w:t>
      </w:r>
    </w:p>
    <w:p>
      <w:pPr>
        <w:pStyle w:val="Subsection"/>
        <w:rPr>
          <w:snapToGrid w:val="0"/>
        </w:rPr>
      </w:pPr>
      <w:r>
        <w:rPr>
          <w:snapToGrid w:val="0"/>
        </w:rPr>
        <w:tab/>
        <w:t>(9)</w:t>
      </w:r>
      <w:r>
        <w:rPr>
          <w:snapToGrid w:val="0"/>
        </w:rPr>
        <w:tab/>
        <w:t xml:space="preserve">The </w:t>
      </w:r>
      <w:r>
        <w:t>Commissioner</w:t>
      </w:r>
      <w:r>
        <w:rPr>
          <w:snapToGrid w:val="0"/>
        </w:rPr>
        <w:t xml:space="preserve"> may, if the </w:t>
      </w:r>
      <w:r>
        <w:t>Commissioner</w:t>
      </w:r>
      <w:r>
        <w:rPr>
          <w:snapToGrid w:val="0"/>
        </w:rPr>
        <w:t xml:space="preserve"> thinks fit, waive in respect of a settlement agent’s trust accounts the requirement of a quarterly audit mentioned in subsection (8).</w:t>
      </w:r>
    </w:p>
    <w:p>
      <w:pPr>
        <w:pStyle w:val="Footnotesection"/>
      </w:pPr>
      <w:r>
        <w:tab/>
        <w:t>[Section 51 amended by No. 58 of 2010 s. 147 and 176.]</w:t>
      </w:r>
    </w:p>
    <w:p>
      <w:pPr>
        <w:pStyle w:val="Heading5"/>
        <w:rPr>
          <w:snapToGrid w:val="0"/>
        </w:rPr>
      </w:pPr>
      <w:bookmarkStart w:id="47" w:name="_Toc378948318"/>
      <w:r>
        <w:rPr>
          <w:rStyle w:val="CharSectno"/>
        </w:rPr>
        <w:t>52</w:t>
      </w:r>
      <w:r>
        <w:rPr>
          <w:snapToGrid w:val="0"/>
        </w:rPr>
        <w:t>.</w:t>
      </w:r>
      <w:r>
        <w:rPr>
          <w:snapToGrid w:val="0"/>
        </w:rPr>
        <w:tab/>
        <w:t>Date of audit, Commissioner may change</w:t>
      </w:r>
      <w:bookmarkEnd w:id="47"/>
    </w:p>
    <w:p>
      <w:pPr>
        <w:pStyle w:val="Subsection"/>
        <w:rPr>
          <w:snapToGrid w:val="0"/>
        </w:rPr>
      </w:pPr>
      <w:r>
        <w:rPr>
          <w:snapToGrid w:val="0"/>
        </w:rPr>
        <w:tab/>
        <w:t>(1)</w:t>
      </w:r>
      <w:r>
        <w:rPr>
          <w:snapToGrid w:val="0"/>
        </w:rPr>
        <w:tab/>
        <w:t xml:space="preserve">Notwithstanding anything else in this Division a settlement agent may apply in writing to the </w:t>
      </w:r>
      <w:r>
        <w:t>Commissioner</w:t>
      </w:r>
      <w:r>
        <w:rPr>
          <w:snapToGrid w:val="0"/>
        </w:rPr>
        <w:t xml:space="preserve"> to fix some date other than 30 June, as the date up to which his trust accounts are to be audited, and the </w:t>
      </w:r>
      <w:r>
        <w:t>Commissioner</w:t>
      </w:r>
      <w:r>
        <w:rPr>
          <w:snapToGrid w:val="0"/>
        </w:rPr>
        <w:t xml:space="preserve"> may, in its discretion, permit the settlement agent to substitute such other date for 30 June.</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 xml:space="preserve">When any date has been substituted for 30 June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52 amended by No. 58 of 2010 s. 176.]</w:t>
      </w:r>
    </w:p>
    <w:p>
      <w:pPr>
        <w:pStyle w:val="Heading5"/>
        <w:rPr>
          <w:snapToGrid w:val="0"/>
        </w:rPr>
      </w:pPr>
      <w:bookmarkStart w:id="48" w:name="_Toc378948319"/>
      <w:r>
        <w:rPr>
          <w:rStyle w:val="CharSectno"/>
        </w:rPr>
        <w:t>53</w:t>
      </w:r>
      <w:r>
        <w:rPr>
          <w:snapToGrid w:val="0"/>
        </w:rPr>
        <w:t>.</w:t>
      </w:r>
      <w:r>
        <w:rPr>
          <w:snapToGrid w:val="0"/>
        </w:rPr>
        <w:tab/>
        <w:t>Auditors, qualification and approval of</w:t>
      </w:r>
      <w:bookmarkEnd w:id="48"/>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rPr>
          <w:snapToGrid w:val="0"/>
        </w:rPr>
      </w:pPr>
      <w:r>
        <w:rPr>
          <w:snapToGrid w:val="0"/>
        </w:rPr>
        <w:tab/>
        <w:t>(3)</w:t>
      </w:r>
      <w:r>
        <w:rPr>
          <w:snapToGrid w:val="0"/>
        </w:rPr>
        <w:tab/>
        <w:t xml:space="preserve">An auditor shall disclose to the </w:t>
      </w:r>
      <w:r>
        <w:t>Commissioner</w:t>
      </w:r>
      <w:r>
        <w:rPr>
          <w:snapToGrid w:val="0"/>
        </w:rPr>
        <w:t xml:space="preserve">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pPr>
      <w:r>
        <w:tab/>
        <w:t>[Section 53 amended by No. 10 of 1982 s. 28; No. 59 of 1995 s. 70; No. 10 of 2001 s. 220; No. 28 of 2003 s. 181; No. 58 of 2010 s. 176.]</w:t>
      </w:r>
    </w:p>
    <w:p>
      <w:pPr>
        <w:pStyle w:val="Heading5"/>
        <w:rPr>
          <w:snapToGrid w:val="0"/>
        </w:rPr>
      </w:pPr>
      <w:bookmarkStart w:id="49" w:name="_Toc378948320"/>
      <w:r>
        <w:rPr>
          <w:rStyle w:val="CharSectno"/>
        </w:rPr>
        <w:t>54</w:t>
      </w:r>
      <w:r>
        <w:rPr>
          <w:snapToGrid w:val="0"/>
        </w:rPr>
        <w:t>.</w:t>
      </w:r>
      <w:r>
        <w:rPr>
          <w:snapToGrid w:val="0"/>
        </w:rPr>
        <w:tab/>
        <w:t>Auditors, appointment of</w:t>
      </w:r>
      <w:bookmarkEnd w:id="49"/>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54 amended by No. 58 of 2010 s. 176.]</w:t>
      </w:r>
    </w:p>
    <w:p>
      <w:pPr>
        <w:pStyle w:val="Heading5"/>
        <w:rPr>
          <w:snapToGrid w:val="0"/>
        </w:rPr>
      </w:pPr>
      <w:bookmarkStart w:id="50" w:name="_Toc378948321"/>
      <w:r>
        <w:rPr>
          <w:rStyle w:val="CharSectno"/>
        </w:rPr>
        <w:t>55</w:t>
      </w:r>
      <w:r>
        <w:rPr>
          <w:snapToGrid w:val="0"/>
        </w:rPr>
        <w:t>.</w:t>
      </w:r>
      <w:r>
        <w:rPr>
          <w:snapToGrid w:val="0"/>
        </w:rPr>
        <w:tab/>
        <w:t>Audit of business carried on at more than one place, directions as to</w:t>
      </w:r>
      <w:bookmarkEnd w:id="50"/>
    </w:p>
    <w:p>
      <w:pPr>
        <w:pStyle w:val="Subsection"/>
        <w:rPr>
          <w:snapToGrid w:val="0"/>
        </w:rPr>
      </w:pPr>
      <w:r>
        <w:rPr>
          <w:snapToGrid w:val="0"/>
        </w:rPr>
        <w:tab/>
      </w:r>
      <w:r>
        <w:rPr>
          <w:snapToGrid w:val="0"/>
        </w:rPr>
        <w:tab/>
        <w:t xml:space="preserve">In the event of a settlement agent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r>
        <w:tab/>
        <w:t>[Section 55 amended by No. 58 of 2010 s. 176.]</w:t>
      </w:r>
    </w:p>
    <w:p>
      <w:pPr>
        <w:pStyle w:val="Heading5"/>
        <w:spacing w:before="120"/>
        <w:rPr>
          <w:snapToGrid w:val="0"/>
        </w:rPr>
      </w:pPr>
      <w:bookmarkStart w:id="51" w:name="_Toc378948322"/>
      <w:r>
        <w:rPr>
          <w:rStyle w:val="CharSectno"/>
        </w:rPr>
        <w:t>56</w:t>
      </w:r>
      <w:r>
        <w:rPr>
          <w:snapToGrid w:val="0"/>
        </w:rPr>
        <w:t>.</w:t>
      </w:r>
      <w:r>
        <w:rPr>
          <w:snapToGrid w:val="0"/>
        </w:rPr>
        <w:tab/>
        <w:t>Approvals etc. under this Division, Commissioner’s power to cancel etc.</w:t>
      </w:r>
      <w:bookmarkEnd w:id="51"/>
    </w:p>
    <w:p>
      <w:pPr>
        <w:pStyle w:val="Subsection"/>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56 amended by No. 58 of 2010 s. 176.]</w:t>
      </w:r>
    </w:p>
    <w:p>
      <w:pPr>
        <w:pStyle w:val="Ednotesection"/>
      </w:pPr>
      <w:r>
        <w:t>[</w:t>
      </w:r>
      <w:r>
        <w:rPr>
          <w:b/>
        </w:rPr>
        <w:t>57.</w:t>
      </w:r>
      <w:r>
        <w:tab/>
        <w:t>Deleted by No. 55 of 2004 s. 1088.]</w:t>
      </w:r>
    </w:p>
    <w:p>
      <w:pPr>
        <w:pStyle w:val="Heading5"/>
        <w:rPr>
          <w:snapToGrid w:val="0"/>
        </w:rPr>
      </w:pPr>
      <w:bookmarkStart w:id="52" w:name="_Toc378948323"/>
      <w:r>
        <w:rPr>
          <w:rStyle w:val="CharSectno"/>
        </w:rPr>
        <w:t>58</w:t>
      </w:r>
      <w:r>
        <w:rPr>
          <w:snapToGrid w:val="0"/>
        </w:rPr>
        <w:t>.</w:t>
      </w:r>
      <w:r>
        <w:rPr>
          <w:snapToGrid w:val="0"/>
        </w:rPr>
        <w:tab/>
        <w:t>Audits, settlement agents’ duties and auditors’ powers as to</w:t>
      </w:r>
      <w:bookmarkEnd w:id="52"/>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53" w:name="_Toc378948324"/>
      <w:r>
        <w:rPr>
          <w:rStyle w:val="CharSectno"/>
        </w:rPr>
        <w:t>59</w:t>
      </w:r>
      <w:r>
        <w:rPr>
          <w:snapToGrid w:val="0"/>
        </w:rPr>
        <w:t>.</w:t>
      </w:r>
      <w:r>
        <w:rPr>
          <w:snapToGrid w:val="0"/>
        </w:rPr>
        <w:tab/>
        <w:t>Audits, bankers’ duties as to</w:t>
      </w:r>
      <w:bookmarkEnd w:id="53"/>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54" w:name="_Toc378948325"/>
      <w:r>
        <w:rPr>
          <w:rStyle w:val="CharSectno"/>
        </w:rPr>
        <w:t>60</w:t>
      </w:r>
      <w:r>
        <w:rPr>
          <w:snapToGrid w:val="0"/>
        </w:rPr>
        <w:t>.</w:t>
      </w:r>
      <w:r>
        <w:rPr>
          <w:snapToGrid w:val="0"/>
        </w:rPr>
        <w:tab/>
        <w:t>Auditors’ reports, content of</w:t>
      </w:r>
      <w:bookmarkEnd w:id="54"/>
    </w:p>
    <w:p>
      <w:pPr>
        <w:pStyle w:val="Subsection"/>
        <w:spacing w:before="140"/>
        <w:rPr>
          <w:snapToGrid w:val="0"/>
        </w:rPr>
      </w:pPr>
      <w:r>
        <w:rPr>
          <w:snapToGrid w:val="0"/>
        </w:rPr>
        <w:tab/>
      </w:r>
      <w:r>
        <w:rPr>
          <w:snapToGrid w:val="0"/>
        </w:rPr>
        <w:tab/>
        <w:t>Every auditor of a settlement agent’s trust accounts shall include in his report furnished pursuant to section 51 a statement as to the following matters —</w:t>
      </w:r>
    </w:p>
    <w:p>
      <w:pPr>
        <w:pStyle w:val="Indenta"/>
        <w:spacing w:before="60"/>
        <w:rPr>
          <w:snapToGrid w:val="0"/>
        </w:rPr>
      </w:pPr>
      <w:r>
        <w:rPr>
          <w:snapToGrid w:val="0"/>
        </w:rPr>
        <w:tab/>
        <w:t>(a)</w:t>
      </w:r>
      <w:r>
        <w:rPr>
          <w:snapToGrid w:val="0"/>
        </w:rPr>
        <w:tab/>
        <w:t>whether the trust accounts of such settlement agent have in the opinion of the auditor been kept regularly and properly written up; and</w:t>
      </w:r>
    </w:p>
    <w:p>
      <w:pPr>
        <w:pStyle w:val="Indenta"/>
        <w:spacing w:before="60"/>
        <w:rPr>
          <w:snapToGrid w:val="0"/>
        </w:rPr>
      </w:pPr>
      <w:r>
        <w:rPr>
          <w:snapToGrid w:val="0"/>
        </w:rPr>
        <w:tab/>
        <w:t>(b)</w:t>
      </w:r>
      <w:r>
        <w:rPr>
          <w:snapToGrid w:val="0"/>
        </w:rPr>
        <w:tab/>
        <w:t>whether the trust accounts of such settlement agent have been ready for examination at the periods appointed by the auditor; and</w:t>
      </w:r>
    </w:p>
    <w:p>
      <w:pPr>
        <w:pStyle w:val="Indenta"/>
        <w:spacing w:before="60"/>
        <w:rPr>
          <w:snapToGrid w:val="0"/>
        </w:rPr>
      </w:pPr>
      <w:r>
        <w:rPr>
          <w:snapToGrid w:val="0"/>
        </w:rPr>
        <w:tab/>
        <w:t>(c)</w:t>
      </w:r>
      <w:r>
        <w:rPr>
          <w:snapToGrid w:val="0"/>
        </w:rPr>
        <w:tab/>
        <w:t>whether such settlement agent has complied with the auditor’s requirements; and</w:t>
      </w:r>
    </w:p>
    <w:p>
      <w:pPr>
        <w:pStyle w:val="Indenta"/>
        <w:spacing w:before="60"/>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60"/>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 xml:space="preserve">any matter or thing in relation to such trust accounts which should in the opinion of the auditor be communicated to the </w:t>
      </w:r>
      <w:r>
        <w:t>Commissioner</w:t>
      </w:r>
      <w:r>
        <w:rPr>
          <w:snapToGrid w:val="0"/>
        </w:rPr>
        <w:t>.</w:t>
      </w:r>
    </w:p>
    <w:p>
      <w:pPr>
        <w:pStyle w:val="Footnotesection"/>
        <w:spacing w:before="100"/>
        <w:ind w:left="890" w:hanging="890"/>
      </w:pPr>
      <w:r>
        <w:tab/>
        <w:t>[Section 60 amended by No. 64 of 1982 s. 4; No. 59 of 1995 s. 71; No. 58 of 2010 s. 176.]</w:t>
      </w:r>
    </w:p>
    <w:p>
      <w:pPr>
        <w:pStyle w:val="Heading5"/>
        <w:rPr>
          <w:snapToGrid w:val="0"/>
        </w:rPr>
      </w:pPr>
      <w:bookmarkStart w:id="55" w:name="_Toc378948326"/>
      <w:r>
        <w:rPr>
          <w:rStyle w:val="CharSectno"/>
        </w:rPr>
        <w:t>61</w:t>
      </w:r>
      <w:r>
        <w:rPr>
          <w:snapToGrid w:val="0"/>
        </w:rPr>
        <w:t>.</w:t>
      </w:r>
      <w:r>
        <w:rPr>
          <w:snapToGrid w:val="0"/>
        </w:rPr>
        <w:tab/>
        <w:t>Moneys etc. held on trust, statement of by settlement agents</w:t>
      </w:r>
      <w:bookmarkEnd w:id="55"/>
    </w:p>
    <w:p>
      <w:pPr>
        <w:pStyle w:val="Subsection"/>
        <w:spacing w:before="140"/>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w:t>
      </w:r>
    </w:p>
    <w:p>
      <w:pPr>
        <w:pStyle w:val="Indenta"/>
        <w:spacing w:before="60"/>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56" w:name="_Toc378948327"/>
      <w:r>
        <w:rPr>
          <w:rStyle w:val="CharSectno"/>
        </w:rPr>
        <w:t>62</w:t>
      </w:r>
      <w:r>
        <w:rPr>
          <w:snapToGrid w:val="0"/>
        </w:rPr>
        <w:t>.</w:t>
      </w:r>
      <w:r>
        <w:rPr>
          <w:snapToGrid w:val="0"/>
        </w:rPr>
        <w:tab/>
        <w:t>Auditor’s report to report breaches of law etc.</w:t>
      </w:r>
      <w:bookmarkEnd w:id="56"/>
    </w:p>
    <w:p>
      <w:pPr>
        <w:pStyle w:val="Subsection"/>
        <w:rPr>
          <w:snapToGrid w:val="0"/>
        </w:rPr>
      </w:pPr>
      <w:r>
        <w:rPr>
          <w:snapToGrid w:val="0"/>
        </w:rPr>
        <w:tab/>
      </w:r>
      <w:r>
        <w:rPr>
          <w:snapToGrid w:val="0"/>
        </w:rPr>
        <w:tab/>
        <w:t xml:space="preserve">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spacing w:before="100"/>
        <w:ind w:left="890" w:hanging="890"/>
      </w:pPr>
      <w:r>
        <w:tab/>
        <w:t>[Section 62 amended by No. 58 of 2010 s. 176.]</w:t>
      </w:r>
    </w:p>
    <w:p>
      <w:pPr>
        <w:pStyle w:val="Heading5"/>
        <w:spacing w:before="180"/>
        <w:rPr>
          <w:snapToGrid w:val="0"/>
        </w:rPr>
      </w:pPr>
      <w:bookmarkStart w:id="57" w:name="_Toc378948328"/>
      <w:r>
        <w:rPr>
          <w:rStyle w:val="CharSectno"/>
        </w:rPr>
        <w:t>63</w:t>
      </w:r>
      <w:r>
        <w:rPr>
          <w:snapToGrid w:val="0"/>
        </w:rPr>
        <w:t>.</w:t>
      </w:r>
      <w:r>
        <w:rPr>
          <w:snapToGrid w:val="0"/>
        </w:rPr>
        <w:tab/>
        <w:t>Auditors’ duty of confidentiality</w:t>
      </w:r>
      <w:bookmarkEnd w:id="57"/>
    </w:p>
    <w:p>
      <w:pPr>
        <w:pStyle w:val="Subsection"/>
        <w:spacing w:before="140"/>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spacing w:before="140"/>
        <w:rPr>
          <w:snapToGrid w:val="0"/>
        </w:rPr>
      </w:pPr>
      <w:r>
        <w:rPr>
          <w:snapToGrid w:val="0"/>
        </w:rPr>
        <w:tab/>
        <w:t>(2)</w:t>
      </w:r>
      <w:r>
        <w:rPr>
          <w:snapToGrid w:val="0"/>
        </w:rPr>
        <w:tab/>
        <w:t>An auditor is not guilty of a breach of subsection (1) by disclosing information —</w:t>
      </w:r>
    </w:p>
    <w:p>
      <w:pPr>
        <w:pStyle w:val="Indenta"/>
        <w:spacing w:before="60"/>
        <w:rPr>
          <w:snapToGrid w:val="0"/>
        </w:rPr>
      </w:pPr>
      <w:r>
        <w:rPr>
          <w:snapToGrid w:val="0"/>
        </w:rPr>
        <w:tab/>
        <w:t>(a)</w:t>
      </w:r>
      <w:r>
        <w:rPr>
          <w:snapToGrid w:val="0"/>
        </w:rPr>
        <w:tab/>
        <w:t>by means of or in a report made pursuant to this Division; or</w:t>
      </w:r>
    </w:p>
    <w:p>
      <w:pPr>
        <w:pStyle w:val="Indenta"/>
        <w:spacing w:before="60"/>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spacing w:before="180"/>
        <w:rPr>
          <w:snapToGrid w:val="0"/>
        </w:rPr>
      </w:pPr>
      <w:bookmarkStart w:id="58" w:name="_Toc378948329"/>
      <w:r>
        <w:rPr>
          <w:rStyle w:val="CharSectno"/>
        </w:rPr>
        <w:t>64</w:t>
      </w:r>
      <w:r>
        <w:rPr>
          <w:snapToGrid w:val="0"/>
        </w:rPr>
        <w:t>.</w:t>
      </w:r>
      <w:r>
        <w:rPr>
          <w:snapToGrid w:val="0"/>
        </w:rPr>
        <w:tab/>
        <w:t>Right of some persons to information in auditors’ reports</w:t>
      </w:r>
      <w:bookmarkEnd w:id="58"/>
    </w:p>
    <w:p>
      <w:pPr>
        <w:pStyle w:val="Subsection"/>
        <w:spacing w:before="140"/>
        <w:rPr>
          <w:snapToGrid w:val="0"/>
        </w:rPr>
      </w:pPr>
      <w:r>
        <w:rPr>
          <w:snapToGrid w:val="0"/>
        </w:rPr>
        <w:tab/>
        <w:t>(1)</w:t>
      </w:r>
      <w:r>
        <w:rPr>
          <w:snapToGrid w:val="0"/>
        </w:rPr>
        <w:tab/>
        <w:t xml:space="preserve">On request by any person interested in any moneys or securities held or which ought to be held or which have been received by a settlement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Division as affects or may affect such person.</w:t>
      </w:r>
    </w:p>
    <w:p>
      <w:pPr>
        <w:pStyle w:val="Subsection"/>
        <w:spacing w:before="140"/>
        <w:rPr>
          <w:snapToGrid w:val="0"/>
        </w:rPr>
      </w:pPr>
      <w:r>
        <w:rPr>
          <w:snapToGrid w:val="0"/>
        </w:rPr>
        <w:tab/>
        <w:t>(2)</w:t>
      </w:r>
      <w:r>
        <w:rPr>
          <w:snapToGrid w:val="0"/>
        </w:rPr>
        <w:tab/>
        <w:t xml:space="preserve">A report of an auditor under this Division or a statutory declaration, statement, or other document delivered to the </w:t>
      </w:r>
      <w:r>
        <w:t>Commissioner under this Division shall be available under the supervision of the Commissioner</w:t>
      </w:r>
      <w:r>
        <w:rPr>
          <w:snapToGrid w:val="0"/>
        </w:rPr>
        <w:t xml:space="preserve"> for inspection by any other auditor appointed to audit the accounts of the same settlement agent for the next succeeding year.</w:t>
      </w:r>
    </w:p>
    <w:p>
      <w:pPr>
        <w:pStyle w:val="Footnotesection"/>
        <w:spacing w:before="100"/>
        <w:ind w:left="890" w:hanging="890"/>
      </w:pPr>
      <w:r>
        <w:tab/>
        <w:t>[Section 64 amended by No. 58 of 2010 s. 148 and 176.]</w:t>
      </w:r>
    </w:p>
    <w:p>
      <w:pPr>
        <w:pStyle w:val="Heading5"/>
        <w:rPr>
          <w:snapToGrid w:val="0"/>
        </w:rPr>
      </w:pPr>
      <w:bookmarkStart w:id="59" w:name="_Toc378948330"/>
      <w:r>
        <w:rPr>
          <w:rStyle w:val="CharSectno"/>
        </w:rPr>
        <w:t>65</w:t>
      </w:r>
      <w:r>
        <w:rPr>
          <w:snapToGrid w:val="0"/>
        </w:rPr>
        <w:t>.</w:t>
      </w:r>
      <w:r>
        <w:rPr>
          <w:snapToGrid w:val="0"/>
        </w:rPr>
        <w:tab/>
        <w:t>Offences under this Division</w:t>
      </w:r>
      <w:bookmarkEnd w:id="59"/>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65 amended by No. 59 of 1995 s. 72.]</w:t>
      </w:r>
    </w:p>
    <w:p>
      <w:pPr>
        <w:pStyle w:val="Heading5"/>
        <w:rPr>
          <w:snapToGrid w:val="0"/>
        </w:rPr>
      </w:pPr>
      <w:bookmarkStart w:id="60" w:name="_Toc378948331"/>
      <w:r>
        <w:rPr>
          <w:rStyle w:val="CharSectno"/>
        </w:rPr>
        <w:t>66</w:t>
      </w:r>
      <w:r>
        <w:rPr>
          <w:snapToGrid w:val="0"/>
        </w:rPr>
        <w:t>.</w:t>
      </w:r>
      <w:r>
        <w:rPr>
          <w:snapToGrid w:val="0"/>
        </w:rPr>
        <w:tab/>
        <w:t>Auditors’ remuneration</w:t>
      </w:r>
      <w:bookmarkEnd w:id="60"/>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61" w:name="_Toc378948332"/>
      <w:r>
        <w:rPr>
          <w:rStyle w:val="CharSectno"/>
        </w:rPr>
        <w:t>67</w:t>
      </w:r>
      <w:r>
        <w:rPr>
          <w:snapToGrid w:val="0"/>
        </w:rPr>
        <w:t>.</w:t>
      </w:r>
      <w:r>
        <w:rPr>
          <w:snapToGrid w:val="0"/>
        </w:rPr>
        <w:tab/>
        <w:t>Settlement agents with no accounts to audit</w:t>
      </w:r>
      <w:bookmarkEnd w:id="61"/>
    </w:p>
    <w:p>
      <w:pPr>
        <w:pStyle w:val="Subsection"/>
        <w:rPr>
          <w:snapToGrid w:val="0"/>
        </w:rPr>
      </w:pPr>
      <w:r>
        <w:rPr>
          <w:snapToGrid w:val="0"/>
        </w:rPr>
        <w:tab/>
      </w:r>
      <w:r>
        <w:rPr>
          <w:snapToGrid w:val="0"/>
        </w:rPr>
        <w:tab/>
        <w:t xml:space="preserve">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w:t>
      </w:r>
      <w:r>
        <w:t>Commissioner</w:t>
      </w:r>
      <w:r>
        <w:rPr>
          <w:snapToGrid w:val="0"/>
        </w:rPr>
        <w:t>.</w:t>
      </w:r>
    </w:p>
    <w:p>
      <w:pPr>
        <w:pStyle w:val="Footnotesection"/>
      </w:pPr>
      <w:r>
        <w:tab/>
        <w:t>[Section 67 amended by No. 58 of 2010 s. 176.]</w:t>
      </w:r>
    </w:p>
    <w:p>
      <w:pPr>
        <w:pStyle w:val="Heading5"/>
        <w:rPr>
          <w:snapToGrid w:val="0"/>
        </w:rPr>
      </w:pPr>
      <w:bookmarkStart w:id="62" w:name="_Toc378948333"/>
      <w:r>
        <w:rPr>
          <w:rStyle w:val="CharSectno"/>
        </w:rPr>
        <w:t>68</w:t>
      </w:r>
      <w:r>
        <w:rPr>
          <w:snapToGrid w:val="0"/>
        </w:rPr>
        <w:t>.</w:t>
      </w:r>
      <w:r>
        <w:rPr>
          <w:snapToGrid w:val="0"/>
        </w:rPr>
        <w:tab/>
        <w:t>Accounts of firm or body corporate or settlement agent with branch office, effect of audits as to</w:t>
      </w:r>
      <w:bookmarkEnd w:id="62"/>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63" w:name="_Toc378948334"/>
      <w:r>
        <w:rPr>
          <w:rStyle w:val="CharSectno"/>
        </w:rPr>
        <w:t>69</w:t>
      </w:r>
      <w:r>
        <w:rPr>
          <w:snapToGrid w:val="0"/>
        </w:rPr>
        <w:t>.</w:t>
      </w:r>
      <w:r>
        <w:rPr>
          <w:snapToGrid w:val="0"/>
        </w:rPr>
        <w:tab/>
        <w:t>Audit of trust account, Commissioner may do</w:t>
      </w:r>
      <w:bookmarkEnd w:id="63"/>
    </w:p>
    <w:p>
      <w:pPr>
        <w:pStyle w:val="Subsection"/>
        <w:rPr>
          <w:snapToGrid w:val="0"/>
        </w:rPr>
      </w:pPr>
      <w:r>
        <w:rPr>
          <w:snapToGrid w:val="0"/>
        </w:rPr>
        <w:tab/>
      </w:r>
      <w:r>
        <w:rPr>
          <w:snapToGrid w:val="0"/>
        </w:rPr>
        <w:tab/>
        <w:t xml:space="preserve">Without prejudice to the operation of the foregoing provisions of this Division, where the </w:t>
      </w:r>
      <w:r>
        <w:t>Commissioner</w:t>
      </w:r>
      <w:r>
        <w:rPr>
          <w:snapToGrid w:val="0"/>
        </w:rPr>
        <w:t xml:space="preserve"> is of opinion that it is in the public interest to do </w:t>
      </w:r>
      <w:r>
        <w:t>so, the Commissioner</w:t>
      </w:r>
      <w:r>
        <w:rPr>
          <w:snapToGrid w:val="0"/>
        </w:rPr>
        <w:t xml:space="preserve"> may, at any time, cause the trust accounts of a settlement agent to be audited by an auditor nominated in writing by the </w:t>
      </w:r>
      <w:r>
        <w:t>Commissioner</w:t>
      </w:r>
      <w:r>
        <w:rPr>
          <w:snapToGrid w:val="0"/>
        </w:rPr>
        <w:t xml:space="preserve"> for that purpose.</w:t>
      </w:r>
    </w:p>
    <w:p>
      <w:pPr>
        <w:pStyle w:val="Footnotesection"/>
      </w:pPr>
      <w:r>
        <w:tab/>
        <w:t>[Section 69 amended by No. 58 of 2010 s. 176.]</w:t>
      </w:r>
    </w:p>
    <w:p>
      <w:pPr>
        <w:pStyle w:val="Heading5"/>
        <w:rPr>
          <w:snapToGrid w:val="0"/>
        </w:rPr>
      </w:pPr>
      <w:bookmarkStart w:id="64" w:name="_Toc378948335"/>
      <w:r>
        <w:rPr>
          <w:rStyle w:val="CharSectno"/>
        </w:rPr>
        <w:t>70</w:t>
      </w:r>
      <w:r>
        <w:rPr>
          <w:snapToGrid w:val="0"/>
        </w:rPr>
        <w:t>.</w:t>
      </w:r>
      <w:r>
        <w:rPr>
          <w:snapToGrid w:val="0"/>
        </w:rPr>
        <w:tab/>
        <w:t>Settlement agent to allow Commissioner’s auditor etc. to inspect accounts etc.</w:t>
      </w:r>
      <w:bookmarkEnd w:id="64"/>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w:t>
      </w:r>
    </w:p>
    <w:p>
      <w:pPr>
        <w:pStyle w:val="Indenta"/>
        <w:rPr>
          <w:snapToGrid w:val="0"/>
        </w:rPr>
      </w:pPr>
      <w:r>
        <w:rPr>
          <w:snapToGrid w:val="0"/>
        </w:rPr>
        <w:tab/>
        <w:t>(a)</w:t>
      </w:r>
      <w:r>
        <w:rPr>
          <w:snapToGrid w:val="0"/>
        </w:rPr>
        <w:tab/>
        <w:t xml:space="preserve">by the auditor nominated by the </w:t>
      </w:r>
      <w:r>
        <w:t>Commissioner</w:t>
      </w:r>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Footnotesection"/>
      </w:pPr>
      <w:r>
        <w:tab/>
        <w:t>[Section 70 amended by No. 58 of 2010 s. 176.]</w:t>
      </w:r>
    </w:p>
    <w:p>
      <w:pPr>
        <w:pStyle w:val="Heading5"/>
        <w:spacing w:before="240"/>
        <w:rPr>
          <w:snapToGrid w:val="0"/>
        </w:rPr>
      </w:pPr>
      <w:bookmarkStart w:id="65" w:name="_Toc378948336"/>
      <w:r>
        <w:rPr>
          <w:rStyle w:val="CharSectno"/>
        </w:rPr>
        <w:t>71</w:t>
      </w:r>
      <w:r>
        <w:rPr>
          <w:snapToGrid w:val="0"/>
        </w:rPr>
        <w:t>.</w:t>
      </w:r>
      <w:r>
        <w:rPr>
          <w:snapToGrid w:val="0"/>
        </w:rPr>
        <w:tab/>
        <w:t>Cost of audit done under s. 69</w:t>
      </w:r>
      <w:bookmarkEnd w:id="65"/>
    </w:p>
    <w:p>
      <w:pPr>
        <w:pStyle w:val="Subsection"/>
        <w:rPr>
          <w:snapToGrid w:val="0"/>
        </w:rPr>
      </w:pPr>
      <w:r>
        <w:rPr>
          <w:snapToGrid w:val="0"/>
        </w:rPr>
        <w:tab/>
        <w:t>(1)</w:t>
      </w:r>
      <w:r>
        <w:rPr>
          <w:snapToGrid w:val="0"/>
        </w:rPr>
        <w:tab/>
        <w:t xml:space="preserve">The cost of an audit carried out pursuant to section 69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or by the settlement agent whose trust accounts have been the subject of the audit.</w:t>
      </w:r>
    </w:p>
    <w:p>
      <w:pPr>
        <w:pStyle w:val="Subsection"/>
        <w:rPr>
          <w:snapToGrid w:val="0"/>
        </w:rPr>
      </w:pPr>
      <w:r>
        <w:rPr>
          <w:snapToGrid w:val="0"/>
        </w:rPr>
        <w:tab/>
        <w:t>(2)</w:t>
      </w:r>
      <w:r>
        <w:rPr>
          <w:snapToGrid w:val="0"/>
        </w:rPr>
        <w:tab/>
        <w:t xml:space="preserve">All moneys paid by the </w:t>
      </w:r>
      <w:r>
        <w:t>Commissioner</w:t>
      </w:r>
      <w:r>
        <w:rPr>
          <w:snapToGrid w:val="0"/>
        </w:rPr>
        <w:t xml:space="preserve"> under subsection (1) shall be repaid to the </w:t>
      </w:r>
      <w:r>
        <w:t>Commissioner</w:t>
      </w:r>
      <w:r>
        <w:rPr>
          <w:snapToGrid w:val="0"/>
        </w:rPr>
        <w:t xml:space="preserve"> from moneys standing to the credit of the Fidelity Guarantee</w:t>
      </w:r>
      <w:r>
        <w:t xml:space="preserve"> Account</w:t>
      </w:r>
      <w:r>
        <w:rPr>
          <w:snapToGrid w:val="0"/>
        </w:rPr>
        <w:t>.</w:t>
      </w:r>
    </w:p>
    <w:p>
      <w:pPr>
        <w:pStyle w:val="Footnotesection"/>
      </w:pPr>
      <w:r>
        <w:tab/>
        <w:t>[Section 71 amended by No. 59 of 1995 s. 86; No. 77 of 2006 Sch. 1 cl. 156(2); No. 58 of 2010 s. 176.]</w:t>
      </w:r>
    </w:p>
    <w:p>
      <w:pPr>
        <w:pStyle w:val="Heading5"/>
        <w:spacing w:before="240"/>
        <w:rPr>
          <w:snapToGrid w:val="0"/>
        </w:rPr>
      </w:pPr>
      <w:bookmarkStart w:id="66" w:name="_Toc378948337"/>
      <w:r>
        <w:rPr>
          <w:rStyle w:val="CharSectno"/>
        </w:rPr>
        <w:t>72</w:t>
      </w:r>
      <w:r>
        <w:rPr>
          <w:snapToGrid w:val="0"/>
        </w:rPr>
        <w:t>.</w:t>
      </w:r>
      <w:r>
        <w:rPr>
          <w:snapToGrid w:val="0"/>
        </w:rPr>
        <w:tab/>
        <w:t>Application of s. 63 to certain persons</w:t>
      </w:r>
      <w:bookmarkEnd w:id="66"/>
    </w:p>
    <w:p>
      <w:pPr>
        <w:pStyle w:val="Subsection"/>
        <w:rPr>
          <w:snapToGrid w:val="0"/>
        </w:rPr>
      </w:pPr>
      <w:r>
        <w:rPr>
          <w:snapToGrid w:val="0"/>
        </w:rPr>
        <w:tab/>
      </w:r>
      <w:r>
        <w:rPr>
          <w:snapToGrid w:val="0"/>
        </w:rPr>
        <w:tab/>
        <w:t xml:space="preserve">The provisions of section 63 apply to an auditor nominated by the </w:t>
      </w:r>
      <w:r>
        <w:t>Commissioner</w:t>
      </w:r>
      <w:r>
        <w:rPr>
          <w:snapToGrid w:val="0"/>
        </w:rPr>
        <w:t xml:space="preserve"> under section 69 or any person authorised by him under section 70 with such modifications as circumstances require.</w:t>
      </w:r>
    </w:p>
    <w:p>
      <w:pPr>
        <w:pStyle w:val="Footnotesection"/>
      </w:pPr>
      <w:r>
        <w:tab/>
        <w:t>[Section 72 amended by No. 58 of 2010 s. 176.]</w:t>
      </w:r>
    </w:p>
    <w:p>
      <w:pPr>
        <w:pStyle w:val="Heading5"/>
        <w:spacing w:before="240"/>
        <w:rPr>
          <w:snapToGrid w:val="0"/>
        </w:rPr>
      </w:pPr>
      <w:bookmarkStart w:id="67" w:name="_Toc378948338"/>
      <w:r>
        <w:rPr>
          <w:rStyle w:val="CharSectno"/>
        </w:rPr>
        <w:t>73</w:t>
      </w:r>
      <w:r>
        <w:rPr>
          <w:snapToGrid w:val="0"/>
        </w:rPr>
        <w:t>.</w:t>
      </w:r>
      <w:r>
        <w:rPr>
          <w:snapToGrid w:val="0"/>
        </w:rPr>
        <w:tab/>
        <w:t>Restraining bank etc. from dealing with settlement agent’s account, SAT’s powers as to</w:t>
      </w:r>
      <w:bookmarkEnd w:id="67"/>
    </w:p>
    <w:p>
      <w:pPr>
        <w:pStyle w:val="Subsection"/>
        <w:rPr>
          <w:snapToGrid w:val="0"/>
        </w:rPr>
      </w:pPr>
      <w:r>
        <w:rPr>
          <w:snapToGrid w:val="0"/>
        </w:rPr>
        <w:tab/>
        <w:t>(1)</w:t>
      </w:r>
      <w:r>
        <w:rPr>
          <w:snapToGrid w:val="0"/>
        </w:rPr>
        <w:tab/>
        <w:t xml:space="preserve">Where the </w:t>
      </w:r>
      <w:r>
        <w:t>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[Section 73 amended by No. 59 of 1995 s. 84; No. 26 of 1999 s. 102(6); No. 55 of 2004 s. 1094; No. 58 of 2010 s. 176.]</w:t>
      </w:r>
    </w:p>
    <w:p>
      <w:pPr>
        <w:pStyle w:val="Heading5"/>
        <w:rPr>
          <w:snapToGrid w:val="0"/>
        </w:rPr>
      </w:pPr>
      <w:bookmarkStart w:id="68" w:name="_Toc378948339"/>
      <w:r>
        <w:rPr>
          <w:rStyle w:val="CharSectno"/>
        </w:rPr>
        <w:t>74</w:t>
      </w:r>
      <w:r>
        <w:rPr>
          <w:snapToGrid w:val="0"/>
        </w:rPr>
        <w:t>.</w:t>
      </w:r>
      <w:r>
        <w:rPr>
          <w:snapToGrid w:val="0"/>
        </w:rPr>
        <w:tab/>
        <w:t>Suspension of settlement agents, appointment of supervisors etc., SAT’s powers as to</w:t>
      </w:r>
      <w:bookmarkEnd w:id="68"/>
    </w:p>
    <w:p>
      <w:pPr>
        <w:pStyle w:val="Subsection"/>
        <w:keepNext/>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settlement agent from carrying on his business for such period as may be specified in the order; and</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settlement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 xml:space="preserve">Where the State Administrative Tribunal is satisfied, on the application of the </w:t>
      </w:r>
      <w:r>
        <w:t>Commissioner</w:t>
      </w:r>
      <w:r>
        <w:rPr>
          <w:snapToGrid w:val="0"/>
        </w:rPr>
        <w:t>, that a sole settlement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settlement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 xml:space="preserve">may order that the </w:t>
      </w:r>
      <w:r>
        <w:t>Commissioner</w:t>
      </w:r>
      <w:r>
        <w:rPr>
          <w:snapToGrid w:val="0"/>
        </w:rPr>
        <w:t>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 and</w:t>
      </w:r>
    </w:p>
    <w:p>
      <w:pPr>
        <w:pStyle w:val="Indenti"/>
      </w:pPr>
      <w:r>
        <w:tab/>
        <w:t>(ii)</w:t>
      </w:r>
      <w:r>
        <w:tab/>
        <w:t xml:space="preserve">credit such moneys, or such balance, to a separate agency special purpose account established for the Commissioner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w:t>
      </w:r>
      <w:r>
        <w:t>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 </w:t>
      </w:r>
      <w:r>
        <w:t xml:space="preserve">agency special purpose </w:t>
      </w:r>
      <w:r>
        <w:rPr>
          <w:snapToGrid w:val="0"/>
        </w:rPr>
        <w:t>account under the order.</w:t>
      </w:r>
    </w:p>
    <w:p>
      <w:pPr>
        <w:pStyle w:val="Footnotesection"/>
      </w:pPr>
      <w:r>
        <w:tab/>
        <w:t>[Section 74 amended by No. 59 of 1995 s. 86; No. 55 of 2004 s. 1094; No. 77 of 2006 Sch. 1 cl. 156(4) and (5); No. 58 of 2010 s. 176).]</w:t>
      </w:r>
    </w:p>
    <w:p>
      <w:pPr>
        <w:pStyle w:val="Heading5"/>
        <w:rPr>
          <w:snapToGrid w:val="0"/>
        </w:rPr>
      </w:pPr>
      <w:bookmarkStart w:id="69" w:name="_Toc378948340"/>
      <w:r>
        <w:rPr>
          <w:rStyle w:val="CharSectno"/>
        </w:rPr>
        <w:t>75</w:t>
      </w:r>
      <w:r>
        <w:rPr>
          <w:snapToGrid w:val="0"/>
        </w:rPr>
        <w:t>.</w:t>
      </w:r>
      <w:r>
        <w:rPr>
          <w:snapToGrid w:val="0"/>
        </w:rPr>
        <w:tab/>
        <w:t>Effect of s. 74 orders appointing supervisor</w:t>
      </w:r>
      <w:bookmarkEnd w:id="69"/>
    </w:p>
    <w:p>
      <w:pPr>
        <w:pStyle w:val="Subsection"/>
        <w:rPr>
          <w:snapToGrid w:val="0"/>
        </w:rPr>
      </w:pPr>
      <w:r>
        <w:rPr>
          <w:snapToGrid w:val="0"/>
        </w:rPr>
        <w:tab/>
        <w:t>(1)</w:t>
      </w:r>
      <w:r>
        <w:rPr>
          <w:snapToGrid w:val="0"/>
        </w:rPr>
        <w:tab/>
        <w:t xml:space="preserve">Where an order made under section 74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settlement agent or deceased settlement agent referred to in the order; and</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w:t>
      </w:r>
    </w:p>
    <w:p>
      <w:pPr>
        <w:pStyle w:val="Footnotesection"/>
      </w:pPr>
      <w:r>
        <w:tab/>
        <w:t>[Section 75 amended by No. 98 of 1985 s. 3; No. 58 of 2010 s. 149 and 176.]</w:t>
      </w:r>
    </w:p>
    <w:p>
      <w:pPr>
        <w:pStyle w:val="Heading5"/>
        <w:rPr>
          <w:snapToGrid w:val="0"/>
        </w:rPr>
      </w:pPr>
      <w:bookmarkStart w:id="70" w:name="_Toc378948341"/>
      <w:r>
        <w:rPr>
          <w:rStyle w:val="CharSectno"/>
        </w:rPr>
        <w:t>76</w:t>
      </w:r>
      <w:r>
        <w:rPr>
          <w:snapToGrid w:val="0"/>
        </w:rPr>
        <w:t>.</w:t>
      </w:r>
      <w:r>
        <w:rPr>
          <w:snapToGrid w:val="0"/>
        </w:rPr>
        <w:tab/>
        <w:t>Supervisors’ duties</w:t>
      </w:r>
      <w:bookmarkEnd w:id="70"/>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w:t>
      </w:r>
    </w:p>
    <w:p>
      <w:pPr>
        <w:pStyle w:val="Indenta"/>
        <w:rPr>
          <w:snapToGrid w:val="0"/>
        </w:rPr>
      </w:pPr>
      <w:r>
        <w:rPr>
          <w:snapToGrid w:val="0"/>
        </w:rPr>
        <w:tab/>
        <w:t>(a)</w:t>
      </w:r>
      <w:r>
        <w:rPr>
          <w:snapToGrid w:val="0"/>
        </w:rPr>
        <w:tab/>
        <w:t>require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[Section 76 amended by No. 59 of 1995 s. 84; No. 26 of 1999 s. 102(7).]</w:t>
      </w:r>
    </w:p>
    <w:p>
      <w:pPr>
        <w:pStyle w:val="Heading5"/>
        <w:rPr>
          <w:snapToGrid w:val="0"/>
        </w:rPr>
      </w:pPr>
      <w:bookmarkStart w:id="71" w:name="_Toc378948342"/>
      <w:r>
        <w:rPr>
          <w:rStyle w:val="CharSectno"/>
        </w:rPr>
        <w:t>77</w:t>
      </w:r>
      <w:r>
        <w:rPr>
          <w:snapToGrid w:val="0"/>
        </w:rPr>
        <w:t>.</w:t>
      </w:r>
      <w:r>
        <w:rPr>
          <w:snapToGrid w:val="0"/>
        </w:rPr>
        <w:tab/>
        <w:t>Hindering etc. supervisors, offence</w:t>
      </w:r>
      <w:bookmarkEnd w:id="71"/>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77 amended by No. 59 of 1995 s. 85.]</w:t>
      </w:r>
    </w:p>
    <w:p>
      <w:pPr>
        <w:pStyle w:val="Heading5"/>
        <w:rPr>
          <w:snapToGrid w:val="0"/>
        </w:rPr>
      </w:pPr>
      <w:bookmarkStart w:id="72" w:name="_Toc378948343"/>
      <w:r>
        <w:rPr>
          <w:rStyle w:val="CharSectno"/>
        </w:rPr>
        <w:t>78</w:t>
      </w:r>
      <w:r>
        <w:rPr>
          <w:snapToGrid w:val="0"/>
        </w:rPr>
        <w:t>.</w:t>
      </w:r>
      <w:r>
        <w:rPr>
          <w:snapToGrid w:val="0"/>
        </w:rPr>
        <w:tab/>
        <w:t>Discharge or variation of s. 73 or 74 order</w:t>
      </w:r>
      <w:bookmarkEnd w:id="72"/>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73" w:name="_Toc378948344"/>
      <w:r>
        <w:rPr>
          <w:rStyle w:val="CharSectno"/>
        </w:rPr>
        <w:t>79</w:t>
      </w:r>
      <w:r>
        <w:rPr>
          <w:snapToGrid w:val="0"/>
        </w:rPr>
        <w:t>.</w:t>
      </w:r>
      <w:r>
        <w:rPr>
          <w:snapToGrid w:val="0"/>
        </w:rPr>
        <w:tab/>
        <w:t>SAT’s additional powers as to s. 73, 74 or 78 orders</w:t>
      </w:r>
      <w:bookmarkEnd w:id="73"/>
    </w:p>
    <w:p>
      <w:pPr>
        <w:pStyle w:val="Subsection"/>
        <w:rPr>
          <w:snapToGrid w:val="0"/>
        </w:rPr>
      </w:pPr>
      <w:r>
        <w:rPr>
          <w:snapToGrid w:val="0"/>
        </w:rPr>
        <w:tab/>
        <w:t>(1)</w:t>
      </w:r>
      <w:r>
        <w:rPr>
          <w:snapToGrid w:val="0"/>
        </w:rPr>
        <w:tab/>
        <w:t xml:space="preserve">The State Administrative Tribunal may, on the application, of the </w:t>
      </w:r>
      <w:r>
        <w:t>Commissioner</w:t>
      </w:r>
      <w:r>
        <w:rPr>
          <w:snapToGrid w:val="0"/>
        </w:rPr>
        <w:t>, the Treasurer, or the settlement agent, or the personal representative of a deceased settlement agent, referred to in an order made under the provisions of section 73, 74 or 78, make further orders —</w:t>
      </w:r>
    </w:p>
    <w:p>
      <w:pPr>
        <w:pStyle w:val="Indenta"/>
        <w:spacing w:before="60"/>
        <w:rPr>
          <w:snapToGrid w:val="0"/>
        </w:rPr>
      </w:pPr>
      <w:r>
        <w:rPr>
          <w:snapToGrid w:val="0"/>
        </w:rPr>
        <w:tab/>
        <w:t>(a)</w:t>
      </w:r>
      <w:r>
        <w:rPr>
          <w:snapToGrid w:val="0"/>
        </w:rPr>
        <w:tab/>
        <w:t>discharging or varying any order so made; and</w:t>
      </w:r>
    </w:p>
    <w:p>
      <w:pPr>
        <w:pStyle w:val="Indenta"/>
        <w:spacing w:before="60"/>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w:t>
      </w:r>
    </w:p>
    <w:p>
      <w:pPr>
        <w:pStyle w:val="Indenta"/>
        <w:spacing w:before="60"/>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spacing w:before="60"/>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Sch. 1 cl. 156(6) and (7); No. 58 of 2010 s. 176.]</w:t>
      </w:r>
    </w:p>
    <w:p>
      <w:pPr>
        <w:pStyle w:val="Heading5"/>
        <w:rPr>
          <w:snapToGrid w:val="0"/>
        </w:rPr>
      </w:pPr>
      <w:bookmarkStart w:id="74" w:name="_Toc378948345"/>
      <w:r>
        <w:rPr>
          <w:rStyle w:val="CharSectno"/>
        </w:rPr>
        <w:t>80</w:t>
      </w:r>
      <w:r>
        <w:rPr>
          <w:snapToGrid w:val="0"/>
        </w:rPr>
        <w:t>.</w:t>
      </w:r>
      <w:r>
        <w:rPr>
          <w:snapToGrid w:val="0"/>
        </w:rPr>
        <w:tab/>
        <w:t>Service of s. 73, 74, 78 and 79 orders; penalty for breach of</w:t>
      </w:r>
      <w:bookmarkEnd w:id="74"/>
    </w:p>
    <w:p>
      <w:pPr>
        <w:pStyle w:val="Subsection"/>
        <w:rPr>
          <w:snapToGrid w:val="0"/>
        </w:rPr>
      </w:pPr>
      <w:r>
        <w:rPr>
          <w:snapToGrid w:val="0"/>
        </w:rPr>
        <w:tab/>
        <w:t>(1)</w:t>
      </w:r>
      <w:r>
        <w:rPr>
          <w:snapToGrid w:val="0"/>
        </w:rPr>
        <w:tab/>
      </w:r>
      <w:r>
        <w:rPr>
          <w:snapToGrid w:val="0"/>
          <w:spacing w:val="-4"/>
        </w:rPr>
        <w:t xml:space="preserve">The </w:t>
      </w:r>
      <w:r>
        <w:t>Commissioner</w:t>
      </w:r>
      <w:r>
        <w:rPr>
          <w:snapToGrid w:val="0"/>
          <w:spacing w:val="-4"/>
        </w:rPr>
        <w:t xml:space="preserve"> shall, as soon as practicable after any order is, on the application of the </w:t>
      </w:r>
      <w:r>
        <w:t>Commissioner</w:t>
      </w:r>
      <w:r>
        <w:rPr>
          <w:snapToGrid w:val="0"/>
          <w:spacing w:val="-4"/>
        </w:rPr>
        <w:t>, made under the provisions of section 73, 74 or 79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 xml:space="preserve">on the </w:t>
      </w:r>
      <w:r>
        <w:t>Commissioner</w:t>
      </w:r>
      <w:r>
        <w:rPr>
          <w:snapToGrid w:val="0"/>
        </w:rPr>
        <w: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 xml:space="preserve">on the </w:t>
      </w:r>
      <w:r>
        <w:t>Commissioner</w:t>
      </w:r>
      <w:r>
        <w:rPr>
          <w:snapToGrid w:val="0"/>
        </w:rPr>
        <w:t>.</w:t>
      </w:r>
    </w:p>
    <w:p>
      <w:pPr>
        <w:pStyle w:val="Subsection"/>
        <w:spacing w:before="120"/>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12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(11); No. 58 of 2010 s. 176.]</w:t>
      </w:r>
    </w:p>
    <w:p>
      <w:pPr>
        <w:pStyle w:val="Heading5"/>
      </w:pPr>
      <w:bookmarkStart w:id="75" w:name="_Toc378948346"/>
      <w:r>
        <w:rPr>
          <w:rStyle w:val="CharSectno"/>
        </w:rPr>
        <w:t>81</w:t>
      </w:r>
      <w:r>
        <w:t>.</w:t>
      </w:r>
      <w:r>
        <w:tab/>
        <w:t>Banks etc., duty to disclose certain accounts etc. if required to by authorised person</w:t>
      </w:r>
      <w:bookmarkEnd w:id="75"/>
    </w:p>
    <w:p>
      <w:pPr>
        <w:pStyle w:val="Subsection"/>
        <w:spacing w:before="180"/>
      </w:pPr>
      <w:r>
        <w:tab/>
      </w:r>
      <w:r>
        <w:tab/>
        <w:t xml:space="preserve">Where a person duly authorised under the </w:t>
      </w:r>
      <w:r>
        <w:rPr>
          <w:i/>
          <w:iCs/>
        </w:rPr>
        <w:t>Fair Trading Act 2010</w:t>
      </w:r>
      <w:r>
        <w:t xml:space="preserve"> to make an investigation or inquiry for the purposes of that Act, or this Act, has reasonable cause to believe that a settlement agent has deposited any money with a bank or other financial institution, whether in an account in the name of the settlement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and notwithstanding any law, or rule of law, or contractual obligation to the contrary, permit the authorised person to inspect, and make and take away with him or her a copy or extract of, the nominated accounts and any book, document, or other record that relates to the accounts and is in the possession or control of that bank or other institution.</w:t>
      </w:r>
    </w:p>
    <w:p>
      <w:pPr>
        <w:pStyle w:val="Footnotesection"/>
      </w:pPr>
      <w:r>
        <w:tab/>
        <w:t>[Section 81 inserted by No. 58 of 2010 s. 150.]</w:t>
      </w:r>
    </w:p>
    <w:p>
      <w:pPr>
        <w:pStyle w:val="Heading5"/>
        <w:spacing w:before="280"/>
        <w:rPr>
          <w:snapToGrid w:val="0"/>
        </w:rPr>
      </w:pPr>
      <w:bookmarkStart w:id="76" w:name="_Toc378948347"/>
      <w:r>
        <w:rPr>
          <w:rStyle w:val="CharSectno"/>
        </w:rPr>
        <w:t>81A</w:t>
      </w:r>
      <w:r>
        <w:rPr>
          <w:snapToGrid w:val="0"/>
        </w:rPr>
        <w:t>.</w:t>
      </w:r>
      <w:r>
        <w:rPr>
          <w:snapToGrid w:val="0"/>
        </w:rPr>
        <w:tab/>
        <w:t xml:space="preserve">Information </w:t>
      </w:r>
      <w:r>
        <w:t>about</w:t>
      </w:r>
      <w:r>
        <w:rPr>
          <w:snapToGrid w:val="0"/>
        </w:rPr>
        <w:t xml:space="preserve"> trust accounts, Commissioner’s power to obtain</w:t>
      </w:r>
      <w:bookmarkEnd w:id="76"/>
    </w:p>
    <w:p>
      <w:pPr>
        <w:pStyle w:val="Subsection"/>
        <w:spacing w:before="180"/>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100"/>
        <w:rPr>
          <w:snapToGrid w:val="0"/>
        </w:rPr>
      </w:pPr>
      <w:r>
        <w:rPr>
          <w:snapToGrid w:val="0"/>
        </w:rPr>
        <w:tab/>
        <w:t>(a)</w:t>
      </w:r>
      <w:r>
        <w:rPr>
          <w:snapToGrid w:val="0"/>
        </w:rPr>
        <w:tab/>
        <w:t xml:space="preserve">a settlement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spacing w:before="100"/>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100"/>
        <w:rPr>
          <w:snapToGrid w:val="0"/>
        </w:rPr>
      </w:pPr>
      <w:r>
        <w:rPr>
          <w:snapToGrid w:val="0"/>
        </w:rPr>
        <w:tab/>
      </w:r>
      <w:r>
        <w:rPr>
          <w:snapToGrid w:val="0"/>
        </w:rPr>
        <w:tab/>
      </w:r>
      <w:r>
        <w:t>including</w:t>
      </w:r>
      <w:r>
        <w:rPr>
          <w:snapToGrid w:val="0"/>
        </w:rPr>
        <w:t>, without limiting this subsection, information as to the balances of and amounts of interest paid on such accounts.</w:t>
      </w:r>
    </w:p>
    <w:p>
      <w:pPr>
        <w:pStyle w:val="Subsection"/>
        <w:spacing w:before="200"/>
        <w:rPr>
          <w:snapToGrid w:val="0"/>
        </w:rPr>
      </w:pPr>
      <w:r>
        <w:rPr>
          <w:snapToGrid w:val="0"/>
        </w:rPr>
        <w:tab/>
        <w:t>(2)</w:t>
      </w:r>
      <w:r>
        <w:rPr>
          <w:snapToGrid w:val="0"/>
        </w:rPr>
        <w:tab/>
        <w:t xml:space="preserve">A </w:t>
      </w:r>
      <w:r>
        <w:t>requirement</w:t>
      </w:r>
      <w:r>
        <w:rPr>
          <w:snapToGrid w:val="0"/>
        </w:rPr>
        <w:t xml:space="preserve"> under subsection (1) —</w:t>
      </w:r>
    </w:p>
    <w:p>
      <w:pPr>
        <w:pStyle w:val="Indenta"/>
        <w:spacing w:before="120"/>
        <w:rPr>
          <w:snapToGrid w:val="0"/>
        </w:rPr>
      </w:pPr>
      <w:r>
        <w:rPr>
          <w:snapToGrid w:val="0"/>
        </w:rPr>
        <w:tab/>
        <w:t>(a)</w:t>
      </w:r>
      <w:r>
        <w:rPr>
          <w:snapToGrid w:val="0"/>
        </w:rPr>
        <w:tab/>
        <w:t>shall be given by notice in writing to the person required to give the information; and</w:t>
      </w:r>
    </w:p>
    <w:p>
      <w:pPr>
        <w:pStyle w:val="Indenta"/>
        <w:spacing w:before="120"/>
        <w:rPr>
          <w:snapToGrid w:val="0"/>
        </w:rPr>
      </w:pPr>
      <w:r>
        <w:rPr>
          <w:snapToGrid w:val="0"/>
        </w:rPr>
        <w:tab/>
        <w:t>(b)</w:t>
      </w:r>
      <w:r>
        <w:rPr>
          <w:snapToGrid w:val="0"/>
        </w:rPr>
        <w:tab/>
        <w:t>shall specify the time at or within which the information is to be given; and</w:t>
      </w:r>
    </w:p>
    <w:p>
      <w:pPr>
        <w:pStyle w:val="Indenta"/>
        <w:spacing w:before="120"/>
        <w:rPr>
          <w:snapToGrid w:val="0"/>
        </w:rPr>
      </w:pPr>
      <w:r>
        <w:rPr>
          <w:snapToGrid w:val="0"/>
        </w:rPr>
        <w:tab/>
        <w:t>(c)</w:t>
      </w:r>
      <w:r>
        <w:rPr>
          <w:snapToGrid w:val="0"/>
        </w:rPr>
        <w:tab/>
        <w:t>may, by its terms, require that the information be —</w:t>
      </w:r>
    </w:p>
    <w:p>
      <w:pPr>
        <w:pStyle w:val="Indenti"/>
        <w:spacing w:before="120"/>
        <w:rPr>
          <w:snapToGrid w:val="0"/>
        </w:rPr>
      </w:pPr>
      <w:r>
        <w:rPr>
          <w:snapToGrid w:val="0"/>
        </w:rPr>
        <w:tab/>
        <w:t>(i)</w:t>
      </w:r>
      <w:r>
        <w:rPr>
          <w:snapToGrid w:val="0"/>
        </w:rPr>
        <w:tab/>
        <w:t>given in writing; and</w:t>
      </w:r>
    </w:p>
    <w:p>
      <w:pPr>
        <w:pStyle w:val="Indenti"/>
        <w:spacing w:before="12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120"/>
        <w:rPr>
          <w:snapToGrid w:val="0"/>
        </w:rPr>
      </w:pPr>
      <w:r>
        <w:rPr>
          <w:snapToGrid w:val="0"/>
        </w:rPr>
        <w:tab/>
        <w:t>(iii)</w:t>
      </w:r>
      <w:r>
        <w:rPr>
          <w:snapToGrid w:val="0"/>
        </w:rPr>
        <w:tab/>
        <w:t>given at or sent or delivered to any place specified in the requirement; and</w:t>
      </w:r>
    </w:p>
    <w:p>
      <w:pPr>
        <w:pStyle w:val="Indenti"/>
        <w:spacing w:before="120"/>
        <w:rPr>
          <w:snapToGrid w:val="0"/>
        </w:rPr>
      </w:pPr>
      <w:r>
        <w:rPr>
          <w:snapToGrid w:val="0"/>
        </w:rPr>
        <w:tab/>
        <w:t>(iv)</w:t>
      </w:r>
      <w:r>
        <w:rPr>
          <w:snapToGrid w:val="0"/>
        </w:rPr>
        <w:tab/>
        <w:t>sent or delivered by any means specified in the requirement; and</w:t>
      </w:r>
    </w:p>
    <w:p>
      <w:pPr>
        <w:pStyle w:val="Indenti"/>
        <w:spacing w:before="120"/>
        <w:rPr>
          <w:snapToGrid w:val="0"/>
        </w:rPr>
      </w:pPr>
      <w:r>
        <w:rPr>
          <w:snapToGrid w:val="0"/>
        </w:rPr>
        <w:tab/>
        <w:t>(v)</w:t>
      </w:r>
      <w:r>
        <w:rPr>
          <w:snapToGrid w:val="0"/>
        </w:rPr>
        <w:tab/>
        <w:t>given on oath or affirmation or by statutory declaration;</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(d)</w:t>
      </w:r>
      <w:r>
        <w:rPr>
          <w:snapToGrid w:val="0"/>
        </w:rPr>
        <w:tab/>
        <w:t>shall state that the person to whom the notice is given is required under this Act to give the information.</w:t>
      </w:r>
    </w:p>
    <w:p>
      <w:pPr>
        <w:pStyle w:val="Subsection"/>
        <w:spacing w:before="200"/>
        <w:rPr>
          <w:snapToGrid w:val="0"/>
        </w:rPr>
      </w:pPr>
      <w:r>
        <w:rPr>
          <w:snapToGrid w:val="0"/>
        </w:rPr>
        <w:tab/>
        <w:t>(3)</w:t>
      </w:r>
      <w:r>
        <w:rPr>
          <w:snapToGrid w:val="0"/>
        </w:rPr>
        <w:tab/>
        <w:t xml:space="preserve">A </w:t>
      </w:r>
      <w:r>
        <w:t>person</w:t>
      </w:r>
      <w:r>
        <w:rPr>
          <w:snapToGrid w:val="0"/>
        </w:rPr>
        <w:t xml:space="preserve"> shall not, without reasonable excuse, refuse or fail to comply with a requirement under subsection (1).</w:t>
      </w:r>
    </w:p>
    <w:p>
      <w:pPr>
        <w:pStyle w:val="Penstart"/>
        <w:rPr>
          <w:snapToGrid w:val="0"/>
        </w:rPr>
      </w:pPr>
      <w:r>
        <w:rPr>
          <w:snapToGrid w:val="0"/>
        </w:rPr>
        <w:tab/>
        <w:t>Penalty: $3 000.</w:t>
      </w:r>
    </w:p>
    <w:p>
      <w:pPr>
        <w:pStyle w:val="Subsection"/>
        <w:keepNext/>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81A inserted by No. 59 of 1995 s. 73; amended by No. 10 of 2001 s. 220; No. 58 of 2010 s. 176.]</w:t>
      </w:r>
    </w:p>
    <w:p>
      <w:pPr>
        <w:pStyle w:val="Heading3"/>
        <w:rPr>
          <w:snapToGrid w:val="0"/>
        </w:rPr>
      </w:pPr>
      <w:bookmarkStart w:id="77" w:name="_Toc378948348"/>
      <w:r>
        <w:rPr>
          <w:rStyle w:val="CharDivNo"/>
        </w:rPr>
        <w:t>Division 3</w:t>
      </w:r>
      <w:r>
        <w:rPr>
          <w:snapToGrid w:val="0"/>
        </w:rPr>
        <w:t> — </w:t>
      </w:r>
      <w:r>
        <w:rPr>
          <w:rStyle w:val="CharDivText"/>
        </w:rPr>
        <w:t>Discipline</w:t>
      </w:r>
      <w:bookmarkEnd w:id="77"/>
    </w:p>
    <w:p>
      <w:pPr>
        <w:pStyle w:val="Heading5"/>
        <w:rPr>
          <w:snapToGrid w:val="0"/>
        </w:rPr>
      </w:pPr>
      <w:bookmarkStart w:id="78" w:name="_Toc378948349"/>
      <w:r>
        <w:rPr>
          <w:rStyle w:val="CharSectno"/>
        </w:rPr>
        <w:t>82</w:t>
      </w:r>
      <w:r>
        <w:rPr>
          <w:snapToGrid w:val="0"/>
        </w:rPr>
        <w:t>.</w:t>
      </w:r>
      <w:r>
        <w:rPr>
          <w:snapToGrid w:val="0"/>
        </w:rPr>
        <w:tab/>
        <w:t>Code of conduct for settlement agents</w:t>
      </w:r>
      <w:bookmarkEnd w:id="78"/>
    </w:p>
    <w:p>
      <w:pPr>
        <w:pStyle w:val="Subsection"/>
        <w:rPr>
          <w:snapToGrid w:val="0"/>
        </w:rPr>
      </w:pPr>
      <w:r>
        <w:rPr>
          <w:snapToGrid w:val="0"/>
        </w:rPr>
        <w:tab/>
      </w:r>
      <w:r>
        <w:rPr>
          <w:snapToGrid w:val="0"/>
        </w:rPr>
        <w:tab/>
        <w:t xml:space="preserve">The </w:t>
      </w:r>
      <w:r>
        <w:t>Commissioner</w:t>
      </w:r>
      <w:r>
        <w:rPr>
          <w:snapToGrid w:val="0"/>
        </w:rPr>
        <w:t xml:space="preserve"> may, with the approval of the Minister, make rules prescribing a code of conduct for settlement agents.</w:t>
      </w:r>
    </w:p>
    <w:p>
      <w:pPr>
        <w:pStyle w:val="Footnotesection"/>
      </w:pPr>
      <w:r>
        <w:tab/>
        <w:t>[Section 82 amended by No. 58 of 2010 s. 176.]</w:t>
      </w:r>
    </w:p>
    <w:p>
      <w:pPr>
        <w:pStyle w:val="Heading5"/>
        <w:rPr>
          <w:snapToGrid w:val="0"/>
        </w:rPr>
      </w:pPr>
      <w:bookmarkStart w:id="79" w:name="_Toc378948350"/>
      <w:r>
        <w:rPr>
          <w:rStyle w:val="CharSectno"/>
        </w:rPr>
        <w:t>83</w:t>
      </w:r>
      <w:r>
        <w:rPr>
          <w:snapToGrid w:val="0"/>
        </w:rPr>
        <w:t>.</w:t>
      </w:r>
      <w:r>
        <w:rPr>
          <w:snapToGrid w:val="0"/>
        </w:rPr>
        <w:tab/>
        <w:t>Disciplinary action by SAT, alleging cause for</w:t>
      </w:r>
      <w:bookmarkEnd w:id="79"/>
    </w:p>
    <w:p>
      <w:pPr>
        <w:pStyle w:val="Subsection"/>
        <w:rPr>
          <w:snapToGrid w:val="0"/>
        </w:rPr>
      </w:pPr>
      <w:r>
        <w:rPr>
          <w:snapToGrid w:val="0"/>
        </w:rPr>
        <w:tab/>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 amended by No. 58 of 2010 s. 176.]</w:t>
      </w:r>
    </w:p>
    <w:p>
      <w:pPr>
        <w:pStyle w:val="Heading5"/>
        <w:rPr>
          <w:snapToGrid w:val="0"/>
        </w:rPr>
      </w:pPr>
      <w:bookmarkStart w:id="80" w:name="_Toc378948351"/>
      <w:r>
        <w:rPr>
          <w:rStyle w:val="CharSectno"/>
        </w:rPr>
        <w:t>84</w:t>
      </w:r>
      <w:r>
        <w:rPr>
          <w:snapToGrid w:val="0"/>
        </w:rPr>
        <w:t>.</w:t>
      </w:r>
      <w:r>
        <w:rPr>
          <w:snapToGrid w:val="0"/>
        </w:rPr>
        <w:tab/>
        <w:t>Disciplinary action, SAT’s powers as to</w:t>
      </w:r>
      <w:bookmarkEnd w:id="80"/>
    </w:p>
    <w:p>
      <w:pPr>
        <w:pStyle w:val="Subsection"/>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rPr>
          <w:snapToGrid w:val="0"/>
        </w:rPr>
      </w:pPr>
      <w:r>
        <w:rPr>
          <w:snapToGrid w:val="0"/>
        </w:rPr>
        <w:tab/>
        <w:t>(2)</w:t>
      </w:r>
      <w:r>
        <w:rPr>
          <w:snapToGrid w:val="0"/>
        </w:rPr>
        <w:tab/>
        <w:t>There shall be proper cause for disciplinary action if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 or</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rPr>
          <w:snapToGrid w:val="0"/>
        </w:rPr>
      </w:pPr>
      <w:r>
        <w:rPr>
          <w:snapToGrid w:val="0"/>
        </w:rPr>
        <w:tab/>
        <w:t>(c)</w:t>
      </w:r>
      <w:r>
        <w:rPr>
          <w:snapToGrid w:val="0"/>
        </w:rPr>
        <w:tab/>
        <w:t>the settlement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rPr>
          <w:snapToGrid w:val="0"/>
        </w:rPr>
      </w:pPr>
      <w:r>
        <w:rPr>
          <w:snapToGrid w:val="0"/>
        </w:rPr>
        <w:tab/>
        <w:t>(3)</w:t>
      </w:r>
      <w:r>
        <w:rPr>
          <w:snapToGrid w:val="0"/>
        </w:rPr>
        <w:tab/>
        <w:t>Where the State Administrative Tribunal suspends or cancels a licence or triennial certificate, or both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or triennial certificate as the case requires shall be immediately delivered to the </w:t>
      </w:r>
      <w:r>
        <w:t>Commissioner</w:t>
      </w:r>
      <w:r>
        <w:rPr>
          <w:snapToGrid w:val="0"/>
        </w:rPr>
        <w:t xml:space="preserve"> by the settlement agent.</w:t>
      </w:r>
    </w:p>
    <w:p>
      <w:pPr>
        <w:pStyle w:val="Subsection"/>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[Section 84 amended by No. 59 of 1995 s. 74 and 85; No. 55 of 2004 s. 1090; No. 58 of 2010 s. 176.]</w:t>
      </w:r>
    </w:p>
    <w:p>
      <w:pPr>
        <w:pStyle w:val="Heading5"/>
        <w:rPr>
          <w:snapToGrid w:val="0"/>
        </w:rPr>
      </w:pPr>
      <w:bookmarkStart w:id="81" w:name="_Toc378948352"/>
      <w:r>
        <w:rPr>
          <w:rStyle w:val="CharSectno"/>
        </w:rPr>
        <w:t>85</w:t>
      </w:r>
      <w:r>
        <w:rPr>
          <w:snapToGrid w:val="0"/>
        </w:rPr>
        <w:t>.</w:t>
      </w:r>
      <w:r>
        <w:rPr>
          <w:snapToGrid w:val="0"/>
        </w:rPr>
        <w:tab/>
        <w:t>Offences that cause licence and triennial certificate to be cancelled</w:t>
      </w:r>
      <w:bookmarkEnd w:id="81"/>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registrar of the court convicting him shall forthwith notify the </w:t>
      </w:r>
      <w:r>
        <w:t>Commissioner</w:t>
      </w:r>
      <w:r>
        <w:rPr>
          <w:snapToGrid w:val="0"/>
        </w:rPr>
        <w:t xml:space="preserve"> accordingly.</w:t>
      </w:r>
    </w:p>
    <w:p>
      <w:pPr>
        <w:pStyle w:val="Footnotesection"/>
      </w:pPr>
      <w:r>
        <w:tab/>
        <w:t>[Section 85 amended by No. 59 of 2004 s. 141; No. 58 of 2010 s. 176.]</w:t>
      </w:r>
    </w:p>
    <w:p>
      <w:pPr>
        <w:pStyle w:val="Heading5"/>
        <w:rPr>
          <w:snapToGrid w:val="0"/>
        </w:rPr>
      </w:pPr>
      <w:bookmarkStart w:id="82" w:name="_Toc378948353"/>
      <w:r>
        <w:rPr>
          <w:rStyle w:val="CharSectno"/>
        </w:rPr>
        <w:t>86</w:t>
      </w:r>
      <w:r>
        <w:rPr>
          <w:snapToGrid w:val="0"/>
        </w:rPr>
        <w:t>.</w:t>
      </w:r>
      <w:r>
        <w:rPr>
          <w:snapToGrid w:val="0"/>
        </w:rPr>
        <w:tab/>
        <w:t>Persons with cancelled licences etc., offences by and in respect of</w:t>
      </w:r>
      <w:bookmarkEnd w:id="8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 xml:space="preserve">commits an offence against this Act, if, without the written permission of the </w:t>
      </w:r>
      <w:r>
        <w:t>Commissioner</w:t>
      </w:r>
      <w:r>
        <w:rPr>
          <w:snapToGrid w:val="0"/>
        </w:rPr>
        <w:t>,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If a licensee in his business as such knowingly has, without the written permission of the </w:t>
      </w:r>
      <w:r>
        <w:t>Commissioner</w:t>
      </w:r>
      <w:r>
        <w:rPr>
          <w:snapToGrid w:val="0"/>
        </w:rPr>
        <w:t xml:space="preserve">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keepNext/>
        <w:keepLines/>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[Section 86 amended by No. 59 of 1995 s. 85; No. 58 of 2010 s. 176.]</w:t>
      </w:r>
    </w:p>
    <w:p>
      <w:pPr>
        <w:pStyle w:val="Heading2"/>
      </w:pPr>
      <w:bookmarkStart w:id="83" w:name="_Toc378948354"/>
      <w:r>
        <w:rPr>
          <w:rStyle w:val="CharPartNo"/>
        </w:rPr>
        <w:t>Part V</w:t>
      </w:r>
      <w:r>
        <w:rPr>
          <w:rStyle w:val="CharDivNo"/>
        </w:rPr>
        <w:t> </w:t>
      </w:r>
      <w:r>
        <w:t>—</w:t>
      </w:r>
      <w:r>
        <w:rPr>
          <w:rStyle w:val="CharDivText"/>
        </w:rPr>
        <w:t> </w:t>
      </w:r>
      <w:r>
        <w:rPr>
          <w:rStyle w:val="CharPartText"/>
        </w:rPr>
        <w:t>Fidelity Guarantee Account</w:t>
      </w:r>
      <w:bookmarkEnd w:id="83"/>
    </w:p>
    <w:p>
      <w:pPr>
        <w:pStyle w:val="Footnoteheading"/>
      </w:pPr>
      <w:r>
        <w:tab/>
        <w:t>[Heading amended by No. 77 of 2006 Sch. 1 cl. 156(8).]</w:t>
      </w:r>
    </w:p>
    <w:p>
      <w:pPr>
        <w:pStyle w:val="Heading5"/>
      </w:pPr>
      <w:bookmarkStart w:id="84" w:name="_Toc378948355"/>
      <w:r>
        <w:rPr>
          <w:rStyle w:val="CharSectno"/>
        </w:rPr>
        <w:t>87</w:t>
      </w:r>
      <w:r>
        <w:t>.</w:t>
      </w:r>
      <w:r>
        <w:tab/>
        <w:t>Account established; administration of Account</w:t>
      </w:r>
      <w:bookmarkEnd w:id="84"/>
    </w:p>
    <w:p>
      <w:pPr>
        <w:pStyle w:val="Subsection"/>
      </w:pPr>
      <w:r>
        <w:tab/>
      </w:r>
      <w:r>
        <w:tab/>
        <w:t>An account called the Settlement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chief executive officer.</w:t>
      </w:r>
    </w:p>
    <w:p>
      <w:pPr>
        <w:pStyle w:val="Footnotesection"/>
      </w:pPr>
      <w:r>
        <w:tab/>
        <w:t>[Section 87 inserted by No. 77 of 2006 Sch. 1 cl. 156(9); amended by No. 58 of 2010 s. 151.]</w:t>
      </w:r>
    </w:p>
    <w:p>
      <w:pPr>
        <w:pStyle w:val="Heading5"/>
        <w:rPr>
          <w:snapToGrid w:val="0"/>
        </w:rPr>
      </w:pPr>
      <w:bookmarkStart w:id="85" w:name="_Toc378948356"/>
      <w:r>
        <w:rPr>
          <w:rStyle w:val="CharSectno"/>
        </w:rPr>
        <w:t>88</w:t>
      </w:r>
      <w:r>
        <w:rPr>
          <w:snapToGrid w:val="0"/>
        </w:rPr>
        <w:t>.</w:t>
      </w:r>
      <w:r>
        <w:rPr>
          <w:snapToGrid w:val="0"/>
        </w:rPr>
        <w:tab/>
        <w:t xml:space="preserve">Moneys to be credited to </w:t>
      </w:r>
      <w:r>
        <w:t>Account</w:t>
      </w:r>
      <w:bookmarkEnd w:id="85"/>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 and</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 and</w:t>
      </w:r>
    </w:p>
    <w:p>
      <w:pPr>
        <w:pStyle w:val="Indenta"/>
        <w:rPr>
          <w:snapToGrid w:val="0"/>
        </w:rPr>
      </w:pPr>
      <w:r>
        <w:rPr>
          <w:snapToGrid w:val="0"/>
        </w:rPr>
        <w:tab/>
        <w:t>(d)</w:t>
      </w:r>
      <w:r>
        <w:rPr>
          <w:snapToGrid w:val="0"/>
        </w:rPr>
        <w:tab/>
        <w:t xml:space="preserve">all money recovered by or on behalf of the State in the exercise of any right of action conferred by this </w:t>
      </w:r>
      <w:r>
        <w:t xml:space="preserve">Act or the </w:t>
      </w:r>
      <w:r>
        <w:rPr>
          <w:i/>
          <w:iCs/>
        </w:rPr>
        <w:t>Fair Trading Act 2010</w:t>
      </w:r>
      <w:r>
        <w:t xml:space="preserve">; </w:t>
      </w:r>
      <w:r>
        <w:rPr>
          <w:snapToGrid w:val="0"/>
        </w:rPr>
        <w:t>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[Section 88 amended by No. 59 of 1995 s. 76 and 86; No. 77 of 2006 Sch. 1 cl. 156(2); No. 58 of 2010 s. 152.]</w:t>
      </w:r>
    </w:p>
    <w:p>
      <w:pPr>
        <w:pStyle w:val="Heading5"/>
        <w:rPr>
          <w:snapToGrid w:val="0"/>
        </w:rPr>
      </w:pPr>
      <w:bookmarkStart w:id="86" w:name="_Toc378948357"/>
      <w:r>
        <w:rPr>
          <w:rStyle w:val="CharSectno"/>
        </w:rPr>
        <w:t>89</w:t>
      </w:r>
      <w:r>
        <w:rPr>
          <w:snapToGrid w:val="0"/>
        </w:rPr>
        <w:t>.</w:t>
      </w:r>
      <w:r>
        <w:rPr>
          <w:snapToGrid w:val="0"/>
        </w:rPr>
        <w:tab/>
        <w:t xml:space="preserve">Investment of moneys in </w:t>
      </w:r>
      <w:r>
        <w:t>Account</w:t>
      </w:r>
      <w:bookmarkEnd w:id="86"/>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[Section 89 inserted by No. 59 of 1995 s. 77; amended by No. 77 of 2006 Sch. 1 cl. 156(2) and (10).]</w:t>
      </w:r>
    </w:p>
    <w:p>
      <w:pPr>
        <w:pStyle w:val="Heading5"/>
        <w:rPr>
          <w:snapToGrid w:val="0"/>
        </w:rPr>
      </w:pPr>
      <w:bookmarkStart w:id="87" w:name="_Toc378948358"/>
      <w:r>
        <w:rPr>
          <w:rStyle w:val="CharSectno"/>
        </w:rPr>
        <w:t>90</w:t>
      </w:r>
      <w:r>
        <w:rPr>
          <w:snapToGrid w:val="0"/>
        </w:rPr>
        <w:t>.</w:t>
      </w:r>
      <w:r>
        <w:rPr>
          <w:snapToGrid w:val="0"/>
        </w:rPr>
        <w:tab/>
        <w:t xml:space="preserve">Expenditure from </w:t>
      </w:r>
      <w:r>
        <w:t>Account</w:t>
      </w:r>
      <w:bookmarkEnd w:id="87"/>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 xml:space="preserve">chief executive officer, on behalf of the State, </w:t>
      </w:r>
      <w:r>
        <w:rPr>
          <w:snapToGrid w:val="0"/>
        </w:rPr>
        <w:t>under section 99; and</w:t>
      </w:r>
    </w:p>
    <w:p>
      <w:pPr>
        <w:pStyle w:val="Indenta"/>
        <w:rPr>
          <w:snapToGrid w:val="0"/>
        </w:rPr>
      </w:pPr>
      <w:r>
        <w:rPr>
          <w:snapToGrid w:val="0"/>
        </w:rPr>
        <w:tab/>
        <w:t>(d)</w:t>
      </w:r>
      <w:r>
        <w:rPr>
          <w:snapToGrid w:val="0"/>
        </w:rPr>
        <w:tab/>
        <w:t>the expenses involved in the administration of the</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deleted]</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[Section 90 amended by No. 59 of 1995 s. 78 and 86; No. 77 of 2006 Sch. 1 cl. 156(2); No. 58 of 2010 s. 153.]</w:t>
      </w:r>
    </w:p>
    <w:p>
      <w:pPr>
        <w:pStyle w:val="Ednotesection"/>
      </w:pPr>
      <w:r>
        <w:t>[</w:t>
      </w:r>
      <w:r>
        <w:rPr>
          <w:b/>
        </w:rPr>
        <w:t>91.</w:t>
      </w:r>
      <w:r>
        <w:tab/>
        <w:t>Deleted by No. 98 of 1985 s. 3.]</w:t>
      </w:r>
    </w:p>
    <w:p>
      <w:pPr>
        <w:pStyle w:val="Heading5"/>
        <w:rPr>
          <w:snapToGrid w:val="0"/>
        </w:rPr>
      </w:pPr>
      <w:bookmarkStart w:id="88" w:name="_Toc378948359"/>
      <w:r>
        <w:rPr>
          <w:rStyle w:val="CharSectno"/>
        </w:rPr>
        <w:t>92</w:t>
      </w:r>
      <w:r>
        <w:rPr>
          <w:snapToGrid w:val="0"/>
        </w:rPr>
        <w:t>.</w:t>
      </w:r>
      <w:r>
        <w:rPr>
          <w:snapToGrid w:val="0"/>
        </w:rPr>
        <w:tab/>
        <w:t xml:space="preserve">Payments to </w:t>
      </w:r>
      <w:r>
        <w:t>Account by applicants for licences etc.</w:t>
      </w:r>
      <w:bookmarkEnd w:id="88"/>
    </w:p>
    <w:p>
      <w:pPr>
        <w:pStyle w:val="Subsection"/>
        <w:rPr>
          <w:snapToGrid w:val="0"/>
        </w:rPr>
      </w:pPr>
      <w:r>
        <w:rPr>
          <w:snapToGrid w:val="0"/>
        </w:rPr>
        <w:tab/>
        <w:t>(1)</w:t>
      </w:r>
      <w:r>
        <w:rPr>
          <w:snapToGrid w:val="0"/>
        </w:rPr>
        <w:tab/>
        <w:t xml:space="preserve">Each person who makes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and no such licence or renewal of a triennial certificate shall be issued until the appropriate payment has been made to the </w:t>
      </w:r>
      <w:r>
        <w:t>chief executive officer.</w:t>
      </w:r>
    </w:p>
    <w:p>
      <w:pPr>
        <w:pStyle w:val="Subsection"/>
        <w:rPr>
          <w:snapToGrid w:val="0"/>
        </w:rPr>
      </w:pPr>
      <w:r>
        <w:rPr>
          <w:snapToGrid w:val="0"/>
        </w:rPr>
        <w:tab/>
        <w:t>(2)</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w:t>
      </w:r>
      <w:r>
        <w:t xml:space="preserve"> Account</w:t>
      </w:r>
      <w:r>
        <w:rPr>
          <w:snapToGrid w:val="0"/>
        </w:rPr>
        <w:t>.</w:t>
      </w:r>
    </w:p>
    <w:p>
      <w:pPr>
        <w:pStyle w:val="Subsection"/>
        <w:rPr>
          <w:snapToGrid w:val="0"/>
        </w:rPr>
      </w:pPr>
      <w:r>
        <w:rPr>
          <w:snapToGrid w:val="0"/>
        </w:rPr>
        <w:tab/>
        <w:t>(3)</w:t>
      </w:r>
      <w:r>
        <w:rPr>
          <w:snapToGrid w:val="0"/>
        </w:rPr>
        <w:tab/>
        <w:t xml:space="preserve">Where a person makes a payment under this section and the licence or renewal of a triennial certificate is not granted, the </w:t>
      </w:r>
      <w:r>
        <w:t>chief executive officer</w:t>
      </w:r>
      <w:r>
        <w:rPr>
          <w:snapToGrid w:val="0"/>
        </w:rPr>
        <w:t xml:space="preserve"> shall refund the payment to him.</w:t>
      </w:r>
    </w:p>
    <w:p>
      <w:pPr>
        <w:pStyle w:val="Footnotesection"/>
      </w:pPr>
      <w:r>
        <w:tab/>
        <w:t>[Section 92 amended by No. 59 of 1995 s. 86; No. 77 of 2006 Sch. 1 cl. 156(2); No. 58 of 2010 s. 154.]</w:t>
      </w:r>
    </w:p>
    <w:p>
      <w:pPr>
        <w:pStyle w:val="Heading5"/>
        <w:rPr>
          <w:snapToGrid w:val="0"/>
        </w:rPr>
      </w:pPr>
      <w:bookmarkStart w:id="89" w:name="_Toc378948360"/>
      <w:r>
        <w:rPr>
          <w:rStyle w:val="CharSectno"/>
        </w:rPr>
        <w:t>93</w:t>
      </w:r>
      <w:r>
        <w:rPr>
          <w:snapToGrid w:val="0"/>
        </w:rPr>
        <w:t>.</w:t>
      </w:r>
      <w:r>
        <w:rPr>
          <w:snapToGrid w:val="0"/>
        </w:rPr>
        <w:tab/>
        <w:t xml:space="preserve">Purpose of </w:t>
      </w:r>
      <w:r>
        <w:t>Account; making claims against Account</w:t>
      </w:r>
      <w:bookmarkEnd w:id="89"/>
    </w:p>
    <w:p>
      <w:pPr>
        <w:pStyle w:val="Subsection"/>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The chief executive officer is to disallow a claim against the Account unless —</w:t>
      </w:r>
    </w:p>
    <w:p>
      <w:pPr>
        <w:pStyle w:val="Indenta"/>
        <w:spacing w:before="120"/>
      </w:pPr>
      <w:r>
        <w:tab/>
        <w:t>(a)</w:t>
      </w:r>
      <w:r>
        <w:tab/>
        <w:t>notice of the claim is given in writing to the chief executive officer within 3 years after the day on which the claimant became aware of the defalcation; or</w:t>
      </w:r>
    </w:p>
    <w:p>
      <w:pPr>
        <w:pStyle w:val="Indenta"/>
        <w:spacing w:before="120"/>
      </w:pPr>
      <w:r>
        <w:tab/>
        <w:t>(b)</w:t>
      </w:r>
      <w:r>
        <w:tab/>
        <w:t>the chief executive officer —</w:t>
      </w:r>
    </w:p>
    <w:p>
      <w:pPr>
        <w:pStyle w:val="Indenti"/>
        <w:spacing w:before="120"/>
      </w:pPr>
      <w:r>
        <w:tab/>
        <w:t>(i)</w:t>
      </w:r>
      <w:r>
        <w:tab/>
        <w:t>has been given notice in writing of the claim within 6 years after the day on which the claimant became aware of the defalcation; and</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w:t>
      </w:r>
      <w:r>
        <w:rPr>
          <w:i w:val="0"/>
          <w:iCs/>
          <w:vertAlign w:val="superscript"/>
        </w:rPr>
        <w:t>3</w:t>
      </w:r>
      <w:r>
        <w:t>; No. 77 of 2006 Sch. 1 cl. 156(2); No. 58 of 2010 s. 155.]</w:t>
      </w:r>
    </w:p>
    <w:p>
      <w:pPr>
        <w:pStyle w:val="Heading5"/>
        <w:rPr>
          <w:snapToGrid w:val="0"/>
        </w:rPr>
      </w:pPr>
      <w:bookmarkStart w:id="90" w:name="_Toc378948361"/>
      <w:r>
        <w:rPr>
          <w:rStyle w:val="CharSectno"/>
        </w:rPr>
        <w:t>94</w:t>
      </w:r>
      <w:r>
        <w:rPr>
          <w:snapToGrid w:val="0"/>
        </w:rPr>
        <w:t>.</w:t>
      </w:r>
      <w:r>
        <w:rPr>
          <w:snapToGrid w:val="0"/>
        </w:rPr>
        <w:tab/>
        <w:t>Levies for Account against certificate holders</w:t>
      </w:r>
      <w:bookmarkEnd w:id="90"/>
    </w:p>
    <w:p>
      <w:pPr>
        <w:pStyle w:val="Subsection"/>
        <w:spacing w:before="150"/>
        <w:rPr>
          <w:snapToGrid w:val="0"/>
        </w:rPr>
      </w:pPr>
      <w:r>
        <w:rPr>
          <w:snapToGrid w:val="0"/>
        </w:rPr>
        <w:tab/>
        <w:t>(1)</w:t>
      </w:r>
      <w:r>
        <w:rPr>
          <w:snapToGrid w:val="0"/>
        </w:rPr>
        <w:tab/>
        <w:t xml:space="preserve">If at any time moneys standing to the credit of the </w:t>
      </w:r>
      <w:r>
        <w:t xml:space="preserve">Account </w:t>
      </w:r>
      <w:r>
        <w:rPr>
          <w:snapToGrid w:val="0"/>
        </w:rPr>
        <w:t xml:space="preserve">are in the opinion of the </w:t>
      </w:r>
      <w:r>
        <w:t>chief executive officer</w:t>
      </w:r>
      <w:r>
        <w:rPr>
          <w:snapToGrid w:val="0"/>
        </w:rPr>
        <w:t xml:space="preserve"> not sufficient to satisfy the liabilities of the </w:t>
      </w:r>
      <w:r>
        <w:t>chief executive officer</w:t>
      </w:r>
      <w:r>
        <w:rPr>
          <w:snapToGrid w:val="0"/>
        </w:rPr>
        <w:t xml:space="preserve"> in relation thereto, the </w:t>
      </w:r>
      <w:r>
        <w:t>chief executive officer may</w:t>
      </w:r>
      <w:r>
        <w:rPr>
          <w:snapToGrid w:val="0"/>
        </w:rPr>
        <w:t xml:space="preserve">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spacing w:before="150"/>
        <w:rPr>
          <w:snapToGrid w:val="0"/>
        </w:rPr>
      </w:pPr>
      <w:r>
        <w:rPr>
          <w:snapToGrid w:val="0"/>
        </w:rPr>
        <w:tab/>
        <w:t>(2)</w:t>
      </w:r>
      <w:r>
        <w:rPr>
          <w:snapToGrid w:val="0"/>
        </w:rPr>
        <w:tab/>
        <w:t xml:space="preserve">The amount of the levy shall become payable on a date and in a manner to be fixed by the </w:t>
      </w:r>
      <w:r>
        <w:t>chief executive officer,</w:t>
      </w:r>
      <w:r>
        <w:rPr>
          <w:snapToGrid w:val="0"/>
        </w:rPr>
        <w:t xml:space="preserve"> and notice thereof shall be sent by the </w:t>
      </w:r>
      <w:r>
        <w:t>chief executive officer</w:t>
      </w:r>
      <w:r>
        <w:rPr>
          <w:snapToGrid w:val="0"/>
        </w:rPr>
        <w:t xml:space="preserve"> to each holder of a current triennial certificate.</w:t>
      </w:r>
    </w:p>
    <w:p>
      <w:pPr>
        <w:pStyle w:val="Subsection"/>
        <w:spacing w:before="150"/>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[Section 94 amended by No. 59 of 1995 s. 86; No. 77 of 2006 Sch. 1 cl. 156(2); No. 58 of 2010 s. 156.]</w:t>
      </w:r>
    </w:p>
    <w:p>
      <w:pPr>
        <w:pStyle w:val="Heading5"/>
        <w:rPr>
          <w:snapToGrid w:val="0"/>
        </w:rPr>
      </w:pPr>
      <w:bookmarkStart w:id="91" w:name="_Toc378948362"/>
      <w:r>
        <w:rPr>
          <w:rStyle w:val="CharSectno"/>
        </w:rPr>
        <w:t>95</w:t>
      </w:r>
      <w:r>
        <w:rPr>
          <w:snapToGrid w:val="0"/>
        </w:rPr>
        <w:t>.</w:t>
      </w:r>
      <w:r>
        <w:rPr>
          <w:snapToGrid w:val="0"/>
        </w:rPr>
        <w:tab/>
        <w:t xml:space="preserve">Claims against </w:t>
      </w:r>
      <w:r>
        <w:t>Account; recovery from Account</w:t>
      </w:r>
      <w:bookmarkEnd w:id="91"/>
    </w:p>
    <w:p>
      <w:pPr>
        <w:pStyle w:val="Subsection"/>
        <w:spacing w:before="140"/>
        <w:rPr>
          <w:snapToGrid w:val="0"/>
        </w:rPr>
      </w:pPr>
      <w:r>
        <w:rPr>
          <w:snapToGrid w:val="0"/>
        </w:rPr>
        <w:tab/>
        <w:t>(1)</w:t>
      </w:r>
      <w:r>
        <w:rPr>
          <w:snapToGrid w:val="0"/>
        </w:rPr>
        <w:tab/>
        <w:t xml:space="preserve">The </w:t>
      </w:r>
      <w:r>
        <w:t>chief executive officer</w:t>
      </w:r>
      <w:r>
        <w:rPr>
          <w:snapToGrid w:val="0"/>
        </w:rPr>
        <w:t xml:space="preserve"> may </w:t>
      </w:r>
      <w:r>
        <w:t>receive and, subject to section 93(2), settle</w:t>
      </w:r>
      <w:r>
        <w:rPr>
          <w:snapToGrid w:val="0"/>
        </w:rPr>
        <w:t xml:space="preserve"> any claim against the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xml:space="preserve"> to commence any action in relation to the</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pPr>
        <w:pStyle w:val="Footnotesection"/>
      </w:pPr>
      <w:r>
        <w:tab/>
        <w:t>[Section 95 amended by No. 59 of 1995 s. 86; No. 3 of 2000 s. 8; No. 28 of 2003 s. 182; No. 77 of 2006 Sch. 1 cl. 156(2); No. 58 of 2010 s. 157.]</w:t>
      </w:r>
    </w:p>
    <w:p>
      <w:pPr>
        <w:pStyle w:val="Heading5"/>
        <w:rPr>
          <w:snapToGrid w:val="0"/>
        </w:rPr>
      </w:pPr>
      <w:bookmarkStart w:id="92" w:name="_Toc378948363"/>
      <w:r>
        <w:rPr>
          <w:rStyle w:val="CharSectno"/>
        </w:rPr>
        <w:t>96</w:t>
      </w:r>
      <w:r>
        <w:rPr>
          <w:snapToGrid w:val="0"/>
        </w:rPr>
        <w:t>.</w:t>
      </w:r>
      <w:r>
        <w:rPr>
          <w:snapToGrid w:val="0"/>
        </w:rPr>
        <w:tab/>
        <w:t xml:space="preserve">Defences to claims against </w:t>
      </w:r>
      <w:r>
        <w:t>Account</w:t>
      </w:r>
      <w:bookmarkEnd w:id="92"/>
    </w:p>
    <w:p>
      <w:pPr>
        <w:pStyle w:val="Subsection"/>
        <w:rPr>
          <w:snapToGrid w:val="0"/>
        </w:rPr>
      </w:pPr>
      <w:r>
        <w:rPr>
          <w:snapToGrid w:val="0"/>
        </w:rPr>
        <w:tab/>
      </w:r>
      <w:r>
        <w:rPr>
          <w:snapToGrid w:val="0"/>
        </w:rPr>
        <w:tab/>
        <w:t>In any action brought against the State in relation to the</w:t>
      </w:r>
      <w:r>
        <w:t xml:space="preserve"> Account</w:t>
      </w:r>
      <w:r>
        <w:rPr>
          <w:snapToGrid w:val="0"/>
        </w:rPr>
        <w:t>, all defences that would have been available to the defaulting licensee are available to the State.</w:t>
      </w:r>
    </w:p>
    <w:p>
      <w:pPr>
        <w:pStyle w:val="Footnotesection"/>
      </w:pPr>
      <w:r>
        <w:tab/>
        <w:t>[Section 96 amended by No. 77 of 2006 Sch. 1 cl. 156(2); No. 58 of 2010 s. 158.]</w:t>
      </w:r>
    </w:p>
    <w:p>
      <w:pPr>
        <w:pStyle w:val="Heading5"/>
        <w:rPr>
          <w:snapToGrid w:val="0"/>
        </w:rPr>
      </w:pPr>
      <w:bookmarkStart w:id="93" w:name="_Toc378948364"/>
      <w:r>
        <w:rPr>
          <w:rStyle w:val="CharSectno"/>
        </w:rPr>
        <w:t>97</w:t>
      </w:r>
      <w:r>
        <w:rPr>
          <w:snapToGrid w:val="0"/>
        </w:rPr>
        <w:t>.</w:t>
      </w:r>
      <w:r>
        <w:rPr>
          <w:snapToGrid w:val="0"/>
        </w:rPr>
        <w:tab/>
        <w:t>Subrogation of rights of claimant against Account</w:t>
      </w:r>
      <w:bookmarkEnd w:id="93"/>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State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97 amended by No. 59 of 1995 s. 86; No. 77 of 2006 Sch. 1 cl. 156(2); No. 58 of 2010 s. 159.]</w:t>
      </w:r>
    </w:p>
    <w:p>
      <w:pPr>
        <w:pStyle w:val="Heading5"/>
        <w:spacing w:before="240"/>
        <w:rPr>
          <w:snapToGrid w:val="0"/>
        </w:rPr>
      </w:pPr>
      <w:bookmarkStart w:id="94" w:name="_Toc378948365"/>
      <w:r>
        <w:rPr>
          <w:rStyle w:val="CharSectno"/>
        </w:rPr>
        <w:t>98</w:t>
      </w:r>
      <w:r>
        <w:rPr>
          <w:snapToGrid w:val="0"/>
        </w:rPr>
        <w:t>.</w:t>
      </w:r>
      <w:r>
        <w:rPr>
          <w:snapToGrid w:val="0"/>
        </w:rPr>
        <w:tab/>
        <w:t xml:space="preserve">Insufficiency in </w:t>
      </w:r>
      <w:r>
        <w:t>Account</w:t>
      </w:r>
      <w:bookmarkEnd w:id="94"/>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w:t>
      </w:r>
      <w:r>
        <w:t xml:space="preserve"> Account</w:t>
      </w:r>
      <w:r>
        <w:rPr>
          <w:snapToGrid w:val="0"/>
        </w:rPr>
        <w:t xml:space="preserve">, or for the payment of any claim allowed by the </w:t>
      </w:r>
      <w:r>
        <w:t>chief executive officer,</w:t>
      </w:r>
      <w:r>
        <w:rPr>
          <w:snapToGrid w:val="0"/>
        </w:rPr>
        <w:t xml:space="preserve">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w:t>
      </w:r>
      <w:r>
        <w:t>Account</w:t>
      </w:r>
      <w:r>
        <w:rPr>
          <w:snapToGrid w:val="0"/>
        </w:rPr>
        <w:t xml:space="preserve"> 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98 amended by No. 59 of 1995 s. 79 and 86; No. 77 of 2006 Sch. 1 cl. 156(2); No. 58 of 2010 s. 160.]</w:t>
      </w:r>
    </w:p>
    <w:p>
      <w:pPr>
        <w:pStyle w:val="Heading5"/>
        <w:rPr>
          <w:snapToGrid w:val="0"/>
        </w:rPr>
      </w:pPr>
      <w:bookmarkStart w:id="95" w:name="_Toc378948366"/>
      <w:r>
        <w:rPr>
          <w:rStyle w:val="CharSectno"/>
        </w:rPr>
        <w:t>99</w:t>
      </w:r>
      <w:r>
        <w:rPr>
          <w:snapToGrid w:val="0"/>
        </w:rPr>
        <w:t>.</w:t>
      </w:r>
      <w:r>
        <w:rPr>
          <w:snapToGrid w:val="0"/>
        </w:rPr>
        <w:tab/>
        <w:t>State may insure against claims</w:t>
      </w:r>
      <w:bookmarkEnd w:id="95"/>
    </w:p>
    <w:p>
      <w:pPr>
        <w:pStyle w:val="Subsection"/>
        <w:rPr>
          <w:snapToGrid w:val="0"/>
        </w:rPr>
      </w:pPr>
      <w:r>
        <w:rPr>
          <w:snapToGrid w:val="0"/>
        </w:rPr>
        <w:tab/>
        <w:t>(1)</w:t>
      </w:r>
      <w:r>
        <w:rPr>
          <w:snapToGrid w:val="0"/>
        </w:rPr>
        <w:tab/>
        <w:t xml:space="preserve">Notwithstanding anything to the contrary in this Act, the </w:t>
      </w:r>
      <w:r>
        <w:t xml:space="preserve">chief executive officer may, on behalf of the State, </w:t>
      </w:r>
      <w:r>
        <w:rPr>
          <w:snapToGrid w:val="0"/>
        </w:rPr>
        <w:t xml:space="preserve">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Subsection"/>
        <w:rPr>
          <w:snapToGrid w:val="0"/>
        </w:rPr>
      </w:pPr>
      <w:r>
        <w:rPr>
          <w:snapToGrid w:val="0"/>
        </w:rPr>
        <w:tab/>
        <w:t>(4)</w:t>
      </w:r>
      <w:r>
        <w:rPr>
          <w:snapToGrid w:val="0"/>
        </w:rPr>
        <w:tab/>
        <w:t xml:space="preserve">An action does not lie against the </w:t>
      </w:r>
      <w:r>
        <w:t>State, the Commissioner, the chief executive officer or an officer of the department</w:t>
      </w:r>
      <w:r>
        <w:rPr>
          <w:snapToGrid w:val="0"/>
        </w:rPr>
        <w:t xml:space="preserve"> for damage alleged to have been suffered by a licensee by reason of the publication in good faith of a statement that a contract entered into under this section does or does not apply with respect to him.</w:t>
      </w:r>
    </w:p>
    <w:p>
      <w:pPr>
        <w:pStyle w:val="Footnotesection"/>
      </w:pPr>
      <w:r>
        <w:tab/>
        <w:t>[Section 99 amended by No. 51 of 1986 s. 46(2); No. 58 of 2010 s. 161.]</w:t>
      </w:r>
    </w:p>
    <w:p>
      <w:pPr>
        <w:pStyle w:val="Heading5"/>
        <w:rPr>
          <w:snapToGrid w:val="0"/>
        </w:rPr>
      </w:pPr>
      <w:bookmarkStart w:id="96" w:name="_Toc378948367"/>
      <w:r>
        <w:rPr>
          <w:rStyle w:val="CharSectno"/>
        </w:rPr>
        <w:t>100</w:t>
      </w:r>
      <w:r>
        <w:rPr>
          <w:snapToGrid w:val="0"/>
        </w:rPr>
        <w:t>.</w:t>
      </w:r>
      <w:r>
        <w:rPr>
          <w:snapToGrid w:val="0"/>
        </w:rPr>
        <w:tab/>
        <w:t>Application of insurance money</w:t>
      </w:r>
      <w:bookmarkEnd w:id="96"/>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[Section 100 amended by No. 59 of 1995 s. 86; No. 77 of 2006 Sch. 1 cl. 156(2).]</w:t>
      </w:r>
    </w:p>
    <w:p>
      <w:pPr>
        <w:pStyle w:val="Heading5"/>
        <w:rPr>
          <w:snapToGrid w:val="0"/>
        </w:rPr>
      </w:pPr>
      <w:bookmarkStart w:id="97" w:name="_Toc378948368"/>
      <w:r>
        <w:rPr>
          <w:rStyle w:val="CharSectno"/>
        </w:rPr>
        <w:t>101</w:t>
      </w:r>
      <w:r>
        <w:rPr>
          <w:snapToGrid w:val="0"/>
        </w:rPr>
        <w:t>.</w:t>
      </w:r>
      <w:r>
        <w:rPr>
          <w:snapToGrid w:val="0"/>
        </w:rPr>
        <w:tab/>
        <w:t>Advertising for claims in relation to defaulting licensee</w:t>
      </w:r>
      <w:bookmarkEnd w:id="97"/>
    </w:p>
    <w:p>
      <w:pPr>
        <w:pStyle w:val="Subsection"/>
        <w:rPr>
          <w:snapToGrid w:val="0"/>
        </w:rPr>
      </w:pPr>
      <w:r>
        <w:rPr>
          <w:snapToGrid w:val="0"/>
        </w:rPr>
        <w:tab/>
        <w:t>(1)</w:t>
      </w:r>
      <w:r>
        <w:rPr>
          <w:snapToGrid w:val="0"/>
        </w:rPr>
        <w:tab/>
        <w:t xml:space="preserve">The </w:t>
      </w:r>
      <w:r>
        <w:t>chief executive officer</w:t>
      </w:r>
      <w:r>
        <w:rPr>
          <w:snapToGrid w:val="0"/>
        </w:rPr>
        <w:t xml:space="preserve">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pPr>
      <w:r>
        <w:tab/>
        <w:t>[Section 101 amended by No. 77 of 2006 Sch. 1 cl. 156(2); No. 58 of 2010 s. 162.]</w:t>
      </w:r>
    </w:p>
    <w:p>
      <w:pPr>
        <w:pStyle w:val="Heading5"/>
        <w:rPr>
          <w:snapToGrid w:val="0"/>
        </w:rPr>
      </w:pPr>
      <w:bookmarkStart w:id="98" w:name="_Toc378948369"/>
      <w:r>
        <w:rPr>
          <w:rStyle w:val="CharSectno"/>
        </w:rPr>
        <w:t>102</w:t>
      </w:r>
      <w:r>
        <w:rPr>
          <w:snapToGrid w:val="0"/>
        </w:rPr>
        <w:t>.</w:t>
      </w:r>
      <w:r>
        <w:rPr>
          <w:snapToGrid w:val="0"/>
        </w:rPr>
        <w:tab/>
        <w:t>Documents etc. to support claims, CEO may require</w:t>
      </w:r>
      <w:bookmarkEnd w:id="98"/>
    </w:p>
    <w:p>
      <w:pPr>
        <w:pStyle w:val="Subsection"/>
        <w:rPr>
          <w:snapToGrid w:val="0"/>
        </w:rPr>
      </w:pPr>
      <w:r>
        <w:rPr>
          <w:snapToGrid w:val="0"/>
        </w:rPr>
        <w:tab/>
      </w:r>
      <w:r>
        <w:rPr>
          <w:snapToGrid w:val="0"/>
        </w:rPr>
        <w:tab/>
        <w:t xml:space="preserve">The </w:t>
      </w:r>
      <w:r>
        <w:t>chief executive officer</w:t>
      </w:r>
      <w:r>
        <w:rPr>
          <w:snapToGrid w:val="0"/>
        </w:rPr>
        <w:t xml:space="preserve"> may at any time and from time to time require production and delivery to the </w:t>
      </w:r>
      <w:r>
        <w:t>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pPr>
      <w:r>
        <w:tab/>
        <w:t>[Section 102 amended by No. 58 of 2010 s. 163.]</w:t>
      </w:r>
    </w:p>
    <w:p>
      <w:pPr>
        <w:pStyle w:val="Heading2"/>
      </w:pPr>
      <w:bookmarkStart w:id="99" w:name="_Toc378948370"/>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Education and General Purpose Account</w:t>
      </w:r>
      <w:bookmarkEnd w:id="99"/>
    </w:p>
    <w:p>
      <w:pPr>
        <w:pStyle w:val="Footnoteheading"/>
        <w:rPr>
          <w:snapToGrid w:val="0"/>
        </w:rPr>
      </w:pPr>
      <w:r>
        <w:rPr>
          <w:snapToGrid w:val="0"/>
        </w:rPr>
        <w:tab/>
        <w:t>[Heading inserted by No. 59 of 1995 s. 80; amended by No. 77 of 2006 Sch. 1 cl. 156(11).]</w:t>
      </w:r>
    </w:p>
    <w:p>
      <w:pPr>
        <w:pStyle w:val="Heading5"/>
        <w:rPr>
          <w:snapToGrid w:val="0"/>
        </w:rPr>
      </w:pPr>
      <w:bookmarkStart w:id="100" w:name="_Toc378948371"/>
      <w:r>
        <w:rPr>
          <w:rStyle w:val="CharSectno"/>
        </w:rPr>
        <w:t>102A</w:t>
      </w:r>
      <w:r>
        <w:rPr>
          <w:snapToGrid w:val="0"/>
        </w:rPr>
        <w:t xml:space="preserve">. </w:t>
      </w:r>
      <w:r>
        <w:rPr>
          <w:snapToGrid w:val="0"/>
        </w:rPr>
        <w:tab/>
        <w:t>Account established; administration of account</w:t>
      </w:r>
      <w:bookmarkEnd w:id="100"/>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w:t>
      </w:r>
      <w:r>
        <w:t>chief executive officer.</w:t>
      </w:r>
    </w:p>
    <w:p>
      <w:pPr>
        <w:pStyle w:val="Footnotesection"/>
      </w:pPr>
      <w:r>
        <w:tab/>
        <w:t>[Section 102A inserted by No. 59 of 1995 s. 80; amended by No. 77 of 2006 Sch. 1 cl. 156(2) and (12); No. 58 of 2010 s. 164.]</w:t>
      </w:r>
    </w:p>
    <w:p>
      <w:pPr>
        <w:pStyle w:val="Heading5"/>
        <w:rPr>
          <w:snapToGrid w:val="0"/>
        </w:rPr>
      </w:pPr>
      <w:bookmarkStart w:id="101" w:name="_Toc378948372"/>
      <w:r>
        <w:rPr>
          <w:rStyle w:val="CharSectno"/>
        </w:rPr>
        <w:t>102B</w:t>
      </w:r>
      <w:r>
        <w:rPr>
          <w:snapToGrid w:val="0"/>
        </w:rPr>
        <w:t xml:space="preserve">. </w:t>
      </w:r>
      <w:r>
        <w:rPr>
          <w:snapToGrid w:val="0"/>
        </w:rPr>
        <w:tab/>
        <w:t>Moneys to be credited to a</w:t>
      </w:r>
      <w:r>
        <w:t>ccount</w:t>
      </w:r>
      <w:bookmarkEnd w:id="101"/>
    </w:p>
    <w:p>
      <w:pPr>
        <w:pStyle w:val="Subsection"/>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 and</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 and</w:t>
      </w:r>
    </w:p>
    <w:p>
      <w:pPr>
        <w:pStyle w:val="Indenta"/>
        <w:rPr>
          <w:snapToGrid w:val="0"/>
        </w:rPr>
      </w:pPr>
      <w:r>
        <w:rPr>
          <w:snapToGrid w:val="0"/>
        </w:rPr>
        <w:tab/>
        <w:t>(c)</w:t>
      </w:r>
      <w:r>
        <w:rPr>
          <w:snapToGrid w:val="0"/>
        </w:rPr>
        <w:tab/>
        <w:t xml:space="preserve">fees, costs and other moneys lawfully received by or payable to the </w:t>
      </w:r>
      <w:r>
        <w:t>chief executive officer;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spacing w:before="100"/>
        <w:ind w:left="890" w:hanging="890"/>
      </w:pPr>
      <w:r>
        <w:tab/>
        <w:t>[Section 102B inserted by No. 59 of 1995 s. 80; amended by No. 55 of 2004 s. 1091; No. 77 of 2006 Sch. 1 cl. 156(2); No. 58 of 2010 s. 165.]</w:t>
      </w:r>
    </w:p>
    <w:p>
      <w:pPr>
        <w:pStyle w:val="Heading5"/>
        <w:rPr>
          <w:snapToGrid w:val="0"/>
        </w:rPr>
      </w:pPr>
      <w:bookmarkStart w:id="102" w:name="_Toc378948373"/>
      <w:r>
        <w:rPr>
          <w:rStyle w:val="CharSectno"/>
        </w:rPr>
        <w:t>102C</w:t>
      </w:r>
      <w:r>
        <w:rPr>
          <w:snapToGrid w:val="0"/>
        </w:rPr>
        <w:t xml:space="preserve">. </w:t>
      </w:r>
      <w:r>
        <w:rPr>
          <w:snapToGrid w:val="0"/>
        </w:rPr>
        <w:tab/>
        <w:t>Expenditure from a</w:t>
      </w:r>
      <w:r>
        <w:t>ccount</w:t>
      </w:r>
      <w:bookmarkEnd w:id="102"/>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spacing w:before="60"/>
        <w:rPr>
          <w:snapToGrid w:val="0"/>
        </w:rPr>
      </w:pPr>
      <w:r>
        <w:rPr>
          <w:snapToGrid w:val="0"/>
        </w:rPr>
        <w:tab/>
        <w:t>(a)</w:t>
      </w:r>
      <w:r>
        <w:rPr>
          <w:snapToGrid w:val="0"/>
        </w:rPr>
        <w:tab/>
        <w:t>the costs incurred in the administration of the General Purpose</w:t>
      </w:r>
      <w:r>
        <w:t xml:space="preserve"> Account</w:t>
      </w:r>
      <w:r>
        <w:rPr>
          <w:snapToGrid w:val="0"/>
        </w:rPr>
        <w:t>; and</w:t>
      </w:r>
    </w:p>
    <w:p>
      <w:pPr>
        <w:pStyle w:val="Ednotepara"/>
        <w:spacing w:before="60"/>
        <w:ind w:left="1610" w:hanging="1610"/>
        <w:rPr>
          <w:snapToGrid w:val="0"/>
        </w:rPr>
      </w:pPr>
      <w:r>
        <w:tab/>
        <w:t>[(b)</w:t>
      </w:r>
      <w:r>
        <w:tab/>
        <w:t>deleted]</w:t>
      </w:r>
    </w:p>
    <w:p>
      <w:pPr>
        <w:pStyle w:val="Indenta"/>
        <w:spacing w:before="60"/>
        <w:rPr>
          <w:snapToGrid w:val="0"/>
        </w:rPr>
      </w:pPr>
      <w:r>
        <w:rPr>
          <w:snapToGrid w:val="0"/>
        </w:rPr>
        <w:tab/>
        <w:t>(c)</w:t>
      </w:r>
      <w:r>
        <w:rPr>
          <w:snapToGrid w:val="0"/>
        </w:rPr>
        <w:tab/>
        <w:t xml:space="preserve">the costs associated with the provision of secretarial, clerical or other administrative support to the </w:t>
      </w:r>
      <w:r>
        <w:t>Commissioner in the performance of his or her</w:t>
      </w:r>
      <w:r>
        <w:rPr>
          <w:snapToGrid w:val="0"/>
        </w:rPr>
        <w:t xml:space="preserve"> functions under this Act; and</w:t>
      </w:r>
    </w:p>
    <w:p>
      <w:pPr>
        <w:pStyle w:val="Indenta"/>
        <w:spacing w:before="60"/>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spacing w:before="60"/>
        <w:rPr>
          <w:snapToGrid w:val="0"/>
        </w:rPr>
      </w:pPr>
      <w:r>
        <w:rPr>
          <w:snapToGrid w:val="0"/>
        </w:rPr>
        <w:tab/>
        <w:t>(e)</w:t>
      </w:r>
      <w:r>
        <w:rPr>
          <w:snapToGrid w:val="0"/>
        </w:rPr>
        <w:tab/>
        <w:t xml:space="preserve">all other expenditure lawfully incurred by the </w:t>
      </w:r>
      <w:r>
        <w:t>chief executive officer and the department in the performance of their</w:t>
      </w:r>
      <w:r>
        <w:rPr>
          <w:snapToGrid w:val="0"/>
        </w:rPr>
        <w:t xml:space="preserve"> functions under this Act.</w:t>
      </w:r>
    </w:p>
    <w:p>
      <w:pPr>
        <w:pStyle w:val="Footnotesection"/>
      </w:pPr>
      <w:r>
        <w:tab/>
        <w:t>[Section 102C inserted by No. 59 of 1995 s. 80; amended by No. 77 of 2006 Sch. 1 cl. 156(2); No. 58 of 2010 s. 166.]</w:t>
      </w:r>
    </w:p>
    <w:p>
      <w:pPr>
        <w:pStyle w:val="Heading5"/>
        <w:rPr>
          <w:snapToGrid w:val="0"/>
        </w:rPr>
      </w:pPr>
      <w:bookmarkStart w:id="103" w:name="_Toc378948374"/>
      <w:r>
        <w:rPr>
          <w:rStyle w:val="CharSectno"/>
        </w:rPr>
        <w:t>102D</w:t>
      </w:r>
      <w:r>
        <w:rPr>
          <w:snapToGrid w:val="0"/>
        </w:rPr>
        <w:t xml:space="preserve">. </w:t>
      </w:r>
      <w:r>
        <w:rPr>
          <w:snapToGrid w:val="0"/>
        </w:rPr>
        <w:tab/>
        <w:t>Investment of moneys in a</w:t>
      </w:r>
      <w:r>
        <w:t>ccount</w:t>
      </w:r>
      <w:bookmarkEnd w:id="103"/>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spacing w:before="100"/>
        <w:ind w:left="890" w:hanging="890"/>
      </w:pPr>
      <w:r>
        <w:tab/>
        <w:t>[Section 102D inserted by No. 59 of 1995 s. 80; amended by No. 77 of 2006 Sch. 1 cl. 156(2) and (13).]</w:t>
      </w:r>
    </w:p>
    <w:p>
      <w:pPr>
        <w:pStyle w:val="Heading2"/>
      </w:pPr>
      <w:bookmarkStart w:id="104" w:name="_Toc378948375"/>
      <w:r>
        <w:rPr>
          <w:rStyle w:val="CharPartNo"/>
        </w:rPr>
        <w:t>Part VI</w:t>
      </w:r>
      <w:r>
        <w:rPr>
          <w:rStyle w:val="CharDivNo"/>
        </w:rPr>
        <w:t> </w:t>
      </w:r>
      <w:r>
        <w:t>—</w:t>
      </w:r>
      <w:r>
        <w:rPr>
          <w:rStyle w:val="CharDivText"/>
        </w:rPr>
        <w:t> </w:t>
      </w:r>
      <w:r>
        <w:rPr>
          <w:rStyle w:val="CharPartText"/>
        </w:rPr>
        <w:t>Settlement Agents Interest Account</w:t>
      </w:r>
      <w:bookmarkEnd w:id="104"/>
    </w:p>
    <w:p>
      <w:pPr>
        <w:pStyle w:val="Footnoteheading"/>
        <w:rPr>
          <w:snapToGrid w:val="0"/>
        </w:rPr>
      </w:pPr>
      <w:r>
        <w:rPr>
          <w:snapToGrid w:val="0"/>
        </w:rPr>
        <w:tab/>
        <w:t>[Heading inserted by No. 59 of 1995 s. 81; amended by No. 58 of 2010 s. 167.]</w:t>
      </w:r>
    </w:p>
    <w:p>
      <w:pPr>
        <w:pStyle w:val="Heading5"/>
        <w:spacing w:before="180"/>
        <w:rPr>
          <w:snapToGrid w:val="0"/>
        </w:rPr>
      </w:pPr>
      <w:bookmarkStart w:id="105" w:name="_Toc378948376"/>
      <w:r>
        <w:rPr>
          <w:rStyle w:val="CharSectno"/>
        </w:rPr>
        <w:t>103</w:t>
      </w:r>
      <w:r>
        <w:rPr>
          <w:snapToGrid w:val="0"/>
        </w:rPr>
        <w:t>.</w:t>
      </w:r>
      <w:r>
        <w:rPr>
          <w:snapToGrid w:val="0"/>
        </w:rPr>
        <w:tab/>
        <w:t>Account established; administration of account</w:t>
      </w:r>
      <w:bookmarkEnd w:id="105"/>
    </w:p>
    <w:p>
      <w:pPr>
        <w:pStyle w:val="Subsection"/>
      </w:pPr>
      <w:r>
        <w:tab/>
        <w:t>(1)</w:t>
      </w:r>
      <w:r>
        <w:tab/>
        <w:t>An account called the Settlement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Interest Account</w:t>
      </w:r>
      <w:r>
        <w:rPr>
          <w:snapToGrid w:val="0"/>
        </w:rPr>
        <w:t xml:space="preserve"> is to be administered by the </w:t>
      </w:r>
      <w:r>
        <w:t>chief executive officer.</w:t>
      </w:r>
    </w:p>
    <w:p>
      <w:pPr>
        <w:pStyle w:val="Footnotesection"/>
      </w:pPr>
      <w:r>
        <w:tab/>
        <w:t>[Section 103 inserted by No. 59 of 1995 s. 81; amended by No. 77 of 2006 Sch. 1 cl. 156(14); No. 46 of 2009 s. 15(3); No. 58 of 2010 s. 168.]</w:t>
      </w:r>
    </w:p>
    <w:p>
      <w:pPr>
        <w:pStyle w:val="Heading5"/>
        <w:rPr>
          <w:snapToGrid w:val="0"/>
        </w:rPr>
      </w:pPr>
      <w:bookmarkStart w:id="106" w:name="_Toc378948377"/>
      <w:r>
        <w:rPr>
          <w:rStyle w:val="CharSectno"/>
        </w:rPr>
        <w:t>104</w:t>
      </w:r>
      <w:r>
        <w:rPr>
          <w:snapToGrid w:val="0"/>
        </w:rPr>
        <w:t>.</w:t>
      </w:r>
      <w:r>
        <w:rPr>
          <w:snapToGrid w:val="0"/>
        </w:rPr>
        <w:tab/>
        <w:t>Moneys to be credited to a</w:t>
      </w:r>
      <w:r>
        <w:t>ccount</w:t>
      </w:r>
      <w:bookmarkEnd w:id="106"/>
    </w:p>
    <w:p>
      <w:pPr>
        <w:pStyle w:val="Subsection"/>
        <w:rPr>
          <w:snapToGrid w:val="0"/>
        </w:rPr>
      </w:pPr>
      <w:r>
        <w:rPr>
          <w:snapToGrid w:val="0"/>
        </w:rPr>
        <w:tab/>
      </w:r>
      <w:r>
        <w:rPr>
          <w:snapToGrid w:val="0"/>
        </w:rPr>
        <w:tab/>
        <w:t>There are to be credited to the</w:t>
      </w:r>
      <w:r>
        <w:t xml:space="preserve"> Interest Account</w:t>
      </w:r>
      <w:r>
        <w:rPr>
          <w:snapToGrid w:val="0"/>
        </w:rPr>
        <w:t> —</w:t>
      </w:r>
    </w:p>
    <w:p>
      <w:pPr>
        <w:pStyle w:val="Indenta"/>
        <w:rPr>
          <w:snapToGrid w:val="0"/>
        </w:rPr>
      </w:pPr>
      <w:r>
        <w:rPr>
          <w:snapToGrid w:val="0"/>
        </w:rPr>
        <w:tab/>
        <w:t>(a)</w:t>
      </w:r>
      <w:r>
        <w:rPr>
          <w:snapToGrid w:val="0"/>
        </w:rPr>
        <w:tab/>
        <w:t xml:space="preserve">all moneys paid to the credit of the </w:t>
      </w:r>
      <w:r>
        <w:t>Interest Account</w:t>
      </w:r>
      <w:r>
        <w:rPr>
          <w:snapToGrid w:val="0"/>
        </w:rPr>
        <w:t xml:space="preserve"> under section 49B; and</w:t>
      </w:r>
    </w:p>
    <w:p>
      <w:pPr>
        <w:pStyle w:val="Indenta"/>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[Section 104 inserted by No. 59 of 1995 s. 81; amended by No. 46 of 2009 s. 15(3).]</w:t>
      </w:r>
    </w:p>
    <w:p>
      <w:pPr>
        <w:pStyle w:val="Heading5"/>
        <w:rPr>
          <w:snapToGrid w:val="0"/>
        </w:rPr>
      </w:pPr>
      <w:bookmarkStart w:id="107" w:name="_Toc378948378"/>
      <w:r>
        <w:rPr>
          <w:rStyle w:val="CharSectno"/>
        </w:rPr>
        <w:t>105</w:t>
      </w:r>
      <w:r>
        <w:rPr>
          <w:snapToGrid w:val="0"/>
        </w:rPr>
        <w:t>.</w:t>
      </w:r>
      <w:r>
        <w:rPr>
          <w:snapToGrid w:val="0"/>
        </w:rPr>
        <w:tab/>
        <w:t>Expenditure from a</w:t>
      </w:r>
      <w:r>
        <w:t>ccount</w:t>
      </w:r>
      <w:bookmarkEnd w:id="107"/>
    </w:p>
    <w:p>
      <w:pPr>
        <w:pStyle w:val="Subsection"/>
        <w:keepNext/>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w:t>
      </w:r>
    </w:p>
    <w:p>
      <w:pPr>
        <w:pStyle w:val="Indenta"/>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[Section 105 inserted by No. 59 of 1995 s. 81; amended by No. 77 of 2006 Sch. 1 cl. 156(2); No. 46 of 2009 s. 15(3).]</w:t>
      </w:r>
    </w:p>
    <w:p>
      <w:pPr>
        <w:pStyle w:val="Heading5"/>
        <w:rPr>
          <w:snapToGrid w:val="0"/>
        </w:rPr>
      </w:pPr>
      <w:bookmarkStart w:id="108" w:name="_Toc378948379"/>
      <w:r>
        <w:rPr>
          <w:rStyle w:val="CharSectno"/>
        </w:rPr>
        <w:t>106</w:t>
      </w:r>
      <w:r>
        <w:rPr>
          <w:snapToGrid w:val="0"/>
        </w:rPr>
        <w:t>.</w:t>
      </w:r>
      <w:r>
        <w:rPr>
          <w:snapToGrid w:val="0"/>
        </w:rPr>
        <w:tab/>
        <w:t>Investment of moneys in a</w:t>
      </w:r>
      <w:r>
        <w:t>ccount</w:t>
      </w:r>
      <w:bookmarkEnd w:id="108"/>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[Section 106 inserted by No. 59 of 1995 s. 81; amended by No. 77 of 2006 Sch. 1 cl. 156(15); No. 46 of 2009 s. 15(3).]</w:t>
      </w:r>
    </w:p>
    <w:p>
      <w:pPr>
        <w:pStyle w:val="Ednotesection"/>
        <w:tabs>
          <w:tab w:val="clear" w:pos="893"/>
          <w:tab w:val="left" w:pos="1140"/>
        </w:tabs>
      </w:pPr>
      <w:r>
        <w:t>[</w:t>
      </w:r>
      <w:r>
        <w:rPr>
          <w:b/>
        </w:rPr>
        <w:t>107, 108.</w:t>
      </w:r>
      <w:r>
        <w:tab/>
        <w:t>Deleted by No. 59 of 1995 s. 81.]</w:t>
      </w:r>
    </w:p>
    <w:p>
      <w:pPr>
        <w:pStyle w:val="Ednotesection"/>
      </w:pPr>
      <w:r>
        <w:t>[</w:t>
      </w:r>
      <w:r>
        <w:rPr>
          <w:b/>
        </w:rPr>
        <w:t>109.</w:t>
      </w:r>
      <w:r>
        <w:tab/>
        <w:t>Deleted by No. 98 of 1985 s. 3.]</w:t>
      </w:r>
    </w:p>
    <w:p>
      <w:pPr>
        <w:pStyle w:val="Heading2"/>
      </w:pPr>
      <w:bookmarkStart w:id="109" w:name="_Toc378948380"/>
      <w:r>
        <w:rPr>
          <w:rStyle w:val="CharPartNo"/>
        </w:rPr>
        <w:t>Part VII</w:t>
      </w:r>
      <w:r>
        <w:rPr>
          <w:rStyle w:val="CharDivNo"/>
        </w:rPr>
        <w:t> </w:t>
      </w:r>
      <w:r>
        <w:t>—</w:t>
      </w:r>
      <w:r>
        <w:rPr>
          <w:rStyle w:val="CharDivText"/>
        </w:rPr>
        <w:t> </w:t>
      </w:r>
      <w:r>
        <w:rPr>
          <w:rStyle w:val="CharPartText"/>
        </w:rPr>
        <w:t>Miscellaneous</w:t>
      </w:r>
      <w:bookmarkEnd w:id="109"/>
    </w:p>
    <w:p>
      <w:pPr>
        <w:pStyle w:val="Heading5"/>
        <w:rPr>
          <w:snapToGrid w:val="0"/>
        </w:rPr>
      </w:pPr>
      <w:bookmarkStart w:id="110" w:name="_Toc378948381"/>
      <w:r>
        <w:rPr>
          <w:rStyle w:val="CharSectno"/>
        </w:rPr>
        <w:t>110</w:t>
      </w:r>
      <w:r>
        <w:rPr>
          <w:snapToGrid w:val="0"/>
        </w:rPr>
        <w:t>.</w:t>
      </w:r>
      <w:r>
        <w:rPr>
          <w:snapToGrid w:val="0"/>
        </w:rPr>
        <w:tab/>
        <w:t>Registers of licensees etc., Commissioner to keep etc.</w:t>
      </w:r>
      <w:bookmarkEnd w:id="110"/>
    </w:p>
    <w:p>
      <w:pPr>
        <w:pStyle w:val="Subsection"/>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110 amended by No. 58 of 2010 s. 176.]</w:t>
      </w:r>
    </w:p>
    <w:p>
      <w:pPr>
        <w:pStyle w:val="Heading5"/>
        <w:rPr>
          <w:snapToGrid w:val="0"/>
        </w:rPr>
      </w:pPr>
      <w:bookmarkStart w:id="111" w:name="_Toc378948382"/>
      <w:r>
        <w:rPr>
          <w:rStyle w:val="CharSectno"/>
        </w:rPr>
        <w:t>111</w:t>
      </w:r>
      <w:r>
        <w:rPr>
          <w:snapToGrid w:val="0"/>
        </w:rPr>
        <w:t>.</w:t>
      </w:r>
      <w:r>
        <w:rPr>
          <w:snapToGrid w:val="0"/>
        </w:rPr>
        <w:tab/>
        <w:t>Names etc. of licensees etc. to be published annually etc.; evidentiary provision</w:t>
      </w:r>
      <w:bookmarkEnd w:id="111"/>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w:t>
      </w:r>
      <w:r>
        <w:t>Commissioner</w:t>
      </w:r>
      <w:r>
        <w:rPr>
          <w:snapToGrid w:val="0"/>
        </w:rPr>
        <w:t xml:space="preserve">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 xml:space="preserve">The </w:t>
      </w:r>
      <w:r>
        <w:t>Commissioner</w:t>
      </w:r>
      <w:r>
        <w:rPr>
          <w:snapToGrid w:val="0"/>
        </w:rPr>
        <w:t xml:space="preserve"> may cause supplementary lists to be published.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111 amended by No. 58 of 2010 s. 176.]</w:t>
      </w:r>
    </w:p>
    <w:p>
      <w:pPr>
        <w:pStyle w:val="Heading5"/>
        <w:rPr>
          <w:snapToGrid w:val="0"/>
        </w:rPr>
      </w:pPr>
      <w:bookmarkStart w:id="112" w:name="_Toc378948383"/>
      <w:r>
        <w:rPr>
          <w:rStyle w:val="CharSectno"/>
        </w:rPr>
        <w:t>112</w:t>
      </w:r>
      <w:r>
        <w:rPr>
          <w:snapToGrid w:val="0"/>
        </w:rPr>
        <w:t>.</w:t>
      </w:r>
      <w:r>
        <w:rPr>
          <w:snapToGrid w:val="0"/>
        </w:rPr>
        <w:tab/>
        <w:t>Annual report by department</w:t>
      </w:r>
      <w:bookmarkEnd w:id="112"/>
    </w:p>
    <w:p>
      <w:pPr>
        <w:pStyle w:val="Ednotesubsection"/>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 xml:space="preserve">investigations and inquiries undertaken by, or at the direction of, the </w:t>
      </w:r>
      <w:r>
        <w:t>Commissioner;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rPr>
          <w:snapToGrid w:val="0"/>
        </w:rPr>
      </w:pPr>
      <w:r>
        <w:rPr>
          <w:snapToGrid w:val="0"/>
        </w:rPr>
        <w:tab/>
      </w:r>
      <w:r>
        <w:rPr>
          <w:snapToGrid w:val="0"/>
        </w:rP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rPr>
          <w:snapToGrid w:val="0"/>
        </w:rPr>
      </w:pPr>
      <w:r>
        <w:tab/>
        <w:t>(e)</w:t>
      </w:r>
      <w:r>
        <w:tab/>
        <w:t>any proposals for improving the operation of the Commissioner.</w:t>
      </w:r>
    </w:p>
    <w:p>
      <w:pPr>
        <w:pStyle w:val="Footnotesection"/>
      </w:pPr>
      <w:r>
        <w:tab/>
        <w:t>[Section 112 inserted by No. 98 of 1985 s. 3; amended by No. 59 of 1995 s. 82; No. 55 of 2004 s. 1092; No. 77 of 2006 Sch. 1 cl. 156(16); No. 58 of 2010 s. 169.]</w:t>
      </w:r>
    </w:p>
    <w:p>
      <w:pPr>
        <w:pStyle w:val="Heading5"/>
        <w:rPr>
          <w:snapToGrid w:val="0"/>
        </w:rPr>
      </w:pPr>
      <w:bookmarkStart w:id="113" w:name="_Toc378948384"/>
      <w:r>
        <w:rPr>
          <w:rStyle w:val="CharSectno"/>
        </w:rPr>
        <w:t>113</w:t>
      </w:r>
      <w:r>
        <w:rPr>
          <w:snapToGrid w:val="0"/>
        </w:rPr>
        <w:t>.</w:t>
      </w:r>
      <w:r>
        <w:rPr>
          <w:snapToGrid w:val="0"/>
        </w:rPr>
        <w:tab/>
        <w:t>Reports by Commissioner to Minister</w:t>
      </w:r>
      <w:bookmarkEnd w:id="113"/>
    </w:p>
    <w:p>
      <w:pPr>
        <w:pStyle w:val="Subsection"/>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 xml:space="preserve">and where, in the opinion of the </w:t>
      </w:r>
      <w:r>
        <w:t>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pPr>
      <w:r>
        <w:tab/>
        <w:t>[Section 113 amended by No. 58 of 2010 s. 176.]</w:t>
      </w:r>
    </w:p>
    <w:p>
      <w:pPr>
        <w:pStyle w:val="Heading5"/>
        <w:rPr>
          <w:snapToGrid w:val="0"/>
        </w:rPr>
      </w:pPr>
      <w:bookmarkStart w:id="114" w:name="_Toc378948385"/>
      <w:r>
        <w:rPr>
          <w:rStyle w:val="CharSectno"/>
        </w:rPr>
        <w:t>114</w:t>
      </w:r>
      <w:r>
        <w:rPr>
          <w:snapToGrid w:val="0"/>
        </w:rPr>
        <w:t>.</w:t>
      </w:r>
      <w:r>
        <w:rPr>
          <w:snapToGrid w:val="0"/>
        </w:rPr>
        <w:tab/>
        <w:t>Refunds of fees, Commissioner’s powers as to</w:t>
      </w:r>
      <w:bookmarkEnd w:id="114"/>
    </w:p>
    <w:p>
      <w:pPr>
        <w:pStyle w:val="Subsection"/>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by way of contribution or levy to the</w:t>
      </w:r>
      <w:r>
        <w:t xml:space="preserve"> Account</w:t>
      </w:r>
      <w:r>
        <w:rPr>
          <w:snapToGrid w:val="0"/>
        </w:rPr>
        <w:t>.</w:t>
      </w:r>
    </w:p>
    <w:p>
      <w:pPr>
        <w:pStyle w:val="Footnotesection"/>
      </w:pPr>
      <w:r>
        <w:tab/>
        <w:t>[Section 114 amended by No. 77 of 2006 Sch. 1 cl. 156(2); No. 58 of 2010 s. 170 and 176.]</w:t>
      </w:r>
    </w:p>
    <w:p>
      <w:pPr>
        <w:pStyle w:val="Heading5"/>
      </w:pPr>
      <w:bookmarkStart w:id="115" w:name="_Toc378948386"/>
      <w:r>
        <w:rPr>
          <w:rStyle w:val="CharSectno"/>
        </w:rPr>
        <w:t>115</w:t>
      </w:r>
      <w:r>
        <w:t>.</w:t>
      </w:r>
      <w:r>
        <w:tab/>
        <w:t>Protection from personal liability</w:t>
      </w:r>
      <w:bookmarkEnd w:id="115"/>
    </w:p>
    <w:p>
      <w:pPr>
        <w:pStyle w:val="Subsection"/>
      </w:pPr>
      <w:r>
        <w:tab/>
      </w:r>
      <w:r>
        <w:tab/>
        <w:t>A person does not incur any liability in tort for anything that the person does, in good faith, in the performance or purported performance of a function under this Act.</w:t>
      </w:r>
    </w:p>
    <w:p>
      <w:pPr>
        <w:pStyle w:val="Footnotesection"/>
      </w:pPr>
      <w:r>
        <w:tab/>
        <w:t>[Section 115 inserted by No. 58 of 2010 s. 171.]</w:t>
      </w:r>
    </w:p>
    <w:p>
      <w:pPr>
        <w:pStyle w:val="Heading5"/>
      </w:pPr>
      <w:bookmarkStart w:id="116" w:name="_Toc378948387"/>
      <w:r>
        <w:rPr>
          <w:rStyle w:val="CharSectno"/>
        </w:rPr>
        <w:t>116</w:t>
      </w:r>
      <w:r>
        <w:t>.</w:t>
      </w:r>
      <w:r>
        <w:tab/>
        <w:t>Confidentiality of information officially obtained</w:t>
      </w:r>
      <w:bookmarkEnd w:id="116"/>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116 inserted by No. 58 of 2010 s. 172.]</w:t>
      </w:r>
    </w:p>
    <w:p>
      <w:pPr>
        <w:pStyle w:val="Heading5"/>
        <w:rPr>
          <w:snapToGrid w:val="0"/>
        </w:rPr>
      </w:pPr>
      <w:bookmarkStart w:id="117" w:name="_Toc378948388"/>
      <w:r>
        <w:rPr>
          <w:rStyle w:val="CharSectno"/>
        </w:rPr>
        <w:t>117</w:t>
      </w:r>
      <w:r>
        <w:rPr>
          <w:snapToGrid w:val="0"/>
        </w:rPr>
        <w:t>.</w:t>
      </w:r>
      <w:r>
        <w:rPr>
          <w:snapToGrid w:val="0"/>
        </w:rPr>
        <w:tab/>
        <w:t>Liability of directors of body corporate for defalcations</w:t>
      </w:r>
      <w:bookmarkEnd w:id="117"/>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18" w:name="_Toc378948389"/>
      <w:r>
        <w:rPr>
          <w:rStyle w:val="CharSectno"/>
        </w:rPr>
        <w:t>118</w:t>
      </w:r>
      <w:r>
        <w:rPr>
          <w:snapToGrid w:val="0"/>
        </w:rPr>
        <w:t>.</w:t>
      </w:r>
      <w:r>
        <w:rPr>
          <w:snapToGrid w:val="0"/>
        </w:rPr>
        <w:tab/>
        <w:t>Other rights and remedies not affected by this Act</w:t>
      </w:r>
      <w:bookmarkEnd w:id="118"/>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19" w:name="_Toc378948390"/>
      <w:r>
        <w:rPr>
          <w:rStyle w:val="CharSectno"/>
        </w:rPr>
        <w:t>119</w:t>
      </w:r>
      <w:r>
        <w:rPr>
          <w:snapToGrid w:val="0"/>
        </w:rPr>
        <w:t>.</w:t>
      </w:r>
      <w:r>
        <w:rPr>
          <w:snapToGrid w:val="0"/>
        </w:rPr>
        <w:tab/>
        <w:t>Rights conferred by Act cannot be waived</w:t>
      </w:r>
      <w:bookmarkEnd w:id="119"/>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20" w:name="_Toc378948391"/>
      <w:r>
        <w:rPr>
          <w:rStyle w:val="CharSectno"/>
        </w:rPr>
        <w:t>120</w:t>
      </w:r>
      <w:r>
        <w:rPr>
          <w:snapToGrid w:val="0"/>
        </w:rPr>
        <w:t>.</w:t>
      </w:r>
      <w:r>
        <w:rPr>
          <w:snapToGrid w:val="0"/>
        </w:rPr>
        <w:tab/>
        <w:t>General penalty for offences</w:t>
      </w:r>
      <w:bookmarkEnd w:id="120"/>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120 amended by No. 59 of 1995 s. 85.]</w:t>
      </w:r>
    </w:p>
    <w:p>
      <w:pPr>
        <w:pStyle w:val="Heading5"/>
        <w:rPr>
          <w:snapToGrid w:val="0"/>
        </w:rPr>
      </w:pPr>
      <w:bookmarkStart w:id="121" w:name="_Toc378948392"/>
      <w:r>
        <w:rPr>
          <w:rStyle w:val="CharSectno"/>
        </w:rPr>
        <w:t>121</w:t>
      </w:r>
      <w:r>
        <w:rPr>
          <w:snapToGrid w:val="0"/>
        </w:rPr>
        <w:t>.</w:t>
      </w:r>
      <w:r>
        <w:rPr>
          <w:snapToGrid w:val="0"/>
        </w:rPr>
        <w:tab/>
        <w:t>Proceedings for offences</w:t>
      </w:r>
      <w:bookmarkEnd w:id="121"/>
    </w:p>
    <w:p>
      <w:pPr>
        <w:pStyle w:val="Subsection"/>
        <w:rPr>
          <w:snapToGrid w:val="0"/>
        </w:rPr>
      </w:pPr>
      <w:r>
        <w:rPr>
          <w:snapToGrid w:val="0"/>
        </w:rPr>
        <w:tab/>
        <w:t>(1)</w:t>
      </w:r>
      <w:r>
        <w:rPr>
          <w:snapToGrid w:val="0"/>
        </w:rPr>
        <w:tab/>
        <w:t xml:space="preserve">Proceedings for an offence against this Act may be taken by the </w:t>
      </w:r>
      <w:r>
        <w:t>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An allegation in a charge of an offence against this Act that a person named therein was or was not licensed or the holder of a current triennial certificate at the time specified therein shall, in the absence of proof to the contrary, be taken as proved.</w:t>
      </w:r>
    </w:p>
    <w:p>
      <w:pPr>
        <w:pStyle w:val="Footnotesection"/>
      </w:pPr>
      <w:r>
        <w:tab/>
        <w:t>[Section 121 amended by No. 59 of 2004 s. 141; No. 84 of 2004 s. 80; No. 58 of 2010 s. 176.]</w:t>
      </w:r>
    </w:p>
    <w:p>
      <w:pPr>
        <w:pStyle w:val="Heading5"/>
        <w:rPr>
          <w:snapToGrid w:val="0"/>
        </w:rPr>
      </w:pPr>
      <w:bookmarkStart w:id="122" w:name="_Toc378948393"/>
      <w:r>
        <w:rPr>
          <w:rStyle w:val="CharSectno"/>
        </w:rPr>
        <w:t>122</w:t>
      </w:r>
      <w:r>
        <w:rPr>
          <w:snapToGrid w:val="0"/>
        </w:rPr>
        <w:t>.</w:t>
      </w:r>
      <w:r>
        <w:rPr>
          <w:snapToGrid w:val="0"/>
        </w:rPr>
        <w:tab/>
        <w:t>Forms</w:t>
      </w:r>
      <w:bookmarkEnd w:id="122"/>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122 amended by No. 58 of 2010 s. 176.]</w:t>
      </w:r>
    </w:p>
    <w:p>
      <w:pPr>
        <w:pStyle w:val="Heading5"/>
        <w:rPr>
          <w:snapToGrid w:val="0"/>
        </w:rPr>
      </w:pPr>
      <w:bookmarkStart w:id="123" w:name="_Toc378948394"/>
      <w:r>
        <w:rPr>
          <w:rStyle w:val="CharSectno"/>
        </w:rPr>
        <w:t>123</w:t>
      </w:r>
      <w:r>
        <w:rPr>
          <w:snapToGrid w:val="0"/>
        </w:rPr>
        <w:t>.</w:t>
      </w:r>
      <w:r>
        <w:rPr>
          <w:snapToGrid w:val="0"/>
        </w:rPr>
        <w:tab/>
        <w:t>Regulations</w:t>
      </w:r>
      <w:bookmarkEnd w:id="123"/>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 xml:space="preserve">prescribe the procedure of the </w:t>
      </w:r>
      <w:r>
        <w:t>Commissioner</w:t>
      </w:r>
      <w:r>
        <w:rPr>
          <w:snapToGrid w:val="0"/>
        </w:rPr>
        <w:t>;</w:t>
      </w:r>
    </w:p>
    <w:p>
      <w:pPr>
        <w:pStyle w:val="Ednotepara"/>
      </w:pPr>
      <w:r>
        <w:tab/>
        <w:t>[(b)</w:t>
      </w:r>
      <w: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deleted]</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[Section 123 amended by No. 65 of 1987 s. 43; No. 59 of 1995 s. 83 and 85; No. 55 of 2004 s. 1093; No. 77 of 2006 Sch. 1 cl. 156(2); No. 58 of 2010 s. 173 and 176.]</w:t>
      </w:r>
    </w:p>
    <w:p>
      <w:pPr>
        <w:pStyle w:val="Heading2"/>
      </w:pPr>
      <w:bookmarkStart w:id="124" w:name="_Toc378948395"/>
      <w:r>
        <w:rPr>
          <w:rStyle w:val="CharPartNo"/>
        </w:rPr>
        <w:t>Part VIII</w:t>
      </w:r>
      <w:r>
        <w:t> — </w:t>
      </w:r>
      <w:r>
        <w:rPr>
          <w:rStyle w:val="CharPartText"/>
        </w:rPr>
        <w:t>Savings and transitional</w:t>
      </w:r>
      <w:bookmarkEnd w:id="124"/>
    </w:p>
    <w:p>
      <w:pPr>
        <w:pStyle w:val="Footnoteheading"/>
      </w:pPr>
      <w:r>
        <w:tab/>
        <w:t>[Heading inserted by No. 58 of 2010 s. 174.]</w:t>
      </w:r>
    </w:p>
    <w:p>
      <w:pPr>
        <w:pStyle w:val="Heading5"/>
      </w:pPr>
      <w:bookmarkStart w:id="125" w:name="_Toc378948396"/>
      <w:r>
        <w:rPr>
          <w:rStyle w:val="CharSectno"/>
        </w:rPr>
        <w:t>124</w:t>
      </w:r>
      <w:r>
        <w:t>.</w:t>
      </w:r>
      <w:r>
        <w:tab/>
        <w:t>Terms used</w:t>
      </w:r>
      <w:bookmarkEnd w:id="125"/>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 (Fair Trading) Act 2010</w:t>
      </w:r>
      <w:r>
        <w:t xml:space="preserve"> Part 7 comes into operation;</w:t>
      </w:r>
    </w:p>
    <w:p>
      <w:pPr>
        <w:pStyle w:val="Defstart"/>
      </w:pPr>
      <w:r>
        <w:tab/>
      </w:r>
      <w:r>
        <w:rPr>
          <w:rStyle w:val="CharDefText"/>
        </w:rPr>
        <w:t>former Board</w:t>
      </w:r>
      <w:r>
        <w:t xml:space="preserve"> means the Settlement Agents Supervisory Board established by section 5 of this Act immediately prior to the commencement day;</w:t>
      </w:r>
    </w:p>
    <w:p>
      <w:pPr>
        <w:pStyle w:val="Defstart"/>
      </w:pPr>
      <w:r>
        <w:tab/>
      </w:r>
      <w:r>
        <w:rPr>
          <w:rStyle w:val="CharDefText"/>
        </w:rPr>
        <w:t>former Registrar</w:t>
      </w:r>
      <w:r>
        <w:t xml:space="preserve"> means a Registrar appointed under section 12 of this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124 inserted by No. 58 of 2010 s. 174.]</w:t>
      </w:r>
    </w:p>
    <w:p>
      <w:pPr>
        <w:pStyle w:val="Heading5"/>
      </w:pPr>
      <w:bookmarkStart w:id="126" w:name="_Toc378948397"/>
      <w:r>
        <w:rPr>
          <w:rStyle w:val="CharSectno"/>
        </w:rPr>
        <w:t>125</w:t>
      </w:r>
      <w:r>
        <w:t>.</w:t>
      </w:r>
      <w:r>
        <w:tab/>
        <w:t>Former Board abolished</w:t>
      </w:r>
      <w:bookmarkEnd w:id="126"/>
    </w:p>
    <w:p>
      <w:pPr>
        <w:pStyle w:val="Subsection"/>
      </w:pPr>
      <w:r>
        <w:tab/>
      </w:r>
      <w:r>
        <w:tab/>
        <w:t>Subject to sections 132 and 133, at the beginning of the commencement day, the former Board is abolished and its members go out of office.</w:t>
      </w:r>
    </w:p>
    <w:p>
      <w:pPr>
        <w:pStyle w:val="Footnotesection"/>
      </w:pPr>
      <w:r>
        <w:tab/>
        <w:t>[Section 125 inserted by No. 58 of 2010 s. 174.]</w:t>
      </w:r>
    </w:p>
    <w:p>
      <w:pPr>
        <w:pStyle w:val="Heading5"/>
      </w:pPr>
      <w:bookmarkStart w:id="127" w:name="_Toc378948398"/>
      <w:r>
        <w:rPr>
          <w:rStyle w:val="CharSectno"/>
        </w:rPr>
        <w:t>126</w:t>
      </w:r>
      <w:r>
        <w:t>.</w:t>
      </w:r>
      <w:r>
        <w:tab/>
        <w:t>References to former Board</w:t>
      </w:r>
      <w:bookmarkEnd w:id="127"/>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126 inserted by No. 58 of 2010 s. 174.]</w:t>
      </w:r>
    </w:p>
    <w:p>
      <w:pPr>
        <w:pStyle w:val="Heading5"/>
      </w:pPr>
      <w:bookmarkStart w:id="128" w:name="_Toc378948399"/>
      <w:r>
        <w:rPr>
          <w:rStyle w:val="CharSectno"/>
        </w:rPr>
        <w:t>127</w:t>
      </w:r>
      <w:r>
        <w:t>.</w:t>
      </w:r>
      <w:r>
        <w:tab/>
        <w:t>Immunity continues</w:t>
      </w:r>
      <w:bookmarkEnd w:id="128"/>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127 inserted by No. 58 of 2010 s. 174.]</w:t>
      </w:r>
    </w:p>
    <w:p>
      <w:pPr>
        <w:pStyle w:val="Heading5"/>
      </w:pPr>
      <w:bookmarkStart w:id="129" w:name="_Toc378948400"/>
      <w:r>
        <w:rPr>
          <w:rStyle w:val="CharSectno"/>
        </w:rPr>
        <w:t>128</w:t>
      </w:r>
      <w:r>
        <w:t>.</w:t>
      </w:r>
      <w:r>
        <w:tab/>
        <w:t>Notices and rules made by former Board</w:t>
      </w:r>
      <w:bookmarkEnd w:id="129"/>
    </w:p>
    <w:p>
      <w:pPr>
        <w:pStyle w:val="Subsection"/>
      </w:pPr>
      <w:r>
        <w:tab/>
        <w:t>(1)</w:t>
      </w:r>
      <w:r>
        <w:tab/>
        <w:t>If the former Board has fixed by notice the maximum amount of remuneration of a licensee under section 44 of the Act immediately prior to the commencement day, that notice is to be taken to have been given by the Commissioner and continues in force until amended or revoked by the Commissioner.</w:t>
      </w:r>
    </w:p>
    <w:p>
      <w:pPr>
        <w:pStyle w:val="Subsection"/>
      </w:pPr>
      <w:r>
        <w:tab/>
        <w:t>(2)</w:t>
      </w:r>
      <w:r>
        <w:tab/>
        <w:t>If the former Board has made rules prescribing a code of conduct under section 82 of the Act as it was immediately prior to the commencement day, those rules and that code of conduct are taken to be made by the Commissioner for the purposes of that section and continue in force until amended or revoked by the Commissioner.</w:t>
      </w:r>
    </w:p>
    <w:p>
      <w:pPr>
        <w:pStyle w:val="Footnotesection"/>
      </w:pPr>
      <w:r>
        <w:tab/>
        <w:t>[Section 128 inserted by No. 58 of 2010 s. 174.]</w:t>
      </w:r>
    </w:p>
    <w:p>
      <w:pPr>
        <w:pStyle w:val="Heading5"/>
      </w:pPr>
      <w:bookmarkStart w:id="130" w:name="_Toc378948401"/>
      <w:r>
        <w:rPr>
          <w:rStyle w:val="CharSectno"/>
        </w:rPr>
        <w:t>129</w:t>
      </w:r>
      <w:r>
        <w:t>.</w:t>
      </w:r>
      <w:r>
        <w:tab/>
        <w:t>References to former Registrar</w:t>
      </w:r>
      <w:bookmarkEnd w:id="130"/>
    </w:p>
    <w:p>
      <w:pPr>
        <w:pStyle w:val="Subsection"/>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pPr>
      <w:r>
        <w:tab/>
        <w:t>(2)</w:t>
      </w:r>
      <w:r>
        <w:tab/>
        <w:t>If a certificate has been given by a former Registrar under section 111(3) of the Act as it was immediately prior to the commencement day, that certificate is to be treated as if it were given by the Commissioner for the purposes of that subsection.</w:t>
      </w:r>
    </w:p>
    <w:p>
      <w:pPr>
        <w:pStyle w:val="Footnotesection"/>
      </w:pPr>
      <w:r>
        <w:tab/>
        <w:t>[Section 129 inserted by No. 58 of 2010 s. 174.]</w:t>
      </w:r>
    </w:p>
    <w:p>
      <w:pPr>
        <w:pStyle w:val="Heading5"/>
      </w:pPr>
      <w:bookmarkStart w:id="131" w:name="_Toc378948402"/>
      <w:r>
        <w:rPr>
          <w:rStyle w:val="CharSectno"/>
        </w:rPr>
        <w:t>130</w:t>
      </w:r>
      <w:r>
        <w:t>.</w:t>
      </w:r>
      <w:r>
        <w:tab/>
        <w:t>Unfinished investigations by former Board</w:t>
      </w:r>
      <w:bookmarkEnd w:id="131"/>
    </w:p>
    <w:p>
      <w:pPr>
        <w:pStyle w:val="Subsection"/>
      </w:pPr>
      <w:r>
        <w:tab/>
      </w:r>
      <w:r>
        <w:tab/>
        <w:t>Investigations being carried out by the former Board under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130 inserted by No. 58 of 2010 s. 174.]</w:t>
      </w:r>
    </w:p>
    <w:p>
      <w:pPr>
        <w:pStyle w:val="Heading5"/>
      </w:pPr>
      <w:bookmarkStart w:id="132" w:name="_Toc378948403"/>
      <w:r>
        <w:rPr>
          <w:rStyle w:val="CharSectno"/>
        </w:rPr>
        <w:t>131</w:t>
      </w:r>
      <w:r>
        <w:t>.</w:t>
      </w:r>
      <w:r>
        <w:tab/>
        <w:t>Unfinished proceedings by former Board</w:t>
      </w:r>
      <w:bookmarkEnd w:id="132"/>
    </w:p>
    <w:p>
      <w:pPr>
        <w:pStyle w:val="Subsection"/>
      </w:pPr>
      <w:r>
        <w:tab/>
        <w:t>(1)</w:t>
      </w:r>
      <w:r>
        <w:tab/>
        <w:t>Proceedings before the former Board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settlement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131 inserted by No. 58 of 2010 s. 174.]</w:t>
      </w:r>
    </w:p>
    <w:p>
      <w:pPr>
        <w:pStyle w:val="Heading5"/>
      </w:pPr>
      <w:bookmarkStart w:id="133" w:name="_Toc378948404"/>
      <w:r>
        <w:rPr>
          <w:rStyle w:val="CharSectno"/>
        </w:rPr>
        <w:t>132</w:t>
      </w:r>
      <w:r>
        <w:t>.</w:t>
      </w:r>
      <w:r>
        <w:tab/>
        <w:t>Winding</w:t>
      </w:r>
      <w:r>
        <w:noBreakHyphen/>
        <w:t>up former Board</w:t>
      </w:r>
      <w:bookmarkEnd w:id="133"/>
    </w:p>
    <w:p>
      <w:pPr>
        <w:pStyle w:val="Subsection"/>
      </w:pPr>
      <w:r>
        <w:tab/>
      </w:r>
      <w:r>
        <w:tab/>
        <w:t>On and after the commencement day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7,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pPr>
      <w:r>
        <w:tab/>
        <w:t>[Section 132 inserted by No. 58 of 2010 s. 174.]</w:t>
      </w:r>
    </w:p>
    <w:p>
      <w:pPr>
        <w:pStyle w:val="Heading5"/>
      </w:pPr>
      <w:bookmarkStart w:id="134" w:name="_Toc378948405"/>
      <w:r>
        <w:rPr>
          <w:rStyle w:val="CharSectno"/>
        </w:rPr>
        <w:t>133</w:t>
      </w:r>
      <w:r>
        <w:t>.</w:t>
      </w:r>
      <w:r>
        <w:tab/>
        <w:t>Final report by former Board</w:t>
      </w:r>
      <w:bookmarkEnd w:id="134"/>
    </w:p>
    <w:p>
      <w:pPr>
        <w:pStyle w:val="Subsection"/>
      </w:pPr>
      <w:r>
        <w:tab/>
        <w:t>(1)</w:t>
      </w:r>
      <w:r>
        <w:tab/>
        <w:t xml:space="preserve">The provisions of the </w:t>
      </w:r>
      <w:r>
        <w:rPr>
          <w:i/>
          <w:iCs/>
        </w:rPr>
        <w:t>Financial Management Act 2006</w:t>
      </w:r>
      <w:r>
        <w:t xml:space="preserve"> Part 5 Division 3 apply to the former Board.</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133 inserted by No. 58 of 2010 s. 174.]</w:t>
      </w:r>
    </w:p>
    <w:p>
      <w:pPr>
        <w:pStyle w:val="Heading5"/>
      </w:pPr>
      <w:bookmarkStart w:id="135" w:name="_Toc378948406"/>
      <w:r>
        <w:rPr>
          <w:rStyle w:val="CharSectno"/>
        </w:rPr>
        <w:t>134</w:t>
      </w:r>
      <w:r>
        <w:t>.</w:t>
      </w:r>
      <w:r>
        <w:tab/>
        <w:t>Staff of former Board</w:t>
      </w:r>
      <w:bookmarkEnd w:id="135"/>
    </w:p>
    <w:p>
      <w:pPr>
        <w:pStyle w:val="Subsection"/>
      </w:pPr>
      <w:r>
        <w:tab/>
        <w:t>(1)</w:t>
      </w:r>
      <w:r>
        <w:tab/>
        <w:t xml:space="preserve">The officers of the former Board and the former Registrar who held office immediately before the commencement day continue to be employed, under and subject to the </w:t>
      </w:r>
      <w:r>
        <w:rPr>
          <w:i/>
          <w:iCs/>
        </w:rPr>
        <w:t>Public Sector Management Act 1994</w:t>
      </w:r>
      <w:r>
        <w:t xml:space="preserve"> Part 3, as officers of the department.</w:t>
      </w:r>
    </w:p>
    <w:p>
      <w:pPr>
        <w:pStyle w:val="Subsection"/>
      </w:pPr>
      <w:r>
        <w:tab/>
        <w:t>(2)</w:t>
      </w:r>
      <w:r>
        <w:tab/>
        <w:t>A person mentioned in subsection (1) is to be regarded as having been engaged or employed, as is relevant, by the chief executive officer.</w:t>
      </w:r>
    </w:p>
    <w:p>
      <w:pPr>
        <w:pStyle w:val="Subsection"/>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pPr>
      <w:r>
        <w:tab/>
        <w:t>[Section 134 inserted by No. 58 of 2010 s. 174.]</w:t>
      </w:r>
    </w:p>
    <w:p>
      <w:pPr>
        <w:pStyle w:val="Heading5"/>
      </w:pPr>
      <w:bookmarkStart w:id="136" w:name="_Toc378948407"/>
      <w:r>
        <w:rPr>
          <w:rStyle w:val="CharSectno"/>
        </w:rPr>
        <w:t>135</w:t>
      </w:r>
      <w:r>
        <w:t>.</w:t>
      </w:r>
      <w:r>
        <w:tab/>
        <w:t>Transitional regulations</w:t>
      </w:r>
      <w:bookmarkEnd w:id="136"/>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 xml:space="preserve">Acts Amendment (Fair Trading) Act 2010 </w:t>
      </w:r>
      <w:r>
        <w:t>Part 7.</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135 inserted by No. 58 of 2010 s. 174.]</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37" w:name="_Toc378948408"/>
      <w:r>
        <w:rPr>
          <w:rStyle w:val="CharSchNo"/>
          <w:rFonts w:eastAsia="MS Mincho"/>
        </w:rPr>
        <w:t>Schedule 1</w:t>
      </w:r>
      <w:r>
        <w:rPr>
          <w:rFonts w:eastAsia="MS Mincho"/>
        </w:rPr>
        <w:t> — </w:t>
      </w:r>
      <w:r>
        <w:rPr>
          <w:rStyle w:val="CharSchText"/>
          <w:rFonts w:eastAsia="MS Mincho"/>
        </w:rPr>
        <w:t>Grant of licence</w:t>
      </w:r>
      <w:bookmarkEnd w:id="137"/>
    </w:p>
    <w:p>
      <w:pPr>
        <w:pStyle w:val="yShoulderClause"/>
        <w:rPr>
          <w:rFonts w:eastAsia="MS Mincho"/>
        </w:rPr>
      </w:pPr>
      <w:r>
        <w:rPr>
          <w:rFonts w:eastAsia="MS Mincho"/>
        </w:rPr>
        <w:t>[s. 27, 28 and 29]</w:t>
      </w:r>
    </w:p>
    <w:p>
      <w:pPr>
        <w:pStyle w:val="yFootnoteheading"/>
        <w:rPr>
          <w:rFonts w:eastAsia="MS Mincho"/>
        </w:rPr>
      </w:pPr>
      <w:r>
        <w:rPr>
          <w:rFonts w:eastAsia="MS Mincho"/>
        </w:rPr>
        <w:tab/>
        <w:t>[Heading inserted by No. 19 of 2010 s. 35(2).]</w:t>
      </w:r>
    </w:p>
    <w:p>
      <w:pPr>
        <w:pStyle w:val="yHeading3"/>
        <w:rPr>
          <w:rFonts w:eastAsia="MS Mincho"/>
        </w:rPr>
      </w:pPr>
      <w:bookmarkStart w:id="138" w:name="_Toc378948409"/>
      <w:r>
        <w:rPr>
          <w:rStyle w:val="CharSDivNo"/>
          <w:rFonts w:eastAsia="MS Mincho"/>
        </w:rPr>
        <w:t>Division 1</w:t>
      </w:r>
      <w:r>
        <w:rPr>
          <w:rFonts w:eastAsia="MS Mincho"/>
          <w:b w:val="0"/>
        </w:rPr>
        <w:t> — </w:t>
      </w:r>
      <w:r>
        <w:rPr>
          <w:rStyle w:val="CharSDivText"/>
          <w:rFonts w:eastAsia="MS Mincho"/>
        </w:rPr>
        <w:t>Qualifications</w:t>
      </w:r>
      <w:bookmarkEnd w:id="138"/>
    </w:p>
    <w:p>
      <w:pPr>
        <w:pStyle w:val="yFootnoteheading"/>
        <w:rPr>
          <w:rFonts w:eastAsia="MS Mincho"/>
        </w:rPr>
      </w:pPr>
      <w:r>
        <w:rPr>
          <w:rFonts w:eastAsia="MS Mincho"/>
        </w:rPr>
        <w:tab/>
        <w:t>[Heading inserted by No. 19 of 2010 s. 35(2).]</w:t>
      </w:r>
    </w:p>
    <w:p>
      <w:pPr>
        <w:pStyle w:val="yHeading5"/>
        <w:outlineLvl w:val="0"/>
        <w:rPr>
          <w:snapToGrid w:val="0"/>
        </w:rPr>
      </w:pPr>
      <w:bookmarkStart w:id="139" w:name="_Toc378948410"/>
      <w:r>
        <w:rPr>
          <w:rStyle w:val="CharSClsNo"/>
        </w:rPr>
        <w:t>1</w:t>
      </w:r>
      <w:r>
        <w:rPr>
          <w:snapToGrid w:val="0"/>
        </w:rPr>
        <w:t>.</w:t>
      </w:r>
      <w:r>
        <w:rPr>
          <w:snapToGrid w:val="0"/>
        </w:rPr>
        <w:tab/>
        <w:t>Real estate settlement agent</w:t>
      </w:r>
      <w:bookmarkEnd w:id="139"/>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real estate settlement agent and the duties and liabilities of a real estate settlement agent and who satisfies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Ednotesubsection"/>
      </w:pPr>
      <w:r>
        <w:tab/>
        <w:t>[(2)</w:t>
      </w:r>
      <w:r>
        <w:tab/>
        <w:t>deleted]</w:t>
      </w:r>
    </w:p>
    <w:p>
      <w:pPr>
        <w:pStyle w:val="yFootnotesection"/>
        <w:keepLines w:val="0"/>
      </w:pPr>
      <w:r>
        <w:tab/>
        <w:t>[Clause 1 amended by No. 64 of 1982 s. 5(a); No. 28 of 2003 s. 183(1); No. 58 of 2010 s. 175 and 176.]</w:t>
      </w:r>
    </w:p>
    <w:p>
      <w:pPr>
        <w:pStyle w:val="yHeading5"/>
        <w:outlineLvl w:val="0"/>
      </w:pPr>
      <w:bookmarkStart w:id="140" w:name="_Toc378948411"/>
      <w:r>
        <w:rPr>
          <w:rStyle w:val="CharSClsNo"/>
        </w:rPr>
        <w:t>2</w:t>
      </w:r>
      <w:r>
        <w:t xml:space="preserve">. </w:t>
      </w:r>
      <w:r>
        <w:tab/>
        <w:t>Business settlement agent</w:t>
      </w:r>
      <w:bookmarkEnd w:id="140"/>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business settlement agent and the duties and liabilities of a business settlement agent and who has satisfied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Ednotesubsection"/>
      </w:pPr>
      <w:r>
        <w:tab/>
        <w:t>[(2)</w:t>
      </w:r>
      <w:r>
        <w:tab/>
        <w:t>deleted]</w:t>
      </w:r>
    </w:p>
    <w:p>
      <w:pPr>
        <w:pStyle w:val="yFootnotesection"/>
      </w:pPr>
      <w:r>
        <w:tab/>
        <w:t>[Clause 2 amended by No. 64 of 1982 s. 5(b); No. 28 of 2003 s. 183(2); No. 58 of 2010 s. 175 and 176.]</w:t>
      </w:r>
    </w:p>
    <w:p>
      <w:pPr>
        <w:pStyle w:val="yHeading5"/>
        <w:outlineLvl w:val="0"/>
      </w:pPr>
      <w:bookmarkStart w:id="141" w:name="_Toc378948412"/>
      <w:r>
        <w:rPr>
          <w:rStyle w:val="CharSClsNo"/>
        </w:rPr>
        <w:t>3</w:t>
      </w:r>
      <w:r>
        <w:t xml:space="preserve">. </w:t>
      </w:r>
      <w:r>
        <w:tab/>
        <w:t>Licence by reason of qualification under cl. 1(1)(c) and 2(1)(c)</w:t>
      </w:r>
      <w:bookmarkEnd w:id="141"/>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142" w:name="_Toc378948413"/>
      <w:r>
        <w:rPr>
          <w:rStyle w:val="CharSClsNo"/>
        </w:rPr>
        <w:t>4</w:t>
      </w:r>
      <w:r>
        <w:t>.</w:t>
      </w:r>
      <w:r>
        <w:tab/>
        <w:t>Licence by reason of qualification under cl. 1(1)(d) and 2(1)(d)</w:t>
      </w:r>
      <w:bookmarkEnd w:id="142"/>
    </w:p>
    <w:p>
      <w:pPr>
        <w:pStyle w:val="ySubsection"/>
        <w:rPr>
          <w:snapToGrid w:val="0"/>
        </w:rPr>
      </w:pPr>
      <w:r>
        <w:rPr>
          <w:snapToGrid w:val="0"/>
        </w:rPr>
        <w:tab/>
      </w:r>
      <w:r>
        <w:rPr>
          <w:snapToGrid w:val="0"/>
        </w:rPr>
        <w:tab/>
        <w:t>Such a licence</w:t>
      </w:r>
      <w:r>
        <w:t xml:space="preserve"> 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[Clause 4 amended by No. 28 of 2003 s. 183(3); No. 58 of 2010 s. 176.]</w:t>
      </w:r>
    </w:p>
    <w:p>
      <w:pPr>
        <w:pStyle w:val="yHeading5"/>
        <w:outlineLvl w:val="0"/>
      </w:pPr>
      <w:bookmarkStart w:id="143" w:name="_Toc378948414"/>
      <w:r>
        <w:rPr>
          <w:rStyle w:val="CharSClsNo"/>
        </w:rPr>
        <w:t>5</w:t>
      </w:r>
      <w:r>
        <w:t xml:space="preserve">. </w:t>
      </w:r>
      <w:r>
        <w:tab/>
        <w:t>Dead or incapacitated licensee, conduct of business of</w:t>
      </w:r>
      <w:bookmarkEnd w:id="143"/>
    </w:p>
    <w:p>
      <w:pPr>
        <w:pStyle w:val="ySubsection"/>
      </w:pPr>
      <w:r>
        <w:rPr>
          <w:snapToGrid w:val="0"/>
        </w:rPr>
        <w:tab/>
        <w:t>(1)</w:t>
      </w:r>
      <w:r>
        <w:rPr>
          <w:snapToGrid w:val="0"/>
        </w:rPr>
        <w:tab/>
        <w:t xml:space="preserve">A person who is </w:t>
      </w:r>
      <w:r>
        <w:t>not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xml:space="preserve">, with the written permission of the </w:t>
      </w:r>
      <w:r>
        <w:t>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by No. 28 of 2003 s. 183(4); No. 58 of 2010 s. 176.]</w:t>
      </w:r>
    </w:p>
    <w:p>
      <w:pPr>
        <w:pStyle w:val="yHeading3"/>
        <w:rPr>
          <w:rFonts w:eastAsia="MS Mincho"/>
        </w:rPr>
      </w:pPr>
      <w:bookmarkStart w:id="144" w:name="_Toc378948415"/>
      <w:r>
        <w:rPr>
          <w:rStyle w:val="CharSDivNo"/>
          <w:rFonts w:eastAsia="MS Mincho"/>
        </w:rPr>
        <w:t>Division 2</w:t>
      </w:r>
      <w:r>
        <w:rPr>
          <w:rFonts w:eastAsia="MS Mincho"/>
          <w:b w:val="0"/>
        </w:rPr>
        <w:t> — </w:t>
      </w:r>
      <w:r>
        <w:rPr>
          <w:rStyle w:val="CharSDivText"/>
          <w:rFonts w:eastAsia="MS Mincho"/>
        </w:rPr>
        <w:t>Disqualification</w:t>
      </w:r>
      <w:bookmarkEnd w:id="144"/>
    </w:p>
    <w:p>
      <w:pPr>
        <w:pStyle w:val="yFootnoteheading"/>
        <w:rPr>
          <w:rFonts w:eastAsia="MS Mincho"/>
        </w:rPr>
      </w:pPr>
      <w:r>
        <w:rPr>
          <w:rFonts w:eastAsia="MS Mincho"/>
        </w:rPr>
        <w:tab/>
        <w:t>[Heading inserted by No. 19 of 2010 s. 35(3).]</w:t>
      </w:r>
    </w:p>
    <w:p>
      <w:pPr>
        <w:pStyle w:val="yHeading5"/>
        <w:outlineLvl w:val="0"/>
      </w:pPr>
      <w:bookmarkStart w:id="145" w:name="_Toc378948416"/>
      <w:r>
        <w:rPr>
          <w:rStyle w:val="CharSClsNo"/>
        </w:rPr>
        <w:t>6</w:t>
      </w:r>
      <w:r>
        <w:t>.</w:t>
      </w:r>
      <w:r>
        <w:tab/>
        <w:t>Term used: business licence</w:t>
      </w:r>
      <w:bookmarkEnd w:id="145"/>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pPr>
        <w:pStyle w:val="yFootnotesection"/>
      </w:pPr>
      <w:r>
        <w:tab/>
        <w:t>[Clause 6 amended by No. 14 of 2010 s. 79.]</w:t>
      </w:r>
    </w:p>
    <w:p>
      <w:pPr>
        <w:pStyle w:val="yHeading5"/>
        <w:spacing w:before="160"/>
        <w:outlineLvl w:val="0"/>
      </w:pPr>
      <w:bookmarkStart w:id="146" w:name="_Toc378948417"/>
      <w:r>
        <w:rPr>
          <w:rStyle w:val="CharSClsNo"/>
        </w:rPr>
        <w:t>7</w:t>
      </w:r>
      <w:r>
        <w:t xml:space="preserve">. </w:t>
      </w:r>
      <w:r>
        <w:tab/>
        <w:t>Natural persons, disqualification of</w:t>
      </w:r>
      <w:bookmarkEnd w:id="146"/>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person if within the period of 5 years immediately preceding the date of the application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Footnotesection"/>
      </w:pPr>
      <w:r>
        <w:tab/>
        <w:t>[Clause 7 amended by No. 58 of 2010 s. 176.]</w:t>
      </w:r>
    </w:p>
    <w:p>
      <w:pPr>
        <w:pStyle w:val="yHeading5"/>
        <w:spacing w:before="160"/>
        <w:outlineLvl w:val="0"/>
      </w:pPr>
      <w:bookmarkStart w:id="147" w:name="_Toc378948418"/>
      <w:r>
        <w:rPr>
          <w:rStyle w:val="CharSClsNo"/>
        </w:rPr>
        <w:t>8</w:t>
      </w:r>
      <w:r>
        <w:t xml:space="preserve">. </w:t>
      </w:r>
      <w:r>
        <w:tab/>
        <w:t>Bodies corporate, disqualification of</w:t>
      </w:r>
      <w:bookmarkEnd w:id="147"/>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body corporate if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 or</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Footnotesection"/>
      </w:pPr>
      <w:r>
        <w:tab/>
        <w:t>[Clause 8 amended by No. 58 of 2010 s. 176.]</w:t>
      </w:r>
    </w:p>
    <w:p>
      <w:pPr>
        <w:pStyle w:val="yHeading5"/>
        <w:outlineLvl w:val="0"/>
      </w:pPr>
      <w:bookmarkStart w:id="148" w:name="_Toc378948419"/>
      <w:r>
        <w:rPr>
          <w:rStyle w:val="CharSClsNo"/>
        </w:rPr>
        <w:t>9</w:t>
      </w:r>
      <w:r>
        <w:t xml:space="preserve">. </w:t>
      </w:r>
      <w:r>
        <w:tab/>
        <w:t>Firms, disqualification of</w:t>
      </w:r>
      <w:bookmarkEnd w:id="148"/>
    </w:p>
    <w:p>
      <w:pPr>
        <w:pStyle w:val="ySubsection"/>
        <w:spacing w:before="140"/>
        <w:rPr>
          <w:snapToGrid w:val="0"/>
        </w:rPr>
      </w:pPr>
      <w:r>
        <w:rPr>
          <w:snapToGrid w:val="0"/>
        </w:rPr>
        <w:tab/>
      </w:r>
      <w:r>
        <w:rPr>
          <w:snapToGrid w:val="0"/>
        </w:rPr>
        <w:tab/>
        <w:t xml:space="preserve">The </w:t>
      </w:r>
      <w:r>
        <w:t>Commissioner</w:t>
      </w:r>
      <w:r>
        <w:rPr>
          <w:snapToGrid w:val="0"/>
        </w:rPr>
        <w:t xml:space="preserve"> shall not grant a licence on the application of a firm if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 xml:space="preserve">within the period of 5 years immediately preceding the date of the application a business licence held by the applicant, or by a firm that was in the opinion of the </w:t>
      </w:r>
      <w:r>
        <w:t>Commissioner</w:t>
      </w:r>
      <w:r>
        <w:rPr>
          <w:snapToGrid w:val="0"/>
        </w:rPr>
        <w:t xml:space="preserve"> substantially the same as the applicant, has been suspended or cancelled by reason of any offence or misconduct connected with the operation of the business carried on pursuant to the licence.</w:t>
      </w:r>
    </w:p>
    <w:p>
      <w:pPr>
        <w:pStyle w:val="yFootnotesection"/>
      </w:pPr>
      <w:r>
        <w:tab/>
        <w:t>[Clause 9 amended by No. 58 of 2010 s. 176.]</w:t>
      </w:r>
    </w:p>
    <w:p>
      <w:pPr>
        <w:pStyle w:val="yHeading3"/>
      </w:pPr>
      <w:bookmarkStart w:id="149" w:name="_Toc378948420"/>
      <w:r>
        <w:rPr>
          <w:rStyle w:val="CharSDivNo"/>
        </w:rPr>
        <w:t>Division 3</w:t>
      </w:r>
      <w:r>
        <w:t> — </w:t>
      </w:r>
      <w:r>
        <w:rPr>
          <w:rStyle w:val="CharSDivText"/>
        </w:rPr>
        <w:t>Temporary arrangements</w:t>
      </w:r>
      <w:bookmarkEnd w:id="149"/>
    </w:p>
    <w:p>
      <w:pPr>
        <w:pStyle w:val="yFootnoteheading"/>
        <w:rPr>
          <w:rFonts w:eastAsia="MS Mincho"/>
        </w:rPr>
      </w:pPr>
      <w:r>
        <w:rPr>
          <w:rFonts w:eastAsia="MS Mincho"/>
        </w:rPr>
        <w:tab/>
        <w:t>[Heading inserted by No. 19 of 2010 s. 35(4).]</w:t>
      </w:r>
    </w:p>
    <w:p>
      <w:pPr>
        <w:pStyle w:val="yHeading5"/>
        <w:outlineLvl w:val="0"/>
      </w:pPr>
      <w:bookmarkStart w:id="150" w:name="_Toc378948421"/>
      <w:r>
        <w:rPr>
          <w:rStyle w:val="CharSClsNo"/>
        </w:rPr>
        <w:t>10</w:t>
      </w:r>
      <w:r>
        <w:t xml:space="preserve">. </w:t>
      </w:r>
      <w:r>
        <w:tab/>
        <w:t>Death or withdrawal of partner in firm or director of body corporate, Commissioner to be notified etc.</w:t>
      </w:r>
      <w:bookmarkEnd w:id="150"/>
    </w:p>
    <w:p>
      <w:pPr>
        <w:pStyle w:val="ySubsection"/>
        <w:spacing w:before="140"/>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10 amended by No. 58 of 2010 s. 176.]</w:t>
      </w:r>
    </w:p>
    <w:p>
      <w:pPr>
        <w:pStyle w:val="yScheduleHeading"/>
        <w:outlineLvl w:val="0"/>
      </w:pPr>
      <w:bookmarkStart w:id="151" w:name="_Toc378948422"/>
      <w:r>
        <w:rPr>
          <w:rStyle w:val="CharSchNo"/>
        </w:rPr>
        <w:t>Schedule 2</w:t>
      </w:r>
      <w:r>
        <w:rPr>
          <w:rStyle w:val="CharSDivNo"/>
        </w:rPr>
        <w:t> </w:t>
      </w:r>
      <w:r>
        <w:t>—</w:t>
      </w:r>
      <w:r>
        <w:rPr>
          <w:rStyle w:val="CharSDivText"/>
        </w:rPr>
        <w:t xml:space="preserve"> </w:t>
      </w:r>
      <w:r>
        <w:rPr>
          <w:rStyle w:val="CharSchText"/>
        </w:rPr>
        <w:t>Functions of a settlement agent</w:t>
      </w:r>
      <w:bookmarkEnd w:id="151"/>
    </w:p>
    <w:p>
      <w:pPr>
        <w:pStyle w:val="yShoulderClause"/>
        <w:rPr>
          <w:snapToGrid w:val="0"/>
        </w:rPr>
      </w:pPr>
      <w:r>
        <w:rPr>
          <w:snapToGrid w:val="0"/>
        </w:rPr>
        <w:t>[s</w:t>
      </w:r>
      <w:r>
        <w:rPr>
          <w:snapToGrid w:val="0"/>
          <w:sz w:val="24"/>
        </w:rPr>
        <w:t>.</w:t>
      </w:r>
      <w:r>
        <w:rPr>
          <w:snapToGrid w:val="0"/>
        </w:rPr>
        <w:t> 46 and 47]</w:t>
      </w:r>
    </w:p>
    <w:p>
      <w:pPr>
        <w:pStyle w:val="yFootnoteheading"/>
        <w:rPr>
          <w:rFonts w:eastAsia="MS Mincho"/>
        </w:rPr>
      </w:pPr>
      <w:r>
        <w:rPr>
          <w:rFonts w:eastAsia="MS Mincho"/>
        </w:rPr>
        <w:tab/>
        <w:t>[Heading amended by No. 19 of 2010 s. 35(5).]</w:t>
      </w:r>
    </w:p>
    <w:p>
      <w:pPr>
        <w:pStyle w:val="yHeading5"/>
        <w:outlineLvl w:val="0"/>
      </w:pPr>
      <w:bookmarkStart w:id="152" w:name="_Toc378948423"/>
      <w:r>
        <w:rPr>
          <w:rStyle w:val="CharSClsNo"/>
        </w:rPr>
        <w:t>1</w:t>
      </w:r>
      <w:r>
        <w:t>.</w:t>
      </w:r>
      <w:r>
        <w:tab/>
        <w:t>Real estate settlement agent</w:t>
      </w:r>
      <w:bookmarkEnd w:id="152"/>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completing powers of attorney in such form and subject to such conditions as are prescribed;</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 or</w:t>
      </w:r>
    </w:p>
    <w:p>
      <w:pPr>
        <w:pStyle w:val="yIndenti0"/>
        <w:rPr>
          <w:snapToGrid w:val="0"/>
        </w:rPr>
      </w:pPr>
      <w:r>
        <w:rPr>
          <w:snapToGrid w:val="0"/>
        </w:rPr>
        <w:tab/>
        <w:t>(ii)</w:t>
      </w:r>
      <w:r>
        <w:rPr>
          <w:snapToGrid w:val="0"/>
        </w:rPr>
        <w:tab/>
      </w:r>
      <w:r>
        <w:rPr>
          <w:i/>
          <w:snapToGrid w:val="0"/>
        </w:rPr>
        <w:t>Registration of Deeds Act 1856</w:t>
      </w:r>
      <w:r>
        <w:rPr>
          <w:snapToGrid w:val="0"/>
        </w:rPr>
        <w:t>; or</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 No. 12 of 2008 Sch. 1 cl. 34.]</w:t>
      </w:r>
    </w:p>
    <w:p>
      <w:pPr>
        <w:pStyle w:val="yHeading5"/>
        <w:outlineLvl w:val="0"/>
      </w:pPr>
      <w:bookmarkStart w:id="153" w:name="_Toc378948424"/>
      <w:r>
        <w:rPr>
          <w:rStyle w:val="CharSClsNo"/>
        </w:rPr>
        <w:t>2</w:t>
      </w:r>
      <w:r>
        <w:t xml:space="preserve">. </w:t>
      </w:r>
      <w:r>
        <w:tab/>
        <w:t>Business settlement agent</w:t>
      </w:r>
      <w:bookmarkEnd w:id="153"/>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Ednotepara"/>
        <w:rPr>
          <w:snapToGrid w:val="0"/>
        </w:rPr>
      </w:pPr>
      <w:r>
        <w:rPr>
          <w:snapToGrid w:val="0"/>
        </w:rPr>
        <w:tab/>
        <w:t>[(fa)</w:t>
      </w:r>
      <w:r>
        <w:rPr>
          <w:snapToGrid w:val="0"/>
        </w:rPr>
        <w:tab/>
        <w:t>deleted]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subject to such conditions as are imposed by the code of conduct, preparing and arranging the execution of</w:t>
      </w:r>
      <w:r>
        <w:t xml:space="preserve"> any applications necessary under the </w:t>
      </w:r>
      <w:r>
        <w:rPr>
          <w:i/>
        </w:rPr>
        <w:t>Business Names Registration Act 2011</w:t>
      </w:r>
      <w:r>
        <w:t xml:space="preserve"> (Commonwealth) to effect the transfer of a business name under that Act;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[Clause 2 amended by No. 14 of 1996 s. 4; No. 62 of 1996 s. 5(2); No. 81 of 1996 s. 153(2); No. 12 of 2008 Sch. 1 cl. 34; No. 42 of 2011 s. 59; No. 6 of 2012 s. 43.]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154" w:name="_Toc378948425"/>
      <w:r>
        <w:t>Notes</w:t>
      </w:r>
      <w:bookmarkEnd w:id="154"/>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Act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5" w:name="_Toc378948426"/>
      <w:r>
        <w:rPr>
          <w:snapToGrid w:val="0"/>
        </w:rPr>
        <w:t>Compilation table</w:t>
      </w:r>
      <w:bookmarkEnd w:id="15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before="68" w:after="68"/>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8" w:after="68"/>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68" w:after="68"/>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before="68" w:after="68"/>
              <w:rPr>
                <w:b/>
                <w:sz w:val="19"/>
              </w:rPr>
            </w:pPr>
            <w:r>
              <w:rPr>
                <w:b/>
                <w:sz w:val="19"/>
              </w:rPr>
              <w:t>Commencement</w:t>
            </w:r>
          </w:p>
        </w:tc>
      </w:tr>
      <w:tr>
        <w:trPr>
          <w:cantSplit/>
        </w:trPr>
        <w:tc>
          <w:tcPr>
            <w:tcW w:w="2269" w:type="dxa"/>
          </w:tcPr>
          <w:p>
            <w:pPr>
              <w:pStyle w:val="nTable"/>
              <w:spacing w:before="68" w:after="68"/>
              <w:ind w:right="113"/>
              <w:rPr>
                <w:sz w:val="19"/>
              </w:rPr>
            </w:pPr>
            <w:r>
              <w:rPr>
                <w:i/>
                <w:sz w:val="19"/>
              </w:rPr>
              <w:t>Settlement Agents Act 1981</w:t>
            </w:r>
          </w:p>
        </w:tc>
        <w:tc>
          <w:tcPr>
            <w:tcW w:w="1134" w:type="dxa"/>
          </w:tcPr>
          <w:p>
            <w:pPr>
              <w:pStyle w:val="nTable"/>
              <w:spacing w:before="68" w:after="68"/>
              <w:rPr>
                <w:sz w:val="19"/>
              </w:rPr>
            </w:pPr>
            <w:r>
              <w:rPr>
                <w:sz w:val="19"/>
              </w:rPr>
              <w:t>33 of 1981</w:t>
            </w:r>
          </w:p>
        </w:tc>
        <w:tc>
          <w:tcPr>
            <w:tcW w:w="1134" w:type="dxa"/>
          </w:tcPr>
          <w:p>
            <w:pPr>
              <w:pStyle w:val="nTable"/>
              <w:spacing w:before="68" w:after="68"/>
              <w:rPr>
                <w:sz w:val="19"/>
              </w:rPr>
            </w:pPr>
            <w:r>
              <w:rPr>
                <w:sz w:val="19"/>
              </w:rPr>
              <w:t>26 May 1981</w:t>
            </w:r>
          </w:p>
        </w:tc>
        <w:tc>
          <w:tcPr>
            <w:tcW w:w="2552" w:type="dxa"/>
          </w:tcPr>
          <w:p>
            <w:pPr>
              <w:pStyle w:val="nTable"/>
              <w:spacing w:before="68" w:after="68"/>
              <w:rPr>
                <w:sz w:val="19"/>
              </w:rPr>
            </w:pPr>
            <w:r>
              <w:rPr>
                <w:sz w:val="19"/>
              </w:rPr>
              <w:t xml:space="preserve">1 Jul 1981 (see s. 2 and </w:t>
            </w:r>
            <w:r>
              <w:rPr>
                <w:i/>
                <w:sz w:val="19"/>
              </w:rPr>
              <w:t>Gazette</w:t>
            </w:r>
            <w:r>
              <w:rPr>
                <w:sz w:val="19"/>
              </w:rPr>
              <w:t xml:space="preserve"> 26 Jun 1981 p. 2285)</w:t>
            </w:r>
          </w:p>
        </w:tc>
      </w:tr>
      <w:tr>
        <w:trPr>
          <w:cantSplit/>
        </w:trPr>
        <w:tc>
          <w:tcPr>
            <w:tcW w:w="2269" w:type="dxa"/>
          </w:tcPr>
          <w:p>
            <w:pPr>
              <w:pStyle w:val="nTable"/>
              <w:spacing w:before="68" w:after="68"/>
              <w:ind w:right="113"/>
              <w:rPr>
                <w:sz w:val="19"/>
              </w:rPr>
            </w:pPr>
            <w:r>
              <w:rPr>
                <w:i/>
                <w:sz w:val="19"/>
              </w:rPr>
              <w:t xml:space="preserve">Companies (Consequential Amendments) Act 1982 </w:t>
            </w:r>
            <w:r>
              <w:rPr>
                <w:sz w:val="19"/>
              </w:rPr>
              <w:t>s. 28</w:t>
            </w:r>
          </w:p>
        </w:tc>
        <w:tc>
          <w:tcPr>
            <w:tcW w:w="1134" w:type="dxa"/>
          </w:tcPr>
          <w:p>
            <w:pPr>
              <w:pStyle w:val="nTable"/>
              <w:spacing w:before="68" w:after="68"/>
              <w:rPr>
                <w:sz w:val="19"/>
              </w:rPr>
            </w:pPr>
            <w:r>
              <w:rPr>
                <w:sz w:val="19"/>
              </w:rPr>
              <w:t>10 of 1982</w:t>
            </w:r>
          </w:p>
        </w:tc>
        <w:tc>
          <w:tcPr>
            <w:tcW w:w="1134" w:type="dxa"/>
          </w:tcPr>
          <w:p>
            <w:pPr>
              <w:pStyle w:val="nTable"/>
              <w:spacing w:before="68" w:after="68"/>
              <w:rPr>
                <w:sz w:val="19"/>
              </w:rPr>
            </w:pPr>
            <w:r>
              <w:rPr>
                <w:sz w:val="19"/>
              </w:rPr>
              <w:t>14 May 1982</w:t>
            </w:r>
          </w:p>
        </w:tc>
        <w:tc>
          <w:tcPr>
            <w:tcW w:w="2552" w:type="dxa"/>
          </w:tcPr>
          <w:p>
            <w:pPr>
              <w:pStyle w:val="nTable"/>
              <w:spacing w:before="68" w:after="68"/>
              <w:rPr>
                <w:sz w:val="19"/>
              </w:rPr>
            </w:pPr>
            <w:r>
              <w:rPr>
                <w:sz w:val="19"/>
              </w:rPr>
              <w:t xml:space="preserve">1 Jul 1982 (see s. 2(1) and </w:t>
            </w:r>
            <w:r>
              <w:rPr>
                <w:i/>
                <w:sz w:val="19"/>
              </w:rPr>
              <w:t>Gazette</w:t>
            </w:r>
            <w:r>
              <w:rPr>
                <w:sz w:val="19"/>
              </w:rPr>
              <w:t xml:space="preserve"> 25 Jun 1982 p. 2079)</w:t>
            </w:r>
          </w:p>
        </w:tc>
      </w:tr>
      <w:tr>
        <w:trPr>
          <w:cantSplit/>
        </w:trPr>
        <w:tc>
          <w:tcPr>
            <w:tcW w:w="2269" w:type="dxa"/>
          </w:tcPr>
          <w:p>
            <w:pPr>
              <w:pStyle w:val="nTable"/>
              <w:spacing w:before="68" w:after="68"/>
              <w:ind w:right="113"/>
              <w:rPr>
                <w:sz w:val="19"/>
              </w:rPr>
            </w:pPr>
            <w:r>
              <w:rPr>
                <w:i/>
                <w:sz w:val="19"/>
              </w:rPr>
              <w:t>Settlement Agents Amendment Act 1982</w:t>
            </w:r>
          </w:p>
        </w:tc>
        <w:tc>
          <w:tcPr>
            <w:tcW w:w="1134" w:type="dxa"/>
          </w:tcPr>
          <w:p>
            <w:pPr>
              <w:pStyle w:val="nTable"/>
              <w:spacing w:before="68" w:after="68"/>
              <w:rPr>
                <w:sz w:val="19"/>
              </w:rPr>
            </w:pPr>
            <w:r>
              <w:rPr>
                <w:sz w:val="19"/>
              </w:rPr>
              <w:t>64 of 1982</w:t>
            </w:r>
          </w:p>
        </w:tc>
        <w:tc>
          <w:tcPr>
            <w:tcW w:w="1134" w:type="dxa"/>
          </w:tcPr>
          <w:p>
            <w:pPr>
              <w:pStyle w:val="nTable"/>
              <w:spacing w:before="68" w:after="68"/>
              <w:rPr>
                <w:sz w:val="19"/>
              </w:rPr>
            </w:pPr>
            <w:r>
              <w:rPr>
                <w:sz w:val="19"/>
              </w:rPr>
              <w:t>19 Oct 1982</w:t>
            </w:r>
          </w:p>
        </w:tc>
        <w:tc>
          <w:tcPr>
            <w:tcW w:w="2552" w:type="dxa"/>
          </w:tcPr>
          <w:p>
            <w:pPr>
              <w:pStyle w:val="nTable"/>
              <w:spacing w:before="68" w:after="68"/>
              <w:rPr>
                <w:sz w:val="19"/>
              </w:rPr>
            </w:pPr>
            <w:r>
              <w:rPr>
                <w:sz w:val="19"/>
              </w:rPr>
              <w:t>19 Oct 1982</w:t>
            </w:r>
          </w:p>
        </w:tc>
      </w:tr>
      <w:tr>
        <w:trPr>
          <w:cantSplit/>
        </w:trPr>
        <w:tc>
          <w:tcPr>
            <w:tcW w:w="2269" w:type="dxa"/>
          </w:tcPr>
          <w:p>
            <w:pPr>
              <w:pStyle w:val="nTable"/>
              <w:spacing w:before="68" w:after="68"/>
              <w:ind w:right="113"/>
              <w:rPr>
                <w:sz w:val="19"/>
              </w:rPr>
            </w:pPr>
            <w:r>
              <w:rPr>
                <w:i/>
                <w:sz w:val="19"/>
              </w:rPr>
              <w:t xml:space="preserve">Acts Amendment (Financial Administration and Audit) Act 1985 </w:t>
            </w:r>
            <w:r>
              <w:rPr>
                <w:sz w:val="19"/>
              </w:rPr>
              <w:t>s. 3</w:t>
            </w:r>
          </w:p>
        </w:tc>
        <w:tc>
          <w:tcPr>
            <w:tcW w:w="1134" w:type="dxa"/>
          </w:tcPr>
          <w:p>
            <w:pPr>
              <w:pStyle w:val="nTable"/>
              <w:spacing w:before="68" w:after="68"/>
              <w:rPr>
                <w:sz w:val="19"/>
              </w:rPr>
            </w:pPr>
            <w:r>
              <w:rPr>
                <w:sz w:val="19"/>
              </w:rPr>
              <w:t>98 of 1985</w:t>
            </w:r>
          </w:p>
        </w:tc>
        <w:tc>
          <w:tcPr>
            <w:tcW w:w="1134" w:type="dxa"/>
          </w:tcPr>
          <w:p>
            <w:pPr>
              <w:pStyle w:val="nTable"/>
              <w:spacing w:before="68" w:after="68"/>
              <w:rPr>
                <w:sz w:val="19"/>
              </w:rPr>
            </w:pPr>
            <w:r>
              <w:rPr>
                <w:sz w:val="19"/>
              </w:rPr>
              <w:t>4 Dec 1985</w:t>
            </w:r>
          </w:p>
        </w:tc>
        <w:tc>
          <w:tcPr>
            <w:tcW w:w="2552" w:type="dxa"/>
          </w:tcPr>
          <w:p>
            <w:pPr>
              <w:pStyle w:val="nTable"/>
              <w:spacing w:before="68" w:after="68"/>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before="68" w:after="68"/>
              <w:ind w:right="113"/>
              <w:rPr>
                <w:sz w:val="19"/>
              </w:rPr>
            </w:pPr>
            <w:r>
              <w:rPr>
                <w:i/>
                <w:sz w:val="19"/>
              </w:rPr>
              <w:t xml:space="preserve">State Government Insurance Commission Act 1986 </w:t>
            </w:r>
            <w:r>
              <w:rPr>
                <w:sz w:val="19"/>
              </w:rPr>
              <w:t>s. 46(2)</w:t>
            </w:r>
          </w:p>
        </w:tc>
        <w:tc>
          <w:tcPr>
            <w:tcW w:w="1134" w:type="dxa"/>
          </w:tcPr>
          <w:p>
            <w:pPr>
              <w:pStyle w:val="nTable"/>
              <w:spacing w:before="68" w:after="68"/>
              <w:rPr>
                <w:sz w:val="19"/>
              </w:rPr>
            </w:pPr>
            <w:r>
              <w:rPr>
                <w:sz w:val="19"/>
              </w:rPr>
              <w:t>51 of 1986</w:t>
            </w:r>
          </w:p>
        </w:tc>
        <w:tc>
          <w:tcPr>
            <w:tcW w:w="1134" w:type="dxa"/>
          </w:tcPr>
          <w:p>
            <w:pPr>
              <w:pStyle w:val="nTable"/>
              <w:spacing w:before="68" w:after="68"/>
              <w:rPr>
                <w:sz w:val="19"/>
              </w:rPr>
            </w:pPr>
            <w:r>
              <w:rPr>
                <w:sz w:val="19"/>
              </w:rPr>
              <w:t>5 Aug 1986</w:t>
            </w:r>
          </w:p>
        </w:tc>
        <w:tc>
          <w:tcPr>
            <w:tcW w:w="2552" w:type="dxa"/>
          </w:tcPr>
          <w:p>
            <w:pPr>
              <w:pStyle w:val="nTable"/>
              <w:spacing w:before="68" w:after="68"/>
              <w:rPr>
                <w:sz w:val="19"/>
              </w:rPr>
            </w:pP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before="68" w:after="68"/>
              <w:ind w:right="113"/>
              <w:rPr>
                <w:sz w:val="19"/>
              </w:rPr>
            </w:pPr>
            <w:r>
              <w:rPr>
                <w:i/>
                <w:sz w:val="19"/>
              </w:rPr>
              <w:t xml:space="preserve">Acts Amendment (Legal Practitioners, Costs and Taxation) Act 1987 </w:t>
            </w:r>
            <w:r>
              <w:rPr>
                <w:sz w:val="19"/>
              </w:rPr>
              <w:t>Pt. XVI</w:t>
            </w:r>
          </w:p>
        </w:tc>
        <w:tc>
          <w:tcPr>
            <w:tcW w:w="1134" w:type="dxa"/>
          </w:tcPr>
          <w:p>
            <w:pPr>
              <w:pStyle w:val="nTable"/>
              <w:spacing w:before="68" w:after="68"/>
              <w:rPr>
                <w:sz w:val="19"/>
              </w:rPr>
            </w:pPr>
            <w:r>
              <w:rPr>
                <w:sz w:val="19"/>
              </w:rPr>
              <w:t>65 of 1987</w:t>
            </w:r>
          </w:p>
        </w:tc>
        <w:tc>
          <w:tcPr>
            <w:tcW w:w="1134" w:type="dxa"/>
          </w:tcPr>
          <w:p>
            <w:pPr>
              <w:pStyle w:val="nTable"/>
              <w:spacing w:before="68" w:after="68"/>
              <w:rPr>
                <w:sz w:val="19"/>
              </w:rPr>
            </w:pPr>
            <w:r>
              <w:rPr>
                <w:sz w:val="19"/>
              </w:rPr>
              <w:t>1 Dec 1987</w:t>
            </w:r>
          </w:p>
        </w:tc>
        <w:tc>
          <w:tcPr>
            <w:tcW w:w="2552" w:type="dxa"/>
          </w:tcPr>
          <w:p>
            <w:pPr>
              <w:pStyle w:val="nTable"/>
              <w:spacing w:before="68" w:after="68"/>
              <w:rPr>
                <w:sz w:val="19"/>
              </w:rPr>
            </w:pPr>
            <w:r>
              <w:rPr>
                <w:sz w:val="19"/>
              </w:rPr>
              <w:t xml:space="preserve">12 Feb 1988 (see s. 2(2) and </w:t>
            </w:r>
            <w:r>
              <w:rPr>
                <w:i/>
                <w:sz w:val="19"/>
              </w:rPr>
              <w:t>Gazette</w:t>
            </w:r>
            <w:r>
              <w:rPr>
                <w:sz w:val="19"/>
              </w:rPr>
              <w:t xml:space="preserve"> 12 Feb 1988 p. 397)</w:t>
            </w:r>
          </w:p>
        </w:tc>
      </w:tr>
      <w:tr>
        <w:trPr>
          <w:cantSplit/>
        </w:trPr>
        <w:tc>
          <w:tcPr>
            <w:tcW w:w="2269" w:type="dxa"/>
          </w:tcPr>
          <w:p>
            <w:pPr>
              <w:pStyle w:val="nTable"/>
              <w:spacing w:before="68" w:after="68"/>
              <w:ind w:right="113"/>
              <w:rPr>
                <w:sz w:val="19"/>
              </w:rPr>
            </w:pPr>
            <w:r>
              <w:rPr>
                <w:i/>
                <w:sz w:val="19"/>
              </w:rPr>
              <w:t xml:space="preserve">R &amp; I Bank Act 1990 </w:t>
            </w:r>
            <w:r>
              <w:rPr>
                <w:sz w:val="19"/>
              </w:rPr>
              <w:t>s. 45(1)</w:t>
            </w:r>
          </w:p>
        </w:tc>
        <w:tc>
          <w:tcPr>
            <w:tcW w:w="1134" w:type="dxa"/>
          </w:tcPr>
          <w:p>
            <w:pPr>
              <w:pStyle w:val="nTable"/>
              <w:spacing w:before="68" w:after="68"/>
              <w:rPr>
                <w:sz w:val="19"/>
              </w:rPr>
            </w:pPr>
            <w:r>
              <w:rPr>
                <w:sz w:val="19"/>
              </w:rPr>
              <w:t>73 of 1990</w:t>
            </w:r>
          </w:p>
        </w:tc>
        <w:tc>
          <w:tcPr>
            <w:tcW w:w="1134" w:type="dxa"/>
          </w:tcPr>
          <w:p>
            <w:pPr>
              <w:pStyle w:val="nTable"/>
              <w:spacing w:before="68" w:after="68"/>
              <w:rPr>
                <w:sz w:val="19"/>
              </w:rPr>
            </w:pPr>
            <w:r>
              <w:rPr>
                <w:sz w:val="19"/>
              </w:rPr>
              <w:t>20 Dec 1990</w:t>
            </w:r>
          </w:p>
        </w:tc>
        <w:tc>
          <w:tcPr>
            <w:tcW w:w="2552" w:type="dxa"/>
          </w:tcPr>
          <w:p>
            <w:pPr>
              <w:pStyle w:val="nTable"/>
              <w:spacing w:before="68" w:after="68"/>
              <w:rPr>
                <w:sz w:val="19"/>
              </w:rPr>
            </w:pPr>
            <w:r>
              <w:rPr>
                <w:sz w:val="19"/>
              </w:rPr>
              <w:t xml:space="preserve">1 Jan 1991 (see s. 2(2) and </w:t>
            </w:r>
            <w:r>
              <w:rPr>
                <w:i/>
                <w:sz w:val="19"/>
              </w:rPr>
              <w:t>Gazette</w:t>
            </w:r>
            <w:r>
              <w:rPr>
                <w:sz w:val="19"/>
              </w:rPr>
              <w:t xml:space="preserve"> 28 Dec 1990 p. 6369)</w:t>
            </w:r>
          </w:p>
        </w:tc>
      </w:tr>
      <w:tr>
        <w:trPr>
          <w:cantSplit/>
        </w:trPr>
        <w:tc>
          <w:tcPr>
            <w:tcW w:w="2269" w:type="dxa"/>
          </w:tcPr>
          <w:p>
            <w:pPr>
              <w:pStyle w:val="nTable"/>
              <w:spacing w:before="68" w:after="68"/>
              <w:ind w:right="113"/>
              <w:rPr>
                <w:sz w:val="19"/>
              </w:rPr>
            </w:pPr>
            <w:r>
              <w:rPr>
                <w:i/>
                <w:sz w:val="19"/>
              </w:rPr>
              <w:t xml:space="preserve">Acts Amendment (Public Sector Management) Act 1994 </w:t>
            </w:r>
            <w:r>
              <w:rPr>
                <w:sz w:val="19"/>
              </w:rPr>
              <w:t>s. 3(2)</w:t>
            </w:r>
          </w:p>
        </w:tc>
        <w:tc>
          <w:tcPr>
            <w:tcW w:w="1134" w:type="dxa"/>
          </w:tcPr>
          <w:p>
            <w:pPr>
              <w:pStyle w:val="nTable"/>
              <w:keepNext/>
              <w:spacing w:before="68" w:after="68"/>
              <w:rPr>
                <w:sz w:val="19"/>
              </w:rPr>
            </w:pPr>
            <w:r>
              <w:rPr>
                <w:sz w:val="19"/>
              </w:rPr>
              <w:t>32 of 1994</w:t>
            </w:r>
          </w:p>
        </w:tc>
        <w:tc>
          <w:tcPr>
            <w:tcW w:w="1134" w:type="dxa"/>
          </w:tcPr>
          <w:p>
            <w:pPr>
              <w:pStyle w:val="nTable"/>
              <w:keepNext/>
              <w:spacing w:before="68" w:after="68"/>
              <w:rPr>
                <w:sz w:val="19"/>
              </w:rPr>
            </w:pPr>
            <w:r>
              <w:rPr>
                <w:sz w:val="19"/>
              </w:rPr>
              <w:t>29 Jun 1994</w:t>
            </w:r>
          </w:p>
        </w:tc>
        <w:tc>
          <w:tcPr>
            <w:tcW w:w="2552" w:type="dxa"/>
          </w:tcPr>
          <w:p>
            <w:pPr>
              <w:pStyle w:val="nTable"/>
              <w:keepNext/>
              <w:spacing w:before="68" w:after="68"/>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before="68" w:after="68"/>
              <w:ind w:right="113"/>
              <w:rPr>
                <w:sz w:val="19"/>
              </w:rPr>
            </w:pPr>
            <w:r>
              <w:rPr>
                <w:i/>
                <w:sz w:val="19"/>
              </w:rPr>
              <w:t xml:space="preserve">Statutes (Repeals and Minor Amendments) Act 1994 </w:t>
            </w:r>
            <w:r>
              <w:rPr>
                <w:sz w:val="19"/>
              </w:rPr>
              <w:t>s. 4</w:t>
            </w:r>
          </w:p>
        </w:tc>
        <w:tc>
          <w:tcPr>
            <w:tcW w:w="1134" w:type="dxa"/>
          </w:tcPr>
          <w:p>
            <w:pPr>
              <w:pStyle w:val="nTable"/>
              <w:spacing w:before="68" w:after="68"/>
              <w:rPr>
                <w:sz w:val="19"/>
              </w:rPr>
            </w:pPr>
            <w:r>
              <w:rPr>
                <w:sz w:val="19"/>
              </w:rPr>
              <w:t>73 of 1994</w:t>
            </w:r>
          </w:p>
        </w:tc>
        <w:tc>
          <w:tcPr>
            <w:tcW w:w="1134" w:type="dxa"/>
          </w:tcPr>
          <w:p>
            <w:pPr>
              <w:pStyle w:val="nTable"/>
              <w:spacing w:before="68" w:after="68"/>
              <w:rPr>
                <w:sz w:val="19"/>
              </w:rPr>
            </w:pPr>
            <w:r>
              <w:rPr>
                <w:sz w:val="19"/>
              </w:rPr>
              <w:t>9 Dec 1994</w:t>
            </w:r>
          </w:p>
        </w:tc>
        <w:tc>
          <w:tcPr>
            <w:tcW w:w="2552" w:type="dxa"/>
          </w:tcPr>
          <w:p>
            <w:pPr>
              <w:pStyle w:val="nTable"/>
              <w:spacing w:before="68" w:after="68"/>
              <w:rPr>
                <w:sz w:val="19"/>
              </w:rPr>
            </w:pPr>
            <w:r>
              <w:rPr>
                <w:sz w:val="19"/>
              </w:rPr>
              <w:t>9 Dec 1994 (see s. 2)</w:t>
            </w:r>
          </w:p>
        </w:tc>
      </w:tr>
      <w:tr>
        <w:trPr>
          <w:cantSplit/>
        </w:trPr>
        <w:tc>
          <w:tcPr>
            <w:tcW w:w="2269" w:type="dxa"/>
          </w:tcPr>
          <w:p>
            <w:pPr>
              <w:pStyle w:val="nTable"/>
              <w:spacing w:before="68" w:after="68"/>
              <w:ind w:right="113"/>
              <w:rPr>
                <w:sz w:val="19"/>
              </w:rPr>
            </w:pPr>
            <w:r>
              <w:rPr>
                <w:i/>
                <w:sz w:val="19"/>
              </w:rPr>
              <w:t xml:space="preserve">Business Licensing Amendment Act 1995 </w:t>
            </w:r>
            <w:r>
              <w:rPr>
                <w:sz w:val="19"/>
              </w:rPr>
              <w:t>Pt. 9</w:t>
            </w:r>
          </w:p>
        </w:tc>
        <w:tc>
          <w:tcPr>
            <w:tcW w:w="1134" w:type="dxa"/>
          </w:tcPr>
          <w:p>
            <w:pPr>
              <w:pStyle w:val="nTable"/>
              <w:spacing w:before="68" w:after="68"/>
              <w:rPr>
                <w:sz w:val="19"/>
              </w:rPr>
            </w:pPr>
            <w:r>
              <w:rPr>
                <w:sz w:val="19"/>
              </w:rPr>
              <w:t>56 of 1995</w:t>
            </w:r>
          </w:p>
        </w:tc>
        <w:tc>
          <w:tcPr>
            <w:tcW w:w="1134" w:type="dxa"/>
          </w:tcPr>
          <w:p>
            <w:pPr>
              <w:pStyle w:val="nTable"/>
              <w:spacing w:before="68" w:after="68"/>
              <w:rPr>
                <w:sz w:val="19"/>
              </w:rPr>
            </w:pPr>
            <w:r>
              <w:rPr>
                <w:sz w:val="19"/>
              </w:rPr>
              <w:t>20 Dec 1995</w:t>
            </w:r>
          </w:p>
        </w:tc>
        <w:tc>
          <w:tcPr>
            <w:tcW w:w="2552" w:type="dxa"/>
          </w:tcPr>
          <w:p>
            <w:pPr>
              <w:pStyle w:val="nTable"/>
              <w:spacing w:before="68" w:after="68"/>
              <w:rPr>
                <w:sz w:val="19"/>
              </w:rPr>
            </w:pPr>
            <w:r>
              <w:rPr>
                <w:sz w:val="19"/>
              </w:rPr>
              <w:t xml:space="preserve">1 Jul 1996 (see s. 2(2) and </w:t>
            </w:r>
            <w:r>
              <w:rPr>
                <w:i/>
                <w:sz w:val="19"/>
              </w:rPr>
              <w:t>Gazette</w:t>
            </w:r>
            <w:r>
              <w:rPr>
                <w:sz w:val="19"/>
              </w:rPr>
              <w:t xml:space="preserve"> 1 Jul 1996 p. 3179)</w:t>
            </w:r>
          </w:p>
        </w:tc>
      </w:tr>
      <w:tr>
        <w:trPr>
          <w:cantSplit/>
        </w:trPr>
        <w:tc>
          <w:tcPr>
            <w:tcW w:w="2269" w:type="dxa"/>
          </w:tcPr>
          <w:p>
            <w:pPr>
              <w:pStyle w:val="nTable"/>
              <w:spacing w:before="68" w:after="68"/>
              <w:ind w:right="113"/>
              <w:rPr>
                <w:sz w:val="19"/>
                <w:vertAlign w:val="superscript"/>
              </w:rPr>
            </w:pPr>
            <w:r>
              <w:rPr>
                <w:i/>
                <w:sz w:val="19"/>
              </w:rPr>
              <w:t xml:space="preserve">Strata Titles Amendment Act 1995 </w:t>
            </w:r>
            <w:r>
              <w:rPr>
                <w:sz w:val="19"/>
              </w:rPr>
              <w:t>s. 98</w:t>
            </w:r>
          </w:p>
        </w:tc>
        <w:tc>
          <w:tcPr>
            <w:tcW w:w="1134" w:type="dxa"/>
          </w:tcPr>
          <w:p>
            <w:pPr>
              <w:pStyle w:val="nTable"/>
              <w:spacing w:before="68" w:after="68"/>
              <w:rPr>
                <w:sz w:val="19"/>
              </w:rPr>
            </w:pPr>
            <w:r>
              <w:rPr>
                <w:sz w:val="19"/>
              </w:rPr>
              <w:t>58 of 1995</w:t>
            </w:r>
          </w:p>
        </w:tc>
        <w:tc>
          <w:tcPr>
            <w:tcW w:w="1134" w:type="dxa"/>
          </w:tcPr>
          <w:p>
            <w:pPr>
              <w:pStyle w:val="nTable"/>
              <w:spacing w:before="68" w:after="68"/>
              <w:rPr>
                <w:sz w:val="19"/>
              </w:rPr>
            </w:pPr>
            <w:r>
              <w:rPr>
                <w:sz w:val="19"/>
              </w:rPr>
              <w:t>20 Dec 1995</w:t>
            </w:r>
          </w:p>
        </w:tc>
        <w:tc>
          <w:tcPr>
            <w:tcW w:w="2552" w:type="dxa"/>
          </w:tcPr>
          <w:p>
            <w:pPr>
              <w:pStyle w:val="nTable"/>
              <w:spacing w:before="68" w:after="68"/>
              <w:rPr>
                <w:sz w:val="19"/>
              </w:rPr>
            </w:pPr>
            <w:r>
              <w:rPr>
                <w:sz w:val="19"/>
              </w:rPr>
              <w:t xml:space="preserve">14 Apr 1996 (see s. 2 and </w:t>
            </w:r>
            <w:r>
              <w:rPr>
                <w:i/>
                <w:sz w:val="19"/>
              </w:rPr>
              <w:t>Gazette</w:t>
            </w:r>
            <w:r>
              <w:rPr>
                <w:sz w:val="19"/>
              </w:rPr>
              <w:t xml:space="preserve"> 15 Mar 1996 p. 981)</w:t>
            </w:r>
          </w:p>
        </w:tc>
      </w:tr>
      <w:tr>
        <w:trPr>
          <w:cantSplit/>
        </w:trPr>
        <w:tc>
          <w:tcPr>
            <w:tcW w:w="2269" w:type="dxa"/>
          </w:tcPr>
          <w:p>
            <w:pPr>
              <w:pStyle w:val="nTable"/>
              <w:spacing w:before="68" w:after="68"/>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tcPr>
          <w:p>
            <w:pPr>
              <w:pStyle w:val="nTable"/>
              <w:spacing w:before="68" w:after="68"/>
              <w:rPr>
                <w:sz w:val="19"/>
              </w:rPr>
            </w:pPr>
            <w:r>
              <w:rPr>
                <w:sz w:val="19"/>
              </w:rPr>
              <w:t>59 of 1995</w:t>
            </w:r>
          </w:p>
        </w:tc>
        <w:tc>
          <w:tcPr>
            <w:tcW w:w="1134" w:type="dxa"/>
          </w:tcPr>
          <w:p>
            <w:pPr>
              <w:pStyle w:val="nTable"/>
              <w:spacing w:before="68" w:after="68"/>
              <w:rPr>
                <w:sz w:val="19"/>
              </w:rPr>
            </w:pPr>
            <w:r>
              <w:rPr>
                <w:sz w:val="19"/>
              </w:rPr>
              <w:t>20 Dec 1995</w:t>
            </w:r>
          </w:p>
        </w:tc>
        <w:tc>
          <w:tcPr>
            <w:tcW w:w="2552" w:type="dxa"/>
          </w:tcPr>
          <w:p>
            <w:pPr>
              <w:pStyle w:val="nTable"/>
              <w:spacing w:before="68" w:after="68"/>
              <w:rPr>
                <w:sz w:val="19"/>
              </w:rPr>
            </w:pPr>
            <w:r>
              <w:rPr>
                <w:sz w:val="19"/>
              </w:rPr>
              <w:t xml:space="preserve">1 Jul 1996 (see s. 2 and </w:t>
            </w:r>
            <w:r>
              <w:rPr>
                <w:i/>
                <w:sz w:val="19"/>
              </w:rPr>
              <w:t>Gazette</w:t>
            </w:r>
            <w:r>
              <w:rPr>
                <w:sz w:val="19"/>
              </w:rPr>
              <w:t xml:space="preserve"> 25 Jun 1996 p. 2902)</w:t>
            </w:r>
          </w:p>
        </w:tc>
      </w:tr>
      <w:tr>
        <w:trPr>
          <w:cantSplit/>
        </w:trPr>
        <w:tc>
          <w:tcPr>
            <w:tcW w:w="2269" w:type="dxa"/>
          </w:tcPr>
          <w:p>
            <w:pPr>
              <w:pStyle w:val="nTable"/>
              <w:spacing w:before="68" w:after="68"/>
              <w:ind w:right="113"/>
              <w:rPr>
                <w:sz w:val="19"/>
              </w:rPr>
            </w:pPr>
            <w:r>
              <w:rPr>
                <w:i/>
                <w:sz w:val="19"/>
              </w:rPr>
              <w:t xml:space="preserve">Local Government (Consequential Amendments) Act 1996 </w:t>
            </w:r>
            <w:r>
              <w:rPr>
                <w:sz w:val="19"/>
              </w:rPr>
              <w:t>s. 4</w:t>
            </w:r>
          </w:p>
        </w:tc>
        <w:tc>
          <w:tcPr>
            <w:tcW w:w="1134" w:type="dxa"/>
          </w:tcPr>
          <w:p>
            <w:pPr>
              <w:pStyle w:val="nTable"/>
              <w:spacing w:before="68" w:after="68"/>
              <w:rPr>
                <w:sz w:val="19"/>
              </w:rPr>
            </w:pPr>
            <w:r>
              <w:rPr>
                <w:sz w:val="19"/>
              </w:rPr>
              <w:t>14 of 1996</w:t>
            </w:r>
          </w:p>
        </w:tc>
        <w:tc>
          <w:tcPr>
            <w:tcW w:w="1134" w:type="dxa"/>
          </w:tcPr>
          <w:p>
            <w:pPr>
              <w:pStyle w:val="nTable"/>
              <w:spacing w:before="68" w:after="68"/>
              <w:rPr>
                <w:sz w:val="19"/>
              </w:rPr>
            </w:pPr>
            <w:r>
              <w:rPr>
                <w:sz w:val="19"/>
              </w:rPr>
              <w:t>28 Jun 1996</w:t>
            </w:r>
          </w:p>
        </w:tc>
        <w:tc>
          <w:tcPr>
            <w:tcW w:w="2552" w:type="dxa"/>
          </w:tcPr>
          <w:p>
            <w:pPr>
              <w:pStyle w:val="nTable"/>
              <w:spacing w:before="68" w:after="68"/>
              <w:rPr>
                <w:sz w:val="19"/>
              </w:rPr>
            </w:pPr>
            <w:r>
              <w:rPr>
                <w:sz w:val="19"/>
              </w:rPr>
              <w:t>1 Jul 1996 (see s. 2)</w:t>
            </w:r>
          </w:p>
        </w:tc>
      </w:tr>
      <w:tr>
        <w:trPr>
          <w:cantSplit/>
        </w:trPr>
        <w:tc>
          <w:tcPr>
            <w:tcW w:w="7089" w:type="dxa"/>
            <w:gridSpan w:val="4"/>
          </w:tcPr>
          <w:p>
            <w:pPr>
              <w:pStyle w:val="nTable"/>
              <w:spacing w:before="68" w:after="68"/>
              <w:rPr>
                <w:sz w:val="19"/>
              </w:rPr>
            </w:pPr>
            <w:r>
              <w:rPr>
                <w:b/>
                <w:sz w:val="19"/>
              </w:rPr>
              <w:t xml:space="preserve">Reprint of the </w:t>
            </w:r>
            <w:r>
              <w:rPr>
                <w:b/>
                <w:i/>
                <w:sz w:val="19"/>
              </w:rPr>
              <w:t>Settlement Agents Act 1981</w:t>
            </w:r>
            <w:r>
              <w:rPr>
                <w:b/>
                <w:sz w:val="19"/>
              </w:rPr>
              <w:t xml:space="preserve"> as at 23 Sep 1996</w:t>
            </w:r>
            <w:r>
              <w:rPr>
                <w:sz w:val="19"/>
              </w:rPr>
              <w:t xml:space="preserve"> (includes amendments listed above)</w:t>
            </w:r>
          </w:p>
        </w:tc>
      </w:tr>
      <w:tr>
        <w:trPr>
          <w:cantSplit/>
        </w:trPr>
        <w:tc>
          <w:tcPr>
            <w:tcW w:w="2269" w:type="dxa"/>
          </w:tcPr>
          <w:p>
            <w:pPr>
              <w:pStyle w:val="nTable"/>
              <w:spacing w:before="68" w:after="68"/>
              <w:ind w:right="113"/>
              <w:rPr>
                <w:sz w:val="19"/>
              </w:rPr>
            </w:pPr>
            <w:r>
              <w:rPr>
                <w:i/>
                <w:sz w:val="19"/>
              </w:rPr>
              <w:t>Settlement Agents Amendment Act 1996</w:t>
            </w:r>
          </w:p>
        </w:tc>
        <w:tc>
          <w:tcPr>
            <w:tcW w:w="1134" w:type="dxa"/>
          </w:tcPr>
          <w:p>
            <w:pPr>
              <w:pStyle w:val="nTable"/>
              <w:spacing w:before="68" w:after="68"/>
              <w:rPr>
                <w:sz w:val="19"/>
              </w:rPr>
            </w:pPr>
            <w:r>
              <w:rPr>
                <w:sz w:val="19"/>
              </w:rPr>
              <w:t>62 of 1996</w:t>
            </w:r>
          </w:p>
        </w:tc>
        <w:tc>
          <w:tcPr>
            <w:tcW w:w="1134" w:type="dxa"/>
          </w:tcPr>
          <w:p>
            <w:pPr>
              <w:pStyle w:val="nTable"/>
              <w:spacing w:before="68" w:after="68"/>
              <w:rPr>
                <w:sz w:val="19"/>
              </w:rPr>
            </w:pPr>
            <w:r>
              <w:rPr>
                <w:sz w:val="19"/>
              </w:rPr>
              <w:t>11 Nov 1996</w:t>
            </w:r>
          </w:p>
        </w:tc>
        <w:tc>
          <w:tcPr>
            <w:tcW w:w="2552" w:type="dxa"/>
          </w:tcPr>
          <w:p>
            <w:pPr>
              <w:pStyle w:val="nTable"/>
              <w:spacing w:before="68" w:after="68"/>
              <w:rPr>
                <w:sz w:val="19"/>
              </w:rPr>
            </w:pPr>
            <w:r>
              <w:rPr>
                <w:color w:val="000000"/>
                <w:sz w:val="19"/>
              </w:rPr>
              <w:t>s. 1 and 2: 11 Nov 1996;</w:t>
            </w:r>
            <w:r>
              <w:rPr>
                <w:color w:val="000000"/>
                <w:sz w:val="19"/>
              </w:rPr>
              <w:br/>
              <w:t xml:space="preserve">Act other than s. 1 and 2: </w:t>
            </w:r>
            <w:r>
              <w:rPr>
                <w:sz w:val="19"/>
              </w:rPr>
              <w:t xml:space="preserve">24 May 1997 (see s. 2 and </w:t>
            </w:r>
            <w:r>
              <w:rPr>
                <w:i/>
                <w:sz w:val="19"/>
              </w:rPr>
              <w:t>Gazette</w:t>
            </w:r>
            <w:r>
              <w:rPr>
                <w:sz w:val="19"/>
              </w:rPr>
              <w:t xml:space="preserve"> 23 May 1997 p. 2417)</w:t>
            </w:r>
          </w:p>
        </w:tc>
      </w:tr>
      <w:tr>
        <w:trPr>
          <w:cantSplit/>
        </w:trPr>
        <w:tc>
          <w:tcPr>
            <w:tcW w:w="2269" w:type="dxa"/>
          </w:tcPr>
          <w:p>
            <w:pPr>
              <w:pStyle w:val="nTable"/>
              <w:spacing w:before="68" w:after="68"/>
              <w:ind w:right="113"/>
              <w:rPr>
                <w:sz w:val="19"/>
              </w:rPr>
            </w:pPr>
            <w:r>
              <w:rPr>
                <w:i/>
                <w:sz w:val="19"/>
              </w:rPr>
              <w:t xml:space="preserve">Transfer of Land Amendment Act 1996 </w:t>
            </w:r>
            <w:r>
              <w:rPr>
                <w:sz w:val="19"/>
              </w:rPr>
              <w:t>s. 153(1) and (2)</w:t>
            </w:r>
          </w:p>
        </w:tc>
        <w:tc>
          <w:tcPr>
            <w:tcW w:w="1134" w:type="dxa"/>
          </w:tcPr>
          <w:p>
            <w:pPr>
              <w:pStyle w:val="nTable"/>
              <w:spacing w:before="68" w:after="68"/>
              <w:rPr>
                <w:sz w:val="19"/>
              </w:rPr>
            </w:pPr>
            <w:r>
              <w:rPr>
                <w:sz w:val="19"/>
              </w:rPr>
              <w:t>81 of 1996</w:t>
            </w:r>
          </w:p>
        </w:tc>
        <w:tc>
          <w:tcPr>
            <w:tcW w:w="1134" w:type="dxa"/>
          </w:tcPr>
          <w:p>
            <w:pPr>
              <w:pStyle w:val="nTable"/>
              <w:spacing w:before="68" w:after="68"/>
              <w:rPr>
                <w:sz w:val="19"/>
              </w:rPr>
            </w:pPr>
            <w:r>
              <w:rPr>
                <w:sz w:val="19"/>
              </w:rPr>
              <w:t>14 Nov 1996</w:t>
            </w:r>
          </w:p>
        </w:tc>
        <w:tc>
          <w:tcPr>
            <w:tcW w:w="2552" w:type="dxa"/>
          </w:tcPr>
          <w:p>
            <w:pPr>
              <w:pStyle w:val="nTable"/>
              <w:spacing w:before="68" w:after="68"/>
              <w:rPr>
                <w:sz w:val="19"/>
              </w:rPr>
            </w:pPr>
            <w:r>
              <w:rPr>
                <w:sz w:val="19"/>
              </w:rPr>
              <w:t>14 Nov 1996 (see s. 2(1))</w:t>
            </w:r>
          </w:p>
        </w:tc>
      </w:tr>
      <w:tr>
        <w:trPr>
          <w:cantSplit/>
        </w:trPr>
        <w:tc>
          <w:tcPr>
            <w:tcW w:w="2269" w:type="dxa"/>
          </w:tcPr>
          <w:p>
            <w:pPr>
              <w:pStyle w:val="nTable"/>
              <w:spacing w:before="68" w:after="68"/>
              <w:ind w:right="113"/>
              <w:rPr>
                <w:sz w:val="19"/>
              </w:rPr>
            </w:pPr>
            <w:r>
              <w:rPr>
                <w:i/>
                <w:sz w:val="19"/>
              </w:rPr>
              <w:t xml:space="preserve">Acts Amendment (Land Administration) Act 1997 </w:t>
            </w:r>
            <w:r>
              <w:rPr>
                <w:sz w:val="19"/>
              </w:rPr>
              <w:t>s. 141</w:t>
            </w:r>
          </w:p>
        </w:tc>
        <w:tc>
          <w:tcPr>
            <w:tcW w:w="1134" w:type="dxa"/>
          </w:tcPr>
          <w:p>
            <w:pPr>
              <w:pStyle w:val="nTable"/>
              <w:keepNext/>
              <w:keepLines/>
              <w:spacing w:before="68" w:after="68"/>
              <w:rPr>
                <w:sz w:val="19"/>
              </w:rPr>
            </w:pPr>
            <w:r>
              <w:rPr>
                <w:sz w:val="19"/>
              </w:rPr>
              <w:t>31 of 1997</w:t>
            </w:r>
          </w:p>
        </w:tc>
        <w:tc>
          <w:tcPr>
            <w:tcW w:w="1134" w:type="dxa"/>
          </w:tcPr>
          <w:p>
            <w:pPr>
              <w:pStyle w:val="nTable"/>
              <w:keepNext/>
              <w:keepLines/>
              <w:spacing w:before="68" w:after="68"/>
              <w:rPr>
                <w:sz w:val="19"/>
              </w:rPr>
            </w:pPr>
            <w:r>
              <w:rPr>
                <w:sz w:val="19"/>
              </w:rPr>
              <w:t>3 Oct 1997</w:t>
            </w:r>
          </w:p>
        </w:tc>
        <w:tc>
          <w:tcPr>
            <w:tcW w:w="2552" w:type="dxa"/>
          </w:tcPr>
          <w:p>
            <w:pPr>
              <w:pStyle w:val="nTable"/>
              <w:keepNext/>
              <w:keepLines/>
              <w:spacing w:before="68" w:after="68"/>
              <w:rPr>
                <w:sz w:val="19"/>
              </w:rPr>
            </w:pPr>
            <w:r>
              <w:rPr>
                <w:sz w:val="19"/>
              </w:rPr>
              <w:t xml:space="preserve">30 Mar 1998 (see s. 2 and </w:t>
            </w:r>
            <w:r>
              <w:rPr>
                <w:i/>
                <w:sz w:val="19"/>
              </w:rPr>
              <w:t>Gazette</w:t>
            </w:r>
            <w:r>
              <w:rPr>
                <w:sz w:val="19"/>
              </w:rPr>
              <w:t xml:space="preserve"> 27 Mar 1998 p. 1765)</w:t>
            </w:r>
          </w:p>
        </w:tc>
      </w:tr>
      <w:tr>
        <w:trPr>
          <w:cantSplit/>
        </w:trPr>
        <w:tc>
          <w:tcPr>
            <w:tcW w:w="2269" w:type="dxa"/>
          </w:tcPr>
          <w:p>
            <w:pPr>
              <w:pStyle w:val="nTable"/>
              <w:spacing w:before="68" w:after="68"/>
              <w:ind w:right="113"/>
              <w:rPr>
                <w:sz w:val="19"/>
              </w:rPr>
            </w:pPr>
            <w:r>
              <w:rPr>
                <w:i/>
                <w:sz w:val="19"/>
              </w:rPr>
              <w:t xml:space="preserve">Acts Amendment and Repeal (Financial Sector Reform) Act 1999 </w:t>
            </w:r>
            <w:r>
              <w:rPr>
                <w:sz w:val="19"/>
              </w:rPr>
              <w:t>s. 102</w:t>
            </w:r>
          </w:p>
        </w:tc>
        <w:tc>
          <w:tcPr>
            <w:tcW w:w="1134" w:type="dxa"/>
          </w:tcPr>
          <w:p>
            <w:pPr>
              <w:pStyle w:val="nTable"/>
              <w:keepNext/>
              <w:keepLines/>
              <w:spacing w:before="68" w:after="68"/>
              <w:rPr>
                <w:sz w:val="19"/>
              </w:rPr>
            </w:pPr>
            <w:r>
              <w:rPr>
                <w:sz w:val="19"/>
              </w:rPr>
              <w:t>26 of 1999</w:t>
            </w:r>
          </w:p>
        </w:tc>
        <w:tc>
          <w:tcPr>
            <w:tcW w:w="1134" w:type="dxa"/>
          </w:tcPr>
          <w:p>
            <w:pPr>
              <w:pStyle w:val="nTable"/>
              <w:keepNext/>
              <w:keepLines/>
              <w:spacing w:before="68" w:after="68"/>
              <w:rPr>
                <w:sz w:val="19"/>
              </w:rPr>
            </w:pPr>
            <w:r>
              <w:rPr>
                <w:sz w:val="19"/>
              </w:rPr>
              <w:t>29 Jun 1999</w:t>
            </w:r>
          </w:p>
        </w:tc>
        <w:tc>
          <w:tcPr>
            <w:tcW w:w="2552" w:type="dxa"/>
          </w:tcPr>
          <w:p>
            <w:pPr>
              <w:pStyle w:val="nTable"/>
              <w:keepNext/>
              <w:keepLines/>
              <w:spacing w:before="68" w:after="68"/>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before="68" w:after="68"/>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tcPr>
          <w:p>
            <w:pPr>
              <w:pStyle w:val="nTable"/>
              <w:keepNext/>
              <w:keepLines/>
              <w:spacing w:before="68" w:after="68"/>
              <w:rPr>
                <w:sz w:val="19"/>
              </w:rPr>
            </w:pPr>
            <w:r>
              <w:rPr>
                <w:sz w:val="19"/>
              </w:rPr>
              <w:t>3 of 2000</w:t>
            </w:r>
          </w:p>
        </w:tc>
        <w:tc>
          <w:tcPr>
            <w:tcW w:w="1134" w:type="dxa"/>
          </w:tcPr>
          <w:p>
            <w:pPr>
              <w:pStyle w:val="nTable"/>
              <w:keepNext/>
              <w:keepLines/>
              <w:spacing w:before="68" w:after="68"/>
              <w:rPr>
                <w:sz w:val="19"/>
              </w:rPr>
            </w:pPr>
            <w:r>
              <w:rPr>
                <w:sz w:val="19"/>
              </w:rPr>
              <w:t>12 Apr 2000</w:t>
            </w:r>
          </w:p>
        </w:tc>
        <w:tc>
          <w:tcPr>
            <w:tcW w:w="2552" w:type="dxa"/>
          </w:tcPr>
          <w:p>
            <w:pPr>
              <w:pStyle w:val="nTable"/>
              <w:keepNext/>
              <w:keepLines/>
              <w:spacing w:before="68" w:after="68"/>
              <w:rPr>
                <w:sz w:val="19"/>
              </w:rPr>
            </w:pPr>
            <w:r>
              <w:rPr>
                <w:sz w:val="19"/>
              </w:rPr>
              <w:t>12 Apr 2000 (see s. 2)</w:t>
            </w:r>
          </w:p>
        </w:tc>
      </w:tr>
      <w:tr>
        <w:trPr>
          <w:cantSplit/>
        </w:trPr>
        <w:tc>
          <w:tcPr>
            <w:tcW w:w="7089" w:type="dxa"/>
            <w:gridSpan w:val="4"/>
          </w:tcPr>
          <w:p>
            <w:pPr>
              <w:pStyle w:val="nTable"/>
              <w:spacing w:before="68" w:after="68"/>
              <w:rPr>
                <w:sz w:val="19"/>
              </w:rPr>
            </w:pPr>
            <w:r>
              <w:rPr>
                <w:b/>
                <w:sz w:val="19"/>
              </w:rPr>
              <w:t xml:space="preserve">Reprint of the </w:t>
            </w:r>
            <w:r>
              <w:rPr>
                <w:b/>
                <w:i/>
                <w:sz w:val="19"/>
              </w:rPr>
              <w:t>Settlement Agents Act 1981</w:t>
            </w:r>
            <w:r>
              <w:rPr>
                <w:b/>
                <w:sz w:val="19"/>
              </w:rPr>
              <w:t xml:space="preserve"> as at 3 Nov 2000</w:t>
            </w:r>
            <w:r>
              <w:rPr>
                <w:sz w:val="19"/>
              </w:rPr>
              <w:t xml:space="preserve"> (includes amendments listed above)</w:t>
            </w:r>
          </w:p>
        </w:tc>
      </w:tr>
      <w:tr>
        <w:trPr>
          <w:cantSplit/>
        </w:trPr>
        <w:tc>
          <w:tcPr>
            <w:tcW w:w="2269" w:type="dxa"/>
          </w:tcPr>
          <w:p>
            <w:pPr>
              <w:pStyle w:val="nTable"/>
              <w:spacing w:before="68" w:after="68"/>
              <w:ind w:right="113"/>
              <w:rPr>
                <w:i/>
                <w:sz w:val="19"/>
              </w:rPr>
            </w:pPr>
            <w:r>
              <w:rPr>
                <w:i/>
                <w:sz w:val="19"/>
              </w:rPr>
              <w:t xml:space="preserve">Corporations (Consequential Amendments) Act 2001 </w:t>
            </w:r>
            <w:r>
              <w:rPr>
                <w:sz w:val="19"/>
              </w:rPr>
              <w:t>s. 220 and 222</w:t>
            </w:r>
          </w:p>
        </w:tc>
        <w:tc>
          <w:tcPr>
            <w:tcW w:w="1134" w:type="dxa"/>
          </w:tcPr>
          <w:p>
            <w:pPr>
              <w:pStyle w:val="nTable"/>
              <w:keepNext/>
              <w:keepLines/>
              <w:spacing w:before="68" w:after="68"/>
              <w:rPr>
                <w:sz w:val="19"/>
              </w:rPr>
            </w:pPr>
            <w:r>
              <w:rPr>
                <w:sz w:val="19"/>
              </w:rPr>
              <w:t>10 of 2001</w:t>
            </w:r>
          </w:p>
        </w:tc>
        <w:tc>
          <w:tcPr>
            <w:tcW w:w="1134" w:type="dxa"/>
          </w:tcPr>
          <w:p>
            <w:pPr>
              <w:pStyle w:val="nTable"/>
              <w:keepNext/>
              <w:keepLines/>
              <w:spacing w:before="68" w:after="68"/>
              <w:rPr>
                <w:sz w:val="19"/>
              </w:rPr>
            </w:pPr>
            <w:r>
              <w:rPr>
                <w:sz w:val="19"/>
              </w:rPr>
              <w:t>28 Jun 2001</w:t>
            </w:r>
          </w:p>
        </w:tc>
        <w:tc>
          <w:tcPr>
            <w:tcW w:w="2552" w:type="dxa"/>
          </w:tcPr>
          <w:p>
            <w:pPr>
              <w:pStyle w:val="nTable"/>
              <w:keepNext/>
              <w:keepLines/>
              <w:spacing w:before="68" w:after="68"/>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before="68" w:after="68"/>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tcPr>
          <w:p>
            <w:pPr>
              <w:pStyle w:val="nTable"/>
              <w:keepNext/>
              <w:keepLines/>
              <w:spacing w:before="68" w:after="68"/>
              <w:rPr>
                <w:sz w:val="19"/>
              </w:rPr>
            </w:pPr>
            <w:r>
              <w:rPr>
                <w:sz w:val="19"/>
              </w:rPr>
              <w:t>21 of 2003</w:t>
            </w:r>
          </w:p>
        </w:tc>
        <w:tc>
          <w:tcPr>
            <w:tcW w:w="1134" w:type="dxa"/>
          </w:tcPr>
          <w:p>
            <w:pPr>
              <w:pStyle w:val="nTable"/>
              <w:keepNext/>
              <w:keepLines/>
              <w:spacing w:before="68" w:after="68"/>
              <w:rPr>
                <w:sz w:val="19"/>
              </w:rPr>
            </w:pPr>
            <w:r>
              <w:rPr>
                <w:sz w:val="19"/>
              </w:rPr>
              <w:t>23 Apr 2003</w:t>
            </w:r>
          </w:p>
        </w:tc>
        <w:tc>
          <w:tcPr>
            <w:tcW w:w="2552" w:type="dxa"/>
          </w:tcPr>
          <w:p>
            <w:pPr>
              <w:pStyle w:val="nTable"/>
              <w:keepNext/>
              <w:keepLines/>
              <w:spacing w:before="68" w:after="68"/>
              <w:rPr>
                <w:sz w:val="19"/>
              </w:rPr>
            </w:pPr>
            <w:r>
              <w:rPr>
                <w:sz w:val="19"/>
              </w:rPr>
              <w:t xml:space="preserve">11 Mar 2002 (see s. 2 and Cwlth. </w:t>
            </w:r>
            <w:r>
              <w:rPr>
                <w:i/>
                <w:sz w:val="19"/>
              </w:rPr>
              <w:t>Gazette</w:t>
            </w:r>
            <w:r>
              <w:rPr>
                <w:sz w:val="19"/>
              </w:rPr>
              <w:t xml:space="preserve"> 24 Oct 2001 No. GN42)</w:t>
            </w:r>
          </w:p>
        </w:tc>
      </w:tr>
      <w:tr>
        <w:trPr>
          <w:cantSplit/>
        </w:trPr>
        <w:tc>
          <w:tcPr>
            <w:tcW w:w="2269" w:type="dxa"/>
          </w:tcPr>
          <w:p>
            <w:pPr>
              <w:pStyle w:val="nTable"/>
              <w:spacing w:before="68" w:after="68"/>
              <w:ind w:right="113"/>
              <w:rPr>
                <w:sz w:val="19"/>
              </w:rPr>
            </w:pPr>
            <w:r>
              <w:rPr>
                <w:i/>
                <w:sz w:val="19"/>
              </w:rPr>
              <w:t>Acts Amendment (Equality of Status) Act 2003</w:t>
            </w:r>
            <w:r>
              <w:rPr>
                <w:sz w:val="19"/>
              </w:rPr>
              <w:t xml:space="preserve"> Pt. 53</w:t>
            </w:r>
          </w:p>
        </w:tc>
        <w:tc>
          <w:tcPr>
            <w:tcW w:w="1134" w:type="dxa"/>
          </w:tcPr>
          <w:p>
            <w:pPr>
              <w:pStyle w:val="nTable"/>
              <w:keepNext/>
              <w:keepLines/>
              <w:spacing w:before="68" w:after="68"/>
              <w:rPr>
                <w:sz w:val="19"/>
              </w:rPr>
            </w:pPr>
            <w:r>
              <w:rPr>
                <w:sz w:val="19"/>
              </w:rPr>
              <w:t>28 of 2003</w:t>
            </w:r>
          </w:p>
        </w:tc>
        <w:tc>
          <w:tcPr>
            <w:tcW w:w="1134" w:type="dxa"/>
          </w:tcPr>
          <w:p>
            <w:pPr>
              <w:pStyle w:val="nTable"/>
              <w:keepNext/>
              <w:keepLines/>
              <w:spacing w:before="68" w:after="68"/>
              <w:rPr>
                <w:sz w:val="19"/>
              </w:rPr>
            </w:pPr>
            <w:r>
              <w:rPr>
                <w:sz w:val="19"/>
              </w:rPr>
              <w:t>22 May 2003</w:t>
            </w:r>
          </w:p>
        </w:tc>
        <w:tc>
          <w:tcPr>
            <w:tcW w:w="2552" w:type="dxa"/>
          </w:tcPr>
          <w:p>
            <w:pPr>
              <w:pStyle w:val="nTable"/>
              <w:keepNext/>
              <w:keepLines/>
              <w:spacing w:before="68" w:after="68"/>
              <w:rPr>
                <w:sz w:val="19"/>
              </w:rPr>
            </w:pPr>
            <w:r>
              <w:rPr>
                <w:sz w:val="19"/>
              </w:rPr>
              <w:t xml:space="preserve">1 Jul 2003 (see s. 2 and </w:t>
            </w:r>
            <w:r>
              <w:rPr>
                <w:i/>
                <w:sz w:val="19"/>
              </w:rPr>
              <w:t xml:space="preserve">Gazette </w:t>
            </w:r>
            <w:r>
              <w:rPr>
                <w:sz w:val="19"/>
              </w:rPr>
              <w:t>30 Jun 2003 p. 2579)</w:t>
            </w:r>
          </w:p>
        </w:tc>
      </w:tr>
      <w:tr>
        <w:trPr>
          <w:cantSplit/>
        </w:trPr>
        <w:tc>
          <w:tcPr>
            <w:tcW w:w="2269" w:type="dxa"/>
          </w:tcPr>
          <w:p>
            <w:pPr>
              <w:pStyle w:val="nTable"/>
              <w:spacing w:before="68" w:after="68"/>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tcPr>
          <w:p>
            <w:pPr>
              <w:pStyle w:val="nTable"/>
              <w:keepNext/>
              <w:keepLines/>
              <w:spacing w:before="68" w:after="68"/>
              <w:rPr>
                <w:sz w:val="19"/>
              </w:rPr>
            </w:pPr>
            <w:r>
              <w:rPr>
                <w:sz w:val="19"/>
              </w:rPr>
              <w:t>65 of 2003</w:t>
            </w:r>
          </w:p>
        </w:tc>
        <w:tc>
          <w:tcPr>
            <w:tcW w:w="1134" w:type="dxa"/>
          </w:tcPr>
          <w:p>
            <w:pPr>
              <w:pStyle w:val="nTable"/>
              <w:keepNext/>
              <w:keepLines/>
              <w:spacing w:before="68" w:after="68"/>
              <w:rPr>
                <w:sz w:val="19"/>
              </w:rPr>
            </w:pPr>
            <w:r>
              <w:rPr>
                <w:sz w:val="19"/>
              </w:rPr>
              <w:t>4 Dec 2003</w:t>
            </w:r>
          </w:p>
        </w:tc>
        <w:tc>
          <w:tcPr>
            <w:tcW w:w="2552" w:type="dxa"/>
          </w:tcPr>
          <w:p>
            <w:pPr>
              <w:pStyle w:val="nTable"/>
              <w:keepNext/>
              <w:keepLines/>
              <w:spacing w:before="68" w:after="68"/>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before="68" w:after="68"/>
              <w:ind w:right="113"/>
              <w:rPr>
                <w:sz w:val="19"/>
              </w:rPr>
            </w:pPr>
            <w:r>
              <w:rPr>
                <w:i/>
                <w:sz w:val="19"/>
              </w:rPr>
              <w:t>Statutes (Repeals and Minor Amendments) Act 2003</w:t>
            </w:r>
            <w:r>
              <w:rPr>
                <w:sz w:val="19"/>
              </w:rPr>
              <w:t xml:space="preserve"> s. 109</w:t>
            </w:r>
          </w:p>
        </w:tc>
        <w:tc>
          <w:tcPr>
            <w:tcW w:w="1134" w:type="dxa"/>
          </w:tcPr>
          <w:p>
            <w:pPr>
              <w:pStyle w:val="nTable"/>
              <w:keepNext/>
              <w:keepLines/>
              <w:spacing w:before="68" w:after="68"/>
              <w:rPr>
                <w:sz w:val="19"/>
              </w:rPr>
            </w:pPr>
            <w:r>
              <w:rPr>
                <w:sz w:val="19"/>
              </w:rPr>
              <w:t>74 of 2003</w:t>
            </w:r>
          </w:p>
        </w:tc>
        <w:tc>
          <w:tcPr>
            <w:tcW w:w="1134" w:type="dxa"/>
          </w:tcPr>
          <w:p>
            <w:pPr>
              <w:pStyle w:val="nTable"/>
              <w:keepNext/>
              <w:keepLines/>
              <w:spacing w:before="68" w:after="68"/>
              <w:rPr>
                <w:sz w:val="19"/>
              </w:rPr>
            </w:pPr>
            <w:r>
              <w:rPr>
                <w:sz w:val="19"/>
              </w:rPr>
              <w:t>15 Dec 2003</w:t>
            </w:r>
          </w:p>
        </w:tc>
        <w:tc>
          <w:tcPr>
            <w:tcW w:w="2552" w:type="dxa"/>
          </w:tcPr>
          <w:p>
            <w:pPr>
              <w:pStyle w:val="nTable"/>
              <w:keepNext/>
              <w:keepLines/>
              <w:spacing w:before="68" w:after="68"/>
              <w:rPr>
                <w:sz w:val="19"/>
              </w:rPr>
            </w:pPr>
            <w:r>
              <w:rPr>
                <w:spacing w:val="-2"/>
                <w:sz w:val="19"/>
              </w:rPr>
              <w:t>15 Dec 2003 (see s. 2)</w:t>
            </w:r>
          </w:p>
        </w:tc>
      </w:tr>
      <w:tr>
        <w:trPr>
          <w:cantSplit/>
        </w:trPr>
        <w:tc>
          <w:tcPr>
            <w:tcW w:w="2269" w:type="dxa"/>
          </w:tcPr>
          <w:p>
            <w:pPr>
              <w:pStyle w:val="nTable"/>
              <w:spacing w:before="68" w:after="68"/>
              <w:ind w:right="113"/>
              <w:rPr>
                <w:i/>
                <w:sz w:val="19"/>
              </w:rPr>
            </w:pPr>
            <w:r>
              <w:rPr>
                <w:i/>
                <w:snapToGrid w:val="0"/>
                <w:sz w:val="19"/>
              </w:rPr>
              <w:t>Courts Legislation Amendment and Repeal Act 2004</w:t>
            </w:r>
            <w:r>
              <w:rPr>
                <w:snapToGrid w:val="0"/>
                <w:sz w:val="19"/>
              </w:rPr>
              <w:t xml:space="preserve"> s. 141</w:t>
            </w:r>
          </w:p>
        </w:tc>
        <w:tc>
          <w:tcPr>
            <w:tcW w:w="1134" w:type="dxa"/>
          </w:tcPr>
          <w:p>
            <w:pPr>
              <w:pStyle w:val="nTable"/>
              <w:spacing w:before="68" w:after="68"/>
              <w:rPr>
                <w:sz w:val="19"/>
              </w:rPr>
            </w:pPr>
            <w:r>
              <w:rPr>
                <w:snapToGrid w:val="0"/>
                <w:sz w:val="19"/>
              </w:rPr>
              <w:t>59 of 2004</w:t>
            </w:r>
          </w:p>
        </w:tc>
        <w:tc>
          <w:tcPr>
            <w:tcW w:w="1134" w:type="dxa"/>
          </w:tcPr>
          <w:p>
            <w:pPr>
              <w:pStyle w:val="nTable"/>
              <w:spacing w:before="68" w:after="68"/>
              <w:rPr>
                <w:sz w:val="19"/>
              </w:rPr>
            </w:pPr>
            <w:r>
              <w:rPr>
                <w:sz w:val="19"/>
              </w:rPr>
              <w:t>23 Nov 2004</w:t>
            </w:r>
          </w:p>
        </w:tc>
        <w:tc>
          <w:tcPr>
            <w:tcW w:w="2552" w:type="dxa"/>
          </w:tcPr>
          <w:p>
            <w:pPr>
              <w:pStyle w:val="nTable"/>
              <w:spacing w:before="68" w:after="68"/>
              <w:rPr>
                <w:spacing w:val="-2"/>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9" w:type="dxa"/>
          </w:tcPr>
          <w:p>
            <w:pPr>
              <w:pStyle w:val="nTable"/>
              <w:spacing w:before="68" w:after="68"/>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tcPr>
          <w:p>
            <w:pPr>
              <w:pStyle w:val="nTable"/>
              <w:keepNext/>
              <w:keepLines/>
              <w:spacing w:before="68" w:after="68"/>
              <w:rPr>
                <w:sz w:val="19"/>
              </w:rPr>
            </w:pPr>
            <w:r>
              <w:rPr>
                <w:sz w:val="19"/>
              </w:rPr>
              <w:t>55 of 2004</w:t>
            </w:r>
          </w:p>
        </w:tc>
        <w:tc>
          <w:tcPr>
            <w:tcW w:w="1134" w:type="dxa"/>
          </w:tcPr>
          <w:p>
            <w:pPr>
              <w:pStyle w:val="nTable"/>
              <w:keepNext/>
              <w:keepLines/>
              <w:spacing w:before="68" w:after="68"/>
              <w:rPr>
                <w:sz w:val="19"/>
              </w:rPr>
            </w:pPr>
            <w:r>
              <w:rPr>
                <w:sz w:val="19"/>
              </w:rPr>
              <w:t>24 Nov 2004</w:t>
            </w:r>
          </w:p>
        </w:tc>
        <w:tc>
          <w:tcPr>
            <w:tcW w:w="2552" w:type="dxa"/>
          </w:tcPr>
          <w:p>
            <w:pPr>
              <w:pStyle w:val="nTable"/>
              <w:keepNext/>
              <w:keepLines/>
              <w:spacing w:before="68" w:after="68"/>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9" w:type="dxa"/>
          </w:tcPr>
          <w:p>
            <w:pPr>
              <w:pStyle w:val="nTable"/>
              <w:spacing w:before="68" w:after="68"/>
              <w:ind w:right="113"/>
              <w:rPr>
                <w:i/>
                <w:sz w:val="19"/>
              </w:rPr>
            </w:pPr>
            <w:r>
              <w:rPr>
                <w:i/>
                <w:snapToGrid w:val="0"/>
                <w:sz w:val="19"/>
              </w:rPr>
              <w:t>Criminal Procedure and Appeals (Consequential and Other Provisions) Act 2004</w:t>
            </w:r>
            <w:r>
              <w:rPr>
                <w:snapToGrid w:val="0"/>
                <w:sz w:val="19"/>
              </w:rPr>
              <w:t xml:space="preserve"> s. 80 and 82 </w:t>
            </w:r>
          </w:p>
        </w:tc>
        <w:tc>
          <w:tcPr>
            <w:tcW w:w="1134" w:type="dxa"/>
          </w:tcPr>
          <w:p>
            <w:pPr>
              <w:pStyle w:val="nTable"/>
              <w:keepNext/>
              <w:keepLines/>
              <w:spacing w:before="68" w:after="68"/>
              <w:rPr>
                <w:sz w:val="19"/>
              </w:rPr>
            </w:pPr>
            <w:r>
              <w:rPr>
                <w:snapToGrid w:val="0"/>
                <w:sz w:val="19"/>
              </w:rPr>
              <w:t>84 of 2004</w:t>
            </w:r>
          </w:p>
        </w:tc>
        <w:tc>
          <w:tcPr>
            <w:tcW w:w="1134" w:type="dxa"/>
          </w:tcPr>
          <w:p>
            <w:pPr>
              <w:pStyle w:val="nTable"/>
              <w:keepNext/>
              <w:keepLines/>
              <w:spacing w:before="68" w:after="68"/>
              <w:rPr>
                <w:sz w:val="19"/>
              </w:rPr>
            </w:pPr>
            <w:r>
              <w:rPr>
                <w:sz w:val="19"/>
              </w:rPr>
              <w:t>16 Dec 2004</w:t>
            </w:r>
          </w:p>
        </w:tc>
        <w:tc>
          <w:tcPr>
            <w:tcW w:w="2552" w:type="dxa"/>
          </w:tcPr>
          <w:p>
            <w:pPr>
              <w:pStyle w:val="nTable"/>
              <w:keepNext/>
              <w:keepLines/>
              <w:spacing w:before="68" w:after="68"/>
              <w:rPr>
                <w:spacing w:val="-2"/>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9" w:type="dxa"/>
            <w:gridSpan w:val="4"/>
          </w:tcPr>
          <w:p>
            <w:pPr>
              <w:pStyle w:val="nTable"/>
              <w:spacing w:before="68" w:after="68"/>
              <w:rPr>
                <w:spacing w:val="-2"/>
                <w:sz w:val="19"/>
              </w:rPr>
            </w:pPr>
            <w:r>
              <w:rPr>
                <w:b/>
                <w:spacing w:val="-2"/>
                <w:sz w:val="19"/>
              </w:rPr>
              <w:t xml:space="preserve">Reprint 3: The </w:t>
            </w:r>
            <w:r>
              <w:rPr>
                <w:b/>
                <w:i/>
                <w:spacing w:val="-2"/>
                <w:sz w:val="19"/>
              </w:rPr>
              <w:t>Settlement Agents Act 1981</w:t>
            </w:r>
            <w:r>
              <w:rPr>
                <w:b/>
                <w:spacing w:val="-2"/>
                <w:sz w:val="19"/>
              </w:rPr>
              <w:t xml:space="preserve"> as at 8 Jul 2005</w:t>
            </w:r>
            <w:r>
              <w:rPr>
                <w:spacing w:val="-2"/>
                <w:sz w:val="19"/>
              </w:rPr>
              <w:t xml:space="preserve"> (includes amendments listed above)</w:t>
            </w:r>
          </w:p>
        </w:tc>
      </w:tr>
      <w:tr>
        <w:trPr>
          <w:cantSplit/>
        </w:trPr>
        <w:tc>
          <w:tcPr>
            <w:tcW w:w="2269" w:type="dxa"/>
          </w:tcPr>
          <w:p>
            <w:pPr>
              <w:pStyle w:val="nTable"/>
              <w:spacing w:before="68" w:after="68"/>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before="68" w:after="68"/>
              <w:rPr>
                <w:sz w:val="19"/>
              </w:rPr>
            </w:pPr>
            <w:r>
              <w:rPr>
                <w:sz w:val="19"/>
              </w:rPr>
              <w:t>24 of 2005</w:t>
            </w:r>
          </w:p>
        </w:tc>
        <w:tc>
          <w:tcPr>
            <w:tcW w:w="1134" w:type="dxa"/>
          </w:tcPr>
          <w:p>
            <w:pPr>
              <w:pStyle w:val="nTable"/>
              <w:spacing w:before="68" w:after="68"/>
              <w:rPr>
                <w:sz w:val="19"/>
              </w:rPr>
            </w:pPr>
            <w:r>
              <w:rPr>
                <w:sz w:val="19"/>
              </w:rPr>
              <w:t>2 Dec 2005</w:t>
            </w:r>
          </w:p>
        </w:tc>
        <w:tc>
          <w:tcPr>
            <w:tcW w:w="2552" w:type="dxa"/>
          </w:tcPr>
          <w:p>
            <w:pPr>
              <w:pStyle w:val="nTable"/>
              <w:spacing w:before="68" w:after="68"/>
              <w:rPr>
                <w:sz w:val="19"/>
              </w:rPr>
            </w:pPr>
            <w:r>
              <w:rPr>
                <w:sz w:val="19"/>
              </w:rPr>
              <w:t xml:space="preserve">1 Jan 2006 (see s. 2 and </w:t>
            </w:r>
            <w:r>
              <w:rPr>
                <w:i/>
                <w:sz w:val="19"/>
              </w:rPr>
              <w:t>Gazette</w:t>
            </w:r>
            <w:r>
              <w:rPr>
                <w:sz w:val="19"/>
              </w:rPr>
              <w:t xml:space="preserve"> 23 Dec 2005 p. 6244)</w:t>
            </w:r>
          </w:p>
        </w:tc>
      </w:tr>
      <w:tr>
        <w:trPr>
          <w:cantSplit/>
        </w:trPr>
        <w:tc>
          <w:tcPr>
            <w:tcW w:w="2269" w:type="dxa"/>
          </w:tcPr>
          <w:p>
            <w:pPr>
              <w:pStyle w:val="nTable"/>
              <w:spacing w:before="68" w:after="68"/>
              <w:ind w:right="113"/>
              <w:rPr>
                <w:i/>
                <w:sz w:val="19"/>
              </w:rPr>
            </w:pPr>
            <w:r>
              <w:rPr>
                <w:i/>
                <w:snapToGrid w:val="0"/>
                <w:sz w:val="19"/>
              </w:rPr>
              <w:t>Planning and Development (Consequential and Transitional Provisions) Act 2005</w:t>
            </w:r>
            <w:r>
              <w:rPr>
                <w:sz w:val="19"/>
              </w:rPr>
              <w:t xml:space="preserve"> s. 15</w:t>
            </w:r>
          </w:p>
        </w:tc>
        <w:tc>
          <w:tcPr>
            <w:tcW w:w="1134" w:type="dxa"/>
          </w:tcPr>
          <w:p>
            <w:pPr>
              <w:pStyle w:val="nTable"/>
              <w:spacing w:before="68" w:after="68"/>
              <w:rPr>
                <w:sz w:val="19"/>
              </w:rPr>
            </w:pPr>
            <w:r>
              <w:rPr>
                <w:snapToGrid w:val="0"/>
                <w:sz w:val="19"/>
              </w:rPr>
              <w:t>38 of 2005</w:t>
            </w:r>
          </w:p>
        </w:tc>
        <w:tc>
          <w:tcPr>
            <w:tcW w:w="1134" w:type="dxa"/>
          </w:tcPr>
          <w:p>
            <w:pPr>
              <w:pStyle w:val="nTable"/>
              <w:spacing w:before="68" w:after="68"/>
              <w:rPr>
                <w:sz w:val="19"/>
              </w:rPr>
            </w:pPr>
            <w:r>
              <w:rPr>
                <w:sz w:val="19"/>
              </w:rPr>
              <w:t>12 Dec 2005</w:t>
            </w:r>
          </w:p>
        </w:tc>
        <w:tc>
          <w:tcPr>
            <w:tcW w:w="2552" w:type="dxa"/>
          </w:tcPr>
          <w:p>
            <w:pPr>
              <w:pStyle w:val="nTable"/>
              <w:spacing w:before="68" w:after="68"/>
              <w:rPr>
                <w:sz w:val="19"/>
              </w:rPr>
            </w:pPr>
            <w:r>
              <w:rPr>
                <w:sz w:val="19"/>
              </w:rPr>
              <w:t xml:space="preserve">9 Apr 2006 (see s. 2 and </w:t>
            </w:r>
            <w:r>
              <w:rPr>
                <w:i/>
                <w:sz w:val="19"/>
              </w:rPr>
              <w:t>Gazette</w:t>
            </w:r>
            <w:r>
              <w:rPr>
                <w:sz w:val="19"/>
              </w:rPr>
              <w:t xml:space="preserve"> 21 Mar 2006 p. 1078)</w:t>
            </w:r>
          </w:p>
        </w:tc>
      </w:tr>
      <w:tr>
        <w:trPr>
          <w:cantSplit/>
        </w:trPr>
        <w:tc>
          <w:tcPr>
            <w:tcW w:w="2269" w:type="dxa"/>
          </w:tcPr>
          <w:p>
            <w:pPr>
              <w:pStyle w:val="nTable"/>
              <w:spacing w:before="68" w:after="68"/>
              <w:ind w:right="113"/>
              <w:rPr>
                <w:i/>
                <w:snapToGrid w:val="0"/>
                <w:sz w:val="19"/>
              </w:rPr>
            </w:pPr>
            <w:r>
              <w:rPr>
                <w:i/>
                <w:snapToGrid w:val="0"/>
                <w:sz w:val="19"/>
              </w:rPr>
              <w:t>Land Information Authority Act 2006</w:t>
            </w:r>
            <w:r>
              <w:rPr>
                <w:snapToGrid w:val="0"/>
                <w:sz w:val="19"/>
              </w:rPr>
              <w:t xml:space="preserve"> s. 158</w:t>
            </w:r>
            <w:r>
              <w:rPr>
                <w:snapToGrid w:val="0"/>
                <w:sz w:val="19"/>
                <w:vertAlign w:val="superscript"/>
              </w:rPr>
              <w:t xml:space="preserve"> </w:t>
            </w:r>
          </w:p>
        </w:tc>
        <w:tc>
          <w:tcPr>
            <w:tcW w:w="1134" w:type="dxa"/>
          </w:tcPr>
          <w:p>
            <w:pPr>
              <w:pStyle w:val="nTable"/>
              <w:spacing w:before="68" w:after="68"/>
              <w:rPr>
                <w:snapToGrid w:val="0"/>
                <w:sz w:val="19"/>
              </w:rPr>
            </w:pPr>
            <w:r>
              <w:rPr>
                <w:snapToGrid w:val="0"/>
                <w:sz w:val="19"/>
              </w:rPr>
              <w:t>60 of 2006</w:t>
            </w:r>
          </w:p>
        </w:tc>
        <w:tc>
          <w:tcPr>
            <w:tcW w:w="1134" w:type="dxa"/>
          </w:tcPr>
          <w:p>
            <w:pPr>
              <w:pStyle w:val="nTable"/>
              <w:spacing w:before="68" w:after="68"/>
              <w:rPr>
                <w:sz w:val="19"/>
              </w:rPr>
            </w:pPr>
            <w:r>
              <w:rPr>
                <w:snapToGrid w:val="0"/>
                <w:sz w:val="19"/>
              </w:rPr>
              <w:t>16 Nov 2006</w:t>
            </w:r>
          </w:p>
        </w:tc>
        <w:tc>
          <w:tcPr>
            <w:tcW w:w="2552" w:type="dxa"/>
          </w:tcPr>
          <w:p>
            <w:pPr>
              <w:pStyle w:val="nTable"/>
              <w:spacing w:before="68" w:after="68"/>
              <w:rPr>
                <w:sz w:val="19"/>
              </w:rPr>
            </w:pPr>
            <w:r>
              <w:rPr>
                <w:sz w:val="19"/>
              </w:rPr>
              <w:t xml:space="preserve">1 Jan 2007 (see s. 2(1) and </w:t>
            </w:r>
            <w:r>
              <w:rPr>
                <w:i/>
                <w:sz w:val="19"/>
              </w:rPr>
              <w:t xml:space="preserve">Gazette </w:t>
            </w:r>
            <w:r>
              <w:rPr>
                <w:sz w:val="19"/>
              </w:rPr>
              <w:t>8 Dec 2006 p. 5369)</w:t>
            </w:r>
          </w:p>
        </w:tc>
      </w:tr>
      <w:tr>
        <w:trPr>
          <w:cantSplit/>
        </w:trPr>
        <w:tc>
          <w:tcPr>
            <w:tcW w:w="2269" w:type="dxa"/>
          </w:tcPr>
          <w:p>
            <w:pPr>
              <w:pStyle w:val="nTable"/>
              <w:spacing w:before="68" w:after="68"/>
              <w:ind w:right="113"/>
              <w:rPr>
                <w:snapToGrid w:val="0"/>
                <w:sz w:val="19"/>
              </w:rPr>
            </w:pPr>
            <w:r>
              <w:rPr>
                <w:i/>
                <w:snapToGrid w:val="0"/>
                <w:sz w:val="19"/>
              </w:rPr>
              <w:t xml:space="preserve">Consumer </w:t>
            </w:r>
            <w:r>
              <w:rPr>
                <w:i/>
                <w:sz w:val="19"/>
              </w:rPr>
              <w:t>Protection</w:t>
            </w:r>
            <w:r>
              <w:rPr>
                <w:i/>
                <w:snapToGrid w:val="0"/>
                <w:sz w:val="19"/>
              </w:rPr>
              <w:t xml:space="preserve"> Legislation Amendment and Repeal Act 2006 </w:t>
            </w:r>
            <w:r>
              <w:rPr>
                <w:snapToGrid w:val="0"/>
                <w:sz w:val="19"/>
              </w:rPr>
              <w:t>Pt. 11</w:t>
            </w:r>
          </w:p>
        </w:tc>
        <w:tc>
          <w:tcPr>
            <w:tcW w:w="1134" w:type="dxa"/>
          </w:tcPr>
          <w:p>
            <w:pPr>
              <w:pStyle w:val="nTable"/>
              <w:spacing w:before="68" w:after="68"/>
              <w:rPr>
                <w:snapToGrid w:val="0"/>
                <w:sz w:val="19"/>
              </w:rPr>
            </w:pPr>
            <w:r>
              <w:rPr>
                <w:snapToGrid w:val="0"/>
                <w:sz w:val="19"/>
              </w:rPr>
              <w:t>69 of 2006</w:t>
            </w:r>
          </w:p>
        </w:tc>
        <w:tc>
          <w:tcPr>
            <w:tcW w:w="1134" w:type="dxa"/>
          </w:tcPr>
          <w:p>
            <w:pPr>
              <w:pStyle w:val="nTable"/>
              <w:spacing w:before="68" w:after="68"/>
              <w:ind w:right="15"/>
              <w:rPr>
                <w:snapToGrid w:val="0"/>
                <w:sz w:val="19"/>
              </w:rPr>
            </w:pPr>
            <w:r>
              <w:rPr>
                <w:snapToGrid w:val="0"/>
                <w:sz w:val="19"/>
              </w:rPr>
              <w:t>13 Dec 2006</w:t>
            </w:r>
          </w:p>
        </w:tc>
        <w:tc>
          <w:tcPr>
            <w:tcW w:w="2552" w:type="dxa"/>
          </w:tcPr>
          <w:p>
            <w:pPr>
              <w:pStyle w:val="nTable"/>
              <w:keepLines/>
              <w:spacing w:before="68" w:after="68"/>
              <w:rPr>
                <w:sz w:val="19"/>
              </w:rPr>
            </w:pPr>
            <w:r>
              <w:rPr>
                <w:sz w:val="19"/>
              </w:rPr>
              <w:t xml:space="preserve">14 Jul 2007 (see s. 2 and </w:t>
            </w:r>
            <w:r>
              <w:rPr>
                <w:i/>
                <w:iCs/>
                <w:sz w:val="19"/>
              </w:rPr>
              <w:t>Gazette</w:t>
            </w:r>
            <w:r>
              <w:rPr>
                <w:sz w:val="19"/>
              </w:rPr>
              <w:t xml:space="preserve"> 13 Jul 2007 p. 3453)</w:t>
            </w:r>
          </w:p>
        </w:tc>
      </w:tr>
      <w:tr>
        <w:trPr>
          <w:cantSplit/>
        </w:trPr>
        <w:tc>
          <w:tcPr>
            <w:tcW w:w="2269" w:type="dxa"/>
          </w:tcPr>
          <w:p>
            <w:pPr>
              <w:pStyle w:val="nTable"/>
              <w:spacing w:before="68" w:after="68"/>
              <w:ind w:right="113"/>
              <w:rPr>
                <w:i/>
                <w:snapToGrid w:val="0"/>
                <w:sz w:val="19"/>
              </w:rPr>
            </w:pPr>
            <w:r>
              <w:rPr>
                <w:i/>
                <w:snapToGrid w:val="0"/>
                <w:sz w:val="19"/>
              </w:rPr>
              <w:t>Financial Legislation Amendment and Repeal Act 2006</w:t>
            </w:r>
            <w:r>
              <w:rPr>
                <w:snapToGrid w:val="0"/>
                <w:sz w:val="19"/>
              </w:rPr>
              <w:t xml:space="preserve"> Sch. 1 cl. 156</w:t>
            </w:r>
          </w:p>
        </w:tc>
        <w:tc>
          <w:tcPr>
            <w:tcW w:w="1134" w:type="dxa"/>
          </w:tcPr>
          <w:p>
            <w:pPr>
              <w:pStyle w:val="nTable"/>
              <w:spacing w:before="68" w:after="68"/>
              <w:rPr>
                <w:snapToGrid w:val="0"/>
                <w:sz w:val="19"/>
              </w:rPr>
            </w:pPr>
            <w:r>
              <w:rPr>
                <w:snapToGrid w:val="0"/>
                <w:sz w:val="19"/>
              </w:rPr>
              <w:t>77 of 2006</w:t>
            </w:r>
          </w:p>
        </w:tc>
        <w:tc>
          <w:tcPr>
            <w:tcW w:w="1134" w:type="dxa"/>
          </w:tcPr>
          <w:p>
            <w:pPr>
              <w:pStyle w:val="nTable"/>
              <w:spacing w:before="68" w:after="68"/>
              <w:rPr>
                <w:snapToGrid w:val="0"/>
                <w:sz w:val="19"/>
              </w:rPr>
            </w:pPr>
            <w:r>
              <w:rPr>
                <w:snapToGrid w:val="0"/>
                <w:sz w:val="19"/>
              </w:rPr>
              <w:t>21 Dec 2006</w:t>
            </w:r>
          </w:p>
        </w:tc>
        <w:tc>
          <w:tcPr>
            <w:tcW w:w="2552" w:type="dxa"/>
          </w:tcPr>
          <w:p>
            <w:pPr>
              <w:pStyle w:val="nTable"/>
              <w:spacing w:before="68" w:after="68"/>
              <w:rPr>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9" w:type="dxa"/>
            <w:gridSpan w:val="4"/>
          </w:tcPr>
          <w:p>
            <w:pPr>
              <w:pStyle w:val="nTable"/>
              <w:spacing w:before="68" w:after="68"/>
              <w:rPr>
                <w:snapToGrid w:val="0"/>
                <w:sz w:val="19"/>
              </w:rPr>
            </w:pPr>
            <w:r>
              <w:rPr>
                <w:b/>
                <w:spacing w:val="-2"/>
                <w:sz w:val="19"/>
              </w:rPr>
              <w:t xml:space="preserve">Reprint 4: The </w:t>
            </w:r>
            <w:r>
              <w:rPr>
                <w:b/>
                <w:i/>
                <w:spacing w:val="-2"/>
                <w:sz w:val="19"/>
              </w:rPr>
              <w:t>Settlement Agents Act 1981</w:t>
            </w:r>
            <w:r>
              <w:rPr>
                <w:b/>
                <w:spacing w:val="-2"/>
                <w:sz w:val="19"/>
              </w:rPr>
              <w:t xml:space="preserve"> as at 25 May 2007</w:t>
            </w:r>
            <w:r>
              <w:rPr>
                <w:spacing w:val="-2"/>
                <w:sz w:val="19"/>
              </w:rPr>
              <w:t xml:space="preserve"> (includes amendments listed above except those in the </w:t>
            </w:r>
            <w:r>
              <w:rPr>
                <w:i/>
                <w:snapToGrid w:val="0"/>
                <w:sz w:val="19"/>
              </w:rPr>
              <w:t xml:space="preserve">Consumer </w:t>
            </w:r>
            <w:r>
              <w:rPr>
                <w:i/>
                <w:sz w:val="19"/>
              </w:rPr>
              <w:t>Protection</w:t>
            </w:r>
            <w:r>
              <w:rPr>
                <w:i/>
                <w:snapToGrid w:val="0"/>
                <w:sz w:val="19"/>
              </w:rPr>
              <w:t xml:space="preserve"> Legislation Amendment and Repeal Act 2006</w:t>
            </w:r>
            <w:r>
              <w:rPr>
                <w:spacing w:val="-2"/>
                <w:sz w:val="19"/>
              </w:rPr>
              <w:t>)</w:t>
            </w:r>
          </w:p>
        </w:tc>
      </w:tr>
      <w:tr>
        <w:trPr>
          <w:cantSplit/>
        </w:trPr>
        <w:tc>
          <w:tcPr>
            <w:tcW w:w="2269" w:type="dxa"/>
          </w:tcPr>
          <w:p>
            <w:pPr>
              <w:pStyle w:val="nTable"/>
              <w:spacing w:before="68" w:after="68"/>
              <w:rPr>
                <w:iCs/>
                <w:sz w:val="19"/>
                <w:vertAlign w:val="superscript"/>
              </w:rPr>
            </w:pPr>
            <w:r>
              <w:rPr>
                <w:i/>
                <w:sz w:val="19"/>
              </w:rPr>
              <w:t>Duties Legislation Amendment Act 2008</w:t>
            </w:r>
            <w:r>
              <w:rPr>
                <w:iCs/>
                <w:sz w:val="19"/>
              </w:rPr>
              <w:t xml:space="preserve"> Sch. 1 cl. 34</w:t>
            </w:r>
          </w:p>
        </w:tc>
        <w:tc>
          <w:tcPr>
            <w:tcW w:w="1134" w:type="dxa"/>
          </w:tcPr>
          <w:p>
            <w:pPr>
              <w:pStyle w:val="nTable"/>
              <w:spacing w:before="68" w:after="68"/>
              <w:rPr>
                <w:sz w:val="19"/>
              </w:rPr>
            </w:pPr>
            <w:r>
              <w:rPr>
                <w:sz w:val="19"/>
              </w:rPr>
              <w:t>12 of 2008</w:t>
            </w:r>
          </w:p>
        </w:tc>
        <w:tc>
          <w:tcPr>
            <w:tcW w:w="1134" w:type="dxa"/>
          </w:tcPr>
          <w:p>
            <w:pPr>
              <w:pStyle w:val="nTable"/>
              <w:spacing w:before="68" w:after="68"/>
              <w:rPr>
                <w:sz w:val="19"/>
              </w:rPr>
            </w:pPr>
            <w:r>
              <w:rPr>
                <w:sz w:val="19"/>
              </w:rPr>
              <w:t>14 Apr 2008</w:t>
            </w:r>
          </w:p>
        </w:tc>
        <w:tc>
          <w:tcPr>
            <w:tcW w:w="2552" w:type="dxa"/>
          </w:tcPr>
          <w:p>
            <w:pPr>
              <w:pStyle w:val="nTable"/>
              <w:spacing w:before="68" w:after="68"/>
              <w:rPr>
                <w:sz w:val="19"/>
              </w:rPr>
            </w:pPr>
            <w:r>
              <w:rPr>
                <w:sz w:val="19"/>
              </w:rPr>
              <w:t>1 Jul 2008 (see s. 2(d))</w:t>
            </w:r>
          </w:p>
        </w:tc>
      </w:tr>
      <w:tr>
        <w:trPr>
          <w:cantSplit/>
        </w:trPr>
        <w:tc>
          <w:tcPr>
            <w:tcW w:w="2269" w:type="dxa"/>
          </w:tcPr>
          <w:p>
            <w:pPr>
              <w:pStyle w:val="nTable"/>
              <w:spacing w:before="68" w:after="68"/>
              <w:rPr>
                <w:i/>
                <w:sz w:val="19"/>
              </w:rPr>
            </w:pPr>
            <w:r>
              <w:rPr>
                <w:i/>
                <w:iCs/>
                <w:snapToGrid w:val="0"/>
                <w:sz w:val="19"/>
              </w:rPr>
              <w:t>Legal Profession Act 2008</w:t>
            </w:r>
            <w:r>
              <w:rPr>
                <w:i/>
                <w:snapToGrid w:val="0"/>
                <w:sz w:val="19"/>
              </w:rPr>
              <w:t xml:space="preserve"> </w:t>
            </w:r>
            <w:r>
              <w:rPr>
                <w:iCs/>
                <w:snapToGrid w:val="0"/>
                <w:sz w:val="19"/>
              </w:rPr>
              <w:t>s. 704</w:t>
            </w:r>
          </w:p>
        </w:tc>
        <w:tc>
          <w:tcPr>
            <w:tcW w:w="1134" w:type="dxa"/>
          </w:tcPr>
          <w:p>
            <w:pPr>
              <w:pStyle w:val="nTable"/>
              <w:spacing w:before="68" w:after="68"/>
              <w:rPr>
                <w:sz w:val="19"/>
              </w:rPr>
            </w:pPr>
            <w:r>
              <w:rPr>
                <w:sz w:val="19"/>
              </w:rPr>
              <w:t>21 of 2008</w:t>
            </w:r>
          </w:p>
        </w:tc>
        <w:tc>
          <w:tcPr>
            <w:tcW w:w="1134" w:type="dxa"/>
          </w:tcPr>
          <w:p>
            <w:pPr>
              <w:pStyle w:val="nTable"/>
              <w:spacing w:before="68" w:after="68"/>
              <w:rPr>
                <w:sz w:val="19"/>
              </w:rPr>
            </w:pPr>
            <w:r>
              <w:rPr>
                <w:sz w:val="19"/>
              </w:rPr>
              <w:t>27 May 2008</w:t>
            </w:r>
          </w:p>
        </w:tc>
        <w:tc>
          <w:tcPr>
            <w:tcW w:w="2552" w:type="dxa"/>
          </w:tcPr>
          <w:p>
            <w:pPr>
              <w:pStyle w:val="nTable"/>
              <w:spacing w:before="68" w:after="68"/>
              <w:rPr>
                <w:sz w:val="19"/>
              </w:rPr>
            </w:pPr>
            <w:r>
              <w:rPr>
                <w:snapToGrid w:val="0"/>
                <w:sz w:val="19"/>
              </w:rPr>
              <w:t xml:space="preserve">1 Mar 2009 (see s. 2(b) and </w:t>
            </w:r>
            <w:r>
              <w:rPr>
                <w:i/>
                <w:iCs/>
                <w:snapToGrid w:val="0"/>
                <w:sz w:val="19"/>
              </w:rPr>
              <w:t>Gazette</w:t>
            </w:r>
            <w:r>
              <w:rPr>
                <w:snapToGrid w:val="0"/>
                <w:sz w:val="19"/>
              </w:rPr>
              <w:t xml:space="preserve"> 27 Feb 2009 p. 511</w:t>
            </w:r>
            <w:r>
              <w:rPr>
                <w:sz w:val="19"/>
              </w:rPr>
              <w:t>)</w:t>
            </w:r>
          </w:p>
        </w:tc>
      </w:tr>
      <w:tr>
        <w:trPr>
          <w:cantSplit/>
        </w:trPr>
        <w:tc>
          <w:tcPr>
            <w:tcW w:w="2269" w:type="dxa"/>
          </w:tcPr>
          <w:p>
            <w:pPr>
              <w:pStyle w:val="nTable"/>
              <w:spacing w:before="68" w:after="68"/>
              <w:ind w:right="113"/>
              <w:rPr>
                <w:iCs/>
                <w:sz w:val="19"/>
              </w:rPr>
            </w:pPr>
            <w:r>
              <w:rPr>
                <w:i/>
                <w:sz w:val="19"/>
              </w:rPr>
              <w:t>Statutes (Repeals and Miscellaneous Amendments) Act 2009</w:t>
            </w:r>
            <w:r>
              <w:rPr>
                <w:iCs/>
                <w:sz w:val="19"/>
              </w:rPr>
              <w:t xml:space="preserve"> s. 117</w:t>
            </w:r>
          </w:p>
        </w:tc>
        <w:tc>
          <w:tcPr>
            <w:tcW w:w="1134" w:type="dxa"/>
          </w:tcPr>
          <w:p>
            <w:pPr>
              <w:pStyle w:val="nTable"/>
              <w:spacing w:before="68" w:after="68"/>
              <w:rPr>
                <w:sz w:val="19"/>
              </w:rPr>
            </w:pPr>
            <w:r>
              <w:rPr>
                <w:sz w:val="19"/>
              </w:rPr>
              <w:t xml:space="preserve">8 of 2009 </w:t>
            </w:r>
          </w:p>
        </w:tc>
        <w:tc>
          <w:tcPr>
            <w:tcW w:w="1134" w:type="dxa"/>
          </w:tcPr>
          <w:p>
            <w:pPr>
              <w:pStyle w:val="nTable"/>
              <w:spacing w:before="68" w:after="68"/>
              <w:rPr>
                <w:sz w:val="19"/>
              </w:rPr>
            </w:pPr>
            <w:r>
              <w:rPr>
                <w:sz w:val="19"/>
              </w:rPr>
              <w:t>21 May 2009</w:t>
            </w:r>
          </w:p>
        </w:tc>
        <w:tc>
          <w:tcPr>
            <w:tcW w:w="2552" w:type="dxa"/>
          </w:tcPr>
          <w:p>
            <w:pPr>
              <w:pStyle w:val="nTable"/>
              <w:spacing w:before="68" w:after="68"/>
              <w:rPr>
                <w:sz w:val="19"/>
              </w:rPr>
            </w:pPr>
            <w:r>
              <w:rPr>
                <w:sz w:val="19"/>
              </w:rPr>
              <w:t>22 May 2009 (see s. 2(b))</w:t>
            </w:r>
          </w:p>
        </w:tc>
      </w:tr>
      <w:tr>
        <w:trPr>
          <w:cantSplit/>
        </w:trPr>
        <w:tc>
          <w:tcPr>
            <w:tcW w:w="2269" w:type="dxa"/>
          </w:tcPr>
          <w:p>
            <w:pPr>
              <w:pStyle w:val="nTable"/>
              <w:spacing w:before="68" w:after="68"/>
              <w:rPr>
                <w:iCs/>
                <w:snapToGrid w:val="0"/>
                <w:sz w:val="19"/>
              </w:rPr>
            </w:pPr>
            <w:r>
              <w:rPr>
                <w:i/>
                <w:snapToGrid w:val="0"/>
                <w:sz w:val="19"/>
              </w:rPr>
              <w:t>Acts Amendment (Bankruptcy) Act 2009</w:t>
            </w:r>
            <w:r>
              <w:rPr>
                <w:iCs/>
                <w:snapToGrid w:val="0"/>
                <w:sz w:val="19"/>
              </w:rPr>
              <w:t xml:space="preserve"> s. 80</w:t>
            </w:r>
          </w:p>
        </w:tc>
        <w:tc>
          <w:tcPr>
            <w:tcW w:w="1134" w:type="dxa"/>
          </w:tcPr>
          <w:p>
            <w:pPr>
              <w:pStyle w:val="nTable"/>
              <w:spacing w:before="68" w:after="68"/>
              <w:rPr>
                <w:sz w:val="19"/>
              </w:rPr>
            </w:pPr>
            <w:r>
              <w:rPr>
                <w:sz w:val="19"/>
              </w:rPr>
              <w:t>18 of 2009</w:t>
            </w:r>
          </w:p>
        </w:tc>
        <w:tc>
          <w:tcPr>
            <w:tcW w:w="1134" w:type="dxa"/>
          </w:tcPr>
          <w:p>
            <w:pPr>
              <w:pStyle w:val="nTable"/>
              <w:spacing w:before="68" w:after="68"/>
              <w:rPr>
                <w:sz w:val="19"/>
              </w:rPr>
            </w:pPr>
            <w:r>
              <w:rPr>
                <w:sz w:val="19"/>
              </w:rPr>
              <w:t>16 Sep 2009</w:t>
            </w:r>
          </w:p>
        </w:tc>
        <w:tc>
          <w:tcPr>
            <w:tcW w:w="2552" w:type="dxa"/>
          </w:tcPr>
          <w:p>
            <w:pPr>
              <w:pStyle w:val="nTable"/>
              <w:spacing w:before="68" w:after="68"/>
              <w:rPr>
                <w:sz w:val="19"/>
              </w:rPr>
            </w:pPr>
            <w:r>
              <w:rPr>
                <w:sz w:val="19"/>
              </w:rPr>
              <w:t>17 Sep 2009 (see s. 2(b))</w:t>
            </w:r>
          </w:p>
        </w:tc>
      </w:tr>
      <w:tr>
        <w:trPr>
          <w:cantSplit/>
        </w:trPr>
        <w:tc>
          <w:tcPr>
            <w:tcW w:w="2269" w:type="dxa"/>
          </w:tcPr>
          <w:p>
            <w:pPr>
              <w:pStyle w:val="nTable"/>
              <w:spacing w:before="68" w:after="68"/>
              <w:rPr>
                <w:iCs/>
                <w:snapToGrid w:val="0"/>
                <w:sz w:val="19"/>
              </w:rPr>
            </w:pPr>
            <w:r>
              <w:rPr>
                <w:i/>
                <w:snapToGrid w:val="0"/>
                <w:sz w:val="19"/>
              </w:rPr>
              <w:t>Statutes (Repeals and Minor Amendments) Act 2009</w:t>
            </w:r>
            <w:r>
              <w:rPr>
                <w:iCs/>
                <w:snapToGrid w:val="0"/>
                <w:sz w:val="19"/>
              </w:rPr>
              <w:t xml:space="preserve"> s. 15</w:t>
            </w:r>
          </w:p>
        </w:tc>
        <w:tc>
          <w:tcPr>
            <w:tcW w:w="1134" w:type="dxa"/>
          </w:tcPr>
          <w:p>
            <w:pPr>
              <w:pStyle w:val="nTable"/>
              <w:spacing w:before="68" w:after="68"/>
              <w:rPr>
                <w:sz w:val="19"/>
              </w:rPr>
            </w:pPr>
            <w:r>
              <w:rPr>
                <w:sz w:val="19"/>
              </w:rPr>
              <w:t>46 of 2009</w:t>
            </w:r>
          </w:p>
        </w:tc>
        <w:tc>
          <w:tcPr>
            <w:tcW w:w="1134" w:type="dxa"/>
          </w:tcPr>
          <w:p>
            <w:pPr>
              <w:pStyle w:val="nTable"/>
              <w:spacing w:before="68" w:after="68"/>
              <w:rPr>
                <w:sz w:val="19"/>
              </w:rPr>
            </w:pPr>
            <w:r>
              <w:rPr>
                <w:sz w:val="19"/>
              </w:rPr>
              <w:t>3 Dec 2009</w:t>
            </w:r>
          </w:p>
        </w:tc>
        <w:tc>
          <w:tcPr>
            <w:tcW w:w="2552" w:type="dxa"/>
          </w:tcPr>
          <w:p>
            <w:pPr>
              <w:pStyle w:val="nTable"/>
              <w:spacing w:before="68" w:after="68"/>
              <w:rPr>
                <w:sz w:val="19"/>
              </w:rPr>
            </w:pPr>
            <w:r>
              <w:rPr>
                <w:sz w:val="19"/>
              </w:rPr>
              <w:t>4 Dec 2009 (see s. 2(b))</w:t>
            </w:r>
          </w:p>
        </w:tc>
      </w:tr>
      <w:tr>
        <w:trPr>
          <w:cantSplit/>
        </w:trPr>
        <w:tc>
          <w:tcPr>
            <w:tcW w:w="7089" w:type="dxa"/>
            <w:gridSpan w:val="4"/>
          </w:tcPr>
          <w:p>
            <w:pPr>
              <w:pStyle w:val="nTable"/>
              <w:spacing w:before="68" w:after="68"/>
              <w:rPr>
                <w:sz w:val="19"/>
              </w:rPr>
            </w:pPr>
            <w:r>
              <w:rPr>
                <w:b/>
                <w:spacing w:val="-2"/>
                <w:sz w:val="19"/>
              </w:rPr>
              <w:t xml:space="preserve">Reprint 5: The </w:t>
            </w:r>
            <w:r>
              <w:rPr>
                <w:b/>
                <w:i/>
                <w:spacing w:val="-2"/>
                <w:sz w:val="19"/>
              </w:rPr>
              <w:t>Settlement Agents Act 1981</w:t>
            </w:r>
            <w:r>
              <w:rPr>
                <w:b/>
                <w:spacing w:val="-2"/>
                <w:sz w:val="19"/>
              </w:rPr>
              <w:t xml:space="preserve"> as at 26 Mar 2010 </w:t>
            </w:r>
            <w:r>
              <w:rPr>
                <w:spacing w:val="-2"/>
                <w:sz w:val="19"/>
              </w:rPr>
              <w:t>(includes amendments listed above)</w:t>
            </w:r>
          </w:p>
        </w:tc>
      </w:tr>
      <w:tr>
        <w:trPr>
          <w:cantSplit/>
        </w:trPr>
        <w:tc>
          <w:tcPr>
            <w:tcW w:w="2269" w:type="dxa"/>
          </w:tcPr>
          <w:p>
            <w:pPr>
              <w:pStyle w:val="nTable"/>
              <w:spacing w:before="68" w:after="68"/>
              <w:rPr>
                <w:iCs/>
                <w:snapToGrid w:val="0"/>
                <w:sz w:val="19"/>
              </w:rPr>
            </w:pPr>
            <w:r>
              <w:rPr>
                <w:i/>
                <w:iCs/>
                <w:snapToGrid w:val="0"/>
                <w:sz w:val="19"/>
              </w:rPr>
              <w:t>Credit (Commonwealth Powers) (Transitional and Consequential Provisions) Act 2010</w:t>
            </w:r>
            <w:r>
              <w:rPr>
                <w:iCs/>
                <w:snapToGrid w:val="0"/>
                <w:sz w:val="19"/>
              </w:rPr>
              <w:t xml:space="preserve"> s. 79</w:t>
            </w:r>
          </w:p>
        </w:tc>
        <w:tc>
          <w:tcPr>
            <w:tcW w:w="1134" w:type="dxa"/>
          </w:tcPr>
          <w:p>
            <w:pPr>
              <w:pStyle w:val="nTable"/>
              <w:spacing w:before="68" w:after="68"/>
              <w:rPr>
                <w:sz w:val="19"/>
              </w:rPr>
            </w:pPr>
            <w:r>
              <w:rPr>
                <w:sz w:val="19"/>
              </w:rPr>
              <w:t>14 of 2010</w:t>
            </w:r>
          </w:p>
        </w:tc>
        <w:tc>
          <w:tcPr>
            <w:tcW w:w="1134" w:type="dxa"/>
          </w:tcPr>
          <w:p>
            <w:pPr>
              <w:pStyle w:val="nTable"/>
              <w:spacing w:before="68" w:after="68"/>
              <w:rPr>
                <w:sz w:val="19"/>
              </w:rPr>
            </w:pPr>
            <w:r>
              <w:rPr>
                <w:sz w:val="19"/>
              </w:rPr>
              <w:t>25 Jun 2010</w:t>
            </w:r>
          </w:p>
        </w:tc>
        <w:tc>
          <w:tcPr>
            <w:tcW w:w="2552" w:type="dxa"/>
          </w:tcPr>
          <w:p>
            <w:pPr>
              <w:pStyle w:val="nTable"/>
              <w:spacing w:before="68" w:after="68"/>
              <w:rPr>
                <w:sz w:val="19"/>
              </w:rPr>
            </w:pPr>
            <w:r>
              <w:rPr>
                <w:sz w:val="19"/>
              </w:rPr>
              <w:t xml:space="preserve">1 Jul 2010 (see s. 2(b) and </w:t>
            </w:r>
            <w:r>
              <w:rPr>
                <w:i/>
                <w:iCs/>
                <w:sz w:val="19"/>
              </w:rPr>
              <w:t xml:space="preserve">Gazette </w:t>
            </w:r>
            <w:r>
              <w:rPr>
                <w:sz w:val="19"/>
              </w:rPr>
              <w:t>30 Jun 2010 p. 3185)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before="68" w:after="68"/>
              <w:rPr>
                <w:iCs/>
                <w:snapToGrid w:val="0"/>
                <w:sz w:val="19"/>
              </w:rPr>
            </w:pPr>
            <w:r>
              <w:rPr>
                <w:i/>
                <w:snapToGrid w:val="0"/>
                <w:sz w:val="19"/>
              </w:rPr>
              <w:t>Standardisation of Formatting Act 2010</w:t>
            </w:r>
            <w:r>
              <w:rPr>
                <w:iCs/>
                <w:snapToGrid w:val="0"/>
                <w:sz w:val="19"/>
              </w:rPr>
              <w:t xml:space="preserve"> s. 35 and 51</w:t>
            </w:r>
          </w:p>
        </w:tc>
        <w:tc>
          <w:tcPr>
            <w:tcW w:w="1134" w:type="dxa"/>
            <w:tcBorders>
              <w:top w:val="nil"/>
              <w:bottom w:val="nil"/>
            </w:tcBorders>
          </w:tcPr>
          <w:p>
            <w:pPr>
              <w:pStyle w:val="nTable"/>
              <w:spacing w:before="68" w:after="68"/>
              <w:rPr>
                <w:snapToGrid w:val="0"/>
                <w:sz w:val="19"/>
              </w:rPr>
            </w:pPr>
            <w:r>
              <w:rPr>
                <w:snapToGrid w:val="0"/>
                <w:sz w:val="19"/>
              </w:rPr>
              <w:t>19 of 2010</w:t>
            </w:r>
          </w:p>
        </w:tc>
        <w:tc>
          <w:tcPr>
            <w:tcW w:w="1134" w:type="dxa"/>
            <w:tcBorders>
              <w:top w:val="nil"/>
              <w:bottom w:val="nil"/>
            </w:tcBorders>
          </w:tcPr>
          <w:p>
            <w:pPr>
              <w:pStyle w:val="nTable"/>
              <w:spacing w:before="68" w:after="68"/>
              <w:rPr>
                <w:snapToGrid w:val="0"/>
                <w:sz w:val="19"/>
              </w:rPr>
            </w:pPr>
            <w:r>
              <w:rPr>
                <w:snapToGrid w:val="0"/>
                <w:sz w:val="19"/>
              </w:rPr>
              <w:t>28 Jun 2010</w:t>
            </w:r>
          </w:p>
        </w:tc>
        <w:tc>
          <w:tcPr>
            <w:tcW w:w="2552" w:type="dxa"/>
            <w:tcBorders>
              <w:top w:val="nil"/>
              <w:bottom w:val="nil"/>
            </w:tcBorders>
          </w:tcPr>
          <w:p>
            <w:pPr>
              <w:pStyle w:val="nTable"/>
              <w:spacing w:before="68" w:after="68"/>
              <w:rPr>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before="68" w:after="68"/>
              <w:rPr>
                <w:iCs/>
                <w:snapToGrid w:val="0"/>
                <w:sz w:val="19"/>
              </w:rPr>
            </w:pPr>
            <w:r>
              <w:rPr>
                <w:i/>
                <w:iCs/>
                <w:snapToGrid w:val="0"/>
                <w:sz w:val="19"/>
              </w:rPr>
              <w:t>Public Sector Reform Act 2010</w:t>
            </w:r>
            <w:r>
              <w:rPr>
                <w:iCs/>
                <w:snapToGrid w:val="0"/>
                <w:sz w:val="19"/>
              </w:rPr>
              <w:t xml:space="preserve"> s. 89</w:t>
            </w:r>
          </w:p>
        </w:tc>
        <w:tc>
          <w:tcPr>
            <w:tcW w:w="1134" w:type="dxa"/>
            <w:tcBorders>
              <w:top w:val="nil"/>
              <w:bottom w:val="nil"/>
            </w:tcBorders>
          </w:tcPr>
          <w:p>
            <w:pPr>
              <w:pStyle w:val="nTable"/>
              <w:spacing w:before="68" w:after="68"/>
              <w:rPr>
                <w:snapToGrid w:val="0"/>
                <w:sz w:val="19"/>
              </w:rPr>
            </w:pPr>
            <w:r>
              <w:rPr>
                <w:snapToGrid w:val="0"/>
                <w:sz w:val="19"/>
              </w:rPr>
              <w:t>39 of 2010</w:t>
            </w:r>
          </w:p>
        </w:tc>
        <w:tc>
          <w:tcPr>
            <w:tcW w:w="1134" w:type="dxa"/>
            <w:tcBorders>
              <w:top w:val="nil"/>
              <w:bottom w:val="nil"/>
            </w:tcBorders>
          </w:tcPr>
          <w:p>
            <w:pPr>
              <w:pStyle w:val="nTable"/>
              <w:spacing w:before="68" w:after="68"/>
              <w:rPr>
                <w:snapToGrid w:val="0"/>
                <w:sz w:val="19"/>
              </w:rPr>
            </w:pPr>
            <w:r>
              <w:rPr>
                <w:snapToGrid w:val="0"/>
                <w:sz w:val="19"/>
              </w:rPr>
              <w:t>1 Oct 2010</w:t>
            </w:r>
          </w:p>
        </w:tc>
        <w:tc>
          <w:tcPr>
            <w:tcW w:w="2552" w:type="dxa"/>
            <w:tcBorders>
              <w:top w:val="nil"/>
              <w:bottom w:val="nil"/>
            </w:tcBorders>
          </w:tcPr>
          <w:p>
            <w:pPr>
              <w:pStyle w:val="nTable"/>
              <w:spacing w:before="68" w:after="68"/>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blPrEx>
          <w:tblBorders>
            <w:top w:val="single" w:sz="4" w:space="0" w:color="auto"/>
            <w:bottom w:val="single" w:sz="4" w:space="0" w:color="auto"/>
            <w:insideH w:val="single" w:sz="4" w:space="0" w:color="auto"/>
          </w:tblBorders>
        </w:tblPrEx>
        <w:tc>
          <w:tcPr>
            <w:tcW w:w="2269" w:type="dxa"/>
            <w:tcBorders>
              <w:top w:val="nil"/>
              <w:bottom w:val="nil"/>
            </w:tcBorders>
            <w:shd w:val="clear" w:color="auto" w:fill="auto"/>
          </w:tcPr>
          <w:p>
            <w:pPr>
              <w:pStyle w:val="nTable"/>
              <w:spacing w:before="68" w:after="68"/>
              <w:rPr>
                <w:i/>
                <w:iCs/>
                <w:snapToGrid w:val="0"/>
                <w:sz w:val="19"/>
              </w:rPr>
            </w:pPr>
            <w:r>
              <w:rPr>
                <w:i/>
                <w:noProof/>
                <w:snapToGrid w:val="0"/>
                <w:sz w:val="19"/>
              </w:rPr>
              <w:t>Acts Amendment (Fair Trading) Act 2010</w:t>
            </w:r>
            <w:r>
              <w:rPr>
                <w:iCs/>
                <w:noProof/>
                <w:snapToGrid w:val="0"/>
                <w:sz w:val="19"/>
              </w:rPr>
              <w:t xml:space="preserve"> Pt. 7</w:t>
            </w:r>
            <w:r>
              <w:rPr>
                <w:i/>
                <w:noProof/>
                <w:snapToGrid w:val="0"/>
                <w:sz w:val="19"/>
              </w:rPr>
              <w:t> </w:t>
            </w:r>
          </w:p>
        </w:tc>
        <w:tc>
          <w:tcPr>
            <w:tcW w:w="1134" w:type="dxa"/>
            <w:tcBorders>
              <w:top w:val="nil"/>
              <w:bottom w:val="nil"/>
            </w:tcBorders>
            <w:shd w:val="clear" w:color="auto" w:fill="auto"/>
          </w:tcPr>
          <w:p>
            <w:pPr>
              <w:pStyle w:val="nTable"/>
              <w:spacing w:before="68" w:after="68"/>
              <w:rPr>
                <w:snapToGrid w:val="0"/>
                <w:sz w:val="19"/>
              </w:rPr>
            </w:pPr>
            <w:r>
              <w:rPr>
                <w:sz w:val="19"/>
              </w:rPr>
              <w:t>58 of 2010</w:t>
            </w:r>
          </w:p>
        </w:tc>
        <w:tc>
          <w:tcPr>
            <w:tcW w:w="1134" w:type="dxa"/>
            <w:tcBorders>
              <w:top w:val="nil"/>
              <w:bottom w:val="nil"/>
            </w:tcBorders>
            <w:shd w:val="clear" w:color="auto" w:fill="auto"/>
          </w:tcPr>
          <w:p>
            <w:pPr>
              <w:pStyle w:val="nTable"/>
              <w:spacing w:before="68" w:after="68"/>
              <w:rPr>
                <w:snapToGrid w:val="0"/>
                <w:sz w:val="19"/>
              </w:rPr>
            </w:pPr>
            <w:r>
              <w:rPr>
                <w:sz w:val="19"/>
              </w:rPr>
              <w:t>8 Dec 2010</w:t>
            </w:r>
          </w:p>
        </w:tc>
        <w:tc>
          <w:tcPr>
            <w:tcW w:w="2552" w:type="dxa"/>
            <w:tcBorders>
              <w:top w:val="nil"/>
              <w:bottom w:val="nil"/>
            </w:tcBorders>
            <w:shd w:val="clear" w:color="auto" w:fill="auto"/>
          </w:tcPr>
          <w:p>
            <w:pPr>
              <w:pStyle w:val="nTable"/>
              <w:spacing w:before="68" w:after="68"/>
              <w:rPr>
                <w:snapToGrid w:val="0"/>
                <w:sz w:val="19"/>
              </w:rPr>
            </w:pPr>
            <w:r>
              <w:rPr>
                <w:sz w:val="19"/>
              </w:rPr>
              <w:t xml:space="preserve">1 Jul 2011 (see s. 2(c) and </w:t>
            </w:r>
            <w:r>
              <w:rPr>
                <w:i/>
                <w:sz w:val="19"/>
              </w:rPr>
              <w:t>Gazette</w:t>
            </w:r>
            <w:r>
              <w:rPr>
                <w:sz w:val="19"/>
              </w:rPr>
              <w:t xml:space="preserve"> 7 Jun 2011 p. 2057)</w:t>
            </w:r>
          </w:p>
        </w:tc>
      </w:tr>
      <w:tr>
        <w:tblPrEx>
          <w:tblBorders>
            <w:top w:val="single" w:sz="4" w:space="0" w:color="auto"/>
            <w:bottom w:val="single" w:sz="4" w:space="0" w:color="auto"/>
            <w:insideH w:val="single" w:sz="4" w:space="0" w:color="auto"/>
          </w:tblBorders>
        </w:tblPrEx>
        <w:tc>
          <w:tcPr>
            <w:tcW w:w="2269" w:type="dxa"/>
            <w:tcBorders>
              <w:top w:val="nil"/>
              <w:bottom w:val="nil"/>
            </w:tcBorders>
            <w:shd w:val="clear" w:color="auto" w:fill="auto"/>
          </w:tcPr>
          <w:p>
            <w:pPr>
              <w:pStyle w:val="nTable"/>
              <w:spacing w:before="68" w:after="68"/>
              <w:rPr>
                <w:i/>
                <w:iCs/>
                <w:snapToGrid w:val="0"/>
                <w:sz w:val="19"/>
              </w:rPr>
            </w:pPr>
            <w:r>
              <w:rPr>
                <w:i/>
                <w:snapToGrid w:val="0"/>
                <w:sz w:val="19"/>
              </w:rPr>
              <w:t>Personal Property Securities (Consequential Repeals and Amendments) Act 2011</w:t>
            </w:r>
            <w:r>
              <w:rPr>
                <w:snapToGrid w:val="0"/>
                <w:sz w:val="19"/>
              </w:rPr>
              <w:t xml:space="preserve"> Pt. 4 Div. 8</w:t>
            </w:r>
          </w:p>
        </w:tc>
        <w:tc>
          <w:tcPr>
            <w:tcW w:w="1134" w:type="dxa"/>
            <w:tcBorders>
              <w:top w:val="nil"/>
              <w:bottom w:val="nil"/>
            </w:tcBorders>
            <w:shd w:val="clear" w:color="auto" w:fill="auto"/>
          </w:tcPr>
          <w:p>
            <w:pPr>
              <w:pStyle w:val="nTable"/>
              <w:spacing w:before="68" w:after="68"/>
              <w:rPr>
                <w:snapToGrid w:val="0"/>
                <w:sz w:val="19"/>
              </w:rPr>
            </w:pPr>
            <w:r>
              <w:rPr>
                <w:snapToGrid w:val="0"/>
                <w:sz w:val="19"/>
              </w:rPr>
              <w:t>42 of 2011</w:t>
            </w:r>
          </w:p>
        </w:tc>
        <w:tc>
          <w:tcPr>
            <w:tcW w:w="1134" w:type="dxa"/>
            <w:tcBorders>
              <w:top w:val="nil"/>
              <w:bottom w:val="nil"/>
            </w:tcBorders>
            <w:shd w:val="clear" w:color="auto" w:fill="auto"/>
          </w:tcPr>
          <w:p>
            <w:pPr>
              <w:pStyle w:val="nTable"/>
              <w:spacing w:before="68" w:after="68"/>
              <w:rPr>
                <w:snapToGrid w:val="0"/>
                <w:sz w:val="19"/>
              </w:rPr>
            </w:pPr>
            <w:r>
              <w:rPr>
                <w:sz w:val="19"/>
              </w:rPr>
              <w:t>4 Oct 2011</w:t>
            </w:r>
          </w:p>
        </w:tc>
        <w:tc>
          <w:tcPr>
            <w:tcW w:w="2552" w:type="dxa"/>
            <w:tcBorders>
              <w:top w:val="nil"/>
              <w:bottom w:val="nil"/>
            </w:tcBorders>
            <w:shd w:val="clear" w:color="auto" w:fill="auto"/>
          </w:tcPr>
          <w:p>
            <w:pPr>
              <w:pStyle w:val="nTable"/>
              <w:spacing w:before="68" w:after="68"/>
              <w:rPr>
                <w:snapToGrid w:val="0"/>
                <w:sz w:val="19"/>
              </w:rPr>
            </w:pPr>
            <w:r>
              <w:rPr>
                <w:snapToGrid w:val="0"/>
                <w:sz w:val="19"/>
              </w:rPr>
              <w:t>30 Jan 2012 (see s. 2(c) and Cwlth Legislative Instrument No. F2011L02397 cl. 5 registered 21 Nov 2011)</w:t>
            </w:r>
          </w:p>
        </w:tc>
      </w:tr>
      <w:tr>
        <w:tblPrEx>
          <w:tblBorders>
            <w:top w:val="single" w:sz="4" w:space="0" w:color="auto"/>
            <w:bottom w:val="single" w:sz="4" w:space="0" w:color="auto"/>
            <w:insideH w:val="single" w:sz="4" w:space="0" w:color="auto"/>
          </w:tblBorders>
        </w:tblPrEx>
        <w:tc>
          <w:tcPr>
            <w:tcW w:w="7089" w:type="dxa"/>
            <w:gridSpan w:val="4"/>
            <w:tcBorders>
              <w:top w:val="nil"/>
              <w:bottom w:val="nil"/>
            </w:tcBorders>
            <w:shd w:val="clear" w:color="auto" w:fill="auto"/>
          </w:tcPr>
          <w:p>
            <w:pPr>
              <w:pStyle w:val="nTable"/>
              <w:spacing w:before="68" w:after="68"/>
              <w:rPr>
                <w:sz w:val="19"/>
              </w:rPr>
            </w:pPr>
            <w:r>
              <w:rPr>
                <w:b/>
                <w:spacing w:val="-2"/>
                <w:sz w:val="19"/>
              </w:rPr>
              <w:t xml:space="preserve">Reprint 6: The </w:t>
            </w:r>
            <w:r>
              <w:rPr>
                <w:b/>
                <w:i/>
                <w:spacing w:val="-2"/>
                <w:sz w:val="19"/>
              </w:rPr>
              <w:t>Settlement Agents Act 1981</w:t>
            </w:r>
            <w:r>
              <w:rPr>
                <w:b/>
                <w:spacing w:val="-2"/>
                <w:sz w:val="19"/>
              </w:rPr>
              <w:t xml:space="preserve"> as at 11 Nov 2011 </w:t>
            </w:r>
            <w:r>
              <w:rPr>
                <w:spacing w:val="-2"/>
                <w:sz w:val="19"/>
              </w:rPr>
              <w:t xml:space="preserve">(includes amendments listed above except those in the </w:t>
            </w:r>
            <w:r>
              <w:rPr>
                <w:i/>
                <w:snapToGrid w:val="0"/>
                <w:sz w:val="19"/>
              </w:rPr>
              <w:t>Personal Property Securities (Consequential Repeals and Amendments) Act 2011</w:t>
            </w:r>
            <w:r>
              <w:rPr>
                <w:spacing w:val="-2"/>
                <w:sz w:val="19"/>
              </w:rPr>
              <w:t>)</w:t>
            </w:r>
          </w:p>
        </w:tc>
      </w:tr>
      <w:tr>
        <w:tblPrEx>
          <w:tblBorders>
            <w:top w:val="single" w:sz="4" w:space="0" w:color="auto"/>
            <w:bottom w:val="single" w:sz="4" w:space="0" w:color="auto"/>
            <w:insideH w:val="single" w:sz="4" w:space="0" w:color="auto"/>
          </w:tblBorders>
        </w:tblPrEx>
        <w:tc>
          <w:tcPr>
            <w:tcW w:w="2269" w:type="dxa"/>
            <w:tcBorders>
              <w:top w:val="nil"/>
              <w:bottom w:val="single" w:sz="4" w:space="0" w:color="auto"/>
            </w:tcBorders>
            <w:shd w:val="clear" w:color="auto" w:fill="auto"/>
          </w:tcPr>
          <w:p>
            <w:pPr>
              <w:pStyle w:val="nTable"/>
              <w:spacing w:before="68" w:after="68"/>
              <w:rPr>
                <w:i/>
                <w:iCs/>
                <w:snapToGrid w:val="0"/>
                <w:sz w:val="19"/>
              </w:rPr>
            </w:pPr>
            <w:r>
              <w:rPr>
                <w:i/>
                <w:noProof/>
                <w:snapToGrid w:val="0"/>
                <w:sz w:val="19"/>
                <w:szCs w:val="19"/>
              </w:rPr>
              <w:t xml:space="preserve">Business Names (Commonwealth Powers) Act 2012 </w:t>
            </w:r>
            <w:r>
              <w:rPr>
                <w:snapToGrid w:val="0"/>
                <w:sz w:val="19"/>
                <w:szCs w:val="19"/>
              </w:rPr>
              <w:t>Pt. 4 Div. 4</w:t>
            </w:r>
          </w:p>
        </w:tc>
        <w:tc>
          <w:tcPr>
            <w:tcW w:w="1134" w:type="dxa"/>
            <w:tcBorders>
              <w:top w:val="nil"/>
              <w:bottom w:val="single" w:sz="4" w:space="0" w:color="auto"/>
            </w:tcBorders>
            <w:shd w:val="clear" w:color="auto" w:fill="auto"/>
          </w:tcPr>
          <w:p>
            <w:pPr>
              <w:pStyle w:val="nTable"/>
              <w:spacing w:before="68" w:after="68"/>
              <w:rPr>
                <w:snapToGrid w:val="0"/>
                <w:sz w:val="19"/>
              </w:rPr>
            </w:pPr>
            <w:r>
              <w:rPr>
                <w:snapToGrid w:val="0"/>
                <w:sz w:val="19"/>
              </w:rPr>
              <w:t>6 of 2012</w:t>
            </w:r>
          </w:p>
        </w:tc>
        <w:tc>
          <w:tcPr>
            <w:tcW w:w="1134" w:type="dxa"/>
            <w:tcBorders>
              <w:top w:val="nil"/>
              <w:bottom w:val="single" w:sz="4" w:space="0" w:color="auto"/>
            </w:tcBorders>
            <w:shd w:val="clear" w:color="auto" w:fill="auto"/>
          </w:tcPr>
          <w:p>
            <w:pPr>
              <w:pStyle w:val="nTable"/>
              <w:spacing w:before="68" w:after="68"/>
              <w:rPr>
                <w:snapToGrid w:val="0"/>
                <w:sz w:val="19"/>
              </w:rPr>
            </w:pPr>
            <w:r>
              <w:rPr>
                <w:sz w:val="19"/>
              </w:rPr>
              <w:t>10 Apr 2012</w:t>
            </w:r>
          </w:p>
        </w:tc>
        <w:tc>
          <w:tcPr>
            <w:tcW w:w="2552" w:type="dxa"/>
            <w:tcBorders>
              <w:top w:val="nil"/>
              <w:bottom w:val="single" w:sz="4" w:space="0" w:color="auto"/>
            </w:tcBorders>
            <w:shd w:val="clear" w:color="auto" w:fill="auto"/>
          </w:tcPr>
          <w:p>
            <w:pPr>
              <w:pStyle w:val="nTable"/>
              <w:spacing w:before="68" w:after="68"/>
              <w:rPr>
                <w:snapToGrid w:val="0"/>
                <w:sz w:val="19"/>
              </w:rPr>
            </w:pPr>
            <w:r>
              <w:rPr>
                <w:snapToGrid w:val="0"/>
                <w:sz w:val="19"/>
              </w:rPr>
              <w:t xml:space="preserve">28 May 2012 (see s. 2(c) and Cwlth </w:t>
            </w:r>
            <w:r>
              <w:rPr>
                <w:i/>
                <w:snapToGrid w:val="0"/>
                <w:sz w:val="19"/>
              </w:rPr>
              <w:t>Gazette</w:t>
            </w:r>
            <w:r>
              <w:rPr>
                <w:snapToGrid w:val="0"/>
                <w:sz w:val="19"/>
              </w:rPr>
              <w:t xml:space="preserve"> 19 Apr 2012 ref. F2012L00891)</w:t>
            </w:r>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w:t>
      </w:r>
    </w:p>
    <w:p>
      <w:pPr>
        <w:pStyle w:val="BlankOpen"/>
        <w:rPr>
          <w:snapToGrid w:val="0"/>
        </w:rPr>
      </w:pP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pPr>
      <w:r>
        <w:rPr>
          <w:vertAlign w:val="superscript"/>
        </w:rPr>
        <w:t>7</w:t>
      </w:r>
      <w:r>
        <w:tab/>
        <w:t xml:space="preserve">The </w:t>
      </w:r>
      <w:r>
        <w:rPr>
          <w:i/>
        </w:rPr>
        <w:t>Corporations (Consequential Amendments) Act (No. 3) 2003</w:t>
      </w:r>
      <w:r>
        <w:t xml:space="preserve"> s. 2</w:t>
      </w:r>
      <w:r>
        <w:noBreakHyphen/>
        <w:t>4 contain validation provisions for certain acts and omissions occurring before 23 Apr 2003.</w:t>
      </w:r>
    </w:p>
    <w:p>
      <w:pPr>
        <w:pStyle w:val="nSubsection"/>
        <w:keepLines/>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bookmarkStart w:id="156" w:name="AutoSch"/>
      <w:bookmarkEnd w:id="156"/>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157" w:name="_Toc378948427"/>
      <w:r>
        <w:rPr>
          <w:sz w:val="28"/>
        </w:rPr>
        <w:t>Defined Terms</w:t>
      </w:r>
      <w:bookmarkEnd w:id="1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8" w:name="DefinedTerms"/>
      <w:bookmarkEnd w:id="158"/>
      <w:r>
        <w:t>Account</w:t>
      </w:r>
      <w:r>
        <w:tab/>
        <w:t>3(1)</w:t>
      </w:r>
    </w:p>
    <w:p>
      <w:pPr>
        <w:pStyle w:val="DefinedTerms"/>
      </w:pPr>
      <w:r>
        <w:t>agent</w:t>
      </w:r>
      <w:r>
        <w:tab/>
        <w:t>49(5b)</w:t>
      </w:r>
    </w:p>
    <w:p>
      <w:pPr>
        <w:pStyle w:val="DefinedTerms"/>
      </w:pPr>
      <w:r>
        <w:t>appointed day</w:t>
      </w:r>
      <w:r>
        <w:tab/>
        <w:t>3(1), 26(2)</w:t>
      </w:r>
    </w:p>
    <w:p>
      <w:pPr>
        <w:pStyle w:val="DefinedTerms"/>
      </w:pPr>
      <w:r>
        <w:t>approved</w:t>
      </w:r>
      <w:r>
        <w:tab/>
        <w:t>3(1)</w:t>
      </w:r>
    </w:p>
    <w:p>
      <w:pPr>
        <w:pStyle w:val="DefinedTerms"/>
      </w:pPr>
      <w:r>
        <w:t>auditor</w:t>
      </w:r>
      <w:r>
        <w:tab/>
        <w:t>3(1)</w:t>
      </w:r>
    </w:p>
    <w:p>
      <w:pPr>
        <w:pStyle w:val="DefinedTerms"/>
      </w:pPr>
      <w:r>
        <w:t>authorised financial institution</w:t>
      </w:r>
      <w:r>
        <w:tab/>
        <w:t>48</w:t>
      </w:r>
    </w:p>
    <w:p>
      <w:pPr>
        <w:pStyle w:val="DefinedTerms"/>
      </w:pPr>
      <w:r>
        <w:t>Authority</w:t>
      </w:r>
      <w:r>
        <w:tab/>
        <w:t>Sch. 2 cl. 1(1)(a)</w:t>
      </w:r>
    </w:p>
    <w:p>
      <w:pPr>
        <w:pStyle w:val="DefinedTerms"/>
      </w:pPr>
      <w:r>
        <w:t>bank</w:t>
      </w:r>
      <w:r>
        <w:tab/>
        <w:t>3(1)</w:t>
      </w:r>
    </w:p>
    <w:p>
      <w:pPr>
        <w:pStyle w:val="DefinedTerms"/>
      </w:pPr>
      <w:r>
        <w:t>bank account</w:t>
      </w:r>
      <w:r>
        <w:tab/>
        <w:t>48</w:t>
      </w:r>
    </w:p>
    <w:p>
      <w:pPr>
        <w:pStyle w:val="DefinedTerms"/>
      </w:pPr>
      <w:r>
        <w:t>banker</w:t>
      </w:r>
      <w:r>
        <w:tab/>
        <w:t>48</w:t>
      </w:r>
    </w:p>
    <w:p>
      <w:pPr>
        <w:pStyle w:val="DefinedTerms"/>
      </w:pPr>
      <w:r>
        <w:t>body corporate</w:t>
      </w:r>
      <w:r>
        <w:tab/>
        <w:t>36(3)</w:t>
      </w:r>
    </w:p>
    <w:p>
      <w:pPr>
        <w:pStyle w:val="DefinedTerms"/>
      </w:pPr>
      <w:r>
        <w:t>business</w:t>
      </w:r>
      <w:r>
        <w:tab/>
        <w:t>3(1)</w:t>
      </w:r>
    </w:p>
    <w:p>
      <w:pPr>
        <w:pStyle w:val="DefinedTerms"/>
      </w:pPr>
      <w:r>
        <w:t>business day</w:t>
      </w:r>
      <w:r>
        <w:tab/>
        <w:t>48</w:t>
      </w:r>
    </w:p>
    <w:p>
      <w:pPr>
        <w:pStyle w:val="DefinedTerms"/>
      </w:pPr>
      <w:r>
        <w:t>business licence</w:t>
      </w:r>
      <w:r>
        <w:tab/>
        <w:t>Sch. 1 cl. 6</w:t>
      </w:r>
    </w:p>
    <w:p>
      <w:pPr>
        <w:pStyle w:val="DefinedTerms"/>
      </w:pPr>
      <w:r>
        <w:t>business settlement agent</w:t>
      </w:r>
      <w:r>
        <w:tab/>
        <w:t>3(1)</w:t>
      </w:r>
    </w:p>
    <w:p>
      <w:pPr>
        <w:pStyle w:val="DefinedTerms"/>
      </w:pPr>
      <w:r>
        <w:t>business transaction </w:t>
      </w:r>
      <w:r>
        <w:tab/>
        <w:t>3(1)</w:t>
      </w:r>
    </w:p>
    <w:p>
      <w:pPr>
        <w:pStyle w:val="DefinedTerms"/>
      </w:pPr>
      <w:r>
        <w:t>code of conduct</w:t>
      </w:r>
      <w:r>
        <w:tab/>
        <w:t>3(1)</w:t>
      </w:r>
    </w:p>
    <w:p>
      <w:pPr>
        <w:pStyle w:val="DefinedTerms"/>
      </w:pPr>
      <w:r>
        <w:t>commencement day</w:t>
      </w:r>
      <w:r>
        <w:tab/>
        <w:t>124</w:t>
      </w:r>
    </w:p>
    <w:p>
      <w:pPr>
        <w:pStyle w:val="DefinedTerms"/>
      </w:pPr>
      <w:r>
        <w:t>Commissioner</w:t>
      </w:r>
      <w:r>
        <w:tab/>
        <w:t>3(1)</w:t>
      </w:r>
    </w:p>
    <w:p>
      <w:pPr>
        <w:pStyle w:val="DefinedTerms"/>
      </w:pPr>
      <w:r>
        <w:t>defalcation by a licensee</w:t>
      </w:r>
      <w:r>
        <w:tab/>
        <w:t>3(1)</w:t>
      </w:r>
    </w:p>
    <w:p>
      <w:pPr>
        <w:pStyle w:val="DefinedTerms"/>
      </w:pPr>
      <w:r>
        <w:t>department</w:t>
      </w:r>
      <w:r>
        <w:tab/>
        <w:t>3(1)</w:t>
      </w:r>
    </w:p>
    <w:p>
      <w:pPr>
        <w:pStyle w:val="DefinedTerms"/>
      </w:pPr>
      <w:r>
        <w:t>discharge of mortgage</w:t>
      </w:r>
      <w:r>
        <w:tab/>
        <w:t>46(7)</w:t>
      </w:r>
    </w:p>
    <w:p>
      <w:pPr>
        <w:pStyle w:val="DefinedTerms"/>
      </w:pPr>
      <w:r>
        <w:t>Fidelity Guarantee Account</w:t>
      </w:r>
      <w:r>
        <w:tab/>
        <w:t>3(1)</w:t>
      </w:r>
    </w:p>
    <w:p>
      <w:pPr>
        <w:pStyle w:val="DefinedTerms"/>
      </w:pPr>
      <w:r>
        <w:t>fidelity guarantee fee</w:t>
      </w:r>
      <w:r>
        <w:tab/>
        <w:t>3(1)</w:t>
      </w:r>
    </w:p>
    <w:p>
      <w:pPr>
        <w:pStyle w:val="DefinedTerms"/>
      </w:pPr>
      <w:r>
        <w:t>fit and proper</w:t>
      </w:r>
      <w:r>
        <w:tab/>
        <w:t>27(2)</w:t>
      </w:r>
    </w:p>
    <w:p>
      <w:pPr>
        <w:pStyle w:val="DefinedTerms"/>
      </w:pPr>
      <w:r>
        <w:t>former Board</w:t>
      </w:r>
      <w:r>
        <w:tab/>
        <w:t>124</w:t>
      </w:r>
    </w:p>
    <w:p>
      <w:pPr>
        <w:pStyle w:val="DefinedTerms"/>
      </w:pPr>
      <w:r>
        <w:t>former Registrar</w:t>
      </w:r>
      <w:r>
        <w:tab/>
        <w:t>124</w:t>
      </w:r>
    </w:p>
    <w:p>
      <w:pPr>
        <w:pStyle w:val="DefinedTerms"/>
      </w:pPr>
      <w:r>
        <w:t>General Purpose Account</w:t>
      </w:r>
      <w:r>
        <w:tab/>
        <w:t>3(1)</w:t>
      </w:r>
    </w:p>
    <w:p>
      <w:pPr>
        <w:pStyle w:val="DefinedTerms"/>
      </w:pPr>
      <w:r>
        <w:t>Interest Account</w:t>
      </w:r>
      <w:r>
        <w:tab/>
        <w:t>3(1)</w:t>
      </w:r>
    </w:p>
    <w:p>
      <w:pPr>
        <w:pStyle w:val="DefinedTerms"/>
      </w:pPr>
      <w:r>
        <w:t>land</w:t>
      </w:r>
      <w:r>
        <w:tab/>
        <w:t>3(1)</w:t>
      </w:r>
    </w:p>
    <w:p>
      <w:pPr>
        <w:pStyle w:val="DefinedTerms"/>
      </w:pPr>
      <w:r>
        <w:t>legal practitioner</w:t>
      </w:r>
      <w:r>
        <w:tab/>
        <w:t>3(1)</w:t>
      </w:r>
    </w:p>
    <w:p>
      <w:pPr>
        <w:pStyle w:val="DefinedTerms"/>
      </w:pPr>
      <w:r>
        <w:t>liability</w:t>
      </w:r>
      <w:r>
        <w:tab/>
        <w:t>124</w:t>
      </w:r>
    </w:p>
    <w:p>
      <w:pPr>
        <w:pStyle w:val="DefinedTerms"/>
      </w:pPr>
      <w:r>
        <w:t>licence</w:t>
      </w:r>
      <w:r>
        <w:tab/>
        <w:t>3(1)</w:t>
      </w:r>
    </w:p>
    <w:p>
      <w:pPr>
        <w:pStyle w:val="DefinedTerms"/>
      </w:pPr>
      <w:r>
        <w:t>licensed</w:t>
      </w:r>
      <w:r>
        <w:tab/>
        <w:t>3(1)</w:t>
      </w:r>
    </w:p>
    <w:p>
      <w:pPr>
        <w:pStyle w:val="DefinedTerms"/>
      </w:pPr>
      <w:r>
        <w:t>licensee</w:t>
      </w:r>
      <w:r>
        <w:tab/>
        <w:t>3(1)</w:t>
      </w:r>
    </w:p>
    <w:p>
      <w:pPr>
        <w:pStyle w:val="DefinedTerms"/>
      </w:pPr>
      <w:r>
        <w:t>person aggrieved</w:t>
      </w:r>
      <w:r>
        <w:tab/>
        <w:t>23(2)</w:t>
      </w:r>
    </w:p>
    <w:p>
      <w:pPr>
        <w:pStyle w:val="DefinedTerms"/>
      </w:pPr>
      <w:r>
        <w:t>prescribed financial market</w:t>
      </w:r>
      <w:r>
        <w:tab/>
        <w:t>36(4)</w:t>
      </w:r>
    </w:p>
    <w:p>
      <w:pPr>
        <w:pStyle w:val="DefinedTerms"/>
      </w:pPr>
      <w:r>
        <w:t>real estate</w:t>
      </w:r>
      <w:r>
        <w:tab/>
        <w:t>3(1)</w:t>
      </w:r>
    </w:p>
    <w:p>
      <w:pPr>
        <w:pStyle w:val="DefinedTerms"/>
      </w:pPr>
      <w:r>
        <w:t>real estate settlement agent</w:t>
      </w:r>
      <w:r>
        <w:tab/>
        <w:t>3(1)</w:t>
      </w:r>
    </w:p>
    <w:p>
      <w:pPr>
        <w:pStyle w:val="DefinedTerms"/>
      </w:pPr>
      <w:r>
        <w:t>real estate transaction</w:t>
      </w:r>
      <w:r>
        <w:tab/>
        <w:t>3(1)</w:t>
      </w:r>
    </w:p>
    <w:p>
      <w:pPr>
        <w:pStyle w:val="DefinedTerms"/>
      </w:pPr>
      <w:r>
        <w:t>renewal</w:t>
      </w:r>
      <w:r>
        <w:tab/>
        <w:t>3(1)</w:t>
      </w:r>
    </w:p>
    <w:p>
      <w:pPr>
        <w:pStyle w:val="DefinedTerms"/>
      </w:pPr>
      <w:r>
        <w:t>request</w:t>
      </w:r>
      <w:r>
        <w:tab/>
        <w:t>49A(7)</w:t>
      </w:r>
    </w:p>
    <w:p>
      <w:pPr>
        <w:pStyle w:val="DefinedTerms"/>
      </w:pPr>
      <w:r>
        <w:t>reviewable decision</w:t>
      </w:r>
      <w:r>
        <w:tab/>
        <w:t>23(2)</w:t>
      </w:r>
    </w:p>
    <w:p>
      <w:pPr>
        <w:pStyle w:val="DefinedTerms"/>
      </w:pPr>
      <w:r>
        <w:t>reward</w:t>
      </w:r>
      <w:r>
        <w:tab/>
        <w:t>3(1)</w:t>
      </w:r>
    </w:p>
    <w:p>
      <w:pPr>
        <w:pStyle w:val="DefinedTerms"/>
      </w:pPr>
      <w:r>
        <w:t>right</w:t>
      </w:r>
      <w:r>
        <w:tab/>
        <w:t>124</w:t>
      </w:r>
    </w:p>
    <w:p>
      <w:pPr>
        <w:pStyle w:val="DefinedTerms"/>
      </w:pPr>
      <w:r>
        <w:t>separate account</w:t>
      </w:r>
      <w:r>
        <w:tab/>
        <w:t>48</w:t>
      </w:r>
    </w:p>
    <w:p>
      <w:pPr>
        <w:pStyle w:val="DefinedTerms"/>
      </w:pPr>
      <w:r>
        <w:t>settlement</w:t>
      </w:r>
      <w:r>
        <w:tab/>
        <w:t>3(1)</w:t>
      </w:r>
    </w:p>
    <w:p>
      <w:pPr>
        <w:pStyle w:val="DefinedTerms"/>
      </w:pPr>
      <w:r>
        <w:t>settlement agent</w:t>
      </w:r>
      <w:r>
        <w:tab/>
        <w:t>3(1), 4(1), 73(5)(b)</w:t>
      </w:r>
    </w:p>
    <w:p>
      <w:pPr>
        <w:pStyle w:val="DefinedTerms"/>
      </w:pPr>
      <w:r>
        <w:t>settlement agents’ code of conduct</w:t>
      </w:r>
      <w:r>
        <w:tab/>
        <w:t>3(1)</w:t>
      </w:r>
    </w:p>
    <w:p>
      <w:pPr>
        <w:pStyle w:val="DefinedTerms"/>
      </w:pPr>
      <w:r>
        <w:t>specified</w:t>
      </w:r>
      <w:r>
        <w:tab/>
        <w:t>135(6)</w:t>
      </w:r>
    </w:p>
    <w:p>
      <w:pPr>
        <w:pStyle w:val="DefinedTerms"/>
      </w:pPr>
      <w:r>
        <w:t>supervisor</w:t>
      </w:r>
      <w:r>
        <w:tab/>
        <w:t>3(1)</w:t>
      </w:r>
    </w:p>
    <w:p>
      <w:pPr>
        <w:pStyle w:val="DefinedTerms"/>
      </w:pPr>
      <w:r>
        <w:t>transaction</w:t>
      </w:r>
      <w:r>
        <w:tab/>
        <w:t>3(1)</w:t>
      </w:r>
    </w:p>
    <w:p>
      <w:pPr>
        <w:pStyle w:val="DefinedTerms"/>
      </w:pPr>
      <w:r>
        <w:t>transitional matter</w:t>
      </w:r>
      <w:r>
        <w:tab/>
        <w:t>135(2)</w:t>
      </w:r>
    </w:p>
    <w:p>
      <w:pPr>
        <w:pStyle w:val="DefinedTerms"/>
      </w:pPr>
      <w:r>
        <w:t>Treasurer</w:t>
      </w:r>
      <w:r>
        <w:tab/>
        <w:t>3(1)</w:t>
      </w:r>
    </w:p>
    <w:p>
      <w:pPr>
        <w:pStyle w:val="DefinedTerms"/>
      </w:pPr>
      <w:r>
        <w:t>Treasury</w:t>
      </w:r>
      <w:r>
        <w:tab/>
        <w:t>3(1)</w:t>
      </w:r>
    </w:p>
    <w:p>
      <w:pPr>
        <w:pStyle w:val="DefinedTerms"/>
      </w:pPr>
      <w:r>
        <w:t>triennial certificate</w:t>
      </w:r>
      <w:r>
        <w:tab/>
        <w:t>3(1)</w:t>
      </w:r>
    </w:p>
    <w:p>
      <w:pPr>
        <w:pStyle w:val="DefinedTerms"/>
      </w:pPr>
      <w:r>
        <w:t>trust account</w:t>
      </w:r>
      <w:r>
        <w:tab/>
        <w:t>73(5)(a)</w:t>
      </w:r>
    </w:p>
    <w:p>
      <w:pPr>
        <w:pStyle w:val="DefinedTerms"/>
      </w:pPr>
      <w:r>
        <w:t>trust accounts</w:t>
      </w:r>
      <w:r>
        <w:tab/>
        <w:t>48</w:t>
      </w:r>
    </w:p>
    <w:p>
      <w:pPr>
        <w:pStyle w:val="DefinedTerms"/>
      </w:pPr>
      <w:r>
        <w:t>trustee company</w:t>
      </w:r>
      <w:r>
        <w:tab/>
        <w:t>3(1)</w:t>
      </w:r>
    </w:p>
    <w:p>
      <w:pPr>
        <w:pStyle w:val="DefinedTerms"/>
      </w:pPr>
      <w:r>
        <w:t>vendor</w:t>
      </w:r>
      <w:r>
        <w:tab/>
        <w:t>49(5b)</w:t>
      </w:r>
    </w:p>
    <w:p>
      <w:pPr>
        <w:pStyle w:val="DefinedTerms"/>
      </w:pPr>
      <w:r>
        <w:t>year</w:t>
      </w:r>
      <w:r>
        <w:tab/>
        <w:t>48</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May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May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May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72"/>
      <w:gridCol w:w="1491"/>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72" w:type="dxa"/>
          <w:vAlign w:val="bottom"/>
        </w:tcPr>
        <w:p>
          <w:pPr>
            <w:pStyle w:val="HeaderTextRight"/>
          </w:pPr>
          <w:r>
            <w:fldChar w:fldCharType="begin"/>
          </w:r>
          <w:r>
            <w:instrText xml:space="preserve"> styleref CharSchText </w:instrText>
          </w:r>
          <w:r>
            <w:fldChar w:fldCharType="end"/>
          </w:r>
        </w:p>
      </w:tc>
      <w:tc>
        <w:tcPr>
          <w:tcW w:w="1491" w:type="dxa"/>
        </w:tcPr>
        <w:p>
          <w:pPr>
            <w:pStyle w:val="HeaderNumberRight"/>
            <w:ind w:right="17"/>
          </w:pPr>
          <w:r>
            <w:fldChar w:fldCharType="begin"/>
          </w:r>
          <w:r>
            <w:instrText xml:space="preserve"> styleref CharSchno </w:instrText>
          </w:r>
          <w:r>
            <w:fldChar w:fldCharType="end"/>
          </w:r>
        </w:p>
      </w:tc>
    </w:tr>
    <w:tr>
      <w:tc>
        <w:tcPr>
          <w:tcW w:w="5772" w:type="dxa"/>
        </w:tcPr>
        <w:p>
          <w:pPr>
            <w:pStyle w:val="HeaderTextRight"/>
          </w:pPr>
          <w:r>
            <w:fldChar w:fldCharType="begin"/>
          </w:r>
          <w:r>
            <w:instrText xml:space="preserve"> styleref CharSDivText </w:instrText>
          </w:r>
          <w:r>
            <w:fldChar w:fldCharType="end"/>
          </w:r>
        </w:p>
      </w:tc>
      <w:tc>
        <w:tcPr>
          <w:tcW w:w="149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72" w:type="dxa"/>
        </w:tcPr>
        <w:p>
          <w:pPr>
            <w:pStyle w:val="HeaderTextRight"/>
          </w:pPr>
        </w:p>
      </w:tc>
      <w:tc>
        <w:tcPr>
          <w:tcW w:w="1491"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60"/>
      <w:gridCol w:w="1494"/>
    </w:tblGrid>
    <w:tr>
      <w:trPr>
        <w:cantSplit/>
      </w:trPr>
      <w:tc>
        <w:tcPr>
          <w:tcW w:w="7254"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94" w:type="dxa"/>
        </w:tcPr>
        <w:p>
          <w:pPr>
            <w:pStyle w:val="HeaderNumberRight"/>
          </w:pPr>
        </w:p>
      </w:tc>
    </w:tr>
    <w:tr>
      <w:tc>
        <w:tcPr>
          <w:tcW w:w="5760" w:type="dxa"/>
        </w:tcPr>
        <w:p>
          <w:pPr>
            <w:pStyle w:val="HeaderTextRight"/>
          </w:pPr>
        </w:p>
      </w:tc>
      <w:tc>
        <w:tcPr>
          <w:tcW w:w="1494" w:type="dxa"/>
        </w:tcPr>
        <w:p>
          <w:pPr>
            <w:pStyle w:val="HeaderNumberRight"/>
          </w:pPr>
        </w:p>
      </w:tc>
    </w:tr>
    <w:tr>
      <w:trPr>
        <w:cantSplit/>
      </w:trPr>
      <w:tc>
        <w:tcPr>
          <w:tcW w:w="7254"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A2FE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1789C2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31160732"/>
    <w:docVar w:name="WAFER_20140131151529" w:val="RemoveTocBookmarks,RemoveUnusedBookmarks,RemoveLanguageTags,UsedStyles,ResetPageSize,UpdateArrangement"/>
    <w:docVar w:name="WAFER_20140131151529_GUID" w:val="1406f87d-fb74-453b-b44a-77da7fcf9646"/>
    <w:docVar w:name="WAFER_20140131160732" w:val="RemoveTocBookmarks,RunningHeaders"/>
    <w:docVar w:name="WAFER_20140131160732_GUID" w:val="77461795-ed3d-474b-9ebc-1bcab07888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31119</Words>
  <Characters>147506</Characters>
  <Application>Microsoft Office Word</Application>
  <DocSecurity>0</DocSecurity>
  <Lines>3881</Lines>
  <Paragraphs>1941</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176684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1981 - 06-d0-02</dc:title>
  <dc:subject/>
  <dc:creator/>
  <cp:keywords/>
  <dc:description/>
  <cp:lastModifiedBy>svcMRProcess</cp:lastModifiedBy>
  <cp:revision>4</cp:revision>
  <cp:lastPrinted>2011-11-15T03:58:00Z</cp:lastPrinted>
  <dcterms:created xsi:type="dcterms:W3CDTF">2018-09-08T15:34:00Z</dcterms:created>
  <dcterms:modified xsi:type="dcterms:W3CDTF">2018-09-08T15:34:00Z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20120528</vt:lpwstr>
  </property>
  <property fmtid="{D5CDD505-2E9C-101B-9397-08002B2CF9AE}" pid="4" name="DocumentType">
    <vt:lpwstr>Act</vt:lpwstr>
  </property>
  <property fmtid="{D5CDD505-2E9C-101B-9397-08002B2CF9AE}" pid="5" name="OwlsUID">
    <vt:i4>744</vt:i4>
  </property>
  <property fmtid="{D5CDD505-2E9C-101B-9397-08002B2CF9AE}" pid="6" name="AsAtDate">
    <vt:lpwstr>28 May 2012</vt:lpwstr>
  </property>
  <property fmtid="{D5CDD505-2E9C-101B-9397-08002B2CF9AE}" pid="7" name="Suffix">
    <vt:lpwstr>06-d0-02</vt:lpwstr>
  </property>
  <property fmtid="{D5CDD505-2E9C-101B-9397-08002B2CF9AE}" pid="8" name="ReprintNo">
    <vt:lpwstr>6</vt:lpwstr>
  </property>
  <property fmtid="{D5CDD505-2E9C-101B-9397-08002B2CF9AE}" pid="9" name="ReprintedAsAt">
    <vt:filetime>2011-11-10T16:00:00Z</vt:filetime>
  </property>
</Properties>
</file>