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Settlement Agents Act 1981</w:t>
      </w:r>
    </w:p>
    <w:p>
      <w:pPr>
        <w:pStyle w:val="NameofActRegPage1"/>
        <w:spacing w:before="120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_Toc328571352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_Toc328571353 \h </w:instrText>
      </w:r>
      <w:r>
        <w:fldChar w:fldCharType="separate"/>
      </w:r>
      <w:r>
        <w:t>1</w:t>
      </w:r>
      <w:r>
        <w:fldChar w:fldCharType="end"/>
      </w:r>
    </w:p>
    <w:p>
      <w:pPr>
        <w:pStyle w:val="TOC8"/>
        <w:rPr>
          <w:sz w:val="24"/>
          <w:szCs w:val="24"/>
          <w:lang w:val="en-US"/>
        </w:rPr>
      </w:pPr>
      <w:r>
        <w:t>4</w:t>
      </w:r>
      <w:r>
        <w:rPr>
          <w:snapToGrid w:val="0"/>
        </w:rPr>
        <w:t>.</w:t>
      </w:r>
      <w:r>
        <w:rPr>
          <w:snapToGrid w:val="0"/>
        </w:rPr>
        <w:tab/>
        <w:t>Fees</w:t>
      </w:r>
      <w:r>
        <w:tab/>
      </w:r>
      <w:r>
        <w:fldChar w:fldCharType="begin"/>
      </w:r>
      <w:r>
        <w:instrText xml:space="preserve"> PAGEREF _Toc328571354 \h </w:instrText>
      </w:r>
      <w:r>
        <w:fldChar w:fldCharType="separate"/>
      </w:r>
      <w:r>
        <w:t>2</w:t>
      </w:r>
      <w:r>
        <w:fldChar w:fldCharType="end"/>
      </w:r>
    </w:p>
    <w:p>
      <w:pPr>
        <w:pStyle w:val="TOC8"/>
        <w:rPr>
          <w:sz w:val="24"/>
          <w:szCs w:val="24"/>
          <w:lang w:val="en-US"/>
        </w:rPr>
      </w:pPr>
      <w:r>
        <w:t>4A</w:t>
      </w:r>
      <w:r>
        <w:rPr>
          <w:snapToGrid w:val="0"/>
        </w:rPr>
        <w:t>.</w:t>
      </w:r>
      <w:r>
        <w:rPr>
          <w:snapToGrid w:val="0"/>
        </w:rPr>
        <w:tab/>
        <w:t>Holding fee</w:t>
      </w:r>
      <w:r>
        <w:tab/>
      </w:r>
      <w:r>
        <w:fldChar w:fldCharType="begin"/>
      </w:r>
      <w:r>
        <w:instrText xml:space="preserve"> PAGEREF _Toc328571355 \h </w:instrText>
      </w:r>
      <w:r>
        <w:fldChar w:fldCharType="separate"/>
      </w:r>
      <w:r>
        <w:t>2</w:t>
      </w:r>
      <w:r>
        <w:fldChar w:fldCharType="end"/>
      </w:r>
    </w:p>
    <w:p>
      <w:pPr>
        <w:pStyle w:val="TOC8"/>
        <w:rPr>
          <w:sz w:val="24"/>
          <w:szCs w:val="24"/>
          <w:lang w:val="en-US"/>
        </w:rPr>
      </w:pPr>
      <w:r>
        <w:t>4B.</w:t>
      </w:r>
      <w:r>
        <w:tab/>
        <w:t>Prescribed educational requirements (Act s. 31(2a))</w:t>
      </w:r>
      <w:r>
        <w:tab/>
      </w:r>
      <w:r>
        <w:fldChar w:fldCharType="begin"/>
      </w:r>
      <w:r>
        <w:instrText xml:space="preserve"> PAGEREF _Toc328571356 \h </w:instrText>
      </w:r>
      <w:r>
        <w:fldChar w:fldCharType="separate"/>
      </w:r>
      <w:r>
        <w:t>3</w:t>
      </w:r>
      <w:r>
        <w:fldChar w:fldCharType="end"/>
      </w:r>
    </w:p>
    <w:p>
      <w:pPr>
        <w:pStyle w:val="TOC8"/>
        <w:rPr>
          <w:sz w:val="24"/>
          <w:szCs w:val="24"/>
          <w:lang w:val="en-US"/>
        </w:rPr>
      </w:pPr>
      <w:r>
        <w:t>4C.</w:t>
      </w:r>
      <w:r>
        <w:tab/>
        <w:t>Commissioner to approve educational activities</w:t>
      </w:r>
      <w:r>
        <w:tab/>
      </w:r>
      <w:r>
        <w:fldChar w:fldCharType="begin"/>
      </w:r>
      <w:r>
        <w:instrText xml:space="preserve"> PAGEREF _Toc328571357 \h </w:instrText>
      </w:r>
      <w:r>
        <w:fldChar w:fldCharType="separate"/>
      </w:r>
      <w:r>
        <w:t>4</w:t>
      </w:r>
      <w:r>
        <w:fldChar w:fldCharType="end"/>
      </w:r>
    </w:p>
    <w:p>
      <w:pPr>
        <w:pStyle w:val="TOC8"/>
        <w:rPr>
          <w:sz w:val="24"/>
          <w:szCs w:val="24"/>
          <w:lang w:val="en-US"/>
        </w:rPr>
      </w:pPr>
      <w:r>
        <w:t>5</w:t>
      </w:r>
      <w:r>
        <w:rPr>
          <w:snapToGrid w:val="0"/>
        </w:rPr>
        <w:t>.</w:t>
      </w:r>
      <w:r>
        <w:rPr>
          <w:snapToGrid w:val="0"/>
        </w:rPr>
        <w:tab/>
        <w:t>Publication of notice of application (Act s. 24(2))</w:t>
      </w:r>
      <w:r>
        <w:tab/>
      </w:r>
      <w:r>
        <w:fldChar w:fldCharType="begin"/>
      </w:r>
      <w:r>
        <w:instrText xml:space="preserve"> PAGEREF _Toc328571358 \h </w:instrText>
      </w:r>
      <w:r>
        <w:fldChar w:fldCharType="separate"/>
      </w:r>
      <w:r>
        <w:t>6</w:t>
      </w:r>
      <w:r>
        <w:fldChar w:fldCharType="end"/>
      </w:r>
    </w:p>
    <w:p>
      <w:pPr>
        <w:pStyle w:val="TOC8"/>
        <w:rPr>
          <w:sz w:val="24"/>
          <w:szCs w:val="24"/>
          <w:lang w:val="en-US"/>
        </w:rPr>
      </w:pPr>
      <w:r>
        <w:t>6.</w:t>
      </w:r>
      <w:r>
        <w:tab/>
      </w:r>
      <w:r>
        <w:rPr>
          <w:snapToGrid w:val="0"/>
        </w:rPr>
        <w:t>Examinations</w:t>
      </w:r>
      <w:r>
        <w:tab/>
      </w:r>
      <w:r>
        <w:fldChar w:fldCharType="begin"/>
      </w:r>
      <w:r>
        <w:instrText xml:space="preserve"> PAGEREF _Toc328571359 \h </w:instrText>
      </w:r>
      <w:r>
        <w:fldChar w:fldCharType="separate"/>
      </w:r>
      <w:r>
        <w:t>6</w:t>
      </w:r>
      <w:r>
        <w:fldChar w:fldCharType="end"/>
      </w:r>
    </w:p>
    <w:p>
      <w:pPr>
        <w:pStyle w:val="TOC8"/>
        <w:rPr>
          <w:sz w:val="24"/>
          <w:szCs w:val="24"/>
          <w:lang w:val="en-US"/>
        </w:rPr>
      </w:pPr>
      <w:r>
        <w:t>6AA</w:t>
      </w:r>
      <w:r>
        <w:rPr>
          <w:snapToGrid w:val="0"/>
        </w:rPr>
        <w:t>.</w:t>
      </w:r>
      <w:r>
        <w:rPr>
          <w:snapToGrid w:val="0"/>
        </w:rPr>
        <w:tab/>
        <w:t>Information to be included in agent’s authority to act (Act s. 43(2)(a))</w:t>
      </w:r>
      <w:r>
        <w:tab/>
      </w:r>
      <w:r>
        <w:fldChar w:fldCharType="begin"/>
      </w:r>
      <w:r>
        <w:instrText xml:space="preserve"> PAGEREF _Toc328571360 \h </w:instrText>
      </w:r>
      <w:r>
        <w:fldChar w:fldCharType="separate"/>
      </w:r>
      <w:r>
        <w:t>8</w:t>
      </w:r>
      <w:r>
        <w:fldChar w:fldCharType="end"/>
      </w:r>
    </w:p>
    <w:p>
      <w:pPr>
        <w:pStyle w:val="TOC8"/>
        <w:rPr>
          <w:sz w:val="24"/>
          <w:szCs w:val="24"/>
          <w:lang w:val="en-US"/>
        </w:rPr>
      </w:pPr>
      <w:r>
        <w:t>6A</w:t>
      </w:r>
      <w:r>
        <w:rPr>
          <w:snapToGrid w:val="0"/>
        </w:rPr>
        <w:t>.</w:t>
      </w:r>
      <w:r>
        <w:rPr>
          <w:snapToGrid w:val="0"/>
        </w:rPr>
        <w:tab/>
        <w:t>Definition of authorised financial institution — prescribed classes (Act s. 48)</w:t>
      </w:r>
      <w:r>
        <w:tab/>
      </w:r>
      <w:r>
        <w:fldChar w:fldCharType="begin"/>
      </w:r>
      <w:r>
        <w:instrText xml:space="preserve"> PAGEREF _Toc328571361 \h </w:instrText>
      </w:r>
      <w:r>
        <w:fldChar w:fldCharType="separate"/>
      </w:r>
      <w:r>
        <w:t>8</w:t>
      </w:r>
      <w:r>
        <w:fldChar w:fldCharType="end"/>
      </w:r>
    </w:p>
    <w:p>
      <w:pPr>
        <w:pStyle w:val="TOC8"/>
        <w:rPr>
          <w:sz w:val="24"/>
          <w:szCs w:val="24"/>
          <w:lang w:val="en-US"/>
        </w:rPr>
      </w:pPr>
      <w:r>
        <w:t>6B</w:t>
      </w:r>
      <w:r>
        <w:rPr>
          <w:snapToGrid w:val="0"/>
        </w:rPr>
        <w:t>.</w:t>
      </w:r>
      <w:r>
        <w:rPr>
          <w:snapToGrid w:val="0"/>
        </w:rPr>
        <w:tab/>
        <w:t>Designation of trust accounts (Act s. 49(1))</w:t>
      </w:r>
      <w:r>
        <w:tab/>
      </w:r>
      <w:r>
        <w:fldChar w:fldCharType="begin"/>
      </w:r>
      <w:r>
        <w:instrText xml:space="preserve"> PAGEREF _Toc328571362 \h </w:instrText>
      </w:r>
      <w:r>
        <w:fldChar w:fldCharType="separate"/>
      </w:r>
      <w:r>
        <w:t>8</w:t>
      </w:r>
      <w:r>
        <w:fldChar w:fldCharType="end"/>
      </w:r>
    </w:p>
    <w:p>
      <w:pPr>
        <w:pStyle w:val="TOC8"/>
        <w:rPr>
          <w:sz w:val="24"/>
          <w:szCs w:val="24"/>
          <w:lang w:val="en-US"/>
        </w:rPr>
      </w:pPr>
      <w:r>
        <w:t>6C</w:t>
      </w:r>
      <w:r>
        <w:rPr>
          <w:snapToGrid w:val="0"/>
        </w:rPr>
        <w:t>.</w:t>
      </w:r>
      <w:r>
        <w:rPr>
          <w:snapToGrid w:val="0"/>
        </w:rPr>
        <w:tab/>
        <w:t>Prescribed requirements for separate accounts (Act s. 49A(4))</w:t>
      </w:r>
      <w:r>
        <w:tab/>
      </w:r>
      <w:r>
        <w:fldChar w:fldCharType="begin"/>
      </w:r>
      <w:r>
        <w:instrText xml:space="preserve"> PAGEREF _Toc328571363 \h </w:instrText>
      </w:r>
      <w:r>
        <w:fldChar w:fldCharType="separate"/>
      </w:r>
      <w:r>
        <w:t>9</w:t>
      </w:r>
      <w:r>
        <w:fldChar w:fldCharType="end"/>
      </w:r>
    </w:p>
    <w:p>
      <w:pPr>
        <w:pStyle w:val="TOC8"/>
        <w:rPr>
          <w:sz w:val="24"/>
          <w:szCs w:val="24"/>
          <w:lang w:val="en-US"/>
        </w:rPr>
      </w:pPr>
      <w:r>
        <w:t>6D</w:t>
      </w:r>
      <w:r>
        <w:rPr>
          <w:snapToGrid w:val="0"/>
        </w:rPr>
        <w:t>.</w:t>
      </w:r>
      <w:r>
        <w:rPr>
          <w:snapToGrid w:val="0"/>
        </w:rPr>
        <w:tab/>
        <w:t>Interest payable on trust accounts (Act s. 49B(1))</w:t>
      </w:r>
      <w:r>
        <w:tab/>
      </w:r>
      <w:r>
        <w:fldChar w:fldCharType="begin"/>
      </w:r>
      <w:r>
        <w:instrText xml:space="preserve"> PAGEREF _Toc328571364 \h </w:instrText>
      </w:r>
      <w:r>
        <w:fldChar w:fldCharType="separate"/>
      </w:r>
      <w:r>
        <w:t>9</w:t>
      </w:r>
      <w:r>
        <w:fldChar w:fldCharType="end"/>
      </w:r>
    </w:p>
    <w:p>
      <w:pPr>
        <w:pStyle w:val="TOC8"/>
        <w:rPr>
          <w:sz w:val="24"/>
          <w:szCs w:val="24"/>
          <w:lang w:val="en-US"/>
        </w:rPr>
      </w:pPr>
      <w:r>
        <w:t>6E.</w:t>
      </w:r>
      <w:r>
        <w:tab/>
        <w:t>Content of receipts (Act s. 50(1)(a))</w:t>
      </w:r>
      <w:r>
        <w:tab/>
      </w:r>
      <w:r>
        <w:fldChar w:fldCharType="begin"/>
      </w:r>
      <w:r>
        <w:instrText xml:space="preserve"> PAGEREF _Toc328571365 \h </w:instrText>
      </w:r>
      <w:r>
        <w:fldChar w:fldCharType="separate"/>
      </w:r>
      <w:r>
        <w:t>10</w:t>
      </w:r>
      <w:r>
        <w:fldChar w:fldCharType="end"/>
      </w:r>
    </w:p>
    <w:p>
      <w:pPr>
        <w:pStyle w:val="TOC8"/>
        <w:rPr>
          <w:sz w:val="24"/>
          <w:szCs w:val="24"/>
          <w:lang w:val="en-US"/>
        </w:rPr>
      </w:pPr>
      <w:r>
        <w:t>6F</w:t>
      </w:r>
      <w:r>
        <w:rPr>
          <w:snapToGrid w:val="0"/>
        </w:rPr>
        <w:t>.</w:t>
      </w:r>
      <w:r>
        <w:rPr>
          <w:snapToGrid w:val="0"/>
        </w:rPr>
        <w:tab/>
        <w:t>Records under Act s. 50(1)(b)</w:t>
      </w:r>
      <w:r>
        <w:tab/>
      </w:r>
      <w:r>
        <w:fldChar w:fldCharType="begin"/>
      </w:r>
      <w:r>
        <w:instrText xml:space="preserve"> PAGEREF _Toc328571366 \h </w:instrText>
      </w:r>
      <w:r>
        <w:fldChar w:fldCharType="separate"/>
      </w:r>
      <w:r>
        <w:t>10</w:t>
      </w:r>
      <w:r>
        <w:fldChar w:fldCharType="end"/>
      </w:r>
    </w:p>
    <w:p>
      <w:pPr>
        <w:pStyle w:val="TOC8"/>
        <w:rPr>
          <w:sz w:val="24"/>
          <w:szCs w:val="24"/>
          <w:lang w:val="en-US"/>
        </w:rPr>
      </w:pPr>
      <w:r>
        <w:t>7</w:t>
      </w:r>
      <w:r>
        <w:rPr>
          <w:snapToGrid w:val="0"/>
        </w:rPr>
        <w:t>.</w:t>
      </w:r>
      <w:r>
        <w:rPr>
          <w:snapToGrid w:val="0"/>
        </w:rPr>
        <w:tab/>
        <w:t>Particulars to be included in registers (Act s. 110(2))</w:t>
      </w:r>
      <w:r>
        <w:tab/>
      </w:r>
      <w:r>
        <w:fldChar w:fldCharType="begin"/>
      </w:r>
      <w:r>
        <w:instrText xml:space="preserve"> PAGEREF _Toc328571367 \h </w:instrText>
      </w:r>
      <w:r>
        <w:fldChar w:fldCharType="separate"/>
      </w:r>
      <w:r>
        <w:t>11</w:t>
      </w:r>
      <w:r>
        <w:fldChar w:fldCharType="end"/>
      </w:r>
    </w:p>
    <w:p>
      <w:pPr>
        <w:pStyle w:val="TOC8"/>
        <w:rPr>
          <w:sz w:val="24"/>
          <w:szCs w:val="24"/>
          <w:lang w:val="en-US"/>
        </w:rPr>
      </w:pPr>
      <w:r>
        <w:t>8</w:t>
      </w:r>
      <w:r>
        <w:rPr>
          <w:snapToGrid w:val="0"/>
        </w:rPr>
        <w:t>.</w:t>
      </w:r>
      <w:r>
        <w:rPr>
          <w:snapToGrid w:val="0"/>
        </w:rPr>
        <w:tab/>
        <w:t>Recovery of fees and costs</w:t>
      </w:r>
      <w:r>
        <w:tab/>
      </w:r>
      <w:r>
        <w:fldChar w:fldCharType="begin"/>
      </w:r>
      <w:r>
        <w:instrText xml:space="preserve"> PAGEREF _Toc328571368 \h </w:instrText>
      </w:r>
      <w:r>
        <w:fldChar w:fldCharType="separate"/>
      </w:r>
      <w:r>
        <w:t>12</w:t>
      </w:r>
      <w:r>
        <w:fldChar w:fldCharType="end"/>
      </w:r>
    </w:p>
    <w:p>
      <w:pPr>
        <w:pStyle w:val="TOC8"/>
        <w:rPr>
          <w:sz w:val="24"/>
          <w:szCs w:val="24"/>
          <w:lang w:val="en-US"/>
        </w:rPr>
      </w:pPr>
      <w:r>
        <w:t>9.</w:t>
      </w:r>
      <w:r>
        <w:tab/>
        <w:t>Settlement Agents Interest Account (Act s. 105)</w:t>
      </w:r>
      <w:r>
        <w:tab/>
      </w:r>
      <w:r>
        <w:fldChar w:fldCharType="begin"/>
      </w:r>
      <w:r>
        <w:instrText xml:space="preserve"> PAGEREF _Toc328571369 \h </w:instrText>
      </w:r>
      <w:r>
        <w:fldChar w:fldCharType="separate"/>
      </w:r>
      <w:r>
        <w:t>13</w:t>
      </w:r>
      <w:r>
        <w:fldChar w:fldCharType="end"/>
      </w:r>
    </w:p>
    <w:p>
      <w:pPr>
        <w:pStyle w:val="TOC8"/>
        <w:rPr>
          <w:sz w:val="24"/>
          <w:szCs w:val="24"/>
          <w:lang w:val="en-US"/>
        </w:rPr>
      </w:pPr>
      <w:r>
        <w:t>10</w:t>
      </w:r>
      <w:r>
        <w:rPr>
          <w:snapToGrid w:val="0"/>
        </w:rPr>
        <w:t>.</w:t>
      </w:r>
      <w:r>
        <w:rPr>
          <w:snapToGrid w:val="0"/>
        </w:rPr>
        <w:tab/>
        <w:t>Claims against Fidelity Guarantee Account</w:t>
      </w:r>
      <w:r>
        <w:tab/>
      </w:r>
      <w:r>
        <w:fldChar w:fldCharType="begin"/>
      </w:r>
      <w:r>
        <w:instrText xml:space="preserve"> PAGEREF _Toc328571370 \h </w:instrText>
      </w:r>
      <w:r>
        <w:fldChar w:fldCharType="separate"/>
      </w:r>
      <w:r>
        <w:t>13</w:t>
      </w:r>
      <w:r>
        <w:fldChar w:fldCharType="end"/>
      </w:r>
    </w:p>
    <w:p>
      <w:pPr>
        <w:pStyle w:val="TOC8"/>
        <w:rPr>
          <w:sz w:val="24"/>
          <w:szCs w:val="24"/>
          <w:lang w:val="en-US"/>
        </w:rPr>
      </w:pPr>
      <w:r>
        <w:t>11</w:t>
      </w:r>
      <w:r>
        <w:rPr>
          <w:snapToGrid w:val="0"/>
        </w:rPr>
        <w:t>.</w:t>
      </w:r>
      <w:r>
        <w:rPr>
          <w:snapToGrid w:val="0"/>
        </w:rPr>
        <w:tab/>
        <w:t>Documents that real estate settlement agent may draw etc.</w:t>
      </w:r>
      <w:r>
        <w:tab/>
      </w:r>
      <w:r>
        <w:fldChar w:fldCharType="begin"/>
      </w:r>
      <w:r>
        <w:instrText xml:space="preserve"> PAGEREF _Toc328571371 \h </w:instrText>
      </w:r>
      <w:r>
        <w:fldChar w:fldCharType="separate"/>
      </w:r>
      <w:r>
        <w:t>13</w:t>
      </w:r>
      <w:r>
        <w:fldChar w:fldCharType="end"/>
      </w:r>
    </w:p>
    <w:p>
      <w:pPr>
        <w:pStyle w:val="TOC8"/>
        <w:rPr>
          <w:sz w:val="24"/>
          <w:szCs w:val="24"/>
          <w:lang w:val="en-US"/>
        </w:rPr>
      </w:pPr>
      <w:r>
        <w:t>12</w:t>
      </w:r>
      <w:r>
        <w:rPr>
          <w:snapToGrid w:val="0"/>
        </w:rPr>
        <w:t>.</w:t>
      </w:r>
      <w:r>
        <w:rPr>
          <w:snapToGrid w:val="0"/>
        </w:rPr>
        <w:tab/>
        <w:t>Documents that business settlement agent may draw etc.</w:t>
      </w:r>
      <w:r>
        <w:tab/>
      </w:r>
      <w:r>
        <w:fldChar w:fldCharType="begin"/>
      </w:r>
      <w:r>
        <w:instrText xml:space="preserve"> PAGEREF _Toc328571372 \h </w:instrText>
      </w:r>
      <w:r>
        <w:fldChar w:fldCharType="separate"/>
      </w:r>
      <w:r>
        <w:t>14</w:t>
      </w:r>
      <w:r>
        <w:fldChar w:fldCharType="end"/>
      </w:r>
    </w:p>
    <w:p>
      <w:pPr>
        <w:pStyle w:val="TOC8"/>
        <w:rPr>
          <w:sz w:val="24"/>
          <w:szCs w:val="24"/>
          <w:lang w:val="en-US"/>
        </w:rPr>
      </w:pPr>
      <w:r>
        <w:t>12A</w:t>
      </w:r>
      <w:r>
        <w:rPr>
          <w:snapToGrid w:val="0"/>
        </w:rPr>
        <w:t>.</w:t>
      </w:r>
      <w:r>
        <w:rPr>
          <w:snapToGrid w:val="0"/>
        </w:rPr>
        <w:tab/>
        <w:t>Power of attorney</w:t>
      </w:r>
      <w:r>
        <w:tab/>
      </w:r>
      <w:r>
        <w:fldChar w:fldCharType="begin"/>
      </w:r>
      <w:r>
        <w:instrText xml:space="preserve"> PAGEREF _Toc328571373 \h </w:instrText>
      </w:r>
      <w:r>
        <w:fldChar w:fldCharType="separate"/>
      </w:r>
      <w:r>
        <w:t>14</w:t>
      </w:r>
      <w:r>
        <w:fldChar w:fldCharType="end"/>
      </w:r>
    </w:p>
    <w:p>
      <w:pPr>
        <w:pStyle w:val="TOC8"/>
        <w:rPr>
          <w:sz w:val="24"/>
          <w:szCs w:val="24"/>
          <w:lang w:val="en-US"/>
        </w:rPr>
      </w:pPr>
      <w:r>
        <w:t>13</w:t>
      </w:r>
      <w:r>
        <w:rPr>
          <w:snapToGrid w:val="0"/>
        </w:rPr>
        <w:t>.</w:t>
      </w:r>
      <w:r>
        <w:rPr>
          <w:snapToGrid w:val="0"/>
        </w:rPr>
        <w:tab/>
        <w:t>Warning notice by certain exempted persons</w:t>
      </w:r>
      <w:r>
        <w:tab/>
      </w:r>
      <w:r>
        <w:fldChar w:fldCharType="begin"/>
      </w:r>
      <w:r>
        <w:instrText xml:space="preserve"> PAGEREF _Toc328571374 \h </w:instrText>
      </w:r>
      <w:r>
        <w:fldChar w:fldCharType="separate"/>
      </w:r>
      <w:r>
        <w:t>14</w:t>
      </w:r>
      <w:r>
        <w:fldChar w:fldCharType="end"/>
      </w:r>
    </w:p>
    <w:p>
      <w:pPr>
        <w:pStyle w:val="TOC8"/>
        <w:rPr>
          <w:sz w:val="24"/>
          <w:szCs w:val="24"/>
          <w:lang w:val="en-US"/>
        </w:rPr>
      </w:pPr>
      <w:r>
        <w:t>14</w:t>
      </w:r>
      <w:r>
        <w:rPr>
          <w:snapToGrid w:val="0"/>
        </w:rPr>
        <w:t>.</w:t>
      </w:r>
      <w:r>
        <w:rPr>
          <w:snapToGrid w:val="0"/>
        </w:rPr>
        <w:tab/>
        <w:t>Absence of licensee</w:t>
      </w:r>
      <w:r>
        <w:tab/>
      </w:r>
      <w:r>
        <w:fldChar w:fldCharType="begin"/>
      </w:r>
      <w:r>
        <w:instrText xml:space="preserve"> PAGEREF _Toc328571375 \h </w:instrText>
      </w:r>
      <w:r>
        <w:fldChar w:fldCharType="separate"/>
      </w:r>
      <w:r>
        <w:t>14</w:t>
      </w:r>
      <w:r>
        <w:fldChar w:fldCharType="end"/>
      </w:r>
    </w:p>
    <w:p>
      <w:pPr>
        <w:pStyle w:val="TOC8"/>
        <w:rPr>
          <w:sz w:val="24"/>
          <w:szCs w:val="24"/>
          <w:lang w:val="en-US"/>
        </w:rPr>
      </w:pPr>
      <w:r>
        <w:t>15.</w:t>
      </w:r>
      <w:r>
        <w:tab/>
        <w:t>Infringement notices</w:t>
      </w:r>
      <w:r>
        <w:tab/>
      </w:r>
      <w:r>
        <w:fldChar w:fldCharType="begin"/>
      </w:r>
      <w:r>
        <w:instrText xml:space="preserve"> PAGEREF _Toc328571376 \h </w:instrText>
      </w:r>
      <w:r>
        <w:fldChar w:fldCharType="separate"/>
      </w:r>
      <w:r>
        <w:t>15</w:t>
      </w:r>
      <w:r>
        <w:fldChar w:fldCharType="end"/>
      </w:r>
    </w:p>
    <w:p>
      <w:pPr>
        <w:pStyle w:val="TOC8"/>
        <w:rPr>
          <w:sz w:val="24"/>
          <w:szCs w:val="24"/>
          <w:lang w:val="en-US"/>
        </w:rPr>
      </w:pPr>
      <w:r>
        <w:t>16.</w:t>
      </w:r>
      <w:r>
        <w:tab/>
        <w:t>Forms</w:t>
      </w:r>
      <w:r>
        <w:tab/>
      </w:r>
      <w:r>
        <w:fldChar w:fldCharType="begin"/>
      </w:r>
      <w:r>
        <w:instrText xml:space="preserve"> PAGEREF _Toc328571377 \h </w:instrText>
      </w:r>
      <w:r>
        <w:fldChar w:fldCharType="separate"/>
      </w:r>
      <w:r>
        <w:t>16</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1A — Professional development subjects</w:t>
      </w:r>
    </w:p>
    <w:p>
      <w:pPr>
        <w:pStyle w:val="TOC2"/>
        <w:tabs>
          <w:tab w:val="right" w:leader="dot" w:pos="7086"/>
        </w:tabs>
        <w:rPr>
          <w:b w:val="0"/>
          <w:sz w:val="24"/>
          <w:szCs w:val="24"/>
          <w:lang w:val="en-US"/>
        </w:rPr>
      </w:pPr>
      <w:r>
        <w:t>Schedule 2 — Notice under section 26A or 26B of the Act</w:t>
      </w:r>
    </w:p>
    <w:p>
      <w:pPr>
        <w:pStyle w:val="TOC2"/>
        <w:tabs>
          <w:tab w:val="right" w:leader="dot" w:pos="7086"/>
        </w:tabs>
        <w:rPr>
          <w:b w:val="0"/>
          <w:sz w:val="24"/>
          <w:szCs w:val="24"/>
          <w:lang w:val="en-US"/>
        </w:rPr>
      </w:pPr>
      <w:r>
        <w:t>Schedule 3 — Documents that a real estate settlement agent may draw or prepare</w:t>
      </w:r>
    </w:p>
    <w:p>
      <w:pPr>
        <w:pStyle w:val="TOC4"/>
        <w:tabs>
          <w:tab w:val="right" w:leader="dot" w:pos="7086"/>
        </w:tabs>
        <w:rPr>
          <w:b w:val="0"/>
          <w:sz w:val="24"/>
          <w:szCs w:val="24"/>
          <w:lang w:val="en-US"/>
        </w:rPr>
      </w:pPr>
      <w:r>
        <w:t>Part A</w:t>
      </w:r>
      <w:r>
        <w:rPr>
          <w:snapToGrid w:val="0"/>
        </w:rPr>
        <w:t> — </w:t>
      </w:r>
      <w:r>
        <w:t>Offer and acceptance</w:t>
      </w:r>
    </w:p>
    <w:p>
      <w:pPr>
        <w:pStyle w:val="TOC4"/>
        <w:tabs>
          <w:tab w:val="right" w:leader="dot" w:pos="7086"/>
        </w:tabs>
        <w:rPr>
          <w:b w:val="0"/>
          <w:sz w:val="24"/>
          <w:szCs w:val="24"/>
          <w:lang w:val="en-US"/>
        </w:rPr>
      </w:pPr>
      <w:r>
        <w:t>Part B</w:t>
      </w:r>
      <w:r>
        <w:rPr>
          <w:snapToGrid w:val="0"/>
        </w:rPr>
        <w:t> — </w:t>
      </w:r>
      <w:r>
        <w:t>Requisitions on title</w:t>
      </w:r>
    </w:p>
    <w:p>
      <w:pPr>
        <w:pStyle w:val="TOC4"/>
        <w:tabs>
          <w:tab w:val="right" w:leader="dot" w:pos="7086"/>
        </w:tabs>
        <w:rPr>
          <w:b w:val="0"/>
          <w:sz w:val="24"/>
          <w:szCs w:val="24"/>
          <w:lang w:val="en-US"/>
        </w:rPr>
      </w:pPr>
      <w:r>
        <w:t>Part C</w:t>
      </w:r>
      <w:r>
        <w:rPr>
          <w:snapToGrid w:val="0"/>
        </w:rPr>
        <w:t> — </w:t>
      </w:r>
      <w:r>
        <w:t>Documents for registration or lodgement</w:t>
      </w:r>
    </w:p>
    <w:p>
      <w:pPr>
        <w:pStyle w:val="TOC2"/>
        <w:tabs>
          <w:tab w:val="right" w:leader="dot" w:pos="7086"/>
        </w:tabs>
        <w:rPr>
          <w:b w:val="0"/>
          <w:sz w:val="24"/>
          <w:szCs w:val="24"/>
          <w:lang w:val="en-US"/>
        </w:rPr>
      </w:pPr>
      <w:r>
        <w:t>Schedule 4 — Documents that a business settlement agent may draw or prepare</w:t>
      </w:r>
    </w:p>
    <w:p>
      <w:pPr>
        <w:pStyle w:val="TOC2"/>
        <w:tabs>
          <w:tab w:val="right" w:leader="dot" w:pos="7086"/>
        </w:tabs>
        <w:rPr>
          <w:b w:val="0"/>
          <w:sz w:val="24"/>
          <w:szCs w:val="24"/>
          <w:lang w:val="en-US"/>
        </w:rPr>
      </w:pPr>
      <w:r>
        <w:t>Schedule 5 — Prescribed offences and modified penalties</w:t>
      </w:r>
    </w:p>
    <w:p>
      <w:pPr>
        <w:pStyle w:val="TOC4"/>
        <w:tabs>
          <w:tab w:val="right" w:leader="dot" w:pos="7086"/>
        </w:tabs>
        <w:rPr>
          <w:b w:val="0"/>
          <w:sz w:val="24"/>
          <w:szCs w:val="24"/>
          <w:lang w:val="en-US"/>
        </w:rPr>
      </w:pPr>
      <w:r>
        <w:t>Part 1</w:t>
      </w:r>
      <w:r>
        <w:rPr>
          <w:b w:val="0"/>
        </w:rPr>
        <w:t> — </w:t>
      </w:r>
      <w:r>
        <w:t>Offences under section 65</w:t>
      </w:r>
    </w:p>
    <w:p>
      <w:pPr>
        <w:pStyle w:val="TOC4"/>
        <w:tabs>
          <w:tab w:val="right" w:leader="dot" w:pos="7086"/>
        </w:tabs>
        <w:rPr>
          <w:b w:val="0"/>
          <w:sz w:val="24"/>
          <w:szCs w:val="24"/>
          <w:lang w:val="en-US"/>
        </w:rPr>
      </w:pPr>
      <w:r>
        <w:t>Part 2</w:t>
      </w:r>
      <w:r>
        <w:rPr>
          <w:b w:val="0"/>
        </w:rPr>
        <w:t> — </w:t>
      </w:r>
      <w:r>
        <w:t>Offences under section 120</w:t>
      </w:r>
    </w:p>
    <w:p>
      <w:pPr>
        <w:pStyle w:val="TOC2"/>
        <w:tabs>
          <w:tab w:val="right" w:leader="dot" w:pos="7086"/>
        </w:tabs>
        <w:rPr>
          <w:b w:val="0"/>
          <w:sz w:val="24"/>
          <w:szCs w:val="24"/>
          <w:lang w:val="en-US"/>
        </w:rPr>
      </w:pPr>
      <w:r>
        <w:t>Schedule 6 — Forms</w:t>
      </w:r>
    </w:p>
    <w:p>
      <w:pPr>
        <w:pStyle w:val="TOC8"/>
        <w:rPr>
          <w:sz w:val="24"/>
          <w:szCs w:val="24"/>
          <w:lang w:val="en-US"/>
        </w:rPr>
      </w:pPr>
      <w:r>
        <w:tab/>
        <w:t>Form 1 — Infringement notice</w:t>
      </w:r>
      <w:r>
        <w:tab/>
      </w:r>
      <w:r>
        <w:fldChar w:fldCharType="begin"/>
      </w:r>
      <w:r>
        <w:instrText xml:space="preserve"> PAGEREF _Toc328571390 \h </w:instrText>
      </w:r>
      <w:r>
        <w:fldChar w:fldCharType="separate"/>
      </w:r>
      <w:r>
        <w:t>28</w:t>
      </w:r>
      <w:r>
        <w:fldChar w:fldCharType="end"/>
      </w:r>
    </w:p>
    <w:p>
      <w:pPr>
        <w:pStyle w:val="TOC8"/>
        <w:rPr>
          <w:sz w:val="24"/>
          <w:szCs w:val="24"/>
          <w:lang w:val="en-US"/>
        </w:rPr>
      </w:pPr>
      <w:r>
        <w:tab/>
        <w:t>Form 2 — Withdrawal of infringement notice</w:t>
      </w:r>
      <w:r>
        <w:tab/>
      </w:r>
      <w:r>
        <w:fldChar w:fldCharType="begin"/>
      </w:r>
      <w:r>
        <w:instrText xml:space="preserve"> PAGEREF _Toc328571391 \h </w:instrText>
      </w:r>
      <w:r>
        <w:fldChar w:fldCharType="separate"/>
      </w:r>
      <w:r>
        <w:t>30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_Toc328571393 \h </w:instrText>
      </w:r>
      <w:r>
        <w:fldChar w:fldCharType="separate"/>
      </w:r>
      <w:r>
        <w:t>31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Text"/>
        </w:rPr>
        <w:t xml:space="preserve"> </w:t>
      </w:r>
      <w:r>
        <w:rPr>
          <w:rStyle w:val="CharSDiv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28571352"/>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28571353"/>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28571354"/>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28571355"/>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28571356"/>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28571357"/>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70"/>
      </w:pPr>
      <w:r>
        <w:tab/>
        <w:t>(a)</w:t>
      </w:r>
      <w:r>
        <w:tab/>
        <w:t>sufficient details to identify —</w:t>
      </w:r>
    </w:p>
    <w:p>
      <w:pPr>
        <w:pStyle w:val="Indenti"/>
        <w:spacing w:before="70"/>
      </w:pPr>
      <w:r>
        <w:tab/>
        <w:t>(i)</w:t>
      </w:r>
      <w:r>
        <w:tab/>
        <w:t>each activity approved; and</w:t>
      </w:r>
    </w:p>
    <w:p>
      <w:pPr>
        <w:pStyle w:val="Indenti"/>
        <w:spacing w:before="70"/>
      </w:pPr>
      <w:r>
        <w:tab/>
        <w:t>(ii)</w:t>
      </w:r>
      <w:r>
        <w:tab/>
        <w:t>the professional development subject to which the activity relates;</w:t>
      </w:r>
    </w:p>
    <w:p>
      <w:pPr>
        <w:pStyle w:val="Indenta"/>
        <w:spacing w:before="70"/>
      </w:pPr>
      <w:r>
        <w:tab/>
      </w:r>
      <w:r>
        <w:tab/>
        <w:t>and</w:t>
      </w:r>
    </w:p>
    <w:p>
      <w:pPr>
        <w:pStyle w:val="Indenta"/>
        <w:spacing w:before="70"/>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the website maintained by the Commissioner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spacing w:before="70"/>
      </w:pPr>
      <w:r>
        <w:tab/>
        <w:t>(a)</w:t>
      </w:r>
      <w:r>
        <w:tab/>
        <w:t>attendance, including by means of audiolink or videolink, at a training course provided by a specified body or person and successful completion of any assessment requirements for that course;</w:t>
      </w:r>
    </w:p>
    <w:p>
      <w:pPr>
        <w:pStyle w:val="Indenta"/>
        <w:spacing w:before="70"/>
      </w:pPr>
      <w:r>
        <w:tab/>
        <w:t>(b)</w:t>
      </w:r>
      <w:r>
        <w:tab/>
        <w:t>attendance, including by means of audiolink or videolink, at a seminar presented by a specified body or person and successful completion of any assessment requirements for that seminar;</w:t>
      </w:r>
    </w:p>
    <w:p>
      <w:pPr>
        <w:pStyle w:val="Indenta"/>
        <w:spacing w:before="70"/>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spacing w:before="14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28571358"/>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28571359"/>
      <w:r>
        <w:rPr>
          <w:rStyle w:val="CharSectno"/>
        </w:rPr>
        <w:t>6</w:t>
      </w:r>
      <w:r>
        <w:t>.</w:t>
      </w:r>
      <w:r>
        <w:tab/>
      </w:r>
      <w:r>
        <w:rPr>
          <w:snapToGrid w:val="0"/>
        </w:rPr>
        <w:t>Examinations</w:t>
      </w:r>
      <w:bookmarkEnd w:id="8"/>
    </w:p>
    <w:p>
      <w:pPr>
        <w:pStyle w:val="Subsection"/>
        <w:spacing w:before="140"/>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spacing w:before="60"/>
      </w:pPr>
      <w:r>
        <w:tab/>
        <w:t>(a)</w:t>
      </w:r>
      <w:r>
        <w:tab/>
        <w:t>a Diploma of Financial Services (Conveyancing); and</w:t>
      </w:r>
    </w:p>
    <w:p>
      <w:pPr>
        <w:pStyle w:val="Indenta"/>
        <w:keepNext/>
        <w:spacing w:before="60"/>
      </w:pPr>
      <w:r>
        <w:tab/>
        <w:t>(b)</w:t>
      </w:r>
      <w:r>
        <w:tab/>
        <w:t>the following units —</w:t>
      </w:r>
    </w:p>
    <w:p>
      <w:pPr>
        <w:pStyle w:val="Indenti"/>
        <w:spacing w:before="60"/>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9" w:name="_Toc328571360"/>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28571361"/>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28571362"/>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28571363"/>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28571364"/>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28571365"/>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w:t>
      </w:r>
    </w:p>
    <w:p>
      <w:pPr>
        <w:pStyle w:val="Indenta"/>
        <w:spacing w:before="60"/>
      </w:pPr>
      <w:r>
        <w:tab/>
        <w:t>(b)</w:t>
      </w:r>
      <w:r>
        <w:tab/>
        <w:t>a number or letter, or a combination of both, in consecutive order that allows the receipt to be uniquely identified;</w:t>
      </w:r>
    </w:p>
    <w:p>
      <w:pPr>
        <w:pStyle w:val="Indenta"/>
        <w:spacing w:before="60"/>
      </w:pPr>
      <w:r>
        <w:tab/>
        <w:t>(c)</w:t>
      </w:r>
      <w:r>
        <w:tab/>
        <w:t>the date on which the money is received;</w:t>
      </w:r>
    </w:p>
    <w:p>
      <w:pPr>
        <w:pStyle w:val="Indenta"/>
        <w:spacing w:before="60"/>
      </w:pPr>
      <w:r>
        <w:tab/>
        <w:t>(d)</w:t>
      </w:r>
      <w:r>
        <w:tab/>
        <w:t>the name of the person paying the money;</w:t>
      </w:r>
    </w:p>
    <w:p>
      <w:pPr>
        <w:pStyle w:val="Indenta"/>
        <w:spacing w:before="60"/>
      </w:pPr>
      <w:r>
        <w:tab/>
        <w:t>(e)</w:t>
      </w:r>
      <w:r>
        <w:tab/>
        <w:t>the amount of money received;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28571366"/>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28571367"/>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spacing w:before="60"/>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spacing w:before="60"/>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60"/>
        <w:rPr>
          <w:snapToGrid w:val="0"/>
        </w:rPr>
      </w:pPr>
      <w:r>
        <w:rPr>
          <w:snapToGrid w:val="0"/>
        </w:rPr>
        <w:tab/>
        <w:t>(viii)</w:t>
      </w:r>
      <w:r>
        <w:rPr>
          <w:snapToGrid w:val="0"/>
        </w:rPr>
        <w:tab/>
        <w:t>the licence number and the date on which the licence held by the holder of the certificate was granted;</w:t>
      </w:r>
    </w:p>
    <w:p>
      <w:pPr>
        <w:pStyle w:val="Indenti"/>
        <w:spacing w:before="60"/>
        <w:rPr>
          <w:snapToGrid w:val="0"/>
        </w:rPr>
      </w:pPr>
      <w:r>
        <w:rPr>
          <w:snapToGrid w:val="0"/>
        </w:rPr>
        <w:tab/>
        <w:t>(ix)</w:t>
      </w:r>
      <w:r>
        <w:rPr>
          <w:snapToGrid w:val="0"/>
        </w:rPr>
        <w:tab/>
        <w:t>whether the holder is licensed as a real estate settlement agent, business settlement agent or both;</w:t>
      </w:r>
    </w:p>
    <w:p>
      <w:pPr>
        <w:pStyle w:val="Indenti"/>
        <w:spacing w:before="60"/>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spacing w:before="60"/>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spacing w:before="60"/>
        <w:rPr>
          <w:snapToGrid w:val="0"/>
        </w:rPr>
      </w:pPr>
      <w:r>
        <w:rPr>
          <w:snapToGrid w:val="0"/>
        </w:rPr>
        <w:tab/>
        <w:t>(xii)</w:t>
      </w:r>
      <w:r>
        <w:rPr>
          <w:snapToGrid w:val="0"/>
        </w:rPr>
        <w:tab/>
        <w:t>the name and address of the auditor appointed by the holder; and</w:t>
      </w:r>
    </w:p>
    <w:p>
      <w:pPr>
        <w:pStyle w:val="Indenti"/>
        <w:spacing w:before="60"/>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28571368"/>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spacing w:before="60"/>
        <w:rPr>
          <w:snapToGrid w:val="0"/>
        </w:rPr>
      </w:pPr>
      <w:r>
        <w:rPr>
          <w:snapToGrid w:val="0"/>
        </w:rPr>
        <w:tab/>
        <w:t>(a)</w:t>
      </w:r>
      <w:r>
        <w:rPr>
          <w:snapToGrid w:val="0"/>
        </w:rPr>
        <w:tab/>
        <w:t>any fees prescribed by these regulations;</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28571369"/>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28571370"/>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28571371"/>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28571372"/>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28571373"/>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28571374"/>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28571375"/>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 amended in Gazette 30 Jun 2011 p. 2677.]</w:t>
      </w:r>
    </w:p>
    <w:p>
      <w:pPr>
        <w:pStyle w:val="Heading5"/>
      </w:pPr>
      <w:bookmarkStart w:id="25" w:name="_Toc328571376"/>
      <w:r>
        <w:rPr>
          <w:rStyle w:val="CharSectno"/>
        </w:rPr>
        <w:t>15</w:t>
      </w:r>
      <w:r>
        <w:t>.</w:t>
      </w:r>
      <w:r>
        <w:tab/>
        <w:t>Infringement notices</w:t>
      </w:r>
      <w:bookmarkEnd w:id="25"/>
    </w:p>
    <w:p>
      <w:pPr>
        <w:pStyle w:val="Subsection"/>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15 inserted in Gazette 22 Sep 2006 p. 4131; amended in Gazette 23 Dec 2008 p. 5469</w:t>
      </w:r>
      <w:r>
        <w:noBreakHyphen/>
        <w:t>70; 30 Jun 2011 p. 2677-8.]</w:t>
      </w:r>
    </w:p>
    <w:p>
      <w:pPr>
        <w:pStyle w:val="Heading5"/>
      </w:pPr>
      <w:bookmarkStart w:id="26" w:name="_Toc328571377"/>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 w:name="_Toc328571335"/>
      <w:bookmarkStart w:id="28" w:name="_Toc328571378"/>
      <w:bookmarkStart w:id="29" w:name="_Toc297300478"/>
      <w:bookmarkStart w:id="30" w:name="_Toc189887856"/>
      <w:bookmarkStart w:id="31" w:name="_Toc191098782"/>
      <w:bookmarkStart w:id="32" w:name="_Toc233704935"/>
      <w:bookmarkStart w:id="33" w:name="_Toc265671444"/>
      <w:bookmarkStart w:id="34" w:name="_Toc267993852"/>
      <w:bookmarkStart w:id="35" w:name="_Toc268001320"/>
      <w:bookmarkStart w:id="36" w:name="_Toc269710841"/>
      <w:bookmarkStart w:id="37" w:name="_Toc269711358"/>
      <w:bookmarkStart w:id="38" w:name="_Toc269712518"/>
      <w:bookmarkStart w:id="39" w:name="_Toc269712562"/>
      <w:bookmarkStart w:id="40" w:name="_Toc271722276"/>
      <w:r>
        <w:rPr>
          <w:rStyle w:val="CharSchNo"/>
        </w:rPr>
        <w:t>Schedule 1</w:t>
      </w:r>
      <w:r>
        <w:rPr>
          <w:rStyle w:val="CharSDivNo"/>
        </w:rPr>
        <w:t> </w:t>
      </w:r>
      <w:r>
        <w:t>—</w:t>
      </w:r>
      <w:r>
        <w:rPr>
          <w:rStyle w:val="CharSDivText"/>
        </w:rPr>
        <w:t> </w:t>
      </w:r>
      <w:r>
        <w:rPr>
          <w:rStyle w:val="CharSchText"/>
        </w:rPr>
        <w:t>Fees</w:t>
      </w:r>
      <w:bookmarkEnd w:id="27"/>
      <w:bookmarkEnd w:id="28"/>
    </w:p>
    <w:p>
      <w:pPr>
        <w:pStyle w:val="yShoulderClause"/>
      </w:pPr>
      <w:r>
        <w:t>[r. 4 and 4A]</w:t>
      </w:r>
    </w:p>
    <w:p>
      <w:pPr>
        <w:pStyle w:val="yFootnoteheading"/>
      </w:pPr>
      <w:r>
        <w:tab/>
        <w:t>[Heading inserted in Gazette 15 Jun 2012 p. 2602.]</w:t>
      </w:r>
    </w:p>
    <w:p>
      <w:pPr>
        <w:pStyle w:val="yTHeadingNAm"/>
      </w:pPr>
      <w:r>
        <w:t>Table</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1134"/>
      </w:tblGrid>
      <w:tr>
        <w:trPr>
          <w:tblHeader/>
        </w:trPr>
        <w:tc>
          <w:tcPr>
            <w:tcW w:w="992" w:type="dxa"/>
          </w:tcPr>
          <w:p>
            <w:pPr>
              <w:pStyle w:val="yTableNAm"/>
              <w:jc w:val="center"/>
            </w:pPr>
            <w:r>
              <w:rPr>
                <w:b/>
                <w:bCs/>
              </w:rPr>
              <w:t>Item</w:t>
            </w:r>
          </w:p>
        </w:tc>
        <w:tc>
          <w:tcPr>
            <w:tcW w:w="4395" w:type="dxa"/>
          </w:tcPr>
          <w:p>
            <w:pPr>
              <w:pStyle w:val="yTableNAm"/>
              <w:jc w:val="center"/>
            </w:pPr>
            <w:r>
              <w:rPr>
                <w:b/>
                <w:bCs/>
              </w:rPr>
              <w:t>Type of fee</w:t>
            </w:r>
          </w:p>
        </w:tc>
        <w:tc>
          <w:tcPr>
            <w:tcW w:w="1134" w:type="dxa"/>
          </w:tcPr>
          <w:p>
            <w:pPr>
              <w:pStyle w:val="yTableNAm"/>
              <w:jc w:val="center"/>
            </w:pPr>
            <w:r>
              <w:rPr>
                <w:b/>
                <w:bCs/>
              </w:rPr>
              <w:t>Fee</w:t>
            </w:r>
          </w:p>
        </w:tc>
      </w:tr>
      <w:tr>
        <w:tc>
          <w:tcPr>
            <w:tcW w:w="992" w:type="dxa"/>
          </w:tcPr>
          <w:p>
            <w:pPr>
              <w:pStyle w:val="yTableNAm"/>
            </w:pPr>
            <w:r>
              <w:t>1.</w:t>
            </w:r>
          </w:p>
        </w:tc>
        <w:tc>
          <w:tcPr>
            <w:tcW w:w="4395" w:type="dxa"/>
          </w:tcPr>
          <w:p>
            <w:pPr>
              <w:pStyle w:val="yTableNAm"/>
              <w:tabs>
                <w:tab w:val="right" w:leader="dot" w:pos="4179"/>
              </w:tabs>
            </w:pPr>
            <w:r>
              <w:t xml:space="preserve">Grant of licence (including a triennial certificate) to a natural person </w:t>
            </w:r>
            <w:r>
              <w:tab/>
            </w:r>
          </w:p>
        </w:tc>
        <w:tc>
          <w:tcPr>
            <w:tcW w:w="1134" w:type="dxa"/>
          </w:tcPr>
          <w:p>
            <w:pPr>
              <w:pStyle w:val="yTableNAm"/>
            </w:pPr>
            <w:r>
              <w:br/>
              <w:t>$707.00</w:t>
            </w:r>
          </w:p>
        </w:tc>
      </w:tr>
      <w:tr>
        <w:tc>
          <w:tcPr>
            <w:tcW w:w="992" w:type="dxa"/>
          </w:tcPr>
          <w:p>
            <w:pPr>
              <w:pStyle w:val="yTableNAm"/>
            </w:pPr>
            <w:r>
              <w:t>2.</w:t>
            </w:r>
          </w:p>
        </w:tc>
        <w:tc>
          <w:tcPr>
            <w:tcW w:w="4395" w:type="dxa"/>
          </w:tcPr>
          <w:p>
            <w:pPr>
              <w:pStyle w:val="yTableNAm"/>
              <w:tabs>
                <w:tab w:val="right" w:leader="dot" w:pos="4179"/>
              </w:tabs>
            </w:pPr>
            <w:r>
              <w:t xml:space="preserve">Grant of licence (including a triennial certificate) to a firm </w:t>
            </w:r>
            <w:r>
              <w:tab/>
            </w:r>
          </w:p>
        </w:tc>
        <w:tc>
          <w:tcPr>
            <w:tcW w:w="1134" w:type="dxa"/>
          </w:tcPr>
          <w:p>
            <w:pPr>
              <w:pStyle w:val="yTableNAm"/>
            </w:pPr>
            <w:r>
              <w:br/>
              <w:t>$925.00</w:t>
            </w:r>
          </w:p>
        </w:tc>
      </w:tr>
      <w:tr>
        <w:tc>
          <w:tcPr>
            <w:tcW w:w="992" w:type="dxa"/>
          </w:tcPr>
          <w:p>
            <w:pPr>
              <w:pStyle w:val="yTableNAm"/>
            </w:pPr>
            <w:r>
              <w:t>3.</w:t>
            </w:r>
          </w:p>
        </w:tc>
        <w:tc>
          <w:tcPr>
            <w:tcW w:w="4395" w:type="dxa"/>
          </w:tcPr>
          <w:p>
            <w:pPr>
              <w:pStyle w:val="yTableNAm"/>
              <w:tabs>
                <w:tab w:val="right" w:leader="dot" w:pos="4179"/>
              </w:tabs>
            </w:pPr>
            <w:r>
              <w:t xml:space="preserve">Grant of licence (including a triennial certificate) to a body corporate </w:t>
            </w:r>
            <w:r>
              <w:tab/>
            </w:r>
          </w:p>
        </w:tc>
        <w:tc>
          <w:tcPr>
            <w:tcW w:w="1134" w:type="dxa"/>
          </w:tcPr>
          <w:p>
            <w:pPr>
              <w:pStyle w:val="yTableNAm"/>
            </w:pPr>
            <w:r>
              <w:br/>
              <w:t>$925.00</w:t>
            </w:r>
          </w:p>
        </w:tc>
      </w:tr>
      <w:tr>
        <w:tc>
          <w:tcPr>
            <w:tcW w:w="992" w:type="dxa"/>
          </w:tcPr>
          <w:p>
            <w:pPr>
              <w:pStyle w:val="yTableNAm"/>
            </w:pPr>
            <w:r>
              <w:t>4.</w:t>
            </w:r>
          </w:p>
        </w:tc>
        <w:tc>
          <w:tcPr>
            <w:tcW w:w="4395" w:type="dxa"/>
          </w:tcPr>
          <w:p>
            <w:pPr>
              <w:pStyle w:val="yTableNAm"/>
              <w:tabs>
                <w:tab w:val="right" w:leader="dot" w:pos="4179"/>
              </w:tabs>
            </w:pPr>
            <w:r>
              <w:t xml:space="preserve">Renewal of triennial certificate </w:t>
            </w:r>
            <w:r>
              <w:tab/>
            </w:r>
          </w:p>
        </w:tc>
        <w:tc>
          <w:tcPr>
            <w:tcW w:w="1134" w:type="dxa"/>
          </w:tcPr>
          <w:p>
            <w:pPr>
              <w:pStyle w:val="yTableNAm"/>
            </w:pPr>
            <w:r>
              <w:t>$454.00</w:t>
            </w:r>
          </w:p>
        </w:tc>
      </w:tr>
      <w:tr>
        <w:tc>
          <w:tcPr>
            <w:tcW w:w="992" w:type="dxa"/>
          </w:tcPr>
          <w:p>
            <w:pPr>
              <w:pStyle w:val="yTableNAm"/>
            </w:pPr>
            <w:r>
              <w:t>5.</w:t>
            </w:r>
          </w:p>
        </w:tc>
        <w:tc>
          <w:tcPr>
            <w:tcW w:w="4395" w:type="dxa"/>
          </w:tcPr>
          <w:p>
            <w:pPr>
              <w:pStyle w:val="yTableNAm"/>
              <w:tabs>
                <w:tab w:val="right" w:leader="dot" w:pos="4179"/>
              </w:tabs>
            </w:pPr>
            <w:r>
              <w:t xml:space="preserve">Inspection of register </w:t>
            </w:r>
            <w:r>
              <w:tab/>
            </w:r>
          </w:p>
        </w:tc>
        <w:tc>
          <w:tcPr>
            <w:tcW w:w="1134" w:type="dxa"/>
          </w:tcPr>
          <w:p>
            <w:pPr>
              <w:pStyle w:val="yTableNAm"/>
            </w:pPr>
            <w:r>
              <w:t>$10.50</w:t>
            </w:r>
          </w:p>
        </w:tc>
      </w:tr>
      <w:tr>
        <w:tc>
          <w:tcPr>
            <w:tcW w:w="992" w:type="dxa"/>
          </w:tcPr>
          <w:p>
            <w:pPr>
              <w:pStyle w:val="yTableNAm"/>
            </w:pPr>
            <w:r>
              <w:t>6.</w:t>
            </w:r>
          </w:p>
        </w:tc>
        <w:tc>
          <w:tcPr>
            <w:tcW w:w="4395" w:type="dxa"/>
          </w:tcPr>
          <w:p>
            <w:pPr>
              <w:pStyle w:val="yTableNAm"/>
            </w:pPr>
            <w:r>
              <w:t xml:space="preserve">Certificate as to an individual registration — </w:t>
            </w:r>
          </w:p>
          <w:p>
            <w:pPr>
              <w:pStyle w:val="yTableNAm"/>
              <w:tabs>
                <w:tab w:val="right" w:leader="dot" w:pos="4179"/>
              </w:tabs>
            </w:pPr>
            <w:r>
              <w:tab/>
              <w:t xml:space="preserve">first page </w:t>
            </w:r>
            <w:r>
              <w:tab/>
            </w:r>
          </w:p>
          <w:p>
            <w:pPr>
              <w:pStyle w:val="yTableNAm"/>
              <w:tabs>
                <w:tab w:val="right" w:leader="dot" w:pos="4179"/>
              </w:tabs>
              <w:spacing w:before="0"/>
            </w:pPr>
            <w:r>
              <w:tab/>
              <w:t xml:space="preserve">each subsequent page </w:t>
            </w:r>
            <w:r>
              <w:tab/>
            </w:r>
          </w:p>
        </w:tc>
        <w:tc>
          <w:tcPr>
            <w:tcW w:w="1134" w:type="dxa"/>
          </w:tcPr>
          <w:p>
            <w:pPr>
              <w:pStyle w:val="yTableNAm"/>
            </w:pPr>
          </w:p>
          <w:p>
            <w:pPr>
              <w:pStyle w:val="yTableNAm"/>
            </w:pPr>
            <w:r>
              <w:t>$21.10</w:t>
            </w:r>
            <w:r>
              <w:br/>
              <w:t>$ 2.10</w:t>
            </w:r>
          </w:p>
        </w:tc>
      </w:tr>
      <w:tr>
        <w:tc>
          <w:tcPr>
            <w:tcW w:w="992" w:type="dxa"/>
          </w:tcPr>
          <w:p>
            <w:pPr>
              <w:pStyle w:val="yTableNAm"/>
            </w:pPr>
            <w:r>
              <w:t>7.</w:t>
            </w:r>
          </w:p>
        </w:tc>
        <w:tc>
          <w:tcPr>
            <w:tcW w:w="4395" w:type="dxa"/>
          </w:tcPr>
          <w:p>
            <w:pPr>
              <w:pStyle w:val="yTableNAm"/>
              <w:tabs>
                <w:tab w:val="right" w:leader="dot" w:pos="4179"/>
              </w:tabs>
            </w:pPr>
            <w:r>
              <w:t xml:space="preserve">Certificate as to all registrations in register </w:t>
            </w:r>
            <w:r>
              <w:tab/>
            </w:r>
          </w:p>
        </w:tc>
        <w:tc>
          <w:tcPr>
            <w:tcW w:w="1134" w:type="dxa"/>
          </w:tcPr>
          <w:p>
            <w:pPr>
              <w:pStyle w:val="yTableNAm"/>
            </w:pPr>
            <w:r>
              <w:t>$151.00</w:t>
            </w:r>
          </w:p>
        </w:tc>
      </w:tr>
      <w:tr>
        <w:tc>
          <w:tcPr>
            <w:tcW w:w="992" w:type="dxa"/>
          </w:tcPr>
          <w:p>
            <w:pPr>
              <w:pStyle w:val="yTableNAm"/>
            </w:pPr>
            <w:r>
              <w:t>8.</w:t>
            </w:r>
          </w:p>
        </w:tc>
        <w:tc>
          <w:tcPr>
            <w:tcW w:w="4395" w:type="dxa"/>
          </w:tcPr>
          <w:p>
            <w:pPr>
              <w:pStyle w:val="yTableNAm"/>
              <w:tabs>
                <w:tab w:val="right" w:leader="dot" w:pos="4179"/>
              </w:tabs>
            </w:pPr>
            <w:r>
              <w:t xml:space="preserve">For the purposes of section 30(3a) (the holding fee) </w:t>
            </w:r>
            <w:r>
              <w:tab/>
            </w:r>
            <w:r>
              <w:tab/>
            </w:r>
          </w:p>
        </w:tc>
        <w:tc>
          <w:tcPr>
            <w:tcW w:w="1134" w:type="dxa"/>
          </w:tcPr>
          <w:p>
            <w:pPr>
              <w:pStyle w:val="yTableNAm"/>
            </w:pPr>
            <w:r>
              <w:br/>
              <w:t>$213.00</w:t>
            </w:r>
          </w:p>
        </w:tc>
      </w:tr>
    </w:tbl>
    <w:p>
      <w:pPr>
        <w:pStyle w:val="yFootnotesection"/>
      </w:pPr>
      <w:r>
        <w:tab/>
        <w:t>[Schedule 1 inserted in Gazette 15 Jun 2012 p. 2602.]</w:t>
      </w:r>
    </w:p>
    <w:p>
      <w:pPr>
        <w:pStyle w:val="yScheduleHeading"/>
      </w:pPr>
      <w:bookmarkStart w:id="41" w:name="_Toc297300479"/>
      <w:bookmarkStart w:id="42" w:name="_Toc328571336"/>
      <w:bookmarkStart w:id="43" w:name="_Toc328571379"/>
      <w:bookmarkEnd w:id="29"/>
      <w:r>
        <w:rPr>
          <w:rStyle w:val="CharSchNo"/>
        </w:rPr>
        <w:t>Schedule 1A</w:t>
      </w:r>
      <w:r>
        <w:rPr>
          <w:rStyle w:val="CharSDivNo"/>
        </w:rPr>
        <w:t> </w:t>
      </w:r>
      <w:r>
        <w:t>—</w:t>
      </w:r>
      <w:r>
        <w:rPr>
          <w:rStyle w:val="CharSDivText"/>
        </w:rPr>
        <w:t> </w:t>
      </w:r>
      <w:r>
        <w:rPr>
          <w:rStyle w:val="CharSchText"/>
        </w:rPr>
        <w:t>Professional development subjects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4" w:name="_Toc189887857"/>
      <w:bookmarkStart w:id="45" w:name="_Toc191098783"/>
      <w:bookmarkStart w:id="46" w:name="_Toc233704936"/>
      <w:bookmarkStart w:id="47" w:name="_Toc265671445"/>
      <w:bookmarkStart w:id="48" w:name="_Toc267993853"/>
      <w:bookmarkStart w:id="49" w:name="_Toc268001321"/>
      <w:bookmarkStart w:id="50" w:name="_Toc269710842"/>
      <w:bookmarkStart w:id="51" w:name="_Toc269711359"/>
      <w:bookmarkStart w:id="52" w:name="_Toc269712519"/>
      <w:bookmarkStart w:id="53" w:name="_Toc269712563"/>
      <w:bookmarkStart w:id="54" w:name="_Toc271722277"/>
      <w:bookmarkStart w:id="55" w:name="_Toc297300480"/>
      <w:bookmarkStart w:id="56" w:name="_Toc328571337"/>
      <w:bookmarkStart w:id="57" w:name="_Toc328571380"/>
      <w:r>
        <w:rPr>
          <w:rStyle w:val="CharSchNo"/>
        </w:rPr>
        <w:t>Schedule 2</w:t>
      </w:r>
      <w:r>
        <w:t> — </w:t>
      </w:r>
      <w:r>
        <w:rPr>
          <w:rStyle w:val="CharSchText"/>
        </w:rPr>
        <w:t>Notice under section 26A or 26B of the Act</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58" w:name="_Toc189887858"/>
      <w:bookmarkStart w:id="59" w:name="_Toc191098784"/>
      <w:bookmarkStart w:id="60" w:name="_Toc233704937"/>
      <w:bookmarkStart w:id="61" w:name="_Toc265671446"/>
      <w:bookmarkStart w:id="62" w:name="_Toc267993854"/>
      <w:bookmarkStart w:id="63" w:name="_Toc268001322"/>
      <w:bookmarkStart w:id="64" w:name="_Toc269710843"/>
      <w:bookmarkStart w:id="65" w:name="_Toc269711360"/>
      <w:bookmarkStart w:id="66" w:name="_Toc269712520"/>
      <w:bookmarkStart w:id="67" w:name="_Toc269712564"/>
      <w:bookmarkStart w:id="68" w:name="_Toc271722278"/>
      <w:bookmarkStart w:id="69" w:name="_Toc297300481"/>
      <w:bookmarkStart w:id="70" w:name="_Toc328571338"/>
      <w:bookmarkStart w:id="71" w:name="_Toc328571381"/>
      <w:r>
        <w:rPr>
          <w:rStyle w:val="CharSchNo"/>
        </w:rPr>
        <w:t>Schedule 3</w:t>
      </w:r>
      <w:r>
        <w:t> — </w:t>
      </w:r>
      <w:r>
        <w:rPr>
          <w:rStyle w:val="CharSchText"/>
        </w:rPr>
        <w:t>Documents that a real estate settlement agent may draw or prepare</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72" w:name="_Toc189887859"/>
      <w:bookmarkStart w:id="73" w:name="_Toc191098785"/>
      <w:bookmarkStart w:id="74" w:name="_Toc233704938"/>
      <w:bookmarkStart w:id="75" w:name="_Toc265671447"/>
      <w:bookmarkStart w:id="76" w:name="_Toc267993855"/>
      <w:bookmarkStart w:id="77" w:name="_Toc268001323"/>
      <w:bookmarkStart w:id="78" w:name="_Toc269710844"/>
      <w:bookmarkStart w:id="79" w:name="_Toc269711361"/>
      <w:bookmarkStart w:id="80" w:name="_Toc269712521"/>
      <w:bookmarkStart w:id="81" w:name="_Toc269712565"/>
      <w:bookmarkStart w:id="82" w:name="_Toc271722279"/>
      <w:bookmarkStart w:id="83" w:name="_Toc297300482"/>
      <w:bookmarkStart w:id="84" w:name="_Toc328571339"/>
      <w:bookmarkStart w:id="85" w:name="_Toc328571382"/>
      <w:r>
        <w:rPr>
          <w:rStyle w:val="CharSDivNo"/>
        </w:rPr>
        <w:t>Part A</w:t>
      </w:r>
      <w:r>
        <w:rPr>
          <w:snapToGrid w:val="0"/>
        </w:rPr>
        <w:t> — </w:t>
      </w:r>
      <w:r>
        <w:rPr>
          <w:rStyle w:val="CharSDivText"/>
        </w:rPr>
        <w:t>Offer and acceptance</w:t>
      </w:r>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86" w:name="_Toc189887860"/>
      <w:bookmarkStart w:id="87" w:name="_Toc191098786"/>
      <w:bookmarkStart w:id="88" w:name="_Toc233704939"/>
      <w:bookmarkStart w:id="89" w:name="_Toc265671448"/>
      <w:bookmarkStart w:id="90" w:name="_Toc267993856"/>
      <w:bookmarkStart w:id="91" w:name="_Toc268001324"/>
      <w:bookmarkStart w:id="92" w:name="_Toc269710845"/>
      <w:bookmarkStart w:id="93" w:name="_Toc269711362"/>
      <w:bookmarkStart w:id="94" w:name="_Toc269712522"/>
      <w:bookmarkStart w:id="95" w:name="_Toc269712566"/>
      <w:bookmarkStart w:id="96" w:name="_Toc271722280"/>
      <w:bookmarkStart w:id="97" w:name="_Toc297300483"/>
      <w:bookmarkStart w:id="98" w:name="_Toc328571340"/>
      <w:bookmarkStart w:id="99" w:name="_Toc328571383"/>
      <w:r>
        <w:rPr>
          <w:rStyle w:val="CharSDivNo"/>
        </w:rPr>
        <w:t>Part B</w:t>
      </w:r>
      <w:r>
        <w:rPr>
          <w:snapToGrid w:val="0"/>
        </w:rPr>
        <w:t> — </w:t>
      </w:r>
      <w:r>
        <w:rPr>
          <w:rStyle w:val="CharSDivText"/>
        </w:rPr>
        <w:t>Requisitions on title</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100" w:name="_Toc189887861"/>
      <w:bookmarkStart w:id="101" w:name="_Toc191098787"/>
      <w:bookmarkStart w:id="102" w:name="_Toc233704940"/>
      <w:bookmarkStart w:id="103" w:name="_Toc265671449"/>
      <w:bookmarkStart w:id="104" w:name="_Toc267993857"/>
      <w:bookmarkStart w:id="105" w:name="_Toc268001325"/>
      <w:bookmarkStart w:id="106" w:name="_Toc269710846"/>
      <w:bookmarkStart w:id="107" w:name="_Toc269711363"/>
      <w:bookmarkStart w:id="108" w:name="_Toc269712523"/>
      <w:bookmarkStart w:id="109" w:name="_Toc269712567"/>
      <w:bookmarkStart w:id="110" w:name="_Toc271722281"/>
      <w:bookmarkStart w:id="111" w:name="_Toc297300484"/>
      <w:bookmarkStart w:id="112" w:name="_Toc328571341"/>
      <w:bookmarkStart w:id="113" w:name="_Toc328571384"/>
      <w:r>
        <w:rPr>
          <w:rStyle w:val="CharSDivNo"/>
        </w:rPr>
        <w:t>Part C</w:t>
      </w:r>
      <w:r>
        <w:rPr>
          <w:snapToGrid w:val="0"/>
        </w:rPr>
        <w:t> — </w:t>
      </w:r>
      <w:r>
        <w:rPr>
          <w:rStyle w:val="CharSDivText"/>
        </w:rPr>
        <w:t>Documents for registration or lodgement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114" w:name="_Toc189887862"/>
      <w:bookmarkStart w:id="115" w:name="_Toc191098788"/>
      <w:bookmarkStart w:id="116" w:name="_Toc233704941"/>
      <w:bookmarkStart w:id="117" w:name="_Toc265671450"/>
      <w:bookmarkStart w:id="118" w:name="_Toc267993858"/>
      <w:bookmarkStart w:id="119" w:name="_Toc268001326"/>
      <w:bookmarkStart w:id="120" w:name="_Toc269710847"/>
      <w:bookmarkStart w:id="121" w:name="_Toc269711364"/>
      <w:bookmarkStart w:id="122" w:name="_Toc269712524"/>
      <w:bookmarkStart w:id="123" w:name="_Toc269712568"/>
      <w:bookmarkStart w:id="124" w:name="_Toc271722282"/>
      <w:bookmarkStart w:id="125" w:name="_Toc297300485"/>
      <w:bookmarkStart w:id="126" w:name="_Toc328571342"/>
      <w:bookmarkStart w:id="127" w:name="_Toc32857138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128" w:name="_Toc233704942"/>
      <w:bookmarkStart w:id="129" w:name="_Toc265671451"/>
      <w:bookmarkStart w:id="130" w:name="_Toc267993859"/>
      <w:bookmarkStart w:id="131" w:name="_Toc268001327"/>
      <w:bookmarkStart w:id="132" w:name="_Toc269710848"/>
      <w:bookmarkStart w:id="133" w:name="_Toc269711365"/>
      <w:bookmarkStart w:id="134" w:name="_Toc269712525"/>
      <w:bookmarkStart w:id="135" w:name="_Toc269712569"/>
      <w:bookmarkStart w:id="136" w:name="_Toc271722283"/>
      <w:bookmarkStart w:id="137" w:name="_Toc297300486"/>
      <w:bookmarkStart w:id="138" w:name="_Toc328571343"/>
      <w:bookmarkStart w:id="139" w:name="_Toc328571386"/>
      <w:bookmarkStart w:id="140" w:name="_Toc189887864"/>
      <w:bookmarkStart w:id="141" w:name="_Toc191098790"/>
      <w:r>
        <w:rPr>
          <w:rStyle w:val="CharSchNo"/>
        </w:rPr>
        <w:t>Schedule 5</w:t>
      </w:r>
      <w:r>
        <w:t> — </w:t>
      </w:r>
      <w:r>
        <w:rPr>
          <w:rStyle w:val="CharSchText"/>
        </w:rPr>
        <w:t>Prescribed offences and modified penalties</w:t>
      </w:r>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15]</w:t>
      </w:r>
    </w:p>
    <w:p>
      <w:pPr>
        <w:pStyle w:val="yFootnoteheading"/>
      </w:pPr>
      <w:r>
        <w:tab/>
        <w:t>[Heading inserted in Gazette 23 Dec 2008 p. 5470.]</w:t>
      </w:r>
    </w:p>
    <w:p>
      <w:pPr>
        <w:pStyle w:val="yHeading3"/>
      </w:pPr>
      <w:bookmarkStart w:id="142" w:name="_Toc233704943"/>
      <w:bookmarkStart w:id="143" w:name="_Toc265671452"/>
      <w:bookmarkStart w:id="144" w:name="_Toc267993860"/>
      <w:bookmarkStart w:id="145" w:name="_Toc268001328"/>
      <w:bookmarkStart w:id="146" w:name="_Toc269710849"/>
      <w:bookmarkStart w:id="147" w:name="_Toc269711366"/>
      <w:bookmarkStart w:id="148" w:name="_Toc269712526"/>
      <w:bookmarkStart w:id="149" w:name="_Toc269712570"/>
      <w:bookmarkStart w:id="150" w:name="_Toc271722284"/>
      <w:bookmarkStart w:id="151" w:name="_Toc297300487"/>
      <w:bookmarkStart w:id="152" w:name="_Toc328571344"/>
      <w:bookmarkStart w:id="153" w:name="_Toc328571387"/>
      <w:r>
        <w:rPr>
          <w:rStyle w:val="CharSDivNo"/>
        </w:rPr>
        <w:t>Part 1</w:t>
      </w:r>
      <w:r>
        <w:rPr>
          <w:b w:val="0"/>
        </w:rPr>
        <w:t> — </w:t>
      </w:r>
      <w:r>
        <w:rPr>
          <w:rStyle w:val="CharSDivText"/>
        </w:rPr>
        <w:t>Offences under section 65</w:t>
      </w:r>
      <w:bookmarkEnd w:id="142"/>
      <w:bookmarkEnd w:id="143"/>
      <w:bookmarkEnd w:id="144"/>
      <w:bookmarkEnd w:id="145"/>
      <w:bookmarkEnd w:id="146"/>
      <w:bookmarkEnd w:id="147"/>
      <w:bookmarkEnd w:id="148"/>
      <w:bookmarkEnd w:id="149"/>
      <w:bookmarkEnd w:id="150"/>
      <w:bookmarkEnd w:id="151"/>
      <w:bookmarkEnd w:id="152"/>
      <w:bookmarkEnd w:id="15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54" w:name="_Toc233704944"/>
      <w:bookmarkStart w:id="155" w:name="_Toc265671453"/>
      <w:bookmarkStart w:id="156" w:name="_Toc267993861"/>
      <w:bookmarkStart w:id="157" w:name="_Toc268001329"/>
      <w:bookmarkStart w:id="158" w:name="_Toc269710850"/>
      <w:bookmarkStart w:id="159" w:name="_Toc269711367"/>
      <w:bookmarkStart w:id="160" w:name="_Toc269712527"/>
      <w:bookmarkStart w:id="161" w:name="_Toc269712571"/>
      <w:bookmarkStart w:id="162" w:name="_Toc271722285"/>
      <w:bookmarkStart w:id="163" w:name="_Toc297300488"/>
      <w:bookmarkStart w:id="164" w:name="_Toc328571345"/>
      <w:bookmarkStart w:id="165" w:name="_Toc328571388"/>
      <w:r>
        <w:rPr>
          <w:rStyle w:val="CharSDivNo"/>
        </w:rPr>
        <w:t>Part 2</w:t>
      </w:r>
      <w:r>
        <w:rPr>
          <w:b w:val="0"/>
        </w:rPr>
        <w:t> — </w:t>
      </w:r>
      <w:r>
        <w:rPr>
          <w:rStyle w:val="CharSDivText"/>
        </w:rPr>
        <w:t>Offences under section 120</w:t>
      </w:r>
      <w:bookmarkEnd w:id="154"/>
      <w:bookmarkEnd w:id="155"/>
      <w:bookmarkEnd w:id="156"/>
      <w:bookmarkEnd w:id="157"/>
      <w:bookmarkEnd w:id="158"/>
      <w:bookmarkEnd w:id="159"/>
      <w:bookmarkEnd w:id="160"/>
      <w:bookmarkEnd w:id="161"/>
      <w:bookmarkEnd w:id="162"/>
      <w:bookmarkEnd w:id="163"/>
      <w:bookmarkEnd w:id="164"/>
      <w:bookmarkEnd w:id="165"/>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66" w:name="_Toc233704945"/>
      <w:bookmarkStart w:id="167" w:name="_Toc265671454"/>
      <w:bookmarkStart w:id="168" w:name="_Toc267993862"/>
      <w:bookmarkStart w:id="169" w:name="_Toc268001330"/>
      <w:bookmarkStart w:id="170" w:name="_Toc269710851"/>
      <w:bookmarkStart w:id="171" w:name="_Toc269711368"/>
      <w:bookmarkStart w:id="172" w:name="_Toc269712528"/>
      <w:bookmarkStart w:id="173" w:name="_Toc269712572"/>
      <w:bookmarkStart w:id="174" w:name="_Toc271722286"/>
      <w:bookmarkStart w:id="175" w:name="_Toc297300489"/>
      <w:bookmarkStart w:id="176" w:name="_Toc328571346"/>
      <w:bookmarkStart w:id="177" w:name="_Toc328571389"/>
      <w:r>
        <w:rPr>
          <w:rStyle w:val="CharSchNo"/>
        </w:rPr>
        <w:t>Schedule 6</w:t>
      </w:r>
      <w:r>
        <w:rPr>
          <w:rStyle w:val="CharSDivNo"/>
          <w:sz w:val="28"/>
        </w:rPr>
        <w:t> </w:t>
      </w:r>
      <w:r>
        <w:t>—</w:t>
      </w:r>
      <w:r>
        <w:rPr>
          <w:rStyle w:val="CharSDivText"/>
          <w:sz w:val="28"/>
        </w:rPr>
        <w:t> </w:t>
      </w:r>
      <w:r>
        <w:rPr>
          <w:rStyle w:val="CharSchText"/>
        </w:rPr>
        <w:t>Forms</w:t>
      </w:r>
      <w:bookmarkEnd w:id="140"/>
      <w:bookmarkEnd w:id="141"/>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178" w:name="_Toc328571390"/>
      <w:r>
        <w:t>Form 1 — Infringement notice</w:t>
      </w:r>
      <w:bookmarkEnd w:id="1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w:t>
      </w:r>
    </w:p>
    <w:p>
      <w:pPr>
        <w:pStyle w:val="yHeading5"/>
        <w:pageBreakBefore/>
        <w:spacing w:after="40"/>
        <w:outlineLvl w:val="9"/>
      </w:pPr>
      <w:bookmarkStart w:id="179" w:name="_Toc328571391"/>
      <w:r>
        <w:t>Form 2 — Withdrawal of infringement notice</w:t>
      </w:r>
      <w:bookmarkEnd w:id="1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80" w:name="_Toc189887867"/>
      <w:bookmarkStart w:id="181" w:name="_Toc191098793"/>
      <w:bookmarkStart w:id="182" w:name="_Toc233704948"/>
      <w:bookmarkStart w:id="183" w:name="_Toc265671457"/>
      <w:bookmarkStart w:id="184" w:name="_Toc267993865"/>
    </w:p>
    <w:p>
      <w:pPr>
        <w:pStyle w:val="nHeading2"/>
      </w:pPr>
      <w:bookmarkStart w:id="185" w:name="_Toc268001333"/>
      <w:bookmarkStart w:id="186" w:name="_Toc269710854"/>
      <w:bookmarkStart w:id="187" w:name="_Toc269711371"/>
      <w:bookmarkStart w:id="188" w:name="_Toc269712531"/>
      <w:bookmarkStart w:id="189" w:name="_Toc269712575"/>
      <w:bookmarkStart w:id="190" w:name="_Toc271722289"/>
      <w:bookmarkStart w:id="191" w:name="_Toc297300492"/>
      <w:bookmarkStart w:id="192" w:name="_Toc328571349"/>
      <w:bookmarkStart w:id="193" w:name="_Toc328571392"/>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reprint is a compilation as at 20 August 2010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328571393"/>
      <w: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30 Mar 1984 p. 910</w:t>
            </w:r>
            <w:r>
              <w:rPr>
                <w:sz w:val="19"/>
                <w:lang w:val="fr-FR"/>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lang w:val="fr-FR"/>
              </w:rPr>
            </w:pPr>
            <w:r>
              <w:rPr>
                <w:sz w:val="19"/>
                <w:lang w:val="fr-FR"/>
              </w:rPr>
              <w:t>25 Nov 1988 p. 4761</w:t>
            </w:r>
            <w:r>
              <w:rPr>
                <w:sz w:val="19"/>
                <w:lang w:val="fr-FR"/>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 </w:t>
            </w:r>
            <w:r>
              <w:rPr>
                <w:iCs/>
                <w:sz w:val="19"/>
                <w:vertAlign w:val="superscript"/>
              </w:rPr>
              <w:t>4</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8" w:type="dxa"/>
            <w:tcBorders>
              <w:bottom w:val="single" w:sz="4" w:space="0" w:color="auto"/>
            </w:tcBorders>
          </w:tcPr>
          <w:p>
            <w:pPr>
              <w:pStyle w:val="nTable"/>
              <w:spacing w:after="40"/>
              <w:rPr>
                <w:i/>
                <w:sz w:val="19"/>
              </w:rPr>
            </w:pPr>
            <w:r>
              <w:rPr>
                <w:i/>
                <w:sz w:val="19"/>
              </w:rPr>
              <w:t>Settlement Agents Amendment Regulations (No. 2) 2012</w:t>
            </w:r>
          </w:p>
        </w:tc>
        <w:tc>
          <w:tcPr>
            <w:tcW w:w="1276" w:type="dxa"/>
            <w:tcBorders>
              <w:bottom w:val="single" w:sz="4" w:space="0" w:color="auto"/>
            </w:tcBorders>
          </w:tcPr>
          <w:p>
            <w:pPr>
              <w:pStyle w:val="nTable"/>
              <w:spacing w:after="40"/>
              <w:rPr>
                <w:sz w:val="19"/>
              </w:rPr>
            </w:pPr>
            <w:r>
              <w:rPr>
                <w:sz w:val="19"/>
              </w:rPr>
              <w:t>15 Jun 2012 p. 2601-2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Jun 2012 (see r. 2(a));</w:t>
            </w:r>
            <w:r>
              <w:rPr>
                <w:snapToGrid w:val="0"/>
                <w:spacing w:val="-2"/>
                <w:sz w:val="19"/>
                <w:lang w:val="en-US"/>
              </w:rPr>
              <w:br/>
              <w:t>Regulations other than r. 1 and 2: 1 Jul 2012 (see r. 2(b))</w:t>
            </w:r>
          </w:p>
        </w:tc>
      </w:tr>
    </w:tbl>
    <w:p>
      <w:pPr>
        <w:pStyle w:val="nSubsection"/>
        <w:spacing w:before="120"/>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95" w:name="_Toc189887869"/>
      <w:bookmarkStart w:id="196" w:name="_Toc191098795"/>
      <w:bookmarkStart w:id="197" w:name="_Toc233704950"/>
      <w:bookmarkStart w:id="198" w:name="_Toc265671459"/>
      <w:bookmarkStart w:id="199" w:name="_Toc267993867"/>
      <w:bookmarkStart w:id="200" w:name="_Toc268001335"/>
      <w:bookmarkStart w:id="201" w:name="_Toc269710856"/>
      <w:bookmarkStart w:id="202" w:name="_Toc269711373"/>
      <w:bookmarkStart w:id="203" w:name="_Toc269712533"/>
      <w:bookmarkStart w:id="204" w:name="_Toc269712577"/>
      <w:bookmarkStart w:id="205" w:name="_Toc271722291"/>
      <w:bookmarkStart w:id="206" w:name="_Toc297300494"/>
      <w:bookmarkStart w:id="207" w:name="_Toc328571351"/>
      <w:bookmarkStart w:id="208" w:name="_Toc328571394"/>
      <w:r>
        <w:rPr>
          <w:sz w:val="28"/>
        </w:rPr>
        <w:t>Defined Terms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 w:name="DefinedTerms"/>
      <w:bookmarkEnd w:id="209"/>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50"/>
    <w:docVar w:name="WAFER_20151210114950" w:val="RemoveTrackChanges"/>
    <w:docVar w:name="WAFER_20151210114950_GUID" w:val="fb55a18a-2eeb-4e93-9e70-af2a55618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8057</Words>
  <Characters>39158</Characters>
  <Application>Microsoft Office Word</Application>
  <DocSecurity>0</DocSecurity>
  <Lines>1398</Lines>
  <Paragraphs>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1982 - 05-c0-02</dc:title>
  <dc:subject/>
  <dc:creator/>
  <cp:keywords/>
  <dc:description/>
  <cp:lastModifiedBy>svcMRProcess</cp:lastModifiedBy>
  <cp:revision>4</cp:revision>
  <cp:lastPrinted>2011-07-01T08:15:00Z</cp:lastPrinted>
  <dcterms:created xsi:type="dcterms:W3CDTF">2018-09-16T00:07:00Z</dcterms:created>
  <dcterms:modified xsi:type="dcterms:W3CDTF">2018-09-16T00:07:00Z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20120701</vt:lpwstr>
  </property>
  <property fmtid="{D5CDD505-2E9C-101B-9397-08002B2CF9AE}" pid="6" name="AsAtDate">
    <vt:lpwstr>01 Jul 2012</vt:lpwstr>
  </property>
  <property fmtid="{D5CDD505-2E9C-101B-9397-08002B2CF9AE}" pid="7" name="Suffix">
    <vt:lpwstr>05-c0-02</vt:lpwstr>
  </property>
  <property fmtid="{D5CDD505-2E9C-101B-9397-08002B2CF9AE}" pid="8" name="ReprintNo">
    <vt:lpwstr>5</vt:lpwstr>
  </property>
  <property fmtid="{D5CDD505-2E9C-101B-9397-08002B2CF9AE}" pid="9" name="ReprintedAsAt">
    <vt:filetime>2010-08-19T16:00:00Z</vt:filetime>
  </property>
</Properties>
</file>