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D8" w:rsidRDefault="00AC5BA2">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452D8" w:rsidRDefault="00AC5BA2">
      <w:pPr>
        <w:pStyle w:val="NameofActReg"/>
        <w:spacing w:before="3760" w:after="4200"/>
      </w:pPr>
      <w:r>
        <w:rPr>
          <w:noProof/>
        </w:rPr>
        <w:t>Casual Revenue Appropriation Ordinance 1867</w:t>
      </w:r>
    </w:p>
    <w:p w:rsidR="002452D8" w:rsidRDefault="002452D8">
      <w:pPr>
        <w:jc w:val="center"/>
        <w:rPr>
          <w:b/>
        </w:rPr>
        <w:sectPr w:rsidR="002452D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452D8">
        <w:trPr>
          <w:cantSplit/>
        </w:trPr>
        <w:tc>
          <w:tcPr>
            <w:tcW w:w="2434" w:type="dxa"/>
            <w:vMerge w:val="restart"/>
          </w:tcPr>
          <w:p w:rsidR="002452D8" w:rsidRDefault="002452D8"/>
        </w:tc>
        <w:tc>
          <w:tcPr>
            <w:tcW w:w="2434" w:type="dxa"/>
            <w:vMerge w:val="restart"/>
          </w:tcPr>
          <w:p w:rsidR="002452D8" w:rsidRDefault="002452D8">
            <w:pPr>
              <w:jc w:val="center"/>
            </w:pPr>
          </w:p>
        </w:tc>
        <w:tc>
          <w:tcPr>
            <w:tcW w:w="2434" w:type="dxa"/>
          </w:tcPr>
          <w:p w:rsidR="002452D8" w:rsidRDefault="002452D8">
            <w:pPr>
              <w:rPr>
                <w:sz w:val="22"/>
              </w:rPr>
            </w:pPr>
          </w:p>
        </w:tc>
      </w:tr>
      <w:tr w:rsidR="002452D8">
        <w:trPr>
          <w:cantSplit/>
        </w:trPr>
        <w:tc>
          <w:tcPr>
            <w:tcW w:w="2434" w:type="dxa"/>
            <w:vMerge/>
          </w:tcPr>
          <w:p w:rsidR="002452D8" w:rsidRDefault="002452D8"/>
        </w:tc>
        <w:tc>
          <w:tcPr>
            <w:tcW w:w="2434" w:type="dxa"/>
            <w:vMerge/>
          </w:tcPr>
          <w:p w:rsidR="002452D8" w:rsidRDefault="002452D8">
            <w:pPr>
              <w:jc w:val="center"/>
            </w:pPr>
          </w:p>
        </w:tc>
        <w:tc>
          <w:tcPr>
            <w:tcW w:w="2434" w:type="dxa"/>
          </w:tcPr>
          <w:p w:rsidR="002452D8" w:rsidRDefault="00AC5BA2">
            <w:pPr>
              <w:keepNext/>
              <w:rPr>
                <w:b/>
                <w:sz w:val="22"/>
              </w:rPr>
            </w:pPr>
            <w:r>
              <w:rPr>
                <w:b/>
                <w:sz w:val="22"/>
              </w:rPr>
              <w:t xml:space="preserve">Reprinted under the </w:t>
            </w:r>
            <w:r>
              <w:rPr>
                <w:b/>
                <w:i/>
                <w:sz w:val="22"/>
              </w:rPr>
              <w:t>Reprints Act 1984</w:t>
            </w:r>
            <w:r>
              <w:rPr>
                <w:b/>
                <w:sz w:val="22"/>
              </w:rPr>
              <w:t xml:space="preserve"> as at 12 December 2003</w:t>
            </w:r>
          </w:p>
        </w:tc>
      </w:tr>
    </w:tbl>
    <w:p w:rsidR="002452D8" w:rsidRDefault="00AC5BA2">
      <w:pPr>
        <w:pStyle w:val="WA"/>
        <w:spacing w:before="120"/>
      </w:pPr>
      <w:r>
        <w:t>Western Australia</w:t>
      </w:r>
    </w:p>
    <w:p w:rsidR="002452D8" w:rsidRDefault="00AC5BA2">
      <w:pPr>
        <w:pStyle w:val="NameofActRegPage1"/>
      </w:pPr>
      <w:r>
        <w:fldChar w:fldCharType="begin"/>
      </w:r>
      <w:r>
        <w:instrText xml:space="preserve"> STYLEREF "Name Of Act/Reg"</w:instrText>
      </w:r>
      <w:r>
        <w:fldChar w:fldCharType="separate"/>
      </w:r>
      <w:r w:rsidR="0008015F">
        <w:rPr>
          <w:noProof/>
        </w:rPr>
        <w:t>Casual Revenue Appropriation Ordinance 1867</w:t>
      </w:r>
      <w:r>
        <w:fldChar w:fldCharType="end"/>
      </w:r>
    </w:p>
    <w:p w:rsidR="002452D8" w:rsidRDefault="00AC5BA2">
      <w:pPr>
        <w:pStyle w:val="Arrangement"/>
      </w:pPr>
      <w:r>
        <w:t>CONTENTS</w:t>
      </w:r>
    </w:p>
    <w:p w:rsidR="002452D8" w:rsidRDefault="00AC5BA2">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Casual revenue to be disposed of by Legislature</w:t>
      </w:r>
      <w:r>
        <w:rPr>
          <w:noProof/>
        </w:rPr>
        <w:tab/>
      </w:r>
      <w:r>
        <w:rPr>
          <w:noProof/>
        </w:rPr>
        <w:fldChar w:fldCharType="begin"/>
      </w:r>
      <w:r>
        <w:rPr>
          <w:noProof/>
        </w:rPr>
        <w:instrText xml:space="preserve"> PAGEREF _Toc61931027 \h </w:instrText>
      </w:r>
      <w:r>
        <w:rPr>
          <w:noProof/>
        </w:rPr>
      </w:r>
      <w:r>
        <w:rPr>
          <w:noProof/>
        </w:rPr>
        <w:fldChar w:fldCharType="separate"/>
      </w:r>
      <w:r w:rsidR="0008015F">
        <w:rPr>
          <w:noProof/>
        </w:rPr>
        <w:t>1</w:t>
      </w:r>
      <w:r>
        <w:rPr>
          <w:noProof/>
        </w:rPr>
        <w:fldChar w:fldCharType="end"/>
      </w:r>
    </w:p>
    <w:p w:rsidR="002452D8" w:rsidRDefault="00AC5BA2">
      <w:pPr>
        <w:pStyle w:val="TOC4"/>
        <w:rPr>
          <w:noProof/>
        </w:rPr>
      </w:pPr>
      <w:r>
        <w:rPr>
          <w:noProof/>
        </w:rPr>
        <w:t>2</w:t>
      </w:r>
      <w:r>
        <w:rPr>
          <w:noProof/>
          <w:snapToGrid w:val="0"/>
        </w:rPr>
        <w:t>.</w:t>
      </w:r>
      <w:r>
        <w:rPr>
          <w:noProof/>
        </w:rPr>
        <w:tab/>
      </w:r>
      <w:r>
        <w:rPr>
          <w:noProof/>
          <w:snapToGrid w:val="0"/>
        </w:rPr>
        <w:t>Proved claims to appropriated moneys may be repaid</w:t>
      </w:r>
      <w:r>
        <w:rPr>
          <w:noProof/>
        </w:rPr>
        <w:tab/>
      </w:r>
      <w:r>
        <w:rPr>
          <w:noProof/>
        </w:rPr>
        <w:fldChar w:fldCharType="begin"/>
      </w:r>
      <w:r>
        <w:rPr>
          <w:noProof/>
        </w:rPr>
        <w:instrText xml:space="preserve"> PAGEREF _Toc61931028 \h </w:instrText>
      </w:r>
      <w:r>
        <w:rPr>
          <w:noProof/>
        </w:rPr>
      </w:r>
      <w:r>
        <w:rPr>
          <w:noProof/>
        </w:rPr>
        <w:fldChar w:fldCharType="separate"/>
      </w:r>
      <w:r w:rsidR="0008015F">
        <w:rPr>
          <w:noProof/>
        </w:rPr>
        <w:t>2</w:t>
      </w:r>
      <w:r>
        <w:rPr>
          <w:noProof/>
        </w:rPr>
        <w:fldChar w:fldCharType="end"/>
      </w:r>
    </w:p>
    <w:p w:rsidR="002452D8" w:rsidRDefault="00AC5BA2">
      <w:pPr>
        <w:pStyle w:val="TOC4"/>
        <w:rPr>
          <w:noProof/>
        </w:rPr>
      </w:pPr>
      <w:r>
        <w:rPr>
          <w:noProof/>
        </w:rPr>
        <w:t>3</w:t>
      </w:r>
      <w:r>
        <w:rPr>
          <w:noProof/>
          <w:snapToGrid w:val="0"/>
        </w:rPr>
        <w:t>.</w:t>
      </w:r>
      <w:r>
        <w:rPr>
          <w:noProof/>
        </w:rPr>
        <w:tab/>
      </w:r>
      <w:r>
        <w:rPr>
          <w:noProof/>
          <w:snapToGrid w:val="0"/>
        </w:rPr>
        <w:t>Claimants may petition Supreme Court for relief</w:t>
      </w:r>
      <w:r>
        <w:rPr>
          <w:noProof/>
        </w:rPr>
        <w:tab/>
      </w:r>
      <w:r>
        <w:rPr>
          <w:noProof/>
        </w:rPr>
        <w:fldChar w:fldCharType="begin"/>
      </w:r>
      <w:r>
        <w:rPr>
          <w:noProof/>
        </w:rPr>
        <w:instrText xml:space="preserve"> PAGEREF _Toc61931029 \h </w:instrText>
      </w:r>
      <w:r>
        <w:rPr>
          <w:noProof/>
        </w:rPr>
      </w:r>
      <w:r>
        <w:rPr>
          <w:noProof/>
        </w:rPr>
        <w:fldChar w:fldCharType="separate"/>
      </w:r>
      <w:r w:rsidR="0008015F">
        <w:rPr>
          <w:noProof/>
        </w:rPr>
        <w:t>2</w:t>
      </w:r>
      <w:r>
        <w:rPr>
          <w:noProof/>
        </w:rPr>
        <w:fldChar w:fldCharType="end"/>
      </w:r>
    </w:p>
    <w:p w:rsidR="002452D8" w:rsidRDefault="00AC5BA2">
      <w:pPr>
        <w:pStyle w:val="TOC4"/>
        <w:rPr>
          <w:noProof/>
        </w:rPr>
      </w:pPr>
      <w:r>
        <w:rPr>
          <w:noProof/>
        </w:rPr>
        <w:t>4</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_Toc61931030 \h </w:instrText>
      </w:r>
      <w:r>
        <w:rPr>
          <w:noProof/>
        </w:rPr>
      </w:r>
      <w:r>
        <w:rPr>
          <w:noProof/>
        </w:rPr>
        <w:fldChar w:fldCharType="separate"/>
      </w:r>
      <w:r w:rsidR="0008015F">
        <w:rPr>
          <w:noProof/>
        </w:rPr>
        <w:t>2</w:t>
      </w:r>
      <w:r>
        <w:rPr>
          <w:noProof/>
        </w:rPr>
        <w:fldChar w:fldCharType="end"/>
      </w:r>
    </w:p>
    <w:p w:rsidR="002452D8" w:rsidRDefault="00AC5BA2">
      <w:pPr>
        <w:pStyle w:val="TOC2"/>
        <w:tabs>
          <w:tab w:val="right" w:leader="dot" w:pos="7086"/>
        </w:tabs>
        <w:rPr>
          <w:noProof/>
        </w:rPr>
      </w:pPr>
      <w:r>
        <w:rPr>
          <w:noProof/>
        </w:rPr>
        <w:t>Notes</w:t>
      </w:r>
    </w:p>
    <w:p w:rsidR="002452D8" w:rsidRDefault="00AC5BA2">
      <w:pPr>
        <w:pStyle w:val="TOC4"/>
        <w:rPr>
          <w:noProof/>
        </w:rPr>
      </w:pPr>
      <w:r>
        <w:rPr>
          <w:noProof/>
          <w:snapToGrid w:val="0"/>
        </w:rPr>
        <w:t>Compilation table</w:t>
      </w:r>
      <w:r>
        <w:rPr>
          <w:noProof/>
        </w:rPr>
        <w:tab/>
      </w:r>
      <w:r>
        <w:rPr>
          <w:noProof/>
        </w:rPr>
        <w:fldChar w:fldCharType="begin"/>
      </w:r>
      <w:r>
        <w:rPr>
          <w:noProof/>
        </w:rPr>
        <w:instrText xml:space="preserve"> PAGEREF _Toc61931031 \h </w:instrText>
      </w:r>
      <w:r>
        <w:rPr>
          <w:noProof/>
        </w:rPr>
      </w:r>
      <w:r>
        <w:rPr>
          <w:noProof/>
        </w:rPr>
        <w:fldChar w:fldCharType="separate"/>
      </w:r>
      <w:r w:rsidR="0008015F">
        <w:rPr>
          <w:noProof/>
        </w:rPr>
        <w:t>3</w:t>
      </w:r>
      <w:r>
        <w:rPr>
          <w:noProof/>
        </w:rPr>
        <w:fldChar w:fldCharType="end"/>
      </w:r>
    </w:p>
    <w:p w:rsidR="002452D8" w:rsidRDefault="00AC5BA2">
      <w:pPr>
        <w:pStyle w:val="TOC2"/>
      </w:pPr>
      <w:r>
        <w:fldChar w:fldCharType="end"/>
      </w:r>
    </w:p>
    <w:p w:rsidR="002452D8" w:rsidRDefault="00AC5BA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452D8" w:rsidRDefault="002452D8">
      <w:pPr>
        <w:pStyle w:val="NoteHeading"/>
        <w:sectPr w:rsidR="002452D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452D8">
        <w:trPr>
          <w:cantSplit/>
        </w:trPr>
        <w:tc>
          <w:tcPr>
            <w:tcW w:w="2434" w:type="dxa"/>
            <w:vMerge w:val="restart"/>
          </w:tcPr>
          <w:p w:rsidR="002452D8" w:rsidRDefault="002452D8"/>
        </w:tc>
        <w:tc>
          <w:tcPr>
            <w:tcW w:w="2434" w:type="dxa"/>
            <w:vMerge w:val="restart"/>
          </w:tcPr>
          <w:p w:rsidR="002452D8" w:rsidRDefault="00AC5BA2">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2452D8" w:rsidRDefault="002452D8">
            <w:pPr>
              <w:rPr>
                <w:sz w:val="22"/>
              </w:rPr>
            </w:pPr>
          </w:p>
        </w:tc>
      </w:tr>
      <w:tr w:rsidR="002452D8">
        <w:trPr>
          <w:cantSplit/>
        </w:trPr>
        <w:tc>
          <w:tcPr>
            <w:tcW w:w="2434" w:type="dxa"/>
            <w:vMerge/>
          </w:tcPr>
          <w:p w:rsidR="002452D8" w:rsidRDefault="002452D8"/>
        </w:tc>
        <w:tc>
          <w:tcPr>
            <w:tcW w:w="2434" w:type="dxa"/>
            <w:vMerge/>
          </w:tcPr>
          <w:p w:rsidR="002452D8" w:rsidRDefault="002452D8">
            <w:pPr>
              <w:jc w:val="center"/>
            </w:pPr>
          </w:p>
        </w:tc>
        <w:tc>
          <w:tcPr>
            <w:tcW w:w="2434" w:type="dxa"/>
          </w:tcPr>
          <w:p w:rsidR="002452D8" w:rsidRDefault="00AC5BA2">
            <w:pPr>
              <w:keepNext/>
              <w:rPr>
                <w:b/>
                <w:sz w:val="22"/>
              </w:rPr>
            </w:pPr>
            <w:r>
              <w:rPr>
                <w:b/>
                <w:sz w:val="22"/>
              </w:rPr>
              <w:t xml:space="preserve">Reprinted under the </w:t>
            </w:r>
            <w:r>
              <w:rPr>
                <w:b/>
                <w:i/>
                <w:sz w:val="22"/>
              </w:rPr>
              <w:t>Reprints Act 1984</w:t>
            </w:r>
            <w:r>
              <w:rPr>
                <w:b/>
                <w:sz w:val="22"/>
              </w:rPr>
              <w:t xml:space="preserve"> as at 12</w:t>
            </w:r>
            <w:r>
              <w:rPr>
                <w:b/>
                <w:snapToGrid w:val="0"/>
                <w:sz w:val="22"/>
              </w:rPr>
              <w:t xml:space="preserve"> December 2003</w:t>
            </w:r>
          </w:p>
        </w:tc>
      </w:tr>
    </w:tbl>
    <w:p w:rsidR="002452D8" w:rsidRDefault="00AC5BA2">
      <w:pPr>
        <w:pStyle w:val="WA"/>
        <w:spacing w:before="120"/>
      </w:pPr>
      <w:r>
        <w:t>Western Australia</w:t>
      </w:r>
    </w:p>
    <w:p w:rsidR="002452D8" w:rsidRDefault="00AC5BA2">
      <w:pPr>
        <w:pStyle w:val="NameofActReg"/>
      </w:pPr>
      <w:r>
        <w:t>Casual Revenue Appropriation Ordinance 1867</w:t>
      </w:r>
    </w:p>
    <w:p w:rsidR="002452D8" w:rsidRDefault="00AC5BA2">
      <w:pPr>
        <w:pStyle w:val="LongTitle"/>
        <w:rPr>
          <w:snapToGrid w:val="0"/>
        </w:rPr>
      </w:pPr>
      <w:r>
        <w:rPr>
          <w:snapToGrid w:val="0"/>
        </w:rPr>
        <w:t>An Ordinance to provide for the appropriation of the casual revenue of the Crown arising from escheated estates.</w:t>
      </w:r>
    </w:p>
    <w:p w:rsidR="002452D8" w:rsidRDefault="00AC5BA2">
      <w:pPr>
        <w:pStyle w:val="Preamble"/>
        <w:spacing w:before="480"/>
        <w:ind w:left="879" w:firstLine="0"/>
        <w:rPr>
          <w:b/>
          <w:snapToGrid w:val="0"/>
        </w:rPr>
      </w:pPr>
      <w:r>
        <w:rPr>
          <w:b/>
          <w:snapToGrid w:val="0"/>
        </w:rPr>
        <w:t>Preamble</w:t>
      </w:r>
    </w:p>
    <w:p w:rsidR="002452D8" w:rsidRDefault="00AC5BA2">
      <w:pPr>
        <w:pStyle w:val="Preamble"/>
        <w:ind w:left="879" w:firstLine="0"/>
        <w:rPr>
          <w:snapToGrid w:val="0"/>
        </w:rPr>
      </w:pPr>
      <w:r>
        <w:rPr>
          <w:snapToGrid w:val="0"/>
        </w:rPr>
        <w:t>Whereas by a Statute passed by the Imperial Parliament in the session holden in the 15th and 16th years of Her Majesty’s reign </w:t>
      </w:r>
      <w:r>
        <w:rPr>
          <w:snapToGrid w:val="0"/>
          <w:vertAlign w:val="superscript"/>
        </w:rPr>
        <w:t>2</w:t>
      </w:r>
      <w:r>
        <w:rPr>
          <w:snapToGrid w:val="0"/>
        </w:rPr>
        <w:t>, provision is made for the appropriation by or with the assent of the Crown of any casual revenue arising within the colonies or foreign possessions (other than droits of the Crown and droits of the Admiralty) for or towards any public purposes within the colonies or possessions in which the same respectively may have arisen, and it is expedient to provide for the appropriation of such casual revenue, including the revenue to arise from sale of the estates and effects of persons who have died intestate and without heirs or next of kin: Be it therefore enacted by His Excellency the Governor of Western Australia and its Dependencies, by and with the advice and consent of the Legislative Council thereof, as follows: — </w:t>
      </w:r>
    </w:p>
    <w:p w:rsidR="002452D8" w:rsidRDefault="00AC5BA2">
      <w:pPr>
        <w:pStyle w:val="Heading5"/>
        <w:spacing w:before="480"/>
        <w:rPr>
          <w:snapToGrid w:val="0"/>
        </w:rPr>
      </w:pPr>
      <w:bookmarkStart w:id="2" w:name="_Toc410615107"/>
      <w:bookmarkStart w:id="3" w:name="_Toc61931027"/>
      <w:r>
        <w:rPr>
          <w:rStyle w:val="CharSectno"/>
        </w:rPr>
        <w:t>1</w:t>
      </w:r>
      <w:r>
        <w:rPr>
          <w:snapToGrid w:val="0"/>
        </w:rPr>
        <w:t>.</w:t>
      </w:r>
      <w:r>
        <w:rPr>
          <w:snapToGrid w:val="0"/>
        </w:rPr>
        <w:tab/>
        <w:t>Casual revenue to be disposed of by Legislature</w:t>
      </w:r>
      <w:bookmarkEnd w:id="2"/>
      <w:bookmarkEnd w:id="3"/>
      <w:r>
        <w:rPr>
          <w:snapToGrid w:val="0"/>
        </w:rPr>
        <w:t xml:space="preserve"> </w:t>
      </w:r>
    </w:p>
    <w:p w:rsidR="002452D8" w:rsidRDefault="00AC5BA2">
      <w:pPr>
        <w:pStyle w:val="Subsection"/>
        <w:rPr>
          <w:snapToGrid w:val="0"/>
        </w:rPr>
      </w:pPr>
      <w:r>
        <w:rPr>
          <w:snapToGrid w:val="0"/>
        </w:rPr>
        <w:tab/>
      </w:r>
      <w:r>
        <w:rPr>
          <w:snapToGrid w:val="0"/>
        </w:rPr>
        <w:tab/>
        <w:t xml:space="preserve">All casual revenue of the Crown (other than droits of the Crown and droits of the Admiralty) which shall hereafter be paid by order of the Crown into the Public Treasury of the said Colony, </w:t>
      </w:r>
      <w:r>
        <w:rPr>
          <w:snapToGrid w:val="0"/>
        </w:rPr>
        <w:lastRenderedPageBreak/>
        <w:t>shall be disposed of from time to time in such manner and for such public purposes as the Legislature of the said Colony shall think proper and direct.</w:t>
      </w:r>
    </w:p>
    <w:p w:rsidR="002452D8" w:rsidRDefault="00AC5BA2">
      <w:pPr>
        <w:pStyle w:val="Heading5"/>
        <w:rPr>
          <w:snapToGrid w:val="0"/>
        </w:rPr>
      </w:pPr>
      <w:bookmarkStart w:id="4" w:name="_Toc410615108"/>
      <w:bookmarkStart w:id="5" w:name="_Toc61931028"/>
      <w:r>
        <w:rPr>
          <w:rStyle w:val="CharSectno"/>
        </w:rPr>
        <w:t>2</w:t>
      </w:r>
      <w:r>
        <w:rPr>
          <w:snapToGrid w:val="0"/>
        </w:rPr>
        <w:t>.</w:t>
      </w:r>
      <w:r>
        <w:rPr>
          <w:snapToGrid w:val="0"/>
        </w:rPr>
        <w:tab/>
      </w:r>
      <w:bookmarkEnd w:id="4"/>
      <w:r>
        <w:rPr>
          <w:snapToGrid w:val="0"/>
        </w:rPr>
        <w:t>Proved claims to appropriated moneys may be repaid</w:t>
      </w:r>
      <w:bookmarkEnd w:id="5"/>
    </w:p>
    <w:p w:rsidR="002452D8" w:rsidRDefault="00AC5BA2">
      <w:pPr>
        <w:pStyle w:val="Subsection"/>
        <w:rPr>
          <w:snapToGrid w:val="0"/>
        </w:rPr>
      </w:pPr>
      <w:r>
        <w:rPr>
          <w:snapToGrid w:val="0"/>
        </w:rPr>
        <w:tab/>
      </w:r>
      <w:r>
        <w:rPr>
          <w:snapToGrid w:val="0"/>
        </w:rPr>
        <w:tab/>
        <w:t>The Governor shall from time to time as occasion shall require repay or make good to any person preferring and duly proving his claim to the same after such appropriation as is hereinbefore provided, all such sums of money so appropriated, and all moneys in the Treasury forming part of or arising from the general revenue of this Colony shall be applicable for so repaying or making good the same.</w:t>
      </w:r>
    </w:p>
    <w:p w:rsidR="002452D8" w:rsidRDefault="00AC5BA2">
      <w:pPr>
        <w:pStyle w:val="Heading5"/>
        <w:rPr>
          <w:snapToGrid w:val="0"/>
        </w:rPr>
      </w:pPr>
      <w:bookmarkStart w:id="6" w:name="_Toc410615109"/>
      <w:bookmarkStart w:id="7" w:name="_Toc61931029"/>
      <w:r>
        <w:rPr>
          <w:rStyle w:val="CharSectno"/>
        </w:rPr>
        <w:t>3</w:t>
      </w:r>
      <w:r>
        <w:rPr>
          <w:snapToGrid w:val="0"/>
        </w:rPr>
        <w:t>.</w:t>
      </w:r>
      <w:r>
        <w:rPr>
          <w:snapToGrid w:val="0"/>
        </w:rPr>
        <w:tab/>
        <w:t>Claimants may petition Supreme Court</w:t>
      </w:r>
      <w:bookmarkEnd w:id="6"/>
      <w:r>
        <w:rPr>
          <w:snapToGrid w:val="0"/>
        </w:rPr>
        <w:t xml:space="preserve"> for relief</w:t>
      </w:r>
      <w:bookmarkEnd w:id="7"/>
    </w:p>
    <w:p w:rsidR="002452D8" w:rsidRDefault="00AC5BA2">
      <w:pPr>
        <w:pStyle w:val="Subsection"/>
        <w:rPr>
          <w:snapToGrid w:val="0"/>
        </w:rPr>
      </w:pPr>
      <w:r>
        <w:rPr>
          <w:snapToGrid w:val="0"/>
        </w:rPr>
        <w:tab/>
      </w:r>
      <w:r>
        <w:rPr>
          <w:snapToGrid w:val="0"/>
        </w:rPr>
        <w:tab/>
        <w:t>If any person preferring a claim to any moneys to be hereafter appropriated pursuant to the provisions of this Ordinance shall fail to prove his claim to the same, it shall nevertheless be lawful for him to present his summary petition to the Supreme Court of the said Colony against the Attorney</w:t>
      </w:r>
      <w:r>
        <w:rPr>
          <w:snapToGrid w:val="0"/>
        </w:rPr>
        <w:noBreakHyphen/>
        <w:t>General of the said Colony as respondent thereto, and if he shall verify his said claim by evidence to the satisfaction of the said Court it shall be the duty of the said Court to make such order in the premises, including any award of costs, as justice shall require, and upon the application of such person or any other claimants or person, or of the said Attorney</w:t>
      </w:r>
      <w:r>
        <w:rPr>
          <w:snapToGrid w:val="0"/>
        </w:rPr>
        <w:noBreakHyphen/>
        <w:t>General, to vary such order from time to time as may be deemed expedient, and to certify the same to the Governor to the intent that the claimant may have relief in the premises according to such order.</w:t>
      </w:r>
    </w:p>
    <w:p w:rsidR="002452D8" w:rsidRDefault="00AC5BA2">
      <w:pPr>
        <w:pStyle w:val="Heading5"/>
        <w:rPr>
          <w:snapToGrid w:val="0"/>
        </w:rPr>
      </w:pPr>
      <w:bookmarkStart w:id="8" w:name="_Toc410615110"/>
      <w:bookmarkStart w:id="9" w:name="_Toc61931030"/>
      <w:r>
        <w:rPr>
          <w:rStyle w:val="CharSectno"/>
        </w:rPr>
        <w:t>4</w:t>
      </w:r>
      <w:r>
        <w:rPr>
          <w:snapToGrid w:val="0"/>
        </w:rPr>
        <w:t>.</w:t>
      </w:r>
      <w:r>
        <w:rPr>
          <w:snapToGrid w:val="0"/>
        </w:rPr>
        <w:tab/>
        <w:t>Short title</w:t>
      </w:r>
      <w:bookmarkEnd w:id="8"/>
      <w:bookmarkEnd w:id="9"/>
      <w:r>
        <w:rPr>
          <w:snapToGrid w:val="0"/>
        </w:rPr>
        <w:t xml:space="preserve"> </w:t>
      </w:r>
    </w:p>
    <w:p w:rsidR="002452D8" w:rsidRDefault="00AC5BA2">
      <w:pPr>
        <w:pStyle w:val="Subsection"/>
        <w:keepNext/>
        <w:ind w:left="890" w:hanging="890"/>
        <w:rPr>
          <w:snapToGrid w:val="0"/>
        </w:rPr>
      </w:pPr>
      <w:r>
        <w:rPr>
          <w:snapToGrid w:val="0"/>
        </w:rPr>
        <w:tab/>
      </w:r>
      <w:r>
        <w:rPr>
          <w:snapToGrid w:val="0"/>
        </w:rPr>
        <w:tab/>
        <w:t xml:space="preserve">This Ordinance may be cited as the </w:t>
      </w:r>
      <w:r>
        <w:rPr>
          <w:i/>
          <w:snapToGrid w:val="0"/>
        </w:rPr>
        <w:t>Casual Revenue Appropriation Ordinance 1867</w:t>
      </w:r>
      <w:r>
        <w:rPr>
          <w:snapToGrid w:val="0"/>
          <w:vertAlign w:val="superscript"/>
        </w:rPr>
        <w:t> 1, 3</w:t>
      </w:r>
      <w:r>
        <w:rPr>
          <w:snapToGrid w:val="0"/>
        </w:rPr>
        <w:t>.</w:t>
      </w:r>
    </w:p>
    <w:p w:rsidR="002452D8" w:rsidRDefault="00AC5BA2">
      <w:pPr>
        <w:pStyle w:val="Footnotesection"/>
      </w:pPr>
      <w:r>
        <w:tab/>
        <w:t xml:space="preserve">[Section 4 inserted by No. 81 of 1966 s. 2.] </w:t>
      </w:r>
    </w:p>
    <w:p w:rsidR="002452D8" w:rsidRDefault="002452D8">
      <w:pPr>
        <w:rPr>
          <w:rStyle w:val="CharDivText"/>
        </w:rPr>
        <w:sectPr w:rsidR="002452D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2452D8" w:rsidRDefault="00AC5BA2">
      <w:pPr>
        <w:pStyle w:val="nHeading2"/>
      </w:pPr>
      <w:r>
        <w:lastRenderedPageBreak/>
        <w:t>Notes</w:t>
      </w:r>
    </w:p>
    <w:p w:rsidR="002452D8" w:rsidRDefault="00AC5BA2">
      <w:pPr>
        <w:pStyle w:val="nSubsection"/>
        <w:rPr>
          <w:snapToGrid w:val="0"/>
        </w:rPr>
      </w:pPr>
      <w:r>
        <w:rPr>
          <w:snapToGrid w:val="0"/>
          <w:vertAlign w:val="superscript"/>
        </w:rPr>
        <w:t>1</w:t>
      </w:r>
      <w:r>
        <w:rPr>
          <w:snapToGrid w:val="0"/>
        </w:rPr>
        <w:tab/>
        <w:t xml:space="preserve">This reprint is a compilation as at 12 December 2003 of the </w:t>
      </w:r>
      <w:r>
        <w:rPr>
          <w:i/>
          <w:noProof/>
          <w:snapToGrid w:val="0"/>
        </w:rPr>
        <w:t>Casual Revenue Appropriation Ordinance 1867</w:t>
      </w:r>
      <w:r>
        <w:rPr>
          <w:snapToGrid w:val="0"/>
        </w:rPr>
        <w:t xml:space="preserve"> and includes the amendments made by the other written laws referred to in the following table.  The table also contains information about any reprint.</w:t>
      </w:r>
    </w:p>
    <w:p w:rsidR="002452D8" w:rsidRDefault="00AC5BA2">
      <w:pPr>
        <w:pStyle w:val="nHeading3"/>
        <w:rPr>
          <w:snapToGrid w:val="0"/>
        </w:rPr>
      </w:pPr>
      <w:bookmarkStart w:id="10" w:name="_Toc61931031"/>
      <w:r>
        <w:rPr>
          <w:snapToGrid w:val="0"/>
        </w:rPr>
        <w:t>Compilation table</w:t>
      </w:r>
      <w:bookmarkEnd w:id="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452D8">
        <w:trPr>
          <w:tblHeader/>
        </w:trPr>
        <w:tc>
          <w:tcPr>
            <w:tcW w:w="2268" w:type="dxa"/>
            <w:tcBorders>
              <w:top w:val="single" w:sz="8" w:space="0" w:color="auto"/>
              <w:bottom w:val="single" w:sz="8" w:space="0" w:color="auto"/>
            </w:tcBorders>
          </w:tcPr>
          <w:p w:rsidR="002452D8" w:rsidRDefault="00AC5BA2">
            <w:pPr>
              <w:pStyle w:val="nTable"/>
              <w:spacing w:after="40"/>
              <w:rPr>
                <w:b/>
                <w:sz w:val="19"/>
              </w:rPr>
            </w:pPr>
            <w:r>
              <w:rPr>
                <w:b/>
                <w:sz w:val="19"/>
              </w:rPr>
              <w:t>Short title</w:t>
            </w:r>
          </w:p>
        </w:tc>
        <w:tc>
          <w:tcPr>
            <w:tcW w:w="1134" w:type="dxa"/>
            <w:tcBorders>
              <w:top w:val="single" w:sz="8" w:space="0" w:color="auto"/>
              <w:bottom w:val="single" w:sz="8" w:space="0" w:color="auto"/>
            </w:tcBorders>
          </w:tcPr>
          <w:p w:rsidR="002452D8" w:rsidRDefault="00AC5BA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452D8" w:rsidRDefault="00AC5BA2">
            <w:pPr>
              <w:pStyle w:val="nTable"/>
              <w:spacing w:after="40"/>
              <w:rPr>
                <w:b/>
                <w:sz w:val="19"/>
              </w:rPr>
            </w:pPr>
            <w:r>
              <w:rPr>
                <w:b/>
                <w:sz w:val="19"/>
              </w:rPr>
              <w:t>Assent</w:t>
            </w:r>
          </w:p>
        </w:tc>
        <w:tc>
          <w:tcPr>
            <w:tcW w:w="2551" w:type="dxa"/>
            <w:tcBorders>
              <w:top w:val="single" w:sz="8" w:space="0" w:color="auto"/>
              <w:bottom w:val="single" w:sz="8" w:space="0" w:color="auto"/>
            </w:tcBorders>
          </w:tcPr>
          <w:p w:rsidR="002452D8" w:rsidRDefault="00AC5BA2">
            <w:pPr>
              <w:pStyle w:val="nTable"/>
              <w:spacing w:after="40"/>
              <w:rPr>
                <w:b/>
                <w:sz w:val="19"/>
              </w:rPr>
            </w:pPr>
            <w:r>
              <w:rPr>
                <w:b/>
                <w:sz w:val="19"/>
              </w:rPr>
              <w:t>Commencement</w:t>
            </w:r>
          </w:p>
        </w:tc>
      </w:tr>
      <w:tr w:rsidR="002452D8">
        <w:tc>
          <w:tcPr>
            <w:tcW w:w="2268" w:type="dxa"/>
          </w:tcPr>
          <w:p w:rsidR="002452D8" w:rsidRDefault="00AC5BA2">
            <w:pPr>
              <w:pStyle w:val="nTable"/>
              <w:spacing w:after="40"/>
              <w:rPr>
                <w:sz w:val="19"/>
                <w:vertAlign w:val="superscript"/>
              </w:rPr>
            </w:pPr>
            <w:r>
              <w:rPr>
                <w:sz w:val="19"/>
              </w:rPr>
              <w:t xml:space="preserve">Untitled Ordinance </w:t>
            </w:r>
            <w:r>
              <w:rPr>
                <w:sz w:val="19"/>
                <w:vertAlign w:val="superscript"/>
              </w:rPr>
              <w:t>4</w:t>
            </w:r>
          </w:p>
        </w:tc>
        <w:tc>
          <w:tcPr>
            <w:tcW w:w="1134" w:type="dxa"/>
          </w:tcPr>
          <w:p w:rsidR="002452D8" w:rsidRDefault="00AC5BA2">
            <w:pPr>
              <w:pStyle w:val="nTable"/>
              <w:spacing w:after="40"/>
              <w:rPr>
                <w:sz w:val="19"/>
              </w:rPr>
            </w:pPr>
            <w:r>
              <w:rPr>
                <w:sz w:val="19"/>
              </w:rPr>
              <w:t>31 Vict. No. 2 (1867)</w:t>
            </w:r>
          </w:p>
        </w:tc>
        <w:tc>
          <w:tcPr>
            <w:tcW w:w="1134" w:type="dxa"/>
          </w:tcPr>
          <w:p w:rsidR="002452D8" w:rsidRDefault="00AC5BA2">
            <w:pPr>
              <w:pStyle w:val="nTable"/>
              <w:spacing w:after="40"/>
              <w:rPr>
                <w:sz w:val="19"/>
              </w:rPr>
            </w:pPr>
            <w:r>
              <w:rPr>
                <w:sz w:val="19"/>
              </w:rPr>
              <w:t>15 Jul 1867</w:t>
            </w:r>
          </w:p>
        </w:tc>
        <w:tc>
          <w:tcPr>
            <w:tcW w:w="2551" w:type="dxa"/>
          </w:tcPr>
          <w:p w:rsidR="002452D8" w:rsidRDefault="00AC5BA2">
            <w:pPr>
              <w:pStyle w:val="nTable"/>
              <w:spacing w:after="40"/>
              <w:rPr>
                <w:sz w:val="19"/>
              </w:rPr>
            </w:pPr>
            <w:r>
              <w:rPr>
                <w:sz w:val="19"/>
              </w:rPr>
              <w:t>15 Jul 1867</w:t>
            </w:r>
          </w:p>
        </w:tc>
      </w:tr>
      <w:tr w:rsidR="002452D8">
        <w:tc>
          <w:tcPr>
            <w:tcW w:w="2268" w:type="dxa"/>
          </w:tcPr>
          <w:p w:rsidR="002452D8" w:rsidRDefault="00AC5BA2">
            <w:pPr>
              <w:pStyle w:val="nTable"/>
              <w:spacing w:after="40"/>
              <w:rPr>
                <w:sz w:val="19"/>
              </w:rPr>
            </w:pPr>
            <w:r>
              <w:rPr>
                <w:i/>
                <w:sz w:val="19"/>
              </w:rPr>
              <w:t>Statute Law Revision (Short Titles) Act 1966</w:t>
            </w:r>
            <w:r>
              <w:rPr>
                <w:sz w:val="19"/>
              </w:rPr>
              <w:t xml:space="preserve"> s. 2</w:t>
            </w:r>
          </w:p>
        </w:tc>
        <w:tc>
          <w:tcPr>
            <w:tcW w:w="1134" w:type="dxa"/>
          </w:tcPr>
          <w:p w:rsidR="002452D8" w:rsidRDefault="00AC5BA2">
            <w:pPr>
              <w:pStyle w:val="nTable"/>
              <w:spacing w:after="40"/>
              <w:rPr>
                <w:sz w:val="19"/>
              </w:rPr>
            </w:pPr>
            <w:r>
              <w:rPr>
                <w:sz w:val="19"/>
              </w:rPr>
              <w:t>81 of 1966</w:t>
            </w:r>
          </w:p>
        </w:tc>
        <w:tc>
          <w:tcPr>
            <w:tcW w:w="1134" w:type="dxa"/>
          </w:tcPr>
          <w:p w:rsidR="002452D8" w:rsidRDefault="00AC5BA2">
            <w:pPr>
              <w:pStyle w:val="nTable"/>
              <w:spacing w:after="40"/>
              <w:rPr>
                <w:sz w:val="19"/>
              </w:rPr>
            </w:pPr>
            <w:r>
              <w:rPr>
                <w:sz w:val="19"/>
              </w:rPr>
              <w:t>12 Dec 1966</w:t>
            </w:r>
          </w:p>
        </w:tc>
        <w:tc>
          <w:tcPr>
            <w:tcW w:w="2551" w:type="dxa"/>
          </w:tcPr>
          <w:p w:rsidR="002452D8" w:rsidRDefault="00AC5BA2">
            <w:pPr>
              <w:pStyle w:val="nTable"/>
              <w:spacing w:after="40"/>
              <w:rPr>
                <w:sz w:val="19"/>
              </w:rPr>
            </w:pPr>
            <w:r>
              <w:rPr>
                <w:sz w:val="19"/>
              </w:rPr>
              <w:t>12 Dec 1966</w:t>
            </w:r>
          </w:p>
        </w:tc>
      </w:tr>
      <w:tr w:rsidR="002452D8">
        <w:trPr>
          <w:cantSplit/>
        </w:trPr>
        <w:tc>
          <w:tcPr>
            <w:tcW w:w="7087" w:type="dxa"/>
            <w:gridSpan w:val="4"/>
            <w:tcBorders>
              <w:bottom w:val="single" w:sz="4" w:space="0" w:color="auto"/>
            </w:tcBorders>
          </w:tcPr>
          <w:p w:rsidR="002452D8" w:rsidRDefault="00AC5BA2">
            <w:pPr>
              <w:pStyle w:val="nTable"/>
              <w:spacing w:after="40"/>
              <w:rPr>
                <w:sz w:val="19"/>
              </w:rPr>
            </w:pPr>
            <w:r>
              <w:rPr>
                <w:b/>
                <w:sz w:val="19"/>
              </w:rPr>
              <w:t xml:space="preserve">Reprint 1: The </w:t>
            </w:r>
            <w:r>
              <w:rPr>
                <w:b/>
                <w:i/>
                <w:sz w:val="19"/>
              </w:rPr>
              <w:t>Casual Revenue Appropriation Ordinance 1867</w:t>
            </w:r>
            <w:r>
              <w:rPr>
                <w:b/>
                <w:sz w:val="19"/>
              </w:rPr>
              <w:t xml:space="preserve"> as at 12 Dec 2003</w:t>
            </w:r>
            <w:r>
              <w:rPr>
                <w:sz w:val="19"/>
              </w:rPr>
              <w:t xml:space="preserve"> (includes amendments listed above)</w:t>
            </w:r>
          </w:p>
        </w:tc>
      </w:tr>
    </w:tbl>
    <w:p w:rsidR="002452D8" w:rsidRDefault="00AC5BA2">
      <w:pPr>
        <w:pStyle w:val="nSubsection"/>
      </w:pPr>
      <w:r>
        <w:rPr>
          <w:vertAlign w:val="superscript"/>
        </w:rPr>
        <w:t>2</w:t>
      </w:r>
      <w:r>
        <w:tab/>
        <w:t>I.e. 15 &amp; 16 Vict. c. 39 (1852).</w:t>
      </w:r>
    </w:p>
    <w:p w:rsidR="002452D8" w:rsidRDefault="00AC5BA2">
      <w:pPr>
        <w:pStyle w:val="nSubsection"/>
      </w:pPr>
      <w:r>
        <w:rPr>
          <w:vertAlign w:val="superscript"/>
        </w:rPr>
        <w:t>3</w:t>
      </w:r>
      <w:r>
        <w:tab/>
        <w:t xml:space="preserve">So much of this Ordinance as relates to the revenue from escheated property and the rights of persons against the Crown with respect thereto has been repealed by the </w:t>
      </w:r>
      <w:r>
        <w:rPr>
          <w:i/>
        </w:rPr>
        <w:t>Escheat (Procedure) Act 1940</w:t>
      </w:r>
      <w:r>
        <w:t xml:space="preserve"> s. 3.</w:t>
      </w:r>
    </w:p>
    <w:p w:rsidR="002452D8" w:rsidRDefault="00AC5BA2">
      <w:pPr>
        <w:pStyle w:val="nSubsection"/>
      </w:pPr>
      <w:r>
        <w:rPr>
          <w:vertAlign w:val="superscript"/>
        </w:rPr>
        <w:t>4</w:t>
      </w:r>
      <w:r>
        <w:tab/>
        <w:t xml:space="preserve">Now known as the </w:t>
      </w:r>
      <w:r>
        <w:rPr>
          <w:i/>
        </w:rPr>
        <w:t>Casual Revenue Appropriation Ordinance 1867</w:t>
      </w:r>
      <w:r>
        <w:t>; short title inserted (see note under s. 4).</w:t>
      </w:r>
    </w:p>
    <w:p w:rsidR="002452D8" w:rsidRDefault="002452D8"/>
    <w:p w:rsidR="002452D8" w:rsidRDefault="002452D8">
      <w:pPr>
        <w:sectPr w:rsidR="002452D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2452D8" w:rsidRDefault="002452D8"/>
    <w:sectPr w:rsidR="002452D8">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D8" w:rsidRDefault="00AC5BA2">
      <w:r>
        <w:separator/>
      </w:r>
    </w:p>
  </w:endnote>
  <w:endnote w:type="continuationSeparator" w:id="0">
    <w:p w:rsidR="002452D8" w:rsidRDefault="00AC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D8" w:rsidRDefault="002452D8">
    <w:pPr>
      <w:pStyle w:val="Footer"/>
      <w:tabs>
        <w:tab w:val="clear" w:pos="4153"/>
        <w:tab w:val="right" w:pos="7088"/>
      </w:tabs>
      <w:rPr>
        <w:rStyle w:val="PageNumber"/>
      </w:rPr>
    </w:pPr>
  </w:p>
  <w:p w:rsidR="002452D8" w:rsidRDefault="00AC5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15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15F">
      <w:rPr>
        <w:rFonts w:ascii="Arial" w:hAnsi="Arial" w:cs="Arial"/>
        <w:sz w:val="20"/>
        <w:lang w:val="en-US"/>
      </w:rPr>
      <w:t>12 Dec 2003</w:t>
    </w:r>
    <w:r>
      <w:rPr>
        <w:rFonts w:ascii="Arial" w:hAnsi="Arial" w:cs="Arial"/>
        <w:sz w:val="20"/>
        <w:lang w:val="en-US"/>
      </w:rPr>
      <w:fldChar w:fldCharType="end"/>
    </w:r>
  </w:p>
  <w:p w:rsidR="002452D8" w:rsidRDefault="00AC5BA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D8" w:rsidRDefault="002452D8">
    <w:pPr>
      <w:pStyle w:val="Footer"/>
      <w:tabs>
        <w:tab w:val="clear" w:pos="4153"/>
        <w:tab w:val="right" w:pos="7088"/>
      </w:tabs>
      <w:rPr>
        <w:rStyle w:val="PageNumber"/>
      </w:rPr>
    </w:pPr>
  </w:p>
  <w:p w:rsidR="002452D8" w:rsidRDefault="00AC5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15F">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15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2452D8" w:rsidRDefault="00AC5BA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D8" w:rsidRDefault="002452D8">
    <w:pPr>
      <w:pStyle w:val="Footer"/>
      <w:tabs>
        <w:tab w:val="clear" w:pos="4153"/>
        <w:tab w:val="right" w:pos="7088"/>
      </w:tabs>
      <w:rPr>
        <w:rStyle w:val="PageNumber"/>
      </w:rPr>
    </w:pPr>
  </w:p>
  <w:p w:rsidR="002452D8" w:rsidRDefault="00AC5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15F">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15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2452D8" w:rsidRDefault="00AC5BA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D8" w:rsidRDefault="002452D8">
    <w:pPr>
      <w:pStyle w:val="Footer"/>
      <w:tabs>
        <w:tab w:val="clear" w:pos="4153"/>
        <w:tab w:val="right" w:pos="7088"/>
      </w:tabs>
      <w:rPr>
        <w:rStyle w:val="PageNumber"/>
      </w:rPr>
    </w:pPr>
  </w:p>
  <w:p w:rsidR="002452D8" w:rsidRDefault="00AC5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15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15F">
      <w:rPr>
        <w:rFonts w:ascii="Arial" w:hAnsi="Arial" w:cs="Arial"/>
        <w:sz w:val="20"/>
        <w:lang w:val="en-US"/>
      </w:rPr>
      <w:t>12 Dec 2003</w:t>
    </w:r>
    <w:r>
      <w:rPr>
        <w:rFonts w:ascii="Arial" w:hAnsi="Arial" w:cs="Arial"/>
        <w:sz w:val="20"/>
        <w:lang w:val="en-US"/>
      </w:rPr>
      <w:fldChar w:fldCharType="end"/>
    </w:r>
  </w:p>
  <w:p w:rsidR="002452D8" w:rsidRDefault="00AC5BA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D8" w:rsidRDefault="002452D8">
    <w:pPr>
      <w:pStyle w:val="Footer"/>
      <w:tabs>
        <w:tab w:val="clear" w:pos="4153"/>
        <w:tab w:val="right" w:pos="7088"/>
      </w:tabs>
      <w:rPr>
        <w:rStyle w:val="PageNumber"/>
      </w:rPr>
    </w:pPr>
  </w:p>
  <w:p w:rsidR="002452D8" w:rsidRDefault="00AC5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15F">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15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452D8" w:rsidRDefault="00AC5BA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D8" w:rsidRDefault="002452D8">
    <w:pPr>
      <w:pStyle w:val="Footer"/>
      <w:tabs>
        <w:tab w:val="clear" w:pos="4153"/>
        <w:tab w:val="right" w:pos="7088"/>
      </w:tabs>
      <w:rPr>
        <w:rStyle w:val="PageNumber"/>
      </w:rPr>
    </w:pPr>
  </w:p>
  <w:p w:rsidR="002452D8" w:rsidRDefault="00AC5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15F">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15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015F">
      <w:rPr>
        <w:rStyle w:val="PageNumber"/>
        <w:rFonts w:ascii="Arial" w:hAnsi="Arial" w:cs="Arial"/>
        <w:noProof/>
      </w:rPr>
      <w:t>i</w:t>
    </w:r>
    <w:r>
      <w:rPr>
        <w:rStyle w:val="PageNumber"/>
        <w:rFonts w:ascii="Arial" w:hAnsi="Arial" w:cs="Arial"/>
      </w:rPr>
      <w:fldChar w:fldCharType="end"/>
    </w:r>
  </w:p>
  <w:p w:rsidR="002452D8" w:rsidRDefault="00AC5BA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D8" w:rsidRDefault="002452D8">
    <w:pPr>
      <w:pStyle w:val="Footer"/>
      <w:tabs>
        <w:tab w:val="clear" w:pos="4153"/>
        <w:tab w:val="right" w:pos="7088"/>
      </w:tabs>
      <w:rPr>
        <w:rStyle w:val="PageNumber"/>
      </w:rPr>
    </w:pPr>
  </w:p>
  <w:p w:rsidR="002452D8" w:rsidRDefault="00AC5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015F">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15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15F">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 xml:space="preserve"> </w:t>
    </w:r>
  </w:p>
  <w:p w:rsidR="002452D8" w:rsidRDefault="00AC5BA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D8" w:rsidRDefault="002452D8">
    <w:pPr>
      <w:pStyle w:val="Footer"/>
      <w:tabs>
        <w:tab w:val="clear" w:pos="4153"/>
        <w:tab w:val="right" w:pos="7088"/>
      </w:tabs>
      <w:rPr>
        <w:rStyle w:val="PageNumber"/>
      </w:rPr>
    </w:pPr>
  </w:p>
  <w:p w:rsidR="002452D8" w:rsidRDefault="00AC5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15F">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15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015F">
      <w:rPr>
        <w:rStyle w:val="CharPageNo"/>
        <w:rFonts w:ascii="Arial" w:hAnsi="Arial"/>
        <w:noProof/>
      </w:rPr>
      <w:t>3</w:t>
    </w:r>
    <w:r>
      <w:rPr>
        <w:rStyle w:val="CharPageNo"/>
        <w:rFonts w:ascii="Arial" w:hAnsi="Arial"/>
      </w:rPr>
      <w:fldChar w:fldCharType="end"/>
    </w:r>
  </w:p>
  <w:p w:rsidR="002452D8" w:rsidRDefault="00AC5BA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D8" w:rsidRDefault="002452D8">
    <w:pPr>
      <w:pStyle w:val="Footer"/>
      <w:tabs>
        <w:tab w:val="clear" w:pos="4153"/>
        <w:tab w:val="right" w:pos="7088"/>
      </w:tabs>
      <w:rPr>
        <w:rStyle w:val="PageNumber"/>
      </w:rPr>
    </w:pPr>
  </w:p>
  <w:p w:rsidR="002452D8" w:rsidRDefault="00AC5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015F">
      <w:rPr>
        <w:rFonts w:ascii="Arial" w:hAnsi="Arial" w:cs="Arial"/>
        <w:sz w:val="20"/>
        <w:lang w:val="en-US"/>
      </w:rPr>
      <w:t>12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015F">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015F">
      <w:rPr>
        <w:rStyle w:val="CharPageNo"/>
        <w:rFonts w:ascii="Arial" w:hAnsi="Arial"/>
        <w:noProof/>
      </w:rPr>
      <w:t>1</w:t>
    </w:r>
    <w:r>
      <w:rPr>
        <w:rStyle w:val="CharPageNo"/>
        <w:rFonts w:ascii="Arial" w:hAnsi="Arial"/>
      </w:rPr>
      <w:fldChar w:fldCharType="end"/>
    </w:r>
  </w:p>
  <w:p w:rsidR="002452D8" w:rsidRDefault="00AC5BA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D8" w:rsidRDefault="00AC5BA2">
      <w:r>
        <w:separator/>
      </w:r>
    </w:p>
  </w:footnote>
  <w:footnote w:type="continuationSeparator" w:id="0">
    <w:p w:rsidR="002452D8" w:rsidRDefault="00AC5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5F" w:rsidRDefault="000801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452D8">
      <w:trPr>
        <w:cantSplit/>
      </w:trPr>
      <w:tc>
        <w:tcPr>
          <w:tcW w:w="7312" w:type="dxa"/>
          <w:gridSpan w:val="2"/>
        </w:tcPr>
        <w:p w:rsidR="002452D8" w:rsidRDefault="00AC5BA2">
          <w:pPr>
            <w:pStyle w:val="HeaderActNameLeft"/>
          </w:pPr>
          <w:fldSimple w:instr=" Styleref &quot;Name of Act/Reg&quot; ">
            <w:r w:rsidR="0008015F">
              <w:rPr>
                <w:noProof/>
              </w:rPr>
              <w:t>Casual Revenue Appropriation Ordinance 1867</w:t>
            </w:r>
          </w:fldSimple>
        </w:p>
      </w:tc>
    </w:tr>
    <w:tr w:rsidR="002452D8">
      <w:tc>
        <w:tcPr>
          <w:tcW w:w="1548" w:type="dxa"/>
        </w:tcPr>
        <w:p w:rsidR="002452D8" w:rsidRDefault="002452D8">
          <w:pPr>
            <w:pStyle w:val="HeaderNumberLeft"/>
          </w:pPr>
        </w:p>
      </w:tc>
      <w:tc>
        <w:tcPr>
          <w:tcW w:w="5764" w:type="dxa"/>
        </w:tcPr>
        <w:p w:rsidR="002452D8" w:rsidRDefault="002452D8">
          <w:pPr>
            <w:pStyle w:val="HeaderTextLeft"/>
          </w:pPr>
        </w:p>
      </w:tc>
    </w:tr>
    <w:tr w:rsidR="002452D8">
      <w:tc>
        <w:tcPr>
          <w:tcW w:w="1548" w:type="dxa"/>
        </w:tcPr>
        <w:p w:rsidR="002452D8" w:rsidRDefault="002452D8">
          <w:pPr>
            <w:pStyle w:val="HeaderNumberLeft"/>
          </w:pPr>
        </w:p>
      </w:tc>
      <w:tc>
        <w:tcPr>
          <w:tcW w:w="5764" w:type="dxa"/>
        </w:tcPr>
        <w:p w:rsidR="002452D8" w:rsidRDefault="002452D8">
          <w:pPr>
            <w:pStyle w:val="HeaderTextLeft"/>
          </w:pPr>
        </w:p>
      </w:tc>
    </w:tr>
    <w:tr w:rsidR="002452D8">
      <w:trPr>
        <w:cantSplit/>
      </w:trPr>
      <w:tc>
        <w:tcPr>
          <w:tcW w:w="7312" w:type="dxa"/>
          <w:gridSpan w:val="2"/>
        </w:tcPr>
        <w:p w:rsidR="002452D8" w:rsidRDefault="002452D8">
          <w:pPr>
            <w:pStyle w:val="HeaderSectionLeft"/>
          </w:pPr>
        </w:p>
      </w:tc>
    </w:tr>
  </w:tbl>
  <w:p w:rsidR="002452D8" w:rsidRDefault="002452D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452D8">
      <w:trPr>
        <w:cantSplit/>
      </w:trPr>
      <w:tc>
        <w:tcPr>
          <w:tcW w:w="7263" w:type="dxa"/>
          <w:gridSpan w:val="2"/>
        </w:tcPr>
        <w:p w:rsidR="002452D8" w:rsidRDefault="00AC5BA2">
          <w:pPr>
            <w:pStyle w:val="HeaderActNameRight"/>
            <w:ind w:right="17"/>
          </w:pPr>
          <w:fldSimple w:instr=" Styleref &quot;Name of Act/Reg&quot; ">
            <w:r w:rsidR="0008015F">
              <w:rPr>
                <w:noProof/>
              </w:rPr>
              <w:t>Casual Revenue Appropriation Ordinance 1867</w:t>
            </w:r>
          </w:fldSimple>
        </w:p>
      </w:tc>
    </w:tr>
    <w:tr w:rsidR="002452D8">
      <w:tc>
        <w:tcPr>
          <w:tcW w:w="5715" w:type="dxa"/>
        </w:tcPr>
        <w:p w:rsidR="002452D8" w:rsidRDefault="002452D8">
          <w:pPr>
            <w:pStyle w:val="HeaderTextRight"/>
          </w:pPr>
        </w:p>
      </w:tc>
      <w:tc>
        <w:tcPr>
          <w:tcW w:w="1548" w:type="dxa"/>
        </w:tcPr>
        <w:p w:rsidR="002452D8" w:rsidRDefault="002452D8">
          <w:pPr>
            <w:pStyle w:val="HeaderNumberRight"/>
            <w:ind w:right="17"/>
          </w:pPr>
        </w:p>
      </w:tc>
    </w:tr>
    <w:tr w:rsidR="002452D8">
      <w:tc>
        <w:tcPr>
          <w:tcW w:w="5715" w:type="dxa"/>
        </w:tcPr>
        <w:p w:rsidR="002452D8" w:rsidRDefault="002452D8">
          <w:pPr>
            <w:pStyle w:val="HeaderTextRight"/>
          </w:pPr>
        </w:p>
      </w:tc>
      <w:tc>
        <w:tcPr>
          <w:tcW w:w="1548" w:type="dxa"/>
        </w:tcPr>
        <w:p w:rsidR="002452D8" w:rsidRDefault="002452D8">
          <w:pPr>
            <w:pStyle w:val="HeaderNumberRight"/>
            <w:ind w:right="17"/>
          </w:pPr>
        </w:p>
      </w:tc>
    </w:tr>
    <w:tr w:rsidR="002452D8">
      <w:trPr>
        <w:cantSplit/>
      </w:trPr>
      <w:tc>
        <w:tcPr>
          <w:tcW w:w="7263" w:type="dxa"/>
          <w:gridSpan w:val="2"/>
        </w:tcPr>
        <w:p w:rsidR="002452D8" w:rsidRDefault="002452D8">
          <w:pPr>
            <w:pStyle w:val="HeaderSectionRight"/>
            <w:ind w:right="17"/>
          </w:pPr>
        </w:p>
      </w:tc>
    </w:tr>
  </w:tbl>
  <w:p w:rsidR="002452D8" w:rsidRDefault="002452D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D8" w:rsidRDefault="002452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D8" w:rsidRDefault="00AC5BA2">
    <w:pPr>
      <w:pStyle w:val="headerpartodd"/>
      <w:ind w:left="0" w:firstLine="0"/>
      <w:rPr>
        <w:i/>
      </w:rPr>
    </w:pPr>
    <w:r>
      <w:rPr>
        <w:i/>
      </w:rPr>
      <w:fldChar w:fldCharType="begin"/>
    </w:r>
    <w:r>
      <w:rPr>
        <w:i/>
      </w:rPr>
      <w:instrText xml:space="preserve"> Styleref "Name of Act/Reg" </w:instrText>
    </w:r>
    <w:r>
      <w:rPr>
        <w:i/>
      </w:rPr>
      <w:fldChar w:fldCharType="separate"/>
    </w:r>
    <w:r w:rsidR="0008015F">
      <w:rPr>
        <w:i/>
        <w:noProof/>
      </w:rPr>
      <w:t>Casual Revenue Appropriation Ordinance 1867</w:t>
    </w:r>
    <w:r>
      <w:rPr>
        <w:i/>
      </w:rPr>
      <w:fldChar w:fldCharType="end"/>
    </w:r>
  </w:p>
  <w:p w:rsidR="002452D8" w:rsidRDefault="002452D8">
    <w:pPr>
      <w:pStyle w:val="headerpartodd"/>
      <w:ind w:left="0" w:firstLine="0"/>
      <w:rPr>
        <w:b w:val="0"/>
        <w:i/>
      </w:rPr>
    </w:pPr>
  </w:p>
  <w:p w:rsidR="002452D8" w:rsidRDefault="002452D8">
    <w:pPr>
      <w:pStyle w:val="headerpart"/>
    </w:pPr>
  </w:p>
  <w:p w:rsidR="002452D8" w:rsidRDefault="002452D8">
    <w:pPr>
      <w:pStyle w:val="headerpart"/>
    </w:pPr>
  </w:p>
  <w:p w:rsidR="002452D8" w:rsidRDefault="002452D8">
    <w:pPr>
      <w:pBdr>
        <w:bottom w:val="single" w:sz="6" w:space="1" w:color="auto"/>
      </w:pBdr>
      <w:rPr>
        <w:b/>
      </w:rPr>
    </w:pPr>
  </w:p>
  <w:p w:rsidR="002452D8" w:rsidRDefault="002452D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D8" w:rsidRDefault="00AC5BA2">
    <w:pPr>
      <w:pStyle w:val="headerpartodd"/>
      <w:ind w:left="0" w:firstLine="0"/>
      <w:jc w:val="right"/>
      <w:rPr>
        <w:i/>
      </w:rPr>
    </w:pPr>
    <w:r>
      <w:rPr>
        <w:i/>
      </w:rPr>
      <w:fldChar w:fldCharType="begin"/>
    </w:r>
    <w:r>
      <w:rPr>
        <w:i/>
      </w:rPr>
      <w:instrText xml:space="preserve"> Styleref "Name of Act/Reg" </w:instrText>
    </w:r>
    <w:r>
      <w:rPr>
        <w:i/>
      </w:rPr>
      <w:fldChar w:fldCharType="separate"/>
    </w:r>
    <w:r w:rsidR="0008015F">
      <w:rPr>
        <w:i/>
        <w:noProof/>
      </w:rPr>
      <w:t>Casual Revenue Appropriation Ordinance 1867</w:t>
    </w:r>
    <w:r>
      <w:rPr>
        <w:i/>
      </w:rPr>
      <w:fldChar w:fldCharType="end"/>
    </w:r>
  </w:p>
  <w:p w:rsidR="002452D8" w:rsidRDefault="002452D8">
    <w:pPr>
      <w:pStyle w:val="headerpartodd"/>
      <w:ind w:left="0" w:firstLine="0"/>
      <w:jc w:val="right"/>
      <w:rPr>
        <w:b w:val="0"/>
        <w:i/>
      </w:rPr>
    </w:pPr>
  </w:p>
  <w:p w:rsidR="002452D8" w:rsidRDefault="002452D8">
    <w:pPr>
      <w:pStyle w:val="headerpart"/>
      <w:jc w:val="right"/>
    </w:pPr>
  </w:p>
  <w:p w:rsidR="002452D8" w:rsidRDefault="002452D8">
    <w:pPr>
      <w:pStyle w:val="headerpart"/>
      <w:jc w:val="right"/>
    </w:pPr>
  </w:p>
  <w:p w:rsidR="002452D8" w:rsidRDefault="002452D8">
    <w:pPr>
      <w:pBdr>
        <w:bottom w:val="single" w:sz="6" w:space="1" w:color="auto"/>
      </w:pBdr>
      <w:jc w:val="right"/>
      <w:rPr>
        <w:b/>
      </w:rPr>
    </w:pPr>
  </w:p>
  <w:p w:rsidR="002452D8" w:rsidRDefault="00245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5F" w:rsidRDefault="00080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5F" w:rsidRDefault="000801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452D8">
      <w:trPr>
        <w:cantSplit/>
      </w:trPr>
      <w:tc>
        <w:tcPr>
          <w:tcW w:w="7312" w:type="dxa"/>
          <w:gridSpan w:val="2"/>
        </w:tcPr>
        <w:p w:rsidR="002452D8" w:rsidRDefault="00AC5BA2">
          <w:pPr>
            <w:pStyle w:val="HeaderActNameLeft"/>
          </w:pPr>
          <w:r>
            <w:rPr>
              <w:i w:val="0"/>
            </w:rPr>
            <w:fldChar w:fldCharType="begin"/>
          </w:r>
          <w:r>
            <w:rPr>
              <w:i w:val="0"/>
            </w:rPr>
            <w:instrText xml:space="preserve"> Styleref "Name of Act/Reg" </w:instrText>
          </w:r>
          <w:r>
            <w:rPr>
              <w:i w:val="0"/>
            </w:rPr>
            <w:fldChar w:fldCharType="separate"/>
          </w:r>
          <w:r w:rsidR="0008015F">
            <w:rPr>
              <w:i w:val="0"/>
              <w:noProof/>
            </w:rPr>
            <w:t>Casual Revenue Appropriation Ordinance 1867</w:t>
          </w:r>
          <w:r>
            <w:rPr>
              <w:i w:val="0"/>
            </w:rPr>
            <w:fldChar w:fldCharType="end"/>
          </w:r>
        </w:p>
      </w:tc>
    </w:tr>
    <w:tr w:rsidR="002452D8">
      <w:tc>
        <w:tcPr>
          <w:tcW w:w="1548" w:type="dxa"/>
        </w:tcPr>
        <w:p w:rsidR="002452D8" w:rsidRDefault="002452D8">
          <w:pPr>
            <w:pStyle w:val="HeaderNumberLeft"/>
          </w:pPr>
        </w:p>
      </w:tc>
      <w:tc>
        <w:tcPr>
          <w:tcW w:w="5764" w:type="dxa"/>
        </w:tcPr>
        <w:p w:rsidR="002452D8" w:rsidRDefault="002452D8">
          <w:pPr>
            <w:pStyle w:val="HeaderTextLeft"/>
          </w:pPr>
        </w:p>
      </w:tc>
    </w:tr>
    <w:tr w:rsidR="002452D8">
      <w:tc>
        <w:tcPr>
          <w:tcW w:w="1548" w:type="dxa"/>
        </w:tcPr>
        <w:p w:rsidR="002452D8" w:rsidRDefault="002452D8">
          <w:pPr>
            <w:pStyle w:val="HeaderNumberLeft"/>
          </w:pPr>
        </w:p>
      </w:tc>
      <w:tc>
        <w:tcPr>
          <w:tcW w:w="5764" w:type="dxa"/>
        </w:tcPr>
        <w:p w:rsidR="002452D8" w:rsidRDefault="002452D8">
          <w:pPr>
            <w:pStyle w:val="HeaderTextLeft"/>
          </w:pPr>
        </w:p>
      </w:tc>
    </w:tr>
    <w:tr w:rsidR="002452D8">
      <w:trPr>
        <w:cantSplit/>
      </w:trPr>
      <w:tc>
        <w:tcPr>
          <w:tcW w:w="7312" w:type="dxa"/>
          <w:gridSpan w:val="2"/>
        </w:tcPr>
        <w:p w:rsidR="002452D8" w:rsidRDefault="002452D8">
          <w:pPr>
            <w:pStyle w:val="HeaderSectionLeft"/>
          </w:pPr>
        </w:p>
      </w:tc>
    </w:tr>
  </w:tbl>
  <w:p w:rsidR="002452D8" w:rsidRDefault="002452D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452D8">
      <w:trPr>
        <w:cantSplit/>
      </w:trPr>
      <w:tc>
        <w:tcPr>
          <w:tcW w:w="7312" w:type="dxa"/>
          <w:gridSpan w:val="2"/>
        </w:tcPr>
        <w:p w:rsidR="002452D8" w:rsidRDefault="00AC5BA2">
          <w:pPr>
            <w:pStyle w:val="HeaderActNameRight"/>
          </w:pPr>
          <w:fldSimple w:instr=" Styleref &quot;Name of Act/Reg&quot; ">
            <w:r w:rsidR="0008015F">
              <w:rPr>
                <w:noProof/>
              </w:rPr>
              <w:t>Casual Revenue Appropriation Ordinance 1867</w:t>
            </w:r>
          </w:fldSimple>
        </w:p>
      </w:tc>
    </w:tr>
    <w:tr w:rsidR="002452D8">
      <w:tc>
        <w:tcPr>
          <w:tcW w:w="5760" w:type="dxa"/>
        </w:tcPr>
        <w:p w:rsidR="002452D8" w:rsidRDefault="002452D8">
          <w:pPr>
            <w:pStyle w:val="HeaderTextRight"/>
          </w:pPr>
        </w:p>
      </w:tc>
      <w:tc>
        <w:tcPr>
          <w:tcW w:w="1552" w:type="dxa"/>
        </w:tcPr>
        <w:p w:rsidR="002452D8" w:rsidRDefault="002452D8">
          <w:pPr>
            <w:pStyle w:val="HeaderNumberRight"/>
          </w:pPr>
        </w:p>
      </w:tc>
    </w:tr>
    <w:tr w:rsidR="002452D8">
      <w:tc>
        <w:tcPr>
          <w:tcW w:w="5760" w:type="dxa"/>
        </w:tcPr>
        <w:p w:rsidR="002452D8" w:rsidRDefault="002452D8">
          <w:pPr>
            <w:pStyle w:val="HeaderTextRight"/>
          </w:pPr>
        </w:p>
      </w:tc>
      <w:tc>
        <w:tcPr>
          <w:tcW w:w="1552" w:type="dxa"/>
        </w:tcPr>
        <w:p w:rsidR="002452D8" w:rsidRDefault="002452D8">
          <w:pPr>
            <w:pStyle w:val="HeaderNumberRight"/>
          </w:pPr>
        </w:p>
      </w:tc>
    </w:tr>
    <w:tr w:rsidR="002452D8">
      <w:trPr>
        <w:cantSplit/>
      </w:trPr>
      <w:tc>
        <w:tcPr>
          <w:tcW w:w="7312" w:type="dxa"/>
          <w:gridSpan w:val="2"/>
        </w:tcPr>
        <w:p w:rsidR="002452D8" w:rsidRDefault="002452D8">
          <w:pPr>
            <w:pStyle w:val="HeaderSectionRight"/>
          </w:pPr>
        </w:p>
      </w:tc>
    </w:tr>
  </w:tbl>
  <w:p w:rsidR="002452D8" w:rsidRDefault="002452D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D8" w:rsidRDefault="002452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452D8">
      <w:trPr>
        <w:cantSplit/>
      </w:trPr>
      <w:tc>
        <w:tcPr>
          <w:tcW w:w="7263" w:type="dxa"/>
          <w:gridSpan w:val="2"/>
        </w:tcPr>
        <w:p w:rsidR="002452D8" w:rsidRDefault="00AC5BA2">
          <w:pPr>
            <w:pStyle w:val="HeaderActNameLeft"/>
          </w:pPr>
          <w:fldSimple w:instr=" Styleref &quot;Name of Act/Reg&quot; ">
            <w:r w:rsidR="0008015F">
              <w:rPr>
                <w:noProof/>
              </w:rPr>
              <w:t>Casual Revenue Appropriation Ordinance 1867</w:t>
            </w:r>
          </w:fldSimple>
        </w:p>
      </w:tc>
    </w:tr>
    <w:tr w:rsidR="002452D8">
      <w:tc>
        <w:tcPr>
          <w:tcW w:w="1548" w:type="dxa"/>
        </w:tcPr>
        <w:p w:rsidR="002452D8" w:rsidRDefault="00AC5BA2">
          <w:pPr>
            <w:pStyle w:val="HeaderNumberLeft"/>
          </w:pPr>
          <w:r>
            <w:fldChar w:fldCharType="begin"/>
          </w:r>
          <w:r>
            <w:instrText xml:space="preserve"> styleref CharPartNo </w:instrText>
          </w:r>
          <w:r>
            <w:fldChar w:fldCharType="end"/>
          </w:r>
        </w:p>
      </w:tc>
      <w:tc>
        <w:tcPr>
          <w:tcW w:w="5715" w:type="dxa"/>
        </w:tcPr>
        <w:p w:rsidR="002452D8" w:rsidRDefault="00AC5BA2">
          <w:pPr>
            <w:pStyle w:val="HeaderTextLeft"/>
          </w:pPr>
          <w:r>
            <w:fldChar w:fldCharType="begin"/>
          </w:r>
          <w:r>
            <w:instrText xml:space="preserve"> styleref CharPartText </w:instrText>
          </w:r>
          <w:r>
            <w:fldChar w:fldCharType="end"/>
          </w:r>
        </w:p>
      </w:tc>
    </w:tr>
    <w:tr w:rsidR="002452D8">
      <w:tc>
        <w:tcPr>
          <w:tcW w:w="1548" w:type="dxa"/>
        </w:tcPr>
        <w:p w:rsidR="002452D8" w:rsidRDefault="00AC5BA2">
          <w:pPr>
            <w:pStyle w:val="HeaderNumberLeft"/>
          </w:pPr>
          <w:r>
            <w:fldChar w:fldCharType="begin"/>
          </w:r>
          <w:r>
            <w:instrText xml:space="preserve"> styleref CharDivNo </w:instrText>
          </w:r>
          <w:r>
            <w:fldChar w:fldCharType="end"/>
          </w:r>
        </w:p>
      </w:tc>
      <w:tc>
        <w:tcPr>
          <w:tcW w:w="5715" w:type="dxa"/>
        </w:tcPr>
        <w:p w:rsidR="002452D8" w:rsidRDefault="00AC5BA2">
          <w:pPr>
            <w:pStyle w:val="HeaderTextLeft"/>
          </w:pPr>
          <w:r>
            <w:fldChar w:fldCharType="begin"/>
          </w:r>
          <w:r>
            <w:instrText xml:space="preserve"> styleref CharDivText </w:instrText>
          </w:r>
          <w:r>
            <w:fldChar w:fldCharType="end"/>
          </w:r>
        </w:p>
      </w:tc>
    </w:tr>
    <w:tr w:rsidR="002452D8">
      <w:trPr>
        <w:cantSplit/>
      </w:trPr>
      <w:tc>
        <w:tcPr>
          <w:tcW w:w="7263" w:type="dxa"/>
          <w:gridSpan w:val="2"/>
        </w:tcPr>
        <w:p w:rsidR="002452D8" w:rsidRDefault="00AC5BA2">
          <w:pPr>
            <w:pStyle w:val="HeaderSectionLeft"/>
          </w:pPr>
          <w:r>
            <w:t xml:space="preserve">s. </w:t>
          </w:r>
          <w:fldSimple w:instr=" styleref CharSectno ">
            <w:r w:rsidR="0008015F">
              <w:rPr>
                <w:noProof/>
              </w:rPr>
              <w:t>1</w:t>
            </w:r>
          </w:fldSimple>
        </w:p>
      </w:tc>
    </w:tr>
  </w:tbl>
  <w:p w:rsidR="002452D8" w:rsidRDefault="002452D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452D8">
      <w:trPr>
        <w:cantSplit/>
      </w:trPr>
      <w:tc>
        <w:tcPr>
          <w:tcW w:w="7312" w:type="dxa"/>
          <w:gridSpan w:val="2"/>
        </w:tcPr>
        <w:p w:rsidR="002452D8" w:rsidRDefault="00AC5BA2">
          <w:pPr>
            <w:pStyle w:val="HeaderActNameRight"/>
          </w:pPr>
          <w:fldSimple w:instr=" Styleref &quot;Name of Act/Reg&quot; ">
            <w:r w:rsidR="0008015F">
              <w:rPr>
                <w:noProof/>
              </w:rPr>
              <w:t>Casual Revenue Appropriation Ordinance 1867</w:t>
            </w:r>
          </w:fldSimple>
        </w:p>
      </w:tc>
    </w:tr>
    <w:tr w:rsidR="002452D8">
      <w:tc>
        <w:tcPr>
          <w:tcW w:w="5985" w:type="dxa"/>
        </w:tcPr>
        <w:p w:rsidR="002452D8" w:rsidRDefault="00AC5BA2">
          <w:pPr>
            <w:pStyle w:val="HeaderTextRight"/>
          </w:pPr>
          <w:r>
            <w:fldChar w:fldCharType="begin"/>
          </w:r>
          <w:r>
            <w:instrText xml:space="preserve"> styleref CharPartText </w:instrText>
          </w:r>
          <w:r>
            <w:fldChar w:fldCharType="end"/>
          </w:r>
        </w:p>
      </w:tc>
      <w:tc>
        <w:tcPr>
          <w:tcW w:w="1327" w:type="dxa"/>
        </w:tcPr>
        <w:p w:rsidR="002452D8" w:rsidRDefault="00AC5BA2">
          <w:pPr>
            <w:pStyle w:val="HeaderNumberRight"/>
          </w:pPr>
          <w:r>
            <w:fldChar w:fldCharType="begin"/>
          </w:r>
          <w:r>
            <w:instrText xml:space="preserve"> styleref CharPartNo </w:instrText>
          </w:r>
          <w:r>
            <w:fldChar w:fldCharType="end"/>
          </w:r>
        </w:p>
      </w:tc>
    </w:tr>
    <w:tr w:rsidR="002452D8">
      <w:tc>
        <w:tcPr>
          <w:tcW w:w="5985" w:type="dxa"/>
        </w:tcPr>
        <w:p w:rsidR="002452D8" w:rsidRDefault="00AC5BA2">
          <w:pPr>
            <w:pStyle w:val="HeaderTextRight"/>
          </w:pPr>
          <w:r>
            <w:fldChar w:fldCharType="begin"/>
          </w:r>
          <w:r>
            <w:instrText xml:space="preserve"> styleref CharDivText </w:instrText>
          </w:r>
          <w:r>
            <w:fldChar w:fldCharType="end"/>
          </w:r>
        </w:p>
      </w:tc>
      <w:tc>
        <w:tcPr>
          <w:tcW w:w="1327" w:type="dxa"/>
        </w:tcPr>
        <w:p w:rsidR="002452D8" w:rsidRDefault="00AC5BA2">
          <w:pPr>
            <w:pStyle w:val="HeaderNumberRight"/>
          </w:pPr>
          <w:r>
            <w:fldChar w:fldCharType="begin"/>
          </w:r>
          <w:r>
            <w:instrText xml:space="preserve"> styleref CharDivNo </w:instrText>
          </w:r>
          <w:r>
            <w:fldChar w:fldCharType="end"/>
          </w:r>
        </w:p>
      </w:tc>
    </w:tr>
    <w:tr w:rsidR="002452D8">
      <w:trPr>
        <w:cantSplit/>
      </w:trPr>
      <w:tc>
        <w:tcPr>
          <w:tcW w:w="7312" w:type="dxa"/>
          <w:gridSpan w:val="2"/>
        </w:tcPr>
        <w:p w:rsidR="002452D8" w:rsidRDefault="00AC5BA2">
          <w:pPr>
            <w:pStyle w:val="HeaderSectionRight"/>
          </w:pPr>
          <w:r>
            <w:t xml:space="preserve">s. </w:t>
          </w:r>
          <w:fldSimple w:instr=" styleref CharSectno ">
            <w:r w:rsidR="0008015F">
              <w:rPr>
                <w:noProof/>
              </w:rPr>
              <w:t>1</w:t>
            </w:r>
          </w:fldSimple>
        </w:p>
      </w:tc>
    </w:tr>
  </w:tbl>
  <w:p w:rsidR="002452D8" w:rsidRDefault="002452D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2D8" w:rsidRDefault="00245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A2"/>
    <w:rsid w:val="0008015F"/>
    <w:rsid w:val="002452D8"/>
    <w:rsid w:val="004A7826"/>
    <w:rsid w:val="00AC5BA2"/>
    <w:rsid w:val="00F13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paragraph" w:styleId="BalloonText">
    <w:name w:val="Balloon Text"/>
    <w:basedOn w:val="Normal"/>
    <w:link w:val="BalloonTextChar"/>
    <w:uiPriority w:val="99"/>
    <w:semiHidden/>
    <w:unhideWhenUsed/>
    <w:rsid w:val="00F13D41"/>
    <w:rPr>
      <w:rFonts w:ascii="Tahoma" w:hAnsi="Tahoma" w:cs="Tahoma"/>
      <w:sz w:val="16"/>
      <w:szCs w:val="16"/>
    </w:rPr>
  </w:style>
  <w:style w:type="character" w:customStyle="1" w:styleId="BalloonTextChar">
    <w:name w:val="Balloon Text Char"/>
    <w:basedOn w:val="DefaultParagraphFont"/>
    <w:link w:val="BalloonText"/>
    <w:uiPriority w:val="99"/>
    <w:semiHidden/>
    <w:rsid w:val="00F13D4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paragraph" w:styleId="BalloonText">
    <w:name w:val="Balloon Text"/>
    <w:basedOn w:val="Normal"/>
    <w:link w:val="BalloonTextChar"/>
    <w:uiPriority w:val="99"/>
    <w:semiHidden/>
    <w:unhideWhenUsed/>
    <w:rsid w:val="00F13D41"/>
    <w:rPr>
      <w:rFonts w:ascii="Tahoma" w:hAnsi="Tahoma" w:cs="Tahoma"/>
      <w:sz w:val="16"/>
      <w:szCs w:val="16"/>
    </w:rPr>
  </w:style>
  <w:style w:type="character" w:customStyle="1" w:styleId="BalloonTextChar">
    <w:name w:val="Balloon Text Char"/>
    <w:basedOn w:val="DefaultParagraphFont"/>
    <w:link w:val="BalloonText"/>
    <w:uiPriority w:val="99"/>
    <w:semiHidden/>
    <w:rsid w:val="00F13D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825</Words>
  <Characters>3941</Characters>
  <Application>Microsoft Office Word</Application>
  <DocSecurity>0</DocSecurity>
  <Lines>131</Lines>
  <Paragraphs>60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4706</CharactersWithSpaces>
  <SharedDoc>false</SharedDoc>
  <HLinks>
    <vt:vector size="12" baseType="variant">
      <vt:variant>
        <vt:i4>3014716</vt:i4>
      </vt:variant>
      <vt:variant>
        <vt:i4>1815</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Revenue Appropriation Ordinance 1867 - 01-a0-02</dc:title>
  <dc:subject/>
  <dc:creator>peacocki</dc:creator>
  <cp:keywords/>
  <cp:lastModifiedBy>svcMRProcess</cp:lastModifiedBy>
  <cp:revision>4</cp:revision>
  <cp:lastPrinted>2003-12-29T02:49:00Z</cp:lastPrinted>
  <dcterms:created xsi:type="dcterms:W3CDTF">2013-02-13T13:31:00Z</dcterms:created>
  <dcterms:modified xsi:type="dcterms:W3CDTF">2013-02-13T13:31:00Z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1867</vt:lpwstr>
  </property>
  <property fmtid="{D5CDD505-2E9C-101B-9397-08002B2CF9AE}" pid="3" name="CommencementDate">
    <vt:lpwstr>20031212</vt:lpwstr>
  </property>
  <property fmtid="{D5CDD505-2E9C-101B-9397-08002B2CF9AE}" pid="4" name="DocumentType">
    <vt:lpwstr>Act</vt:lpwstr>
  </property>
  <property fmtid="{D5CDD505-2E9C-101B-9397-08002B2CF9AE}" pid="5" name="OwlsUID">
    <vt:i4>109</vt:i4>
  </property>
  <property fmtid="{D5CDD505-2E9C-101B-9397-08002B2CF9AE}" pid="6" name="AsAtDate">
    <vt:lpwstr>12 Dec 2003</vt:lpwstr>
  </property>
  <property fmtid="{D5CDD505-2E9C-101B-9397-08002B2CF9AE}" pid="7" name="Suffix">
    <vt:lpwstr>01-a0-02</vt:lpwstr>
  </property>
</Properties>
</file>