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Gas Services Information Act 2012</w:t>
      </w:r>
    </w:p>
    <w:p>
      <w:pPr>
        <w:pStyle w:val="NameofActRegPage1"/>
        <w:spacing w:before="1800" w:after="4200"/>
      </w:pPr>
      <w:r>
        <w:fldChar w:fldCharType="begin"/>
      </w:r>
      <w:r>
        <w:instrText xml:space="preserve"> STYLEREF "Name Of Act/Reg"</w:instrText>
      </w:r>
      <w:r>
        <w:fldChar w:fldCharType="separate"/>
      </w:r>
      <w:r>
        <w:rPr>
          <w:noProof/>
        </w:rPr>
        <w:t>Gas Services Information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_Toc328664031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_Toc328664032 \h </w:instrText>
      </w:r>
      <w:r>
        <w:fldChar w:fldCharType="separate"/>
      </w:r>
      <w:r>
        <w:t>1</w:t>
      </w:r>
      <w:r>
        <w:fldChar w:fldCharType="end"/>
      </w:r>
    </w:p>
    <w:p>
      <w:pPr>
        <w:pStyle w:val="TOC8"/>
        <w:rPr>
          <w:sz w:val="24"/>
          <w:szCs w:val="24"/>
          <w:lang w:val="en-US"/>
        </w:rPr>
      </w:pPr>
      <w:r>
        <w:t>3</w:t>
      </w:r>
      <w:r>
        <w:rPr>
          <w:snapToGrid w:val="0"/>
        </w:rPr>
        <w:t>.</w:t>
      </w:r>
      <w:r>
        <w:rPr>
          <w:snapToGrid w:val="0"/>
        </w:rPr>
        <w:tab/>
        <w:t>Term used: IMO</w:t>
      </w:r>
      <w:r>
        <w:tab/>
      </w:r>
      <w:r>
        <w:fldChar w:fldCharType="begin"/>
      </w:r>
      <w:r>
        <w:instrText xml:space="preserve"> PAGEREF _Toc328664033 \h </w:instrText>
      </w:r>
      <w:r>
        <w:fldChar w:fldCharType="separate"/>
      </w:r>
      <w:r>
        <w:t>1</w:t>
      </w:r>
      <w:r>
        <w:fldChar w:fldCharType="end"/>
      </w:r>
    </w:p>
    <w:p>
      <w:pPr>
        <w:pStyle w:val="TOC8"/>
        <w:rPr>
          <w:sz w:val="24"/>
          <w:szCs w:val="24"/>
          <w:lang w:val="en-US"/>
        </w:rPr>
      </w:pPr>
      <w:r>
        <w:t>4.</w:t>
      </w:r>
      <w:r>
        <w:tab/>
        <w:t>Functions of the operator — the IMO</w:t>
      </w:r>
      <w:r>
        <w:tab/>
      </w:r>
      <w:r>
        <w:fldChar w:fldCharType="begin"/>
      </w:r>
      <w:r>
        <w:instrText xml:space="preserve"> PAGEREF _Toc328664034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_Toc328664036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Gas Services Information Act 2012</w:t>
      </w:r>
    </w:p>
    <w:p>
      <w:pPr>
        <w:pStyle w:val="NameofActReg"/>
      </w:pPr>
      <w:r>
        <w:t>Gas Services Information Regulations 2012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866403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Gas Services Information Regulations 2012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866403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Gas Services Information Act 2012</w:t>
      </w:r>
      <w:r>
        <w:t xml:space="preserve"> section 7 comes into operation.</w:t>
      </w:r>
    </w:p>
    <w:p>
      <w:pPr>
        <w:pStyle w:val="Heading5"/>
        <w:rPr>
          <w:i/>
          <w:snapToGrid w:val="0"/>
          <w:highlight w:val="cyan"/>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328664033"/>
      <w:r>
        <w:rPr>
          <w:rStyle w:val="CharSectno"/>
        </w:rPr>
        <w:t>3</w:t>
      </w:r>
      <w:r>
        <w:rPr>
          <w:snapToGrid w:val="0"/>
        </w:rPr>
        <w:t>.</w:t>
      </w:r>
      <w:r>
        <w:rPr>
          <w:snapToGrid w:val="0"/>
        </w:rPr>
        <w:tab/>
        <w:t>Term used</w:t>
      </w:r>
      <w:bookmarkEnd w:id="18"/>
      <w:bookmarkEnd w:id="19"/>
      <w:bookmarkEnd w:id="20"/>
      <w:bookmarkEnd w:id="21"/>
      <w:bookmarkEnd w:id="22"/>
      <w:bookmarkEnd w:id="23"/>
      <w:bookmarkEnd w:id="24"/>
      <w:r>
        <w:rPr>
          <w:snapToGrid w:val="0"/>
        </w:rPr>
        <w:t>: IMO</w:t>
      </w:r>
      <w:bookmarkEnd w:id="25"/>
    </w:p>
    <w:p>
      <w:pPr>
        <w:pStyle w:val="Subsection"/>
        <w:rPr>
          <w:i/>
        </w:rPr>
      </w:pPr>
      <w:r>
        <w:tab/>
      </w:r>
      <w:r>
        <w:tab/>
        <w:t xml:space="preserve">In these regulations — </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Heading5"/>
      </w:pPr>
      <w:bookmarkStart w:id="26" w:name="_Toc328664034"/>
      <w:r>
        <w:rPr>
          <w:rStyle w:val="CharSectno"/>
        </w:rPr>
        <w:t>4</w:t>
      </w:r>
      <w:r>
        <w:t>.</w:t>
      </w:r>
      <w:r>
        <w:tab/>
        <w:t>Functions of the operator — the IMO</w:t>
      </w:r>
      <w:bookmarkEnd w:id="26"/>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w:t>
      </w:r>
    </w:p>
    <w:p>
      <w:pPr>
        <w:pStyle w:val="Indenta"/>
      </w:pPr>
      <w:r>
        <w:tab/>
        <w:t>(d)</w:t>
      </w:r>
      <w:r>
        <w:tab/>
        <w:t>to prepare and publish the GSOO periodically.</w:t>
      </w:r>
    </w:p>
    <w:p>
      <w:pPr>
        <w:pStyle w:val="Subsection"/>
      </w:pPr>
      <w:r>
        <w:tab/>
        <w:t>(3)</w:t>
      </w:r>
      <w:r>
        <w:tab/>
        <w:t>The IMO need not perform its functions under this regulation to the extent to which it cannot obtain the necessary information because gas market participants are not obliged to give the information.</w:t>
      </w:r>
    </w:p>
    <w:p>
      <w:pPr>
        <w:pStyle w:val="Subsection"/>
        <w:tabs>
          <w:tab w:val="clear" w:pos="595"/>
          <w:tab w:val="left" w:pos="1134"/>
        </w:tabs>
        <w:spacing w:before="0"/>
        <w:ind w:left="1134" w:hanging="1134"/>
      </w:pP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7" w:name="_Toc113695922"/>
      <w:bookmarkStart w:id="28" w:name="_Toc328664007"/>
      <w:bookmarkStart w:id="29" w:name="_Toc328664035"/>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rPr>
        <w:t>Gas Services Information Regulations 2012.</w:t>
      </w:r>
      <w:r>
        <w:t xml:space="preserve">  </w:t>
      </w:r>
      <w:r>
        <w:rPr>
          <w:snapToGrid w:val="0"/>
        </w:rPr>
        <w:t>The following table contains information about those regulations.</w:t>
      </w:r>
    </w:p>
    <w:p>
      <w:pPr>
        <w:pStyle w:val="nHeading3"/>
      </w:pPr>
      <w:bookmarkStart w:id="30" w:name="_Toc70311430"/>
      <w:bookmarkStart w:id="31" w:name="_Toc113695923"/>
      <w:bookmarkStart w:id="32" w:name="_Toc328664036"/>
      <w:r>
        <w:t>Compilation table</w:t>
      </w:r>
      <w:bookmarkEnd w:id="30"/>
      <w:bookmarkEnd w:id="31"/>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Gas Services Information Regulations 2012</w:t>
            </w:r>
          </w:p>
        </w:tc>
        <w:tc>
          <w:tcPr>
            <w:tcW w:w="1276" w:type="dxa"/>
          </w:tcPr>
          <w:p>
            <w:pPr>
              <w:pStyle w:val="nTable"/>
              <w:spacing w:after="40"/>
              <w:rPr>
                <w:sz w:val="19"/>
              </w:rPr>
            </w:pPr>
            <w:r>
              <w:rPr>
                <w:sz w:val="19"/>
              </w:rPr>
              <w:t>29 Jun 2012 p. 2932-3</w:t>
            </w:r>
          </w:p>
        </w:tc>
        <w:tc>
          <w:tcPr>
            <w:tcW w:w="2693" w:type="dxa"/>
          </w:tcPr>
          <w:p>
            <w:pPr>
              <w:pStyle w:val="nTable"/>
              <w:spacing w:after="40"/>
              <w:rPr>
                <w:sz w:val="19"/>
              </w:rPr>
            </w:pPr>
            <w:r>
              <w:rPr>
                <w:sz w:val="19"/>
              </w:rPr>
              <w:t>r. 1 and 2: 29 Jun 2012 (see r. 2(a));</w:t>
            </w:r>
            <w:r>
              <w:rPr>
                <w:sz w:val="19"/>
              </w:rPr>
              <w:br/>
              <w:t>Regulations other than r. 1 and 2: 30 Jun 2012 (see r. 2 and </w:t>
            </w:r>
            <w:r>
              <w:rPr>
                <w:i/>
                <w:sz w:val="19"/>
              </w:rPr>
              <w:t>Gazette</w:t>
            </w:r>
            <w:r>
              <w:rPr>
                <w:sz w:val="19"/>
              </w:rPr>
              <w:t xml:space="preserve"> 29 Jun 2012 p. 2929)</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Services Information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Words>
  <Characters>2223</Characters>
  <Application>Microsoft Office Word</Application>
  <DocSecurity>0</DocSecurity>
  <Lines>92</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2012 - 00-a0-01</dc:title>
  <dc:subject/>
  <dc:creator/>
  <cp:keywords/>
  <dc:description/>
  <cp:lastModifiedBy>svcMRProcess</cp:lastModifiedBy>
  <cp:revision>4</cp:revision>
  <cp:lastPrinted>2012-06-18T03:28:00Z</cp:lastPrinted>
  <dcterms:created xsi:type="dcterms:W3CDTF">2018-09-18T22:03:00Z</dcterms:created>
  <dcterms:modified xsi:type="dcterms:W3CDTF">2018-09-18T22:03:00Z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AsAtDate">
    <vt:lpwstr>30 Jun 2012</vt:lpwstr>
  </property>
  <property fmtid="{D5CDD505-2E9C-101B-9397-08002B2CF9AE}" pid="4" name="Suffix">
    <vt:lpwstr>00-a0-01</vt:lpwstr>
  </property>
  <property fmtid="{D5CDD505-2E9C-101B-9397-08002B2CF9AE}" pid="5" name="CommencementDate">
    <vt:lpwstr>20120630</vt:lpwstr>
  </property>
  <property fmtid="{D5CDD505-2E9C-101B-9397-08002B2CF9AE}" pid="6" name="DocumentType">
    <vt:lpwstr>Reg</vt:lpwstr>
  </property>
</Properties>
</file>