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Lotteries Commission Act 1990</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(Monday and Wednesday Lotto) Rules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June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_Toc328461843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_Toc328461844 \h </w:instrText>
      </w:r>
      <w:r>
        <w:fldChar w:fldCharType="separate"/>
      </w:r>
      <w:r>
        <w:t>1</w:t>
      </w:r>
      <w:r>
        <w:fldChar w:fldCharType="end"/>
      </w:r>
    </w:p>
    <w:p>
      <w:pPr>
        <w:pStyle w:val="TOC8"/>
        <w:rPr>
          <w:sz w:val="24"/>
          <w:szCs w:val="24"/>
          <w:lang w:val="en-US"/>
        </w:rPr>
      </w:pPr>
      <w:r>
        <w:t>3.</w:t>
      </w:r>
      <w:r>
        <w:tab/>
      </w:r>
      <w:r>
        <w:rPr>
          <w:snapToGrid w:val="0"/>
        </w:rPr>
        <w:t>Terms used</w:t>
      </w:r>
      <w:r>
        <w:tab/>
      </w:r>
      <w:r>
        <w:fldChar w:fldCharType="begin"/>
      </w:r>
      <w:r>
        <w:instrText xml:space="preserve"> PAGEREF _Toc328461845 \h </w:instrText>
      </w:r>
      <w:r>
        <w:fldChar w:fldCharType="separate"/>
      </w:r>
      <w:r>
        <w:t>1</w:t>
      </w:r>
      <w:r>
        <w:fldChar w:fldCharType="end"/>
      </w:r>
    </w:p>
    <w:p>
      <w:pPr>
        <w:pStyle w:val="TOC2"/>
        <w:tabs>
          <w:tab w:val="right" w:leader="dot" w:pos="7086"/>
        </w:tabs>
        <w:rPr>
          <w:b w:val="0"/>
          <w:sz w:val="24"/>
          <w:szCs w:val="24"/>
          <w:lang w:val="en-US"/>
        </w:rPr>
      </w:pPr>
      <w:r>
        <w:t>Part 2 — Requirements for entry</w:t>
      </w:r>
    </w:p>
    <w:p>
      <w:pPr>
        <w:pStyle w:val="TOC8"/>
        <w:rPr>
          <w:sz w:val="24"/>
          <w:szCs w:val="24"/>
          <w:lang w:val="en-US"/>
        </w:rPr>
      </w:pPr>
      <w:r>
        <w:t>4</w:t>
      </w:r>
      <w:r>
        <w:rPr>
          <w:snapToGrid w:val="0"/>
        </w:rPr>
        <w:t>.</w:t>
      </w:r>
      <w:r>
        <w:rPr>
          <w:snapToGrid w:val="0"/>
        </w:rPr>
        <w:tab/>
        <w:t>Playslips, information on</w:t>
      </w:r>
      <w:r>
        <w:tab/>
      </w:r>
      <w:r>
        <w:fldChar w:fldCharType="begin"/>
      </w:r>
      <w:r>
        <w:instrText xml:space="preserve"> PAGEREF _Toc328461847 \h </w:instrText>
      </w:r>
      <w:r>
        <w:fldChar w:fldCharType="separate"/>
      </w:r>
      <w:r>
        <w:t>5</w:t>
      </w:r>
      <w:r>
        <w:fldChar w:fldCharType="end"/>
      </w:r>
    </w:p>
    <w:p>
      <w:pPr>
        <w:pStyle w:val="TOC8"/>
        <w:rPr>
          <w:sz w:val="24"/>
          <w:szCs w:val="24"/>
          <w:lang w:val="en-US"/>
        </w:rPr>
      </w:pPr>
      <w:r>
        <w:t>5</w:t>
      </w:r>
      <w:r>
        <w:rPr>
          <w:snapToGrid w:val="0"/>
        </w:rPr>
        <w:t>.</w:t>
      </w:r>
      <w:r>
        <w:rPr>
          <w:snapToGrid w:val="0"/>
        </w:rPr>
        <w:tab/>
        <w:t>Methods of entry</w:t>
      </w:r>
      <w:r>
        <w:tab/>
      </w:r>
      <w:r>
        <w:fldChar w:fldCharType="begin"/>
      </w:r>
      <w:r>
        <w:instrText xml:space="preserve"> PAGEREF _Toc328461848 \h </w:instrText>
      </w:r>
      <w:r>
        <w:fldChar w:fldCharType="separate"/>
      </w:r>
      <w:r>
        <w:t>5</w:t>
      </w:r>
      <w:r>
        <w:fldChar w:fldCharType="end"/>
      </w:r>
    </w:p>
    <w:p>
      <w:pPr>
        <w:pStyle w:val="TOC8"/>
        <w:rPr>
          <w:sz w:val="24"/>
          <w:szCs w:val="24"/>
          <w:lang w:val="en-US"/>
        </w:rPr>
      </w:pPr>
      <w:r>
        <w:t>6</w:t>
      </w:r>
      <w:r>
        <w:rPr>
          <w:snapToGrid w:val="0"/>
        </w:rPr>
        <w:t>.</w:t>
      </w:r>
      <w:r>
        <w:rPr>
          <w:snapToGrid w:val="0"/>
        </w:rPr>
        <w:tab/>
        <w:t>No limit to number of entries</w:t>
      </w:r>
      <w:r>
        <w:tab/>
      </w:r>
      <w:r>
        <w:fldChar w:fldCharType="begin"/>
      </w:r>
      <w:r>
        <w:instrText xml:space="preserve"> PAGEREF _Toc328461849 \h </w:instrText>
      </w:r>
      <w:r>
        <w:fldChar w:fldCharType="separate"/>
      </w:r>
      <w:r>
        <w:t>6</w:t>
      </w:r>
      <w:r>
        <w:fldChar w:fldCharType="end"/>
      </w:r>
    </w:p>
    <w:p>
      <w:pPr>
        <w:pStyle w:val="TOC8"/>
        <w:rPr>
          <w:sz w:val="24"/>
          <w:szCs w:val="24"/>
          <w:lang w:val="en-US"/>
        </w:rPr>
      </w:pPr>
      <w:r>
        <w:t>7</w:t>
      </w:r>
      <w:r>
        <w:rPr>
          <w:snapToGrid w:val="0"/>
        </w:rPr>
        <w:t>.</w:t>
      </w:r>
      <w:r>
        <w:rPr>
          <w:snapToGrid w:val="0"/>
        </w:rPr>
        <w:tab/>
        <w:t>Super 66 entry may be made with lotto entry</w:t>
      </w:r>
      <w:r>
        <w:tab/>
      </w:r>
      <w:r>
        <w:fldChar w:fldCharType="begin"/>
      </w:r>
      <w:r>
        <w:instrText xml:space="preserve"> PAGEREF _Toc328461850 \h </w:instrText>
      </w:r>
      <w:r>
        <w:fldChar w:fldCharType="separate"/>
      </w:r>
      <w:r>
        <w:t>6</w:t>
      </w:r>
      <w:r>
        <w:fldChar w:fldCharType="end"/>
      </w:r>
    </w:p>
    <w:p>
      <w:pPr>
        <w:pStyle w:val="TOC8"/>
        <w:rPr>
          <w:sz w:val="24"/>
          <w:szCs w:val="24"/>
          <w:lang w:val="en-US"/>
        </w:rPr>
      </w:pPr>
      <w:r>
        <w:t>8</w:t>
      </w:r>
      <w:r>
        <w:rPr>
          <w:snapToGrid w:val="0"/>
        </w:rPr>
        <w:t>.</w:t>
      </w:r>
      <w:r>
        <w:rPr>
          <w:snapToGrid w:val="0"/>
        </w:rPr>
        <w:tab/>
        <w:t>Playslips, how to be filled out</w:t>
      </w:r>
      <w:r>
        <w:tab/>
      </w:r>
      <w:r>
        <w:fldChar w:fldCharType="begin"/>
      </w:r>
      <w:r>
        <w:instrText xml:space="preserve"> PAGEREF _Toc328461851 \h </w:instrText>
      </w:r>
      <w:r>
        <w:fldChar w:fldCharType="separate"/>
      </w:r>
      <w:r>
        <w:t>6</w:t>
      </w:r>
      <w:r>
        <w:fldChar w:fldCharType="end"/>
      </w:r>
    </w:p>
    <w:p>
      <w:pPr>
        <w:pStyle w:val="TOC8"/>
        <w:rPr>
          <w:sz w:val="24"/>
          <w:szCs w:val="24"/>
          <w:lang w:val="en-US"/>
        </w:rPr>
      </w:pPr>
      <w:r>
        <w:t>8A.</w:t>
      </w:r>
      <w:r>
        <w:tab/>
        <w:t>Ticket repeat method of entry</w:t>
      </w:r>
      <w:r>
        <w:tab/>
      </w:r>
      <w:r>
        <w:fldChar w:fldCharType="begin"/>
      </w:r>
      <w:r>
        <w:instrText xml:space="preserve"> PAGEREF _Toc328461852 \h </w:instrText>
      </w:r>
      <w:r>
        <w:fldChar w:fldCharType="separate"/>
      </w:r>
      <w:r>
        <w:t>7</w:t>
      </w:r>
      <w:r>
        <w:fldChar w:fldCharType="end"/>
      </w:r>
    </w:p>
    <w:p>
      <w:pPr>
        <w:pStyle w:val="TOC8"/>
        <w:rPr>
          <w:sz w:val="24"/>
          <w:szCs w:val="24"/>
          <w:lang w:val="en-US"/>
        </w:rPr>
      </w:pPr>
      <w:r>
        <w:t>8B.</w:t>
      </w:r>
      <w:r>
        <w:tab/>
        <w:t>Favourite numbers, use of</w:t>
      </w:r>
      <w:r>
        <w:tab/>
      </w:r>
      <w:r>
        <w:fldChar w:fldCharType="begin"/>
      </w:r>
      <w:r>
        <w:instrText xml:space="preserve"> PAGEREF _Toc328461853 \h </w:instrText>
      </w:r>
      <w:r>
        <w:fldChar w:fldCharType="separate"/>
      </w:r>
      <w:r>
        <w:t>8</w:t>
      </w:r>
      <w:r>
        <w:fldChar w:fldCharType="end"/>
      </w:r>
    </w:p>
    <w:p>
      <w:pPr>
        <w:pStyle w:val="TOC8"/>
        <w:rPr>
          <w:sz w:val="24"/>
          <w:szCs w:val="24"/>
          <w:lang w:val="en-US"/>
        </w:rPr>
      </w:pPr>
      <w:r>
        <w:t>9</w:t>
      </w:r>
      <w:r>
        <w:rPr>
          <w:snapToGrid w:val="0"/>
        </w:rPr>
        <w:t>.</w:t>
      </w:r>
      <w:r>
        <w:rPr>
          <w:snapToGrid w:val="0"/>
        </w:rPr>
        <w:tab/>
        <w:t>Oral request for entry</w:t>
      </w:r>
      <w:r>
        <w:tab/>
      </w:r>
      <w:r>
        <w:fldChar w:fldCharType="begin"/>
      </w:r>
      <w:r>
        <w:instrText xml:space="preserve"> PAGEREF _Toc328461854 \h </w:instrText>
      </w:r>
      <w:r>
        <w:fldChar w:fldCharType="separate"/>
      </w:r>
      <w:r>
        <w:t>8</w:t>
      </w:r>
      <w:r>
        <w:fldChar w:fldCharType="end"/>
      </w:r>
    </w:p>
    <w:p>
      <w:pPr>
        <w:pStyle w:val="TOC8"/>
        <w:rPr>
          <w:sz w:val="24"/>
          <w:szCs w:val="24"/>
          <w:lang w:val="en-US"/>
        </w:rPr>
      </w:pPr>
      <w:r>
        <w:t>10</w:t>
      </w:r>
      <w:r>
        <w:rPr>
          <w:snapToGrid w:val="0"/>
        </w:rPr>
        <w:t>.</w:t>
      </w:r>
      <w:r>
        <w:rPr>
          <w:snapToGrid w:val="0"/>
        </w:rPr>
        <w:tab/>
        <w:t>Postal entry</w:t>
      </w:r>
      <w:r>
        <w:tab/>
      </w:r>
      <w:r>
        <w:fldChar w:fldCharType="begin"/>
      </w:r>
      <w:r>
        <w:instrText xml:space="preserve"> PAGEREF _Toc328461855 \h </w:instrText>
      </w:r>
      <w:r>
        <w:fldChar w:fldCharType="separate"/>
      </w:r>
      <w:r>
        <w:t>9</w:t>
      </w:r>
      <w:r>
        <w:fldChar w:fldCharType="end"/>
      </w:r>
    </w:p>
    <w:p>
      <w:pPr>
        <w:pStyle w:val="TOC8"/>
        <w:rPr>
          <w:sz w:val="24"/>
          <w:szCs w:val="24"/>
          <w:lang w:val="en-US"/>
        </w:rPr>
      </w:pPr>
      <w:r>
        <w:t>11</w:t>
      </w:r>
      <w:r>
        <w:rPr>
          <w:snapToGrid w:val="0"/>
        </w:rPr>
        <w:t>.</w:t>
      </w:r>
      <w:r>
        <w:rPr>
          <w:snapToGrid w:val="0"/>
        </w:rPr>
        <w:tab/>
        <w:t>Receipted tickets to be issued</w:t>
      </w:r>
      <w:r>
        <w:tab/>
      </w:r>
      <w:r>
        <w:fldChar w:fldCharType="begin"/>
      </w:r>
      <w:r>
        <w:instrText xml:space="preserve"> PAGEREF _Toc328461856 \h </w:instrText>
      </w:r>
      <w:r>
        <w:fldChar w:fldCharType="separate"/>
      </w:r>
      <w:r>
        <w:t>11</w:t>
      </w:r>
      <w:r>
        <w:fldChar w:fldCharType="end"/>
      </w:r>
    </w:p>
    <w:p>
      <w:pPr>
        <w:pStyle w:val="TOC8"/>
        <w:rPr>
          <w:sz w:val="24"/>
          <w:szCs w:val="24"/>
          <w:lang w:val="en-US"/>
        </w:rPr>
      </w:pPr>
      <w:r>
        <w:t>12</w:t>
      </w:r>
      <w:r>
        <w:rPr>
          <w:snapToGrid w:val="0"/>
        </w:rPr>
        <w:t>.</w:t>
      </w:r>
      <w:r>
        <w:rPr>
          <w:snapToGrid w:val="0"/>
        </w:rPr>
        <w:tab/>
        <w:t>Receipted tickets, surrender of</w:t>
      </w:r>
      <w:r>
        <w:tab/>
      </w:r>
      <w:r>
        <w:fldChar w:fldCharType="begin"/>
      </w:r>
      <w:r>
        <w:instrText xml:space="preserve"> PAGEREF _Toc328461857 \h </w:instrText>
      </w:r>
      <w:r>
        <w:fldChar w:fldCharType="separate"/>
      </w:r>
      <w:r>
        <w:t>11</w:t>
      </w:r>
      <w:r>
        <w:fldChar w:fldCharType="end"/>
      </w:r>
    </w:p>
    <w:p>
      <w:pPr>
        <w:pStyle w:val="TOC8"/>
        <w:rPr>
          <w:sz w:val="24"/>
          <w:szCs w:val="24"/>
          <w:lang w:val="en-US"/>
        </w:rPr>
      </w:pPr>
      <w:r>
        <w:t>13</w:t>
      </w:r>
      <w:r>
        <w:rPr>
          <w:snapToGrid w:val="0"/>
        </w:rPr>
        <w:t>.</w:t>
      </w:r>
      <w:r>
        <w:rPr>
          <w:snapToGrid w:val="0"/>
        </w:rPr>
        <w:tab/>
        <w:t>Receipted tickets, agents not required to check accuracy of</w:t>
      </w:r>
      <w:r>
        <w:tab/>
      </w:r>
      <w:r>
        <w:fldChar w:fldCharType="begin"/>
      </w:r>
      <w:r>
        <w:instrText xml:space="preserve"> PAGEREF _Toc328461858 \h </w:instrText>
      </w:r>
      <w:r>
        <w:fldChar w:fldCharType="separate"/>
      </w:r>
      <w:r>
        <w:t>12</w:t>
      </w:r>
      <w:r>
        <w:fldChar w:fldCharType="end"/>
      </w:r>
    </w:p>
    <w:p>
      <w:pPr>
        <w:pStyle w:val="TOC8"/>
        <w:rPr>
          <w:sz w:val="24"/>
          <w:szCs w:val="24"/>
          <w:lang w:val="en-US"/>
        </w:rPr>
      </w:pPr>
      <w:r>
        <w:t>14</w:t>
      </w:r>
      <w:r>
        <w:rPr>
          <w:snapToGrid w:val="0"/>
        </w:rPr>
        <w:t>.</w:t>
      </w:r>
      <w:r>
        <w:rPr>
          <w:snapToGrid w:val="0"/>
        </w:rPr>
        <w:tab/>
        <w:t>Receipted tickets, effect of</w:t>
      </w:r>
      <w:r>
        <w:tab/>
      </w:r>
      <w:r>
        <w:fldChar w:fldCharType="begin"/>
      </w:r>
      <w:r>
        <w:instrText xml:space="preserve"> PAGEREF _Toc328461859 \h </w:instrText>
      </w:r>
      <w:r>
        <w:fldChar w:fldCharType="separate"/>
      </w:r>
      <w:r>
        <w:t>12</w:t>
      </w:r>
      <w:r>
        <w:fldChar w:fldCharType="end"/>
      </w:r>
    </w:p>
    <w:p>
      <w:pPr>
        <w:pStyle w:val="TOC2"/>
        <w:tabs>
          <w:tab w:val="right" w:leader="dot" w:pos="7086"/>
        </w:tabs>
        <w:rPr>
          <w:b w:val="0"/>
          <w:sz w:val="24"/>
          <w:szCs w:val="24"/>
          <w:lang w:val="en-US"/>
        </w:rPr>
      </w:pPr>
      <w:r>
        <w:t>Part 2A</w:t>
      </w:r>
      <w:r>
        <w:rPr>
          <w:b w:val="0"/>
        </w:rPr>
        <w:t> </w:t>
      </w:r>
      <w:r>
        <w:t>—</w:t>
      </w:r>
      <w:r>
        <w:rPr>
          <w:b w:val="0"/>
        </w:rPr>
        <w:t> </w:t>
      </w:r>
      <w:r>
        <w:t>Syndicate entries</w:t>
      </w:r>
    </w:p>
    <w:p>
      <w:pPr>
        <w:pStyle w:val="TOC8"/>
        <w:rPr>
          <w:sz w:val="24"/>
          <w:szCs w:val="24"/>
          <w:lang w:val="en-US"/>
        </w:rPr>
      </w:pPr>
      <w:r>
        <w:t>14A.</w:t>
      </w:r>
      <w:r>
        <w:tab/>
        <w:t>Informal syndicate entries; application of this Part</w:t>
      </w:r>
      <w:r>
        <w:tab/>
      </w:r>
      <w:r>
        <w:fldChar w:fldCharType="begin"/>
      </w:r>
      <w:r>
        <w:instrText xml:space="preserve"> PAGEREF _Toc328461861 \h </w:instrText>
      </w:r>
      <w:r>
        <w:fldChar w:fldCharType="separate"/>
      </w:r>
      <w:r>
        <w:t>14</w:t>
      </w:r>
      <w:r>
        <w:fldChar w:fldCharType="end"/>
      </w:r>
    </w:p>
    <w:p>
      <w:pPr>
        <w:pStyle w:val="TOC8"/>
        <w:rPr>
          <w:sz w:val="24"/>
          <w:szCs w:val="24"/>
          <w:lang w:val="en-US"/>
        </w:rPr>
      </w:pPr>
      <w:r>
        <w:t>14B.</w:t>
      </w:r>
      <w:r>
        <w:tab/>
        <w:t>Creating a syndicate</w:t>
      </w:r>
      <w:r>
        <w:tab/>
      </w:r>
      <w:r>
        <w:fldChar w:fldCharType="begin"/>
      </w:r>
      <w:r>
        <w:instrText xml:space="preserve"> PAGEREF _Toc328461862 \h </w:instrText>
      </w:r>
      <w:r>
        <w:fldChar w:fldCharType="separate"/>
      </w:r>
      <w:r>
        <w:t>14</w:t>
      </w:r>
      <w:r>
        <w:fldChar w:fldCharType="end"/>
      </w:r>
    </w:p>
    <w:p>
      <w:pPr>
        <w:pStyle w:val="TOC8"/>
        <w:rPr>
          <w:sz w:val="24"/>
          <w:szCs w:val="24"/>
          <w:lang w:val="en-US"/>
        </w:rPr>
      </w:pPr>
      <w:r>
        <w:t>14C.</w:t>
      </w:r>
      <w:r>
        <w:tab/>
        <w:t>Syndicate share numbers and cost parameters</w:t>
      </w:r>
      <w:r>
        <w:tab/>
      </w:r>
      <w:r>
        <w:fldChar w:fldCharType="begin"/>
      </w:r>
      <w:r>
        <w:instrText xml:space="preserve"> PAGEREF _Toc328461863 \h </w:instrText>
      </w:r>
      <w:r>
        <w:fldChar w:fldCharType="separate"/>
      </w:r>
      <w:r>
        <w:t>15</w:t>
      </w:r>
      <w:r>
        <w:fldChar w:fldCharType="end"/>
      </w:r>
    </w:p>
    <w:p>
      <w:pPr>
        <w:pStyle w:val="TOC8"/>
        <w:rPr>
          <w:sz w:val="24"/>
          <w:szCs w:val="24"/>
          <w:lang w:val="en-US"/>
        </w:rPr>
      </w:pPr>
      <w:r>
        <w:t>14D.</w:t>
      </w:r>
      <w:r>
        <w:tab/>
        <w:t>Agent’s component of syndicate share</w:t>
      </w:r>
      <w:r>
        <w:tab/>
      </w:r>
      <w:r>
        <w:fldChar w:fldCharType="begin"/>
      </w:r>
      <w:r>
        <w:instrText xml:space="preserve"> PAGEREF _Toc328461864 \h </w:instrText>
      </w:r>
      <w:r>
        <w:fldChar w:fldCharType="separate"/>
      </w:r>
      <w:r>
        <w:t>15</w:t>
      </w:r>
      <w:r>
        <w:fldChar w:fldCharType="end"/>
      </w:r>
    </w:p>
    <w:p>
      <w:pPr>
        <w:pStyle w:val="TOC8"/>
        <w:rPr>
          <w:sz w:val="24"/>
          <w:szCs w:val="24"/>
          <w:lang w:val="en-US"/>
        </w:rPr>
      </w:pPr>
      <w:r>
        <w:t>14E.</w:t>
      </w:r>
      <w:r>
        <w:tab/>
        <w:t>Syndicate participation parameters</w:t>
      </w:r>
      <w:r>
        <w:tab/>
      </w:r>
      <w:r>
        <w:fldChar w:fldCharType="begin"/>
      </w:r>
      <w:r>
        <w:instrText xml:space="preserve"> PAGEREF _Toc328461865 \h </w:instrText>
      </w:r>
      <w:r>
        <w:fldChar w:fldCharType="separate"/>
      </w:r>
      <w:r>
        <w:t>16</w:t>
      </w:r>
      <w:r>
        <w:fldChar w:fldCharType="end"/>
      </w:r>
    </w:p>
    <w:p>
      <w:pPr>
        <w:pStyle w:val="TOC8"/>
        <w:rPr>
          <w:sz w:val="24"/>
          <w:szCs w:val="24"/>
          <w:lang w:val="en-US"/>
        </w:rPr>
      </w:pPr>
      <w:r>
        <w:t>14F.</w:t>
      </w:r>
      <w:r>
        <w:tab/>
        <w:t>Types of syndicate entries</w:t>
      </w:r>
      <w:r>
        <w:tab/>
      </w:r>
      <w:r>
        <w:fldChar w:fldCharType="begin"/>
      </w:r>
      <w:r>
        <w:instrText xml:space="preserve"> PAGEREF _Toc328461866 \h </w:instrText>
      </w:r>
      <w:r>
        <w:fldChar w:fldCharType="separate"/>
      </w:r>
      <w:r>
        <w:t>16</w:t>
      </w:r>
      <w:r>
        <w:fldChar w:fldCharType="end"/>
      </w:r>
    </w:p>
    <w:p>
      <w:pPr>
        <w:pStyle w:val="TOC8"/>
        <w:rPr>
          <w:sz w:val="24"/>
          <w:szCs w:val="24"/>
          <w:lang w:val="en-US"/>
        </w:rPr>
      </w:pPr>
      <w:r>
        <w:t>14G.</w:t>
      </w:r>
      <w:r>
        <w:tab/>
        <w:t>Syndicate share receipted ticket</w:t>
      </w:r>
      <w:r>
        <w:tab/>
      </w:r>
      <w:r>
        <w:fldChar w:fldCharType="begin"/>
      </w:r>
      <w:r>
        <w:instrText xml:space="preserve"> PAGEREF _Toc328461867 \h </w:instrText>
      </w:r>
      <w:r>
        <w:fldChar w:fldCharType="separate"/>
      </w:r>
      <w:r>
        <w:t>16</w:t>
      </w:r>
      <w:r>
        <w:fldChar w:fldCharType="end"/>
      </w:r>
    </w:p>
    <w:p>
      <w:pPr>
        <w:pStyle w:val="TOC8"/>
        <w:rPr>
          <w:sz w:val="24"/>
          <w:szCs w:val="24"/>
          <w:lang w:val="en-US"/>
        </w:rPr>
      </w:pPr>
      <w:r>
        <w:t>14H.</w:t>
      </w:r>
      <w:r>
        <w:tab/>
        <w:t>Unsold shares in some syndicates; syndicate master ticket</w:t>
      </w:r>
      <w:r>
        <w:tab/>
      </w:r>
      <w:r>
        <w:fldChar w:fldCharType="begin"/>
      </w:r>
      <w:r>
        <w:instrText xml:space="preserve"> PAGEREF _Toc328461868 \h </w:instrText>
      </w:r>
      <w:r>
        <w:fldChar w:fldCharType="separate"/>
      </w:r>
      <w:r>
        <w:t>17</w:t>
      </w:r>
      <w:r>
        <w:fldChar w:fldCharType="end"/>
      </w:r>
    </w:p>
    <w:p>
      <w:pPr>
        <w:pStyle w:val="TOC2"/>
        <w:tabs>
          <w:tab w:val="right" w:leader="dot" w:pos="7086"/>
        </w:tabs>
        <w:rPr>
          <w:b w:val="0"/>
          <w:sz w:val="24"/>
          <w:szCs w:val="24"/>
          <w:lang w:val="en-US"/>
        </w:rPr>
      </w:pPr>
      <w:r>
        <w:t>Part 3 — General duties of Commission</w:t>
      </w:r>
    </w:p>
    <w:p>
      <w:pPr>
        <w:pStyle w:val="TOC8"/>
        <w:rPr>
          <w:sz w:val="24"/>
          <w:szCs w:val="24"/>
          <w:lang w:val="en-US"/>
        </w:rPr>
      </w:pPr>
      <w:r>
        <w:t>15</w:t>
      </w:r>
      <w:r>
        <w:rPr>
          <w:snapToGrid w:val="0"/>
        </w:rPr>
        <w:t>.</w:t>
      </w:r>
      <w:r>
        <w:rPr>
          <w:snapToGrid w:val="0"/>
        </w:rPr>
        <w:tab/>
        <w:t>Monday and Wednesday draws to be numbered</w:t>
      </w:r>
      <w:r>
        <w:tab/>
      </w:r>
      <w:r>
        <w:fldChar w:fldCharType="begin"/>
      </w:r>
      <w:r>
        <w:instrText xml:space="preserve"> PAGEREF _Toc328461870 \h </w:instrText>
      </w:r>
      <w:r>
        <w:fldChar w:fldCharType="separate"/>
      </w:r>
      <w:r>
        <w:t>18</w:t>
      </w:r>
      <w:r>
        <w:fldChar w:fldCharType="end"/>
      </w:r>
    </w:p>
    <w:p>
      <w:pPr>
        <w:pStyle w:val="TOC8"/>
        <w:rPr>
          <w:sz w:val="24"/>
          <w:szCs w:val="24"/>
          <w:lang w:val="en-US"/>
        </w:rPr>
      </w:pPr>
      <w:r>
        <w:t>16.</w:t>
      </w:r>
      <w:r>
        <w:tab/>
        <w:t>Lotto draw to be supervised</w:t>
      </w:r>
      <w:r>
        <w:tab/>
      </w:r>
      <w:r>
        <w:fldChar w:fldCharType="begin"/>
      </w:r>
      <w:r>
        <w:instrText xml:space="preserve"> PAGEREF _Toc328461871 \h </w:instrText>
      </w:r>
      <w:r>
        <w:fldChar w:fldCharType="separate"/>
      </w:r>
      <w:r>
        <w:t>18</w:t>
      </w:r>
      <w:r>
        <w:fldChar w:fldCharType="end"/>
      </w:r>
    </w:p>
    <w:p>
      <w:pPr>
        <w:pStyle w:val="TOC8"/>
        <w:rPr>
          <w:sz w:val="24"/>
          <w:szCs w:val="24"/>
          <w:lang w:val="en-US"/>
        </w:rPr>
      </w:pPr>
      <w:r>
        <w:t>17</w:t>
      </w:r>
      <w:r>
        <w:rPr>
          <w:snapToGrid w:val="0"/>
        </w:rPr>
        <w:t>.</w:t>
      </w:r>
      <w:r>
        <w:rPr>
          <w:snapToGrid w:val="0"/>
        </w:rPr>
        <w:tab/>
        <w:t>Lotto draw results etc. to be published</w:t>
      </w:r>
      <w:r>
        <w:tab/>
      </w:r>
      <w:r>
        <w:fldChar w:fldCharType="begin"/>
      </w:r>
      <w:r>
        <w:instrText xml:space="preserve"> PAGEREF _Toc328461872 \h </w:instrText>
      </w:r>
      <w:r>
        <w:fldChar w:fldCharType="separate"/>
      </w:r>
      <w:r>
        <w:t>18</w:t>
      </w:r>
      <w:r>
        <w:fldChar w:fldCharType="end"/>
      </w:r>
    </w:p>
    <w:p>
      <w:pPr>
        <w:pStyle w:val="TOC8"/>
        <w:rPr>
          <w:sz w:val="24"/>
          <w:szCs w:val="24"/>
          <w:lang w:val="en-US"/>
        </w:rPr>
      </w:pPr>
      <w:r>
        <w:t>18</w:t>
      </w:r>
      <w:r>
        <w:rPr>
          <w:snapToGrid w:val="0"/>
        </w:rPr>
        <w:t>.</w:t>
      </w:r>
      <w:r>
        <w:rPr>
          <w:snapToGrid w:val="0"/>
        </w:rPr>
        <w:tab/>
        <w:t>Monday and Wednesday Lotto Bloc prize pool and prize reserve fund</w:t>
      </w:r>
      <w:r>
        <w:tab/>
      </w:r>
      <w:r>
        <w:fldChar w:fldCharType="begin"/>
      </w:r>
      <w:r>
        <w:instrText xml:space="preserve"> PAGEREF _Toc328461873 \h </w:instrText>
      </w:r>
      <w:r>
        <w:fldChar w:fldCharType="separate"/>
      </w:r>
      <w:r>
        <w:t>18</w:t>
      </w:r>
      <w:r>
        <w:fldChar w:fldCharType="end"/>
      </w:r>
    </w:p>
    <w:p>
      <w:pPr>
        <w:pStyle w:val="TOC2"/>
        <w:tabs>
          <w:tab w:val="right" w:leader="dot" w:pos="7086"/>
        </w:tabs>
        <w:rPr>
          <w:b w:val="0"/>
          <w:sz w:val="24"/>
          <w:szCs w:val="24"/>
          <w:lang w:val="en-US"/>
        </w:rPr>
      </w:pPr>
      <w:r>
        <w:t>Part 4 — Conducting a lotto draw</w:t>
      </w:r>
    </w:p>
    <w:p>
      <w:pPr>
        <w:pStyle w:val="TOC8"/>
        <w:rPr>
          <w:sz w:val="24"/>
          <w:szCs w:val="24"/>
          <w:lang w:val="en-US"/>
        </w:rPr>
      </w:pPr>
      <w:r>
        <w:t>19</w:t>
      </w:r>
      <w:r>
        <w:rPr>
          <w:snapToGrid w:val="0"/>
        </w:rPr>
        <w:t>.</w:t>
      </w:r>
      <w:r>
        <w:rPr>
          <w:snapToGrid w:val="0"/>
        </w:rPr>
        <w:tab/>
        <w:t>Lotto draw, nature of</w:t>
      </w:r>
      <w:r>
        <w:tab/>
      </w:r>
      <w:r>
        <w:fldChar w:fldCharType="begin"/>
      </w:r>
      <w:r>
        <w:instrText xml:space="preserve"> PAGEREF _Toc328461875 \h </w:instrText>
      </w:r>
      <w:r>
        <w:fldChar w:fldCharType="separate"/>
      </w:r>
      <w:r>
        <w:t>20</w:t>
      </w:r>
      <w:r>
        <w:fldChar w:fldCharType="end"/>
      </w:r>
    </w:p>
    <w:p>
      <w:pPr>
        <w:pStyle w:val="TOC8"/>
        <w:rPr>
          <w:sz w:val="24"/>
          <w:szCs w:val="24"/>
          <w:lang w:val="en-US"/>
        </w:rPr>
      </w:pPr>
      <w:r>
        <w:t>20</w:t>
      </w:r>
      <w:r>
        <w:rPr>
          <w:snapToGrid w:val="0"/>
        </w:rPr>
        <w:t>.</w:t>
      </w:r>
      <w:r>
        <w:rPr>
          <w:snapToGrid w:val="0"/>
        </w:rPr>
        <w:tab/>
        <w:t>Criteria for winning</w:t>
      </w:r>
      <w:r>
        <w:tab/>
      </w:r>
      <w:r>
        <w:fldChar w:fldCharType="begin"/>
      </w:r>
      <w:r>
        <w:instrText xml:space="preserve"> PAGEREF _Toc328461876 \h </w:instrText>
      </w:r>
      <w:r>
        <w:fldChar w:fldCharType="separate"/>
      </w:r>
      <w:r>
        <w:t>20</w:t>
      </w:r>
      <w:r>
        <w:fldChar w:fldCharType="end"/>
      </w:r>
    </w:p>
    <w:p>
      <w:pPr>
        <w:pStyle w:val="TOC8"/>
        <w:rPr>
          <w:sz w:val="24"/>
          <w:szCs w:val="24"/>
          <w:lang w:val="en-US"/>
        </w:rPr>
      </w:pPr>
      <w:r>
        <w:t>21</w:t>
      </w:r>
      <w:r>
        <w:rPr>
          <w:snapToGrid w:val="0"/>
        </w:rPr>
        <w:t>.</w:t>
      </w:r>
      <w:r>
        <w:rPr>
          <w:snapToGrid w:val="0"/>
        </w:rPr>
        <w:tab/>
        <w:t>Which divisions can be won by a receipted ticket</w:t>
      </w:r>
      <w:r>
        <w:tab/>
      </w:r>
      <w:r>
        <w:fldChar w:fldCharType="begin"/>
      </w:r>
      <w:r>
        <w:instrText xml:space="preserve"> PAGEREF _Toc328461877 \h </w:instrText>
      </w:r>
      <w:r>
        <w:fldChar w:fldCharType="separate"/>
      </w:r>
      <w:r>
        <w:t>21</w:t>
      </w:r>
      <w:r>
        <w:fldChar w:fldCharType="end"/>
      </w:r>
    </w:p>
    <w:p>
      <w:pPr>
        <w:pStyle w:val="TOC8"/>
        <w:rPr>
          <w:sz w:val="24"/>
          <w:szCs w:val="24"/>
          <w:lang w:val="en-US"/>
        </w:rPr>
      </w:pPr>
      <w:r>
        <w:t>22</w:t>
      </w:r>
      <w:r>
        <w:rPr>
          <w:snapToGrid w:val="0"/>
        </w:rPr>
        <w:t>.</w:t>
      </w:r>
      <w:r>
        <w:rPr>
          <w:snapToGrid w:val="0"/>
        </w:rPr>
        <w:tab/>
        <w:t>Distribution of prize pool</w:t>
      </w:r>
      <w:r>
        <w:tab/>
      </w:r>
      <w:r>
        <w:fldChar w:fldCharType="begin"/>
      </w:r>
      <w:r>
        <w:instrText xml:space="preserve"> PAGEREF _Toc328461878 \h </w:instrText>
      </w:r>
      <w:r>
        <w:fldChar w:fldCharType="separate"/>
      </w:r>
      <w:r>
        <w:t>21</w:t>
      </w:r>
      <w:r>
        <w:fldChar w:fldCharType="end"/>
      </w:r>
    </w:p>
    <w:p>
      <w:pPr>
        <w:pStyle w:val="TOC8"/>
        <w:rPr>
          <w:sz w:val="24"/>
          <w:szCs w:val="24"/>
          <w:lang w:val="en-US"/>
        </w:rPr>
      </w:pPr>
      <w:r>
        <w:t>23.</w:t>
      </w:r>
      <w:r>
        <w:tab/>
        <w:t>Division 1, application of prize reserve fund to</w:t>
      </w:r>
      <w:r>
        <w:tab/>
      </w:r>
      <w:r>
        <w:fldChar w:fldCharType="begin"/>
      </w:r>
      <w:r>
        <w:instrText xml:space="preserve"> PAGEREF _Toc328461879 \h </w:instrText>
      </w:r>
      <w:r>
        <w:fldChar w:fldCharType="separate"/>
      </w:r>
      <w:r>
        <w:t>22</w:t>
      </w:r>
      <w:r>
        <w:fldChar w:fldCharType="end"/>
      </w:r>
    </w:p>
    <w:p>
      <w:pPr>
        <w:pStyle w:val="TOC8"/>
        <w:rPr>
          <w:sz w:val="24"/>
          <w:szCs w:val="24"/>
          <w:lang w:val="en-US"/>
        </w:rPr>
      </w:pPr>
      <w:r>
        <w:t>24</w:t>
      </w:r>
      <w:r>
        <w:rPr>
          <w:snapToGrid w:val="0"/>
        </w:rPr>
        <w:t>.</w:t>
      </w:r>
      <w:r>
        <w:rPr>
          <w:snapToGrid w:val="0"/>
        </w:rPr>
        <w:tab/>
      </w:r>
      <w:r>
        <w:t>Divisions 2 to 5 prize not won, application of prize pool in case of</w:t>
      </w:r>
      <w:r>
        <w:tab/>
      </w:r>
      <w:r>
        <w:fldChar w:fldCharType="begin"/>
      </w:r>
      <w:r>
        <w:instrText xml:space="preserve"> PAGEREF _Toc328461880 \h </w:instrText>
      </w:r>
      <w:r>
        <w:fldChar w:fldCharType="separate"/>
      </w:r>
      <w:r>
        <w:t>22</w:t>
      </w:r>
      <w:r>
        <w:fldChar w:fldCharType="end"/>
      </w:r>
    </w:p>
    <w:p>
      <w:pPr>
        <w:pStyle w:val="TOC8"/>
        <w:rPr>
          <w:sz w:val="24"/>
          <w:szCs w:val="24"/>
          <w:lang w:val="en-US"/>
        </w:rPr>
      </w:pPr>
      <w:r>
        <w:t>26</w:t>
      </w:r>
      <w:r>
        <w:rPr>
          <w:snapToGrid w:val="0"/>
        </w:rPr>
        <w:t>.</w:t>
      </w:r>
      <w:r>
        <w:rPr>
          <w:snapToGrid w:val="0"/>
        </w:rPr>
        <w:tab/>
        <w:t>Division 1 prizes, claims for and payment of</w:t>
      </w:r>
      <w:r>
        <w:tab/>
      </w:r>
      <w:r>
        <w:fldChar w:fldCharType="begin"/>
      </w:r>
      <w:r>
        <w:instrText xml:space="preserve"> PAGEREF _Toc328461881 \h </w:instrText>
      </w:r>
      <w:r>
        <w:fldChar w:fldCharType="separate"/>
      </w:r>
      <w:r>
        <w:t>22</w:t>
      </w:r>
      <w:r>
        <w:fldChar w:fldCharType="end"/>
      </w:r>
    </w:p>
    <w:p>
      <w:pPr>
        <w:pStyle w:val="TOC8"/>
        <w:rPr>
          <w:sz w:val="24"/>
          <w:szCs w:val="24"/>
          <w:lang w:val="en-US"/>
        </w:rPr>
      </w:pPr>
      <w:r>
        <w:t>27</w:t>
      </w:r>
      <w:r>
        <w:rPr>
          <w:snapToGrid w:val="0"/>
        </w:rPr>
        <w:t>.</w:t>
      </w:r>
      <w:r>
        <w:rPr>
          <w:snapToGrid w:val="0"/>
        </w:rPr>
        <w:tab/>
        <w:t>Division 2 prizes, claims for and payment of</w:t>
      </w:r>
      <w:r>
        <w:tab/>
      </w:r>
      <w:r>
        <w:fldChar w:fldCharType="begin"/>
      </w:r>
      <w:r>
        <w:instrText xml:space="preserve"> PAGEREF _Toc328461882 \h </w:instrText>
      </w:r>
      <w:r>
        <w:fldChar w:fldCharType="separate"/>
      </w:r>
      <w:r>
        <w:t>24</w:t>
      </w:r>
      <w:r>
        <w:fldChar w:fldCharType="end"/>
      </w:r>
    </w:p>
    <w:p>
      <w:pPr>
        <w:pStyle w:val="TOC8"/>
        <w:rPr>
          <w:sz w:val="24"/>
          <w:szCs w:val="24"/>
          <w:lang w:val="en-US"/>
        </w:rPr>
      </w:pPr>
      <w:r>
        <w:t>28</w:t>
      </w:r>
      <w:r>
        <w:rPr>
          <w:snapToGrid w:val="0"/>
        </w:rPr>
        <w:t>.</w:t>
      </w:r>
      <w:r>
        <w:rPr>
          <w:snapToGrid w:val="0"/>
        </w:rPr>
        <w:tab/>
      </w:r>
      <w:r>
        <w:t>Division 3 to 6 prizes, claims for and payment of</w:t>
      </w:r>
      <w:r>
        <w:tab/>
      </w:r>
      <w:r>
        <w:fldChar w:fldCharType="begin"/>
      </w:r>
      <w:r>
        <w:instrText xml:space="preserve"> PAGEREF _Toc328461883 \h </w:instrText>
      </w:r>
      <w:r>
        <w:fldChar w:fldCharType="separate"/>
      </w:r>
      <w:r>
        <w:t>24</w:t>
      </w:r>
      <w:r>
        <w:fldChar w:fldCharType="end"/>
      </w:r>
    </w:p>
    <w:p>
      <w:pPr>
        <w:pStyle w:val="TOC8"/>
        <w:rPr>
          <w:sz w:val="24"/>
          <w:szCs w:val="24"/>
          <w:lang w:val="en-US"/>
        </w:rPr>
      </w:pPr>
      <w:r>
        <w:t>28A.</w:t>
      </w:r>
      <w:r>
        <w:tab/>
        <w:t>Syndicate share prizes, claims for and payment of</w:t>
      </w:r>
      <w:r>
        <w:tab/>
      </w:r>
      <w:r>
        <w:fldChar w:fldCharType="begin"/>
      </w:r>
      <w:r>
        <w:instrText xml:space="preserve"> PAGEREF _Toc328461884 \h </w:instrText>
      </w:r>
      <w:r>
        <w:fldChar w:fldCharType="separate"/>
      </w:r>
      <w:r>
        <w:t>25</w:t>
      </w:r>
      <w:r>
        <w:fldChar w:fldCharType="end"/>
      </w:r>
    </w:p>
    <w:p>
      <w:pPr>
        <w:pStyle w:val="TOC8"/>
        <w:rPr>
          <w:sz w:val="24"/>
          <w:szCs w:val="24"/>
          <w:lang w:val="en-US"/>
        </w:rPr>
      </w:pPr>
      <w:r>
        <w:t>29</w:t>
      </w:r>
      <w:r>
        <w:rPr>
          <w:snapToGrid w:val="0"/>
        </w:rPr>
        <w:t>.</w:t>
      </w:r>
      <w:r>
        <w:rPr>
          <w:snapToGrid w:val="0"/>
        </w:rPr>
        <w:tab/>
        <w:t>Statutory declaration as to compliance with law, Commission may require</w:t>
      </w:r>
      <w:r>
        <w:tab/>
      </w:r>
      <w:r>
        <w:fldChar w:fldCharType="begin"/>
      </w:r>
      <w:r>
        <w:instrText xml:space="preserve"> PAGEREF _Toc328461885 \h </w:instrText>
      </w:r>
      <w:r>
        <w:fldChar w:fldCharType="separate"/>
      </w:r>
      <w:r>
        <w:t>26</w:t>
      </w:r>
      <w:r>
        <w:fldChar w:fldCharType="end"/>
      </w:r>
    </w:p>
    <w:p>
      <w:pPr>
        <w:pStyle w:val="TOC8"/>
        <w:rPr>
          <w:sz w:val="24"/>
          <w:szCs w:val="24"/>
          <w:lang w:val="en-US"/>
        </w:rPr>
      </w:pPr>
      <w:r>
        <w:t>30</w:t>
      </w:r>
      <w:r>
        <w:rPr>
          <w:snapToGrid w:val="0"/>
        </w:rPr>
        <w:t>.</w:t>
      </w:r>
      <w:r>
        <w:rPr>
          <w:snapToGrid w:val="0"/>
        </w:rPr>
        <w:tab/>
        <w:t>Names and addresses of prize winners, publishing</w:t>
      </w:r>
      <w:r>
        <w:tab/>
      </w:r>
      <w:r>
        <w:fldChar w:fldCharType="begin"/>
      </w:r>
      <w:r>
        <w:instrText xml:space="preserve"> PAGEREF _Toc328461886 \h </w:instrText>
      </w:r>
      <w:r>
        <w:fldChar w:fldCharType="separate"/>
      </w:r>
      <w:r>
        <w:t>26</w:t>
      </w:r>
      <w:r>
        <w:fldChar w:fldCharType="end"/>
      </w:r>
    </w:p>
    <w:p>
      <w:pPr>
        <w:pStyle w:val="TOC8"/>
        <w:rPr>
          <w:sz w:val="24"/>
          <w:szCs w:val="24"/>
          <w:lang w:val="en-US"/>
        </w:rPr>
      </w:pPr>
      <w:r>
        <w:t>31</w:t>
      </w:r>
      <w:r>
        <w:rPr>
          <w:snapToGrid w:val="0"/>
        </w:rPr>
        <w:t>.</w:t>
      </w:r>
      <w:r>
        <w:rPr>
          <w:snapToGrid w:val="0"/>
        </w:rPr>
        <w:tab/>
        <w:t>Player Registration Service</w:t>
      </w:r>
      <w:r>
        <w:tab/>
      </w:r>
      <w:r>
        <w:fldChar w:fldCharType="begin"/>
      </w:r>
      <w:r>
        <w:instrText xml:space="preserve"> PAGEREF _Toc328461887 \h </w:instrText>
      </w:r>
      <w:r>
        <w:fldChar w:fldCharType="separate"/>
      </w:r>
      <w:r>
        <w:t>27</w:t>
      </w:r>
      <w:r>
        <w:fldChar w:fldCharType="end"/>
      </w:r>
    </w:p>
    <w:p>
      <w:pPr>
        <w:pStyle w:val="TOC8"/>
        <w:rPr>
          <w:sz w:val="24"/>
          <w:szCs w:val="24"/>
          <w:lang w:val="en-US"/>
        </w:rPr>
      </w:pPr>
      <w:r>
        <w:t>31A.</w:t>
      </w:r>
      <w:r>
        <w:tab/>
        <w:t>Player’s card holders may request direct credit of prizes</w:t>
      </w:r>
      <w:r>
        <w:tab/>
      </w:r>
      <w:r>
        <w:fldChar w:fldCharType="begin"/>
      </w:r>
      <w:r>
        <w:instrText xml:space="preserve"> PAGEREF _Toc328461888 \h </w:instrText>
      </w:r>
      <w:r>
        <w:fldChar w:fldCharType="separate"/>
      </w:r>
      <w:r>
        <w:t>28</w:t>
      </w:r>
      <w:r>
        <w:fldChar w:fldCharType="end"/>
      </w:r>
    </w:p>
    <w:p>
      <w:pPr>
        <w:pStyle w:val="TOC8"/>
        <w:rPr>
          <w:sz w:val="24"/>
          <w:szCs w:val="24"/>
          <w:lang w:val="en-US"/>
        </w:rPr>
      </w:pPr>
      <w:r>
        <w:t>31B.</w:t>
      </w:r>
      <w:r>
        <w:tab/>
        <w:t>Favourite numbers, registering by subscribers</w:t>
      </w:r>
      <w:r>
        <w:tab/>
      </w:r>
      <w:r>
        <w:fldChar w:fldCharType="begin"/>
      </w:r>
      <w:r>
        <w:instrText xml:space="preserve"> PAGEREF _Toc328461889 \h </w:instrText>
      </w:r>
      <w:r>
        <w:fldChar w:fldCharType="separate"/>
      </w:r>
      <w:r>
        <w:t>28</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32</w:t>
      </w:r>
      <w:r>
        <w:rPr>
          <w:snapToGrid w:val="0"/>
        </w:rPr>
        <w:t>.</w:t>
      </w:r>
      <w:r>
        <w:rPr>
          <w:snapToGrid w:val="0"/>
        </w:rPr>
        <w:tab/>
        <w:t>Instructions on playslips etc., status of</w:t>
      </w:r>
      <w:r>
        <w:tab/>
      </w:r>
      <w:r>
        <w:fldChar w:fldCharType="begin"/>
      </w:r>
      <w:r>
        <w:instrText xml:space="preserve"> PAGEREF _Toc328461891 \h </w:instrText>
      </w:r>
      <w:r>
        <w:fldChar w:fldCharType="separate"/>
      </w:r>
      <w:r>
        <w:t>29</w:t>
      </w:r>
      <w:r>
        <w:fldChar w:fldCharType="end"/>
      </w:r>
    </w:p>
    <w:p>
      <w:pPr>
        <w:pStyle w:val="TOC8"/>
        <w:rPr>
          <w:sz w:val="24"/>
          <w:szCs w:val="24"/>
          <w:lang w:val="en-US"/>
        </w:rPr>
      </w:pPr>
      <w:r>
        <w:t>33</w:t>
      </w:r>
      <w:r>
        <w:rPr>
          <w:snapToGrid w:val="0"/>
        </w:rPr>
        <w:t>.</w:t>
      </w:r>
      <w:r>
        <w:rPr>
          <w:snapToGrid w:val="0"/>
        </w:rPr>
        <w:tab/>
        <w:t>These rules to be made available etc.</w:t>
      </w:r>
      <w:r>
        <w:tab/>
      </w:r>
      <w:r>
        <w:fldChar w:fldCharType="begin"/>
      </w:r>
      <w:r>
        <w:instrText xml:space="preserve"> PAGEREF _Toc328461892 \h </w:instrText>
      </w:r>
      <w:r>
        <w:fldChar w:fldCharType="separate"/>
      </w:r>
      <w:r>
        <w:t>29</w:t>
      </w:r>
      <w:r>
        <w:fldChar w:fldCharType="end"/>
      </w:r>
    </w:p>
    <w:p>
      <w:pPr>
        <w:pStyle w:val="TOC8"/>
        <w:rPr>
          <w:sz w:val="24"/>
          <w:szCs w:val="24"/>
          <w:lang w:val="en-US"/>
        </w:rPr>
      </w:pPr>
      <w:r>
        <w:t>34</w:t>
      </w:r>
      <w:r>
        <w:rPr>
          <w:snapToGrid w:val="0"/>
        </w:rPr>
        <w:t>.</w:t>
      </w:r>
      <w:r>
        <w:rPr>
          <w:snapToGrid w:val="0"/>
        </w:rPr>
        <w:tab/>
        <w:t>Commission’s decisions are final</w:t>
      </w:r>
      <w:r>
        <w:tab/>
      </w:r>
      <w:r>
        <w:fldChar w:fldCharType="begin"/>
      </w:r>
      <w:r>
        <w:instrText xml:space="preserve"> PAGEREF _Toc328461893 \h </w:instrText>
      </w:r>
      <w:r>
        <w:fldChar w:fldCharType="separate"/>
      </w:r>
      <w:r>
        <w:t>29</w:t>
      </w:r>
      <w:r>
        <w:fldChar w:fldCharType="end"/>
      </w:r>
    </w:p>
    <w:p>
      <w:pPr>
        <w:pStyle w:val="TOC2"/>
        <w:tabs>
          <w:tab w:val="right" w:leader="dot" w:pos="7086"/>
        </w:tabs>
        <w:rPr>
          <w:b w:val="0"/>
          <w:sz w:val="24"/>
          <w:szCs w:val="24"/>
          <w:lang w:val="en-US"/>
        </w:rPr>
      </w:pPr>
      <w:r>
        <w:t>Schedule 1 — Calculating the total cost of entry — Monday lotto or Wednesday lotto draw</w:t>
      </w:r>
    </w:p>
    <w:p>
      <w:pPr>
        <w:pStyle w:val="TOC4"/>
        <w:tabs>
          <w:tab w:val="right" w:leader="dot" w:pos="7086"/>
        </w:tabs>
        <w:rPr>
          <w:b w:val="0"/>
          <w:sz w:val="24"/>
          <w:szCs w:val="24"/>
          <w:lang w:val="en-US"/>
        </w:rPr>
      </w:pPr>
      <w:r>
        <w:t>Part 1 — Up to draw 3115</w:t>
      </w:r>
    </w:p>
    <w:p>
      <w:pPr>
        <w:pStyle w:val="TOC4"/>
        <w:tabs>
          <w:tab w:val="right" w:leader="dot" w:pos="7086"/>
        </w:tabs>
        <w:rPr>
          <w:b w:val="0"/>
          <w:sz w:val="24"/>
          <w:szCs w:val="24"/>
          <w:lang w:val="en-US"/>
        </w:rPr>
      </w:pPr>
      <w:r>
        <w:t>Part 2</w:t>
      </w:r>
      <w:r>
        <w:rPr>
          <w:b w:val="0"/>
        </w:rPr>
        <w:t> — </w:t>
      </w:r>
      <w:r>
        <w:t>On and after draw 3116</w:t>
      </w:r>
    </w:p>
    <w:p>
      <w:pPr>
        <w:pStyle w:val="TOC2"/>
        <w:tabs>
          <w:tab w:val="right" w:leader="dot" w:pos="7086"/>
        </w:tabs>
        <w:rPr>
          <w:b w:val="0"/>
          <w:sz w:val="24"/>
          <w:szCs w:val="24"/>
          <w:lang w:val="en-US"/>
        </w:rPr>
      </w:pPr>
      <w:r>
        <w:t>Schedule 2 — System entries and game equivalents</w:t>
      </w:r>
    </w:p>
    <w:p>
      <w:pPr>
        <w:pStyle w:val="TOC2"/>
        <w:tabs>
          <w:tab w:val="right" w:leader="dot" w:pos="7086"/>
        </w:tabs>
        <w:rPr>
          <w:b w:val="0"/>
          <w:sz w:val="24"/>
          <w:szCs w:val="24"/>
          <w:lang w:val="en-US"/>
        </w:rPr>
      </w:pPr>
      <w:r>
        <w:t>Schedule 3 — System entry prize schedule</w:t>
      </w:r>
    </w:p>
    <w:p>
      <w:pPr>
        <w:pStyle w:val="TOC4"/>
        <w:tabs>
          <w:tab w:val="right" w:leader="dot" w:pos="7086"/>
        </w:tabs>
        <w:rPr>
          <w:b w:val="0"/>
          <w:sz w:val="24"/>
          <w:szCs w:val="24"/>
          <w:lang w:val="en-US"/>
        </w:rPr>
      </w:pPr>
      <w:r>
        <w:t>Part 1 — Up to draw 3115</w:t>
      </w:r>
    </w:p>
    <w:p>
      <w:pPr>
        <w:pStyle w:val="TOC4"/>
        <w:tabs>
          <w:tab w:val="right" w:leader="dot" w:pos="7086"/>
        </w:tabs>
        <w:rPr>
          <w:b w:val="0"/>
          <w:sz w:val="24"/>
          <w:szCs w:val="24"/>
          <w:lang w:val="en-US"/>
        </w:rPr>
      </w:pPr>
      <w:r>
        <w:t>Part 2 — On and after draw 3116</w:t>
      </w:r>
    </w:p>
    <w:p>
      <w:pPr>
        <w:pStyle w:val="TOC2"/>
        <w:tabs>
          <w:tab w:val="right" w:leader="dot" w:pos="7086"/>
        </w:tabs>
        <w:rPr>
          <w:b w:val="0"/>
          <w:sz w:val="24"/>
          <w:szCs w:val="24"/>
          <w:lang w:val="en-US"/>
        </w:rPr>
      </w:pPr>
      <w:r>
        <w:t>Schedule 4 — Summary of parameters within which Monday or Wednesday lotto is conducted</w:t>
      </w:r>
    </w:p>
    <w:p>
      <w:pPr>
        <w:pStyle w:val="TOC4"/>
        <w:tabs>
          <w:tab w:val="right" w:leader="dot" w:pos="7086"/>
        </w:tabs>
        <w:rPr>
          <w:b w:val="0"/>
          <w:sz w:val="24"/>
          <w:szCs w:val="24"/>
          <w:lang w:val="en-US"/>
        </w:rPr>
      </w:pPr>
      <w:r>
        <w:t>Part 1 — Up to draw 3115</w:t>
      </w:r>
    </w:p>
    <w:p>
      <w:pPr>
        <w:pStyle w:val="TOC4"/>
        <w:tabs>
          <w:tab w:val="right" w:leader="dot" w:pos="7086"/>
        </w:tabs>
        <w:rPr>
          <w:b w:val="0"/>
          <w:sz w:val="24"/>
          <w:szCs w:val="24"/>
          <w:lang w:val="en-US"/>
        </w:rPr>
      </w:pPr>
      <w:r>
        <w:t>Part 2 — On and after draw 3116</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_Toc328461905 \h </w:instrText>
      </w:r>
      <w:r>
        <w:fldChar w:fldCharType="separate"/>
      </w:r>
      <w:r>
        <w:t>41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June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1" w:name="_Toc129660681"/>
      <w:bookmarkStart w:id="2" w:name="_Toc129660729"/>
      <w:bookmarkStart w:id="3" w:name="_Toc129669277"/>
      <w:bookmarkStart w:id="4" w:name="_Toc129669333"/>
      <w:bookmarkStart w:id="5" w:name="_Toc129679016"/>
      <w:bookmarkStart w:id="6" w:name="_Toc129679127"/>
      <w:bookmarkStart w:id="7" w:name="_Toc129679175"/>
      <w:bookmarkStart w:id="8" w:name="_Toc130782437"/>
      <w:bookmarkStart w:id="9" w:name="_Toc130782646"/>
      <w:bookmarkStart w:id="10" w:name="_Toc130782694"/>
      <w:bookmarkStart w:id="11" w:name="_Toc133379704"/>
      <w:bookmarkStart w:id="12" w:name="_Toc133385299"/>
      <w:bookmarkStart w:id="13" w:name="_Toc147288387"/>
      <w:bookmarkStart w:id="14" w:name="_Toc170549104"/>
      <w:bookmarkStart w:id="15" w:name="_Toc170620857"/>
      <w:bookmarkStart w:id="16" w:name="_Toc170621009"/>
      <w:bookmarkStart w:id="17" w:name="_Toc200510428"/>
      <w:bookmarkStart w:id="18" w:name="_Toc210787525"/>
      <w:bookmarkStart w:id="19" w:name="_Toc222820785"/>
      <w:bookmarkStart w:id="20" w:name="_Toc222889144"/>
      <w:bookmarkStart w:id="21" w:name="_Toc224108769"/>
      <w:bookmarkStart w:id="22" w:name="_Toc256152898"/>
      <w:bookmarkStart w:id="23" w:name="_Toc277943269"/>
      <w:bookmarkStart w:id="24" w:name="_Toc315428677"/>
      <w:bookmarkStart w:id="25" w:name="_Toc317510705"/>
      <w:bookmarkStart w:id="26" w:name="_Toc317511249"/>
      <w:bookmarkStart w:id="27" w:name="_Toc317578396"/>
      <w:bookmarkStart w:id="28" w:name="_Toc324420107"/>
      <w:bookmarkStart w:id="29" w:name="_Toc324423593"/>
      <w:bookmarkStart w:id="30" w:name="_Toc324424295"/>
      <w:bookmarkStart w:id="31" w:name="_Toc326649669"/>
      <w:bookmarkStart w:id="32" w:name="_Toc326650423"/>
      <w:bookmarkStart w:id="33" w:name="_Toc3284618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23332722"/>
      <w:bookmarkStart w:id="35" w:name="_Toc425219441"/>
      <w:bookmarkStart w:id="36" w:name="_Toc426249308"/>
      <w:bookmarkStart w:id="37" w:name="_Toc449924704"/>
      <w:bookmarkStart w:id="38" w:name="_Toc449947722"/>
      <w:bookmarkStart w:id="39" w:name="_Toc454185713"/>
      <w:bookmarkStart w:id="40" w:name="_Toc515958686"/>
      <w:bookmarkStart w:id="41" w:name="_Toc130782695"/>
      <w:bookmarkStart w:id="42" w:name="_Toc328461843"/>
      <w:r>
        <w:rPr>
          <w:rStyle w:val="CharSectno"/>
        </w:rPr>
        <w:t>1</w:t>
      </w:r>
      <w:r>
        <w:t>.</w:t>
      </w:r>
      <w:r>
        <w:tab/>
        <w:t>Citation</w:t>
      </w:r>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515958687"/>
      <w:bookmarkStart w:id="50" w:name="_Toc130782696"/>
      <w:bookmarkStart w:id="51" w:name="_Toc328461844"/>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These rules come into operation on 27 April 2006 and apply to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52" w:name="_Toc130782697"/>
      <w:bookmarkStart w:id="53" w:name="_Toc328461845"/>
      <w:r>
        <w:rPr>
          <w:rStyle w:val="CharSectno"/>
        </w:rPr>
        <w:t>3</w:t>
      </w:r>
      <w:r>
        <w:t>.</w:t>
      </w:r>
      <w:r>
        <w:tab/>
      </w:r>
      <w:bookmarkEnd w:id="52"/>
      <w:r>
        <w:rPr>
          <w:snapToGrid w:val="0"/>
        </w:rPr>
        <w:t>Terms used</w:t>
      </w:r>
      <w:bookmarkEnd w:id="53"/>
    </w:p>
    <w:p>
      <w:pPr>
        <w:pStyle w:val="Subsection"/>
        <w:rPr>
          <w:snapToGrid w:val="0"/>
        </w:rPr>
      </w:pPr>
      <w:r>
        <w:rPr>
          <w:snapToGrid w:val="0"/>
        </w:rPr>
        <w:tab/>
        <w:t>(1)</w:t>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tab/>
      </w:r>
      <w:r>
        <w:rPr>
          <w:rStyle w:val="CharDefText"/>
        </w:rPr>
        <w:t>lotto draw</w:t>
      </w:r>
      <w:r>
        <w:t xml:space="preserve"> means Monday lotto draw or Wednesday lotto draw;</w:t>
      </w:r>
    </w:p>
    <w:p>
      <w:pPr>
        <w:pStyle w:val="Defstart"/>
      </w:pPr>
      <w:r>
        <w:rPr>
          <w:b/>
        </w:rPr>
        <w:tab/>
      </w:r>
      <w:r>
        <w:rPr>
          <w:rStyle w:val="CharDefText"/>
        </w:rPr>
        <w:t>Monday and Wednesday Lotto Bloc</w:t>
      </w:r>
      <w:r>
        <w:t xml:space="preserve"> means a group made up of the Commission and the designated authorities for the States of South Australia, Victoria and New South Wales;</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In these rules, in relation to Monday lotto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In these rules, in relation to Wednesday lotto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 3 Oct 2008 p. 4495; 19 Nov 2010 p. 5721; 27 Jan 2012 p. 570.]</w:t>
      </w:r>
    </w:p>
    <w:p>
      <w:pPr>
        <w:pStyle w:val="Heading2"/>
      </w:pPr>
      <w:bookmarkStart w:id="54" w:name="_Toc129660685"/>
      <w:bookmarkStart w:id="55" w:name="_Toc129660733"/>
      <w:bookmarkStart w:id="56" w:name="_Toc129669281"/>
      <w:bookmarkStart w:id="57" w:name="_Toc129669337"/>
      <w:bookmarkStart w:id="58" w:name="_Toc129679020"/>
      <w:bookmarkStart w:id="59" w:name="_Toc129679131"/>
      <w:bookmarkStart w:id="60" w:name="_Toc129679179"/>
      <w:bookmarkStart w:id="61" w:name="_Toc130782441"/>
      <w:bookmarkStart w:id="62" w:name="_Toc130782650"/>
      <w:bookmarkStart w:id="63" w:name="_Toc130782698"/>
      <w:bookmarkStart w:id="64" w:name="_Toc133379708"/>
      <w:bookmarkStart w:id="65" w:name="_Toc133385303"/>
      <w:bookmarkStart w:id="66" w:name="_Toc147288391"/>
      <w:bookmarkStart w:id="67" w:name="_Toc170549108"/>
      <w:bookmarkStart w:id="68" w:name="_Toc170620861"/>
      <w:bookmarkStart w:id="69" w:name="_Toc170621013"/>
      <w:bookmarkStart w:id="70" w:name="_Toc200510432"/>
      <w:bookmarkStart w:id="71" w:name="_Toc210787529"/>
      <w:bookmarkStart w:id="72" w:name="_Toc222820789"/>
      <w:bookmarkStart w:id="73" w:name="_Toc222889148"/>
      <w:bookmarkStart w:id="74" w:name="_Toc224108773"/>
      <w:bookmarkStart w:id="75" w:name="_Toc256152902"/>
      <w:bookmarkStart w:id="76" w:name="_Toc277943273"/>
      <w:bookmarkStart w:id="77" w:name="_Toc315428681"/>
      <w:bookmarkStart w:id="78" w:name="_Toc317510709"/>
      <w:bookmarkStart w:id="79" w:name="_Toc317511253"/>
      <w:bookmarkStart w:id="80" w:name="_Toc317578400"/>
      <w:bookmarkStart w:id="81" w:name="_Toc324420111"/>
      <w:bookmarkStart w:id="82" w:name="_Toc324423597"/>
      <w:bookmarkStart w:id="83" w:name="_Toc324424299"/>
      <w:bookmarkStart w:id="84" w:name="_Toc326649673"/>
      <w:bookmarkStart w:id="85" w:name="_Toc326650427"/>
      <w:bookmarkStart w:id="86" w:name="_Toc328461846"/>
      <w:r>
        <w:rPr>
          <w:rStyle w:val="CharPartNo"/>
        </w:rPr>
        <w:t>Part 2</w:t>
      </w:r>
      <w:r>
        <w:rPr>
          <w:rStyle w:val="CharDivNo"/>
        </w:rPr>
        <w:t> </w:t>
      </w:r>
      <w:r>
        <w:t>—</w:t>
      </w:r>
      <w:r>
        <w:rPr>
          <w:rStyle w:val="CharDivText"/>
        </w:rPr>
        <w:t> </w:t>
      </w:r>
      <w:r>
        <w:rPr>
          <w:rStyle w:val="CharPartText"/>
        </w:rPr>
        <w:t>Requirements for entry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5071673"/>
      <w:bookmarkStart w:id="88" w:name="_Toc5071982"/>
      <w:bookmarkStart w:id="89" w:name="_Toc9846747"/>
      <w:bookmarkStart w:id="90" w:name="_Toc48382026"/>
      <w:bookmarkStart w:id="91" w:name="_Toc130782699"/>
      <w:bookmarkStart w:id="92" w:name="_Toc328461847"/>
      <w:r>
        <w:rPr>
          <w:rStyle w:val="CharSectno"/>
        </w:rPr>
        <w:t>4</w:t>
      </w:r>
      <w:r>
        <w:rPr>
          <w:snapToGrid w:val="0"/>
        </w:rPr>
        <w:t>.</w:t>
      </w:r>
      <w:r>
        <w:rPr>
          <w:snapToGrid w:val="0"/>
        </w:rPr>
        <w:tab/>
      </w:r>
      <w:bookmarkEnd w:id="87"/>
      <w:bookmarkEnd w:id="88"/>
      <w:bookmarkEnd w:id="89"/>
      <w:bookmarkEnd w:id="90"/>
      <w:bookmarkEnd w:id="91"/>
      <w:r>
        <w:rPr>
          <w:snapToGrid w:val="0"/>
        </w:rPr>
        <w:t>Playslips, information on</w:t>
      </w:r>
      <w:bookmarkEnd w:id="9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spacing w:before="70"/>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Footnotesection"/>
      </w:pPr>
      <w:bookmarkStart w:id="93" w:name="_Toc5071674"/>
      <w:bookmarkStart w:id="94" w:name="_Toc5071983"/>
      <w:bookmarkStart w:id="95" w:name="_Toc9846748"/>
      <w:bookmarkStart w:id="96" w:name="_Toc48382027"/>
      <w:bookmarkStart w:id="97" w:name="_Toc130782700"/>
      <w:r>
        <w:tab/>
        <w:t>[Rule 4 amended in Gazette 6 Jun 2008 p. 2301.]</w:t>
      </w:r>
    </w:p>
    <w:p>
      <w:pPr>
        <w:pStyle w:val="Heading5"/>
        <w:rPr>
          <w:snapToGrid w:val="0"/>
        </w:rPr>
      </w:pPr>
      <w:bookmarkStart w:id="98" w:name="_Toc328461848"/>
      <w:r>
        <w:rPr>
          <w:rStyle w:val="CharSectno"/>
        </w:rPr>
        <w:t>5</w:t>
      </w:r>
      <w:r>
        <w:rPr>
          <w:snapToGrid w:val="0"/>
        </w:rPr>
        <w:t>.</w:t>
      </w:r>
      <w:r>
        <w:rPr>
          <w:snapToGrid w:val="0"/>
        </w:rPr>
        <w:tab/>
        <w:t>Methods of entry</w:t>
      </w:r>
      <w:bookmarkEnd w:id="93"/>
      <w:bookmarkEnd w:id="94"/>
      <w:bookmarkEnd w:id="95"/>
      <w:bookmarkEnd w:id="96"/>
      <w:bookmarkEnd w:id="97"/>
      <w:bookmarkEnd w:id="98"/>
    </w:p>
    <w:p>
      <w:pPr>
        <w:pStyle w:val="Subsection"/>
        <w:rPr>
          <w:snapToGrid w:val="0"/>
        </w:rPr>
      </w:pPr>
      <w:r>
        <w:rPr>
          <w:snapToGrid w:val="0"/>
        </w:rPr>
        <w:tab/>
        <w:t>(1)</w:t>
      </w:r>
      <w:r>
        <w:rPr>
          <w:snapToGrid w:val="0"/>
        </w:rPr>
        <w:tab/>
        <w:t xml:space="preserve">A person may enter lotto — </w:t>
      </w:r>
    </w:p>
    <w:p>
      <w:pPr>
        <w:pStyle w:val="Indenta"/>
      </w:pPr>
      <w:r>
        <w:tab/>
        <w:t>(a)</w:t>
      </w:r>
      <w:r>
        <w:tab/>
        <w:t>by filling out a playslip in accordance with rule 8 and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t xml:space="preserve">by </w:t>
      </w:r>
      <w:r>
        <w:rPr>
          <w:snapToGrid w:val="0"/>
        </w:rPr>
        <w:t xml:space="preserve">making an oral request for entry in accordance with </w:t>
      </w:r>
      <w:r>
        <w:t>rule 9; or</w:t>
      </w:r>
    </w:p>
    <w:p>
      <w:pPr>
        <w:pStyle w:val="Indenta"/>
      </w:pPr>
      <w:r>
        <w:tab/>
        <w:t>(c)</w:t>
      </w:r>
      <w:r>
        <w:tab/>
        <w:t>by using the “ticket repeat” method set out in rule 8A; or</w:t>
      </w:r>
    </w:p>
    <w:p>
      <w:pPr>
        <w:pStyle w:val="Indenta"/>
        <w:rPr>
          <w:snapToGrid w:val="0"/>
        </w:rPr>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99" w:name="_Toc5071675"/>
      <w:bookmarkStart w:id="100" w:name="_Toc5071984"/>
      <w:bookmarkStart w:id="101" w:name="_Toc9846749"/>
      <w:bookmarkStart w:id="102" w:name="_Toc48382028"/>
      <w:bookmarkStart w:id="103" w:name="_Toc130782701"/>
      <w:r>
        <w:tab/>
        <w:t>[Rule 5 amended in Gazette 6 Jun 2008 p. 2301-2; 19 Nov 2010 p. 5721.]</w:t>
      </w:r>
    </w:p>
    <w:p>
      <w:pPr>
        <w:pStyle w:val="Heading5"/>
        <w:rPr>
          <w:snapToGrid w:val="0"/>
        </w:rPr>
      </w:pPr>
      <w:bookmarkStart w:id="104" w:name="_Toc328461849"/>
      <w:r>
        <w:rPr>
          <w:rStyle w:val="CharSectno"/>
        </w:rPr>
        <w:t>6</w:t>
      </w:r>
      <w:r>
        <w:rPr>
          <w:snapToGrid w:val="0"/>
        </w:rPr>
        <w:t>.</w:t>
      </w:r>
      <w:r>
        <w:rPr>
          <w:snapToGrid w:val="0"/>
        </w:rPr>
        <w:tab/>
        <w:t>No limit to number of entries</w:t>
      </w:r>
      <w:bookmarkEnd w:id="99"/>
      <w:bookmarkEnd w:id="100"/>
      <w:bookmarkEnd w:id="101"/>
      <w:bookmarkEnd w:id="102"/>
      <w:bookmarkEnd w:id="103"/>
      <w:bookmarkEnd w:id="104"/>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105" w:name="_Toc5071676"/>
      <w:bookmarkStart w:id="106" w:name="_Toc5071985"/>
      <w:bookmarkStart w:id="107" w:name="_Toc9846750"/>
      <w:bookmarkStart w:id="108" w:name="_Toc48382029"/>
      <w:bookmarkStart w:id="109" w:name="_Toc130782702"/>
      <w:bookmarkStart w:id="110" w:name="_Toc328461850"/>
      <w:r>
        <w:rPr>
          <w:rStyle w:val="CharSectno"/>
        </w:rPr>
        <w:t>7</w:t>
      </w:r>
      <w:r>
        <w:rPr>
          <w:snapToGrid w:val="0"/>
        </w:rPr>
        <w:t>.</w:t>
      </w:r>
      <w:r>
        <w:rPr>
          <w:snapToGrid w:val="0"/>
        </w:rPr>
        <w:tab/>
        <w:t>Super 66 entr</w:t>
      </w:r>
      <w:bookmarkEnd w:id="105"/>
      <w:bookmarkEnd w:id="106"/>
      <w:bookmarkEnd w:id="107"/>
      <w:bookmarkEnd w:id="108"/>
      <w:r>
        <w:rPr>
          <w:snapToGrid w:val="0"/>
        </w:rPr>
        <w:t xml:space="preserve">y may be made with lotto </w:t>
      </w:r>
      <w:bookmarkEnd w:id="109"/>
      <w:r>
        <w:rPr>
          <w:snapToGrid w:val="0"/>
        </w:rPr>
        <w:t>entry</w:t>
      </w:r>
      <w:bookmarkEnd w:id="110"/>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111" w:name="_Toc5071677"/>
      <w:bookmarkStart w:id="112" w:name="_Toc5071986"/>
      <w:bookmarkStart w:id="113" w:name="_Toc9846751"/>
      <w:bookmarkStart w:id="114" w:name="_Toc48382030"/>
      <w:bookmarkStart w:id="115" w:name="_Toc130782703"/>
      <w:bookmarkStart w:id="116" w:name="_Toc328461851"/>
      <w:r>
        <w:rPr>
          <w:rStyle w:val="EquationCaption"/>
        </w:rPr>
        <w:t>8</w:t>
      </w:r>
      <w:r>
        <w:rPr>
          <w:snapToGrid w:val="0"/>
        </w:rPr>
        <w:t>.</w:t>
      </w:r>
      <w:r>
        <w:rPr>
          <w:snapToGrid w:val="0"/>
        </w:rPr>
        <w:tab/>
      </w:r>
      <w:bookmarkEnd w:id="111"/>
      <w:bookmarkEnd w:id="112"/>
      <w:bookmarkEnd w:id="113"/>
      <w:bookmarkEnd w:id="114"/>
      <w:bookmarkEnd w:id="115"/>
      <w:r>
        <w:rPr>
          <w:snapToGrid w:val="0"/>
        </w:rPr>
        <w:t>Playslips, how to be filled out</w:t>
      </w:r>
      <w:bookmarkEnd w:id="116"/>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bookmarkStart w:id="117" w:name="_Toc5071678"/>
      <w:bookmarkStart w:id="118" w:name="_Toc5071987"/>
      <w:bookmarkStart w:id="119" w:name="_Toc9846752"/>
      <w:bookmarkStart w:id="120" w:name="_Toc48382032"/>
      <w:bookmarkStart w:id="121" w:name="_Toc130782704"/>
      <w:r>
        <w:tab/>
        <w:t>[Rule 8 amended in Gazette 6 Jun 2008 p. 2302-3.]</w:t>
      </w:r>
    </w:p>
    <w:p>
      <w:pPr>
        <w:pStyle w:val="Heading5"/>
      </w:pPr>
      <w:bookmarkStart w:id="122" w:name="_Toc328461852"/>
      <w:r>
        <w:rPr>
          <w:rStyle w:val="CharSectno"/>
        </w:rPr>
        <w:t>8A</w:t>
      </w:r>
      <w:r>
        <w:t>.</w:t>
      </w:r>
      <w:r>
        <w:tab/>
        <w:t>Ticket repeat method of entry</w:t>
      </w:r>
      <w:bookmarkEnd w:id="122"/>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2304; amended in Gazette 15 May 2009 p. 1634.]</w:t>
      </w:r>
    </w:p>
    <w:p>
      <w:pPr>
        <w:pStyle w:val="Heading5"/>
      </w:pPr>
      <w:bookmarkStart w:id="123" w:name="_Toc328461853"/>
      <w:r>
        <w:rPr>
          <w:rStyle w:val="CharSectno"/>
        </w:rPr>
        <w:t>8B</w:t>
      </w:r>
      <w:r>
        <w:t>.</w:t>
      </w:r>
      <w:r>
        <w:tab/>
        <w:t>Favourite numbers, use of</w:t>
      </w:r>
      <w:bookmarkEnd w:id="123"/>
    </w:p>
    <w:p>
      <w:pPr>
        <w:pStyle w:val="Subsection"/>
      </w:pPr>
      <w:r>
        <w:tab/>
        <w:t>(1)</w:t>
      </w:r>
      <w:r>
        <w:tab/>
        <w:t>A person who has a player’s card may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124" w:name="_Toc328461854"/>
      <w:r>
        <w:rPr>
          <w:rStyle w:val="CharSectno"/>
        </w:rPr>
        <w:t>9</w:t>
      </w:r>
      <w:r>
        <w:rPr>
          <w:snapToGrid w:val="0"/>
        </w:rPr>
        <w:t>.</w:t>
      </w:r>
      <w:r>
        <w:rPr>
          <w:snapToGrid w:val="0"/>
        </w:rPr>
        <w:tab/>
        <w:t>Oral request for entry</w:t>
      </w:r>
      <w:bookmarkEnd w:id="117"/>
      <w:bookmarkEnd w:id="118"/>
      <w:bookmarkEnd w:id="119"/>
      <w:bookmarkEnd w:id="120"/>
      <w:bookmarkEnd w:id="121"/>
      <w:bookmarkEnd w:id="124"/>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bookmarkStart w:id="125" w:name="_Toc5071679"/>
      <w:bookmarkStart w:id="126" w:name="_Toc5071988"/>
      <w:bookmarkStart w:id="127" w:name="_Toc9846753"/>
      <w:bookmarkStart w:id="128" w:name="_Toc48382033"/>
      <w:bookmarkStart w:id="129" w:name="_Toc130782705"/>
      <w:r>
        <w:tab/>
        <w:t>[Rule 9 amended in Gazette 6 Jun 2008 p. 2305.]</w:t>
      </w:r>
    </w:p>
    <w:p>
      <w:pPr>
        <w:pStyle w:val="Heading5"/>
        <w:rPr>
          <w:snapToGrid w:val="0"/>
        </w:rPr>
      </w:pPr>
      <w:bookmarkStart w:id="130" w:name="_Toc328461855"/>
      <w:r>
        <w:rPr>
          <w:rStyle w:val="CharSectno"/>
        </w:rPr>
        <w:t>10</w:t>
      </w:r>
      <w:r>
        <w:rPr>
          <w:snapToGrid w:val="0"/>
        </w:rPr>
        <w:t>.</w:t>
      </w:r>
      <w:r>
        <w:rPr>
          <w:snapToGrid w:val="0"/>
        </w:rPr>
        <w:tab/>
      </w:r>
      <w:bookmarkEnd w:id="125"/>
      <w:bookmarkEnd w:id="126"/>
      <w:bookmarkEnd w:id="127"/>
      <w:bookmarkEnd w:id="128"/>
      <w:bookmarkEnd w:id="129"/>
      <w:r>
        <w:rPr>
          <w:snapToGrid w:val="0"/>
        </w:rPr>
        <w:t>Postal entry</w:t>
      </w:r>
      <w:bookmarkEnd w:id="130"/>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keepNext/>
        <w:rPr>
          <w:snapToGrid w:val="0"/>
        </w:rPr>
      </w:pPr>
      <w:r>
        <w:rPr>
          <w:snapToGrid w:val="0"/>
        </w:rPr>
        <w:tab/>
        <w:t>(9)</w:t>
      </w:r>
      <w:r>
        <w:rPr>
          <w:snapToGrid w:val="0"/>
        </w:rPr>
        <w:tab/>
        <w:t>In subrule (8)(b)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bookmarkStart w:id="131" w:name="_Toc5071680"/>
      <w:bookmarkStart w:id="132" w:name="_Toc5071989"/>
      <w:bookmarkStart w:id="133" w:name="_Toc9846754"/>
      <w:bookmarkStart w:id="134" w:name="_Toc48382034"/>
      <w:bookmarkStart w:id="135" w:name="_Toc130782706"/>
      <w:r>
        <w:tab/>
        <w:t>[Rule 10 amended in Gazette 6 Jun 2008 p. 2305-6.]</w:t>
      </w:r>
    </w:p>
    <w:p>
      <w:pPr>
        <w:pStyle w:val="Heading5"/>
        <w:rPr>
          <w:snapToGrid w:val="0"/>
        </w:rPr>
      </w:pPr>
      <w:bookmarkStart w:id="136" w:name="_Toc328461856"/>
      <w:r>
        <w:rPr>
          <w:rStyle w:val="CharSectno"/>
        </w:rPr>
        <w:t>11</w:t>
      </w:r>
      <w:r>
        <w:rPr>
          <w:snapToGrid w:val="0"/>
        </w:rPr>
        <w:t>.</w:t>
      </w:r>
      <w:r>
        <w:rPr>
          <w:snapToGrid w:val="0"/>
        </w:rPr>
        <w:tab/>
        <w:t>Receipted tickets</w:t>
      </w:r>
      <w:bookmarkEnd w:id="131"/>
      <w:bookmarkEnd w:id="132"/>
      <w:bookmarkEnd w:id="133"/>
      <w:bookmarkEnd w:id="134"/>
      <w:bookmarkEnd w:id="135"/>
      <w:r>
        <w:rPr>
          <w:snapToGrid w:val="0"/>
        </w:rPr>
        <w:t xml:space="preserve"> to be issued</w:t>
      </w:r>
      <w:bookmarkEnd w:id="136"/>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37" w:name="_Toc5071681"/>
      <w:bookmarkStart w:id="138" w:name="_Toc5071990"/>
      <w:bookmarkStart w:id="139" w:name="_Toc9846755"/>
      <w:bookmarkStart w:id="140" w:name="_Toc48382035"/>
      <w:bookmarkStart w:id="141" w:name="_Toc130782707"/>
      <w:r>
        <w:tab/>
        <w:t>[Rule 11 amended in Gazette 6 Jun 2008 p. 2306.]</w:t>
      </w:r>
    </w:p>
    <w:p>
      <w:pPr>
        <w:pStyle w:val="Heading5"/>
        <w:rPr>
          <w:snapToGrid w:val="0"/>
        </w:rPr>
      </w:pPr>
      <w:bookmarkStart w:id="142" w:name="_Toc328461857"/>
      <w:r>
        <w:rPr>
          <w:rStyle w:val="CharSectno"/>
        </w:rPr>
        <w:t>12</w:t>
      </w:r>
      <w:r>
        <w:rPr>
          <w:snapToGrid w:val="0"/>
        </w:rPr>
        <w:t>.</w:t>
      </w:r>
      <w:r>
        <w:rPr>
          <w:snapToGrid w:val="0"/>
        </w:rPr>
        <w:tab/>
        <w:t>Receipted ticket</w:t>
      </w:r>
      <w:bookmarkEnd w:id="137"/>
      <w:bookmarkEnd w:id="138"/>
      <w:bookmarkEnd w:id="139"/>
      <w:bookmarkEnd w:id="140"/>
      <w:bookmarkEnd w:id="141"/>
      <w:r>
        <w:rPr>
          <w:snapToGrid w:val="0"/>
        </w:rPr>
        <w:t>s, surrender of</w:t>
      </w:r>
      <w:bookmarkEnd w:id="142"/>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bookmarkStart w:id="143" w:name="_Toc5071682"/>
      <w:bookmarkStart w:id="144" w:name="_Toc5071991"/>
      <w:bookmarkStart w:id="145" w:name="_Toc9846756"/>
      <w:bookmarkStart w:id="146" w:name="_Toc48382036"/>
      <w:bookmarkStart w:id="147" w:name="_Toc130782708"/>
      <w:r>
        <w:tab/>
        <w:t>[Rule 12 amended in Gazette 6 Jun 2008 p. 2306-7.]</w:t>
      </w:r>
    </w:p>
    <w:p>
      <w:pPr>
        <w:pStyle w:val="Heading5"/>
        <w:rPr>
          <w:snapToGrid w:val="0"/>
        </w:rPr>
      </w:pPr>
      <w:bookmarkStart w:id="148" w:name="_Toc328461858"/>
      <w:r>
        <w:rPr>
          <w:rStyle w:val="CharSectno"/>
        </w:rPr>
        <w:t>13</w:t>
      </w:r>
      <w:r>
        <w:rPr>
          <w:snapToGrid w:val="0"/>
        </w:rPr>
        <w:t>.</w:t>
      </w:r>
      <w:r>
        <w:rPr>
          <w:snapToGrid w:val="0"/>
        </w:rPr>
        <w:tab/>
        <w:t>Receipted ticket</w:t>
      </w:r>
      <w:bookmarkEnd w:id="143"/>
      <w:bookmarkEnd w:id="144"/>
      <w:bookmarkEnd w:id="145"/>
      <w:bookmarkEnd w:id="146"/>
      <w:bookmarkEnd w:id="147"/>
      <w:r>
        <w:rPr>
          <w:snapToGrid w:val="0"/>
        </w:rPr>
        <w:t>s, agents not required to check accuracy of</w:t>
      </w:r>
      <w:bookmarkEnd w:id="148"/>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bookmarkStart w:id="149" w:name="_Toc5071683"/>
      <w:bookmarkStart w:id="150" w:name="_Toc5071992"/>
      <w:bookmarkStart w:id="151" w:name="_Toc9846757"/>
      <w:bookmarkStart w:id="152" w:name="_Toc48382037"/>
      <w:bookmarkStart w:id="153" w:name="_Toc130782709"/>
      <w:r>
        <w:tab/>
        <w:t>[Rule 13 amended in Gazette 6 Jun 2008 p. 2307.]</w:t>
      </w:r>
    </w:p>
    <w:p>
      <w:pPr>
        <w:pStyle w:val="Heading5"/>
        <w:rPr>
          <w:snapToGrid w:val="0"/>
        </w:rPr>
      </w:pPr>
      <w:bookmarkStart w:id="154" w:name="_Toc328461859"/>
      <w:r>
        <w:rPr>
          <w:rStyle w:val="CharSectno"/>
        </w:rPr>
        <w:t>14</w:t>
      </w:r>
      <w:r>
        <w:rPr>
          <w:snapToGrid w:val="0"/>
        </w:rPr>
        <w:t>.</w:t>
      </w:r>
      <w:r>
        <w:rPr>
          <w:snapToGrid w:val="0"/>
        </w:rPr>
        <w:tab/>
        <w:t>Receipted ticket</w:t>
      </w:r>
      <w:bookmarkEnd w:id="149"/>
      <w:bookmarkEnd w:id="150"/>
      <w:bookmarkEnd w:id="151"/>
      <w:bookmarkEnd w:id="152"/>
      <w:bookmarkEnd w:id="153"/>
      <w:r>
        <w:rPr>
          <w:snapToGrid w:val="0"/>
        </w:rPr>
        <w:t>s, effect of</w:t>
      </w:r>
      <w:bookmarkEnd w:id="154"/>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bookmarkStart w:id="155" w:name="_Toc129660697"/>
      <w:bookmarkStart w:id="156" w:name="_Toc129660745"/>
      <w:bookmarkStart w:id="157" w:name="_Toc129669293"/>
      <w:bookmarkStart w:id="158" w:name="_Toc129669349"/>
      <w:bookmarkStart w:id="159" w:name="_Toc129679032"/>
      <w:bookmarkStart w:id="160" w:name="_Toc129679143"/>
      <w:bookmarkStart w:id="161" w:name="_Toc129679191"/>
      <w:bookmarkStart w:id="162" w:name="_Toc130782453"/>
      <w:bookmarkStart w:id="163" w:name="_Toc130782662"/>
      <w:bookmarkStart w:id="164" w:name="_Toc130782710"/>
      <w:bookmarkStart w:id="165" w:name="_Toc133379720"/>
      <w:bookmarkStart w:id="166" w:name="_Toc133385315"/>
      <w:bookmarkStart w:id="167" w:name="_Toc147288403"/>
      <w:bookmarkStart w:id="168" w:name="_Toc170549120"/>
      <w:bookmarkStart w:id="169" w:name="_Toc170620873"/>
      <w:bookmarkStart w:id="170" w:name="_Toc17062102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pPr>
      <w:bookmarkStart w:id="171" w:name="_Toc200510446"/>
      <w:bookmarkStart w:id="172" w:name="_Toc210787543"/>
      <w:bookmarkStart w:id="173" w:name="_Toc222820803"/>
      <w:bookmarkStart w:id="174" w:name="_Toc222889162"/>
      <w:bookmarkStart w:id="175" w:name="_Toc224108787"/>
      <w:bookmarkStart w:id="176" w:name="_Toc256152916"/>
      <w:bookmarkStart w:id="177" w:name="_Toc277943287"/>
      <w:bookmarkStart w:id="178" w:name="_Toc315428695"/>
      <w:bookmarkStart w:id="179" w:name="_Toc317510723"/>
      <w:bookmarkStart w:id="180" w:name="_Toc317511267"/>
      <w:bookmarkStart w:id="181" w:name="_Toc317578414"/>
      <w:bookmarkStart w:id="182" w:name="_Toc324420125"/>
      <w:bookmarkStart w:id="183" w:name="_Toc324423611"/>
      <w:bookmarkStart w:id="184" w:name="_Toc324424313"/>
      <w:bookmarkStart w:id="185" w:name="_Toc326649687"/>
      <w:bookmarkStart w:id="186" w:name="_Toc326650441"/>
      <w:bookmarkStart w:id="187" w:name="_Toc328461860"/>
      <w:r>
        <w:rPr>
          <w:rStyle w:val="CharPartNo"/>
        </w:rPr>
        <w:t>Part 2A</w:t>
      </w:r>
      <w:r>
        <w:rPr>
          <w:b w:val="0"/>
        </w:rPr>
        <w:t> </w:t>
      </w:r>
      <w:r>
        <w:t>—</w:t>
      </w:r>
      <w:r>
        <w:rPr>
          <w:b w:val="0"/>
        </w:rPr>
        <w:t> </w:t>
      </w:r>
      <w:r>
        <w:rPr>
          <w:rStyle w:val="CharPartText"/>
        </w:rPr>
        <w:t>Syndicate entries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in Gazette 6 Jun 2008 p. 2308.]</w:t>
      </w:r>
    </w:p>
    <w:p>
      <w:pPr>
        <w:pStyle w:val="Heading5"/>
      </w:pPr>
      <w:bookmarkStart w:id="188" w:name="_Toc328461861"/>
      <w:r>
        <w:rPr>
          <w:rStyle w:val="CharSectno"/>
        </w:rPr>
        <w:t>14A</w:t>
      </w:r>
      <w:r>
        <w:t>.</w:t>
      </w:r>
      <w:r>
        <w:tab/>
        <w:t>Informal syndicate entries; application of this Part</w:t>
      </w:r>
      <w:bookmarkEnd w:id="188"/>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189" w:name="_Toc328461862"/>
      <w:r>
        <w:rPr>
          <w:rStyle w:val="CharSectno"/>
        </w:rPr>
        <w:t>14B</w:t>
      </w:r>
      <w:r>
        <w:t>.</w:t>
      </w:r>
      <w:r>
        <w:tab/>
        <w:t>Creating a syndicate</w:t>
      </w:r>
      <w:bookmarkEnd w:id="189"/>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2309; amended in Gazette 12 Mar 2010 p. 942.]</w:t>
      </w:r>
    </w:p>
    <w:p>
      <w:pPr>
        <w:pStyle w:val="Heading5"/>
      </w:pPr>
      <w:bookmarkStart w:id="190" w:name="_Toc328461863"/>
      <w:r>
        <w:rPr>
          <w:rStyle w:val="CharSectno"/>
        </w:rPr>
        <w:t>14C</w:t>
      </w:r>
      <w:r>
        <w:t>.</w:t>
      </w:r>
      <w:r>
        <w:tab/>
        <w:t>Syndicate share numbers and cost parameters</w:t>
      </w:r>
      <w:bookmarkEnd w:id="190"/>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2309; amended in Gazette 12 Mar 2010 p. 942</w:t>
      </w:r>
      <w:r>
        <w:noBreakHyphen/>
        <w:t>3.]</w:t>
      </w:r>
    </w:p>
    <w:p>
      <w:pPr>
        <w:pStyle w:val="Heading5"/>
      </w:pPr>
      <w:bookmarkStart w:id="191" w:name="_Toc328461864"/>
      <w:r>
        <w:rPr>
          <w:rStyle w:val="CharSectno"/>
        </w:rPr>
        <w:t>14D</w:t>
      </w:r>
      <w:r>
        <w:t>.</w:t>
      </w:r>
      <w:r>
        <w:tab/>
        <w:t>Agent’s component of syndicate share</w:t>
      </w:r>
      <w:bookmarkEnd w:id="191"/>
    </w:p>
    <w:p>
      <w:pPr>
        <w:pStyle w:val="Subsection"/>
      </w:pPr>
      <w:r>
        <w:tab/>
      </w:r>
      <w:r>
        <w:tab/>
        <w:t>The agent’s component per share is the difference between the final price per share and the subscription per share.</w:t>
      </w:r>
    </w:p>
    <w:p>
      <w:pPr>
        <w:pStyle w:val="Footnotesection"/>
      </w:pPr>
      <w:r>
        <w:tab/>
        <w:t>[Rule 14D inserted in Gazette 12 Mar 2010 p. 943.]</w:t>
      </w:r>
    </w:p>
    <w:p>
      <w:pPr>
        <w:pStyle w:val="Heading5"/>
      </w:pPr>
      <w:bookmarkStart w:id="192" w:name="_Toc328461865"/>
      <w:r>
        <w:rPr>
          <w:rStyle w:val="CharSectno"/>
        </w:rPr>
        <w:t>14E</w:t>
      </w:r>
      <w:r>
        <w:t>.</w:t>
      </w:r>
      <w:r>
        <w:tab/>
        <w:t>Syndicate participation parameters</w:t>
      </w:r>
      <w:bookmarkEnd w:id="192"/>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193" w:name="_Toc328461866"/>
      <w:r>
        <w:rPr>
          <w:rStyle w:val="CharSectno"/>
        </w:rPr>
        <w:t>14F</w:t>
      </w:r>
      <w:r>
        <w:t>.</w:t>
      </w:r>
      <w:r>
        <w:tab/>
        <w:t>Types of syndicate entries</w:t>
      </w:r>
      <w:bookmarkEnd w:id="193"/>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194" w:name="_Toc328461867"/>
      <w:r>
        <w:rPr>
          <w:rStyle w:val="CharSectno"/>
        </w:rPr>
        <w:t>14G</w:t>
      </w:r>
      <w:r>
        <w:t>.</w:t>
      </w:r>
      <w:r>
        <w:tab/>
        <w:t>Syndicate share receipted ticket</w:t>
      </w:r>
      <w:bookmarkEnd w:id="194"/>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195" w:name="_Toc328461868"/>
      <w:r>
        <w:rPr>
          <w:rStyle w:val="CharSectno"/>
        </w:rPr>
        <w:t>14H</w:t>
      </w:r>
      <w:r>
        <w:t>.</w:t>
      </w:r>
      <w:r>
        <w:tab/>
        <w:t>Unsold shares in some syndicates; syndicate master ticket</w:t>
      </w:r>
      <w:bookmarkEnd w:id="195"/>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 amended in Gazette 12 Mar 2010 p. 943.]</w:t>
      </w:r>
    </w:p>
    <w:p>
      <w:pPr>
        <w:pStyle w:val="Heading2"/>
      </w:pPr>
      <w:bookmarkStart w:id="196" w:name="_Toc200510455"/>
      <w:bookmarkStart w:id="197" w:name="_Toc210787552"/>
      <w:bookmarkStart w:id="198" w:name="_Toc222820812"/>
      <w:bookmarkStart w:id="199" w:name="_Toc222889171"/>
      <w:bookmarkStart w:id="200" w:name="_Toc224108796"/>
      <w:bookmarkStart w:id="201" w:name="_Toc256152925"/>
      <w:bookmarkStart w:id="202" w:name="_Toc277943296"/>
      <w:bookmarkStart w:id="203" w:name="_Toc315428704"/>
      <w:bookmarkStart w:id="204" w:name="_Toc317510732"/>
      <w:bookmarkStart w:id="205" w:name="_Toc317511276"/>
      <w:bookmarkStart w:id="206" w:name="_Toc317578423"/>
      <w:bookmarkStart w:id="207" w:name="_Toc324420134"/>
      <w:bookmarkStart w:id="208" w:name="_Toc324423620"/>
      <w:bookmarkStart w:id="209" w:name="_Toc324424322"/>
      <w:bookmarkStart w:id="210" w:name="_Toc326649696"/>
      <w:bookmarkStart w:id="211" w:name="_Toc326650450"/>
      <w:bookmarkStart w:id="212" w:name="_Toc328461869"/>
      <w:r>
        <w:rPr>
          <w:rStyle w:val="CharPartNo"/>
        </w:rPr>
        <w:t>Part 3</w:t>
      </w:r>
      <w:r>
        <w:rPr>
          <w:rStyle w:val="CharDivNo"/>
        </w:rPr>
        <w:t> </w:t>
      </w:r>
      <w:r>
        <w:t>—</w:t>
      </w:r>
      <w:r>
        <w:rPr>
          <w:rStyle w:val="CharDivText"/>
        </w:rPr>
        <w:t> </w:t>
      </w:r>
      <w:r>
        <w:rPr>
          <w:rStyle w:val="CharPartText"/>
        </w:rPr>
        <w:t>General duties of Commission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5071684"/>
      <w:bookmarkStart w:id="214" w:name="_Toc5071993"/>
      <w:bookmarkStart w:id="215" w:name="_Toc9846758"/>
      <w:bookmarkStart w:id="216" w:name="_Toc48382038"/>
      <w:bookmarkStart w:id="217" w:name="_Toc130782711"/>
      <w:bookmarkStart w:id="218" w:name="_Toc328461870"/>
      <w:r>
        <w:rPr>
          <w:rStyle w:val="CharSectno"/>
        </w:rPr>
        <w:t>15</w:t>
      </w:r>
      <w:r>
        <w:rPr>
          <w:snapToGrid w:val="0"/>
        </w:rPr>
        <w:t>.</w:t>
      </w:r>
      <w:r>
        <w:rPr>
          <w:snapToGrid w:val="0"/>
        </w:rPr>
        <w:tab/>
        <w:t>Monday and Wednesday draws to be numbered</w:t>
      </w:r>
      <w:bookmarkEnd w:id="213"/>
      <w:bookmarkEnd w:id="214"/>
      <w:bookmarkEnd w:id="215"/>
      <w:bookmarkEnd w:id="216"/>
      <w:bookmarkEnd w:id="217"/>
      <w:bookmarkEnd w:id="218"/>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219" w:name="_Toc5071685"/>
      <w:bookmarkStart w:id="220" w:name="_Toc5071994"/>
      <w:bookmarkStart w:id="221" w:name="_Toc9846759"/>
      <w:bookmarkStart w:id="222" w:name="_Toc48382039"/>
      <w:bookmarkStart w:id="223" w:name="_Toc130782712"/>
      <w:bookmarkStart w:id="224" w:name="_Toc328461871"/>
      <w:r>
        <w:rPr>
          <w:rStyle w:val="CharSectno"/>
        </w:rPr>
        <w:t>16</w:t>
      </w:r>
      <w:r>
        <w:t>.</w:t>
      </w:r>
      <w:r>
        <w:tab/>
        <w:t>Lotto</w:t>
      </w:r>
      <w:bookmarkEnd w:id="219"/>
      <w:bookmarkEnd w:id="220"/>
      <w:bookmarkEnd w:id="221"/>
      <w:bookmarkEnd w:id="222"/>
      <w:r>
        <w:t xml:space="preserve"> draw</w:t>
      </w:r>
      <w:bookmarkEnd w:id="223"/>
      <w:r>
        <w:t xml:space="preserve"> to be supervised</w:t>
      </w:r>
      <w:bookmarkEnd w:id="224"/>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225" w:name="_Toc5071686"/>
      <w:bookmarkStart w:id="226" w:name="_Toc5071995"/>
      <w:bookmarkStart w:id="227" w:name="_Toc9846760"/>
      <w:bookmarkStart w:id="228" w:name="_Toc48382040"/>
      <w:bookmarkStart w:id="229" w:name="_Toc130782713"/>
      <w:bookmarkStart w:id="230" w:name="_Toc328461872"/>
      <w:r>
        <w:rPr>
          <w:rStyle w:val="CharSectno"/>
        </w:rPr>
        <w:t>17</w:t>
      </w:r>
      <w:r>
        <w:rPr>
          <w:snapToGrid w:val="0"/>
        </w:rPr>
        <w:t>.</w:t>
      </w:r>
      <w:r>
        <w:rPr>
          <w:snapToGrid w:val="0"/>
        </w:rPr>
        <w:tab/>
      </w:r>
      <w:bookmarkEnd w:id="225"/>
      <w:bookmarkEnd w:id="226"/>
      <w:bookmarkEnd w:id="227"/>
      <w:bookmarkEnd w:id="228"/>
      <w:bookmarkEnd w:id="229"/>
      <w:r>
        <w:rPr>
          <w:snapToGrid w:val="0"/>
        </w:rPr>
        <w:t>Lotto draw results etc. to be published</w:t>
      </w:r>
      <w:bookmarkEnd w:id="230"/>
    </w:p>
    <w:p>
      <w:pPr>
        <w:pStyle w:val="Subsection"/>
        <w:rPr>
          <w:snapToGrid w:val="0"/>
        </w:rPr>
      </w:pPr>
      <w:r>
        <w:rPr>
          <w:snapToGrid w:val="0"/>
        </w:rPr>
        <w:tab/>
      </w:r>
      <w:r>
        <w:rPr>
          <w:snapToGrid w:val="0"/>
        </w:rPr>
        <w:tab/>
        <w:t>After each lotto draw the Commission must publish, in a daily newspaper in this State —</w:t>
      </w:r>
    </w:p>
    <w:p>
      <w:pPr>
        <w:pStyle w:val="Indenta"/>
        <w:rPr>
          <w:snapToGrid w:val="0"/>
        </w:rPr>
      </w:pPr>
      <w:r>
        <w:rPr>
          <w:snapToGrid w:val="0"/>
        </w:rPr>
        <w:tab/>
      </w:r>
      <w:r>
        <w:t>(a)</w:t>
      </w:r>
      <w:r>
        <w:rPr>
          <w:snapToGrid w:val="0"/>
        </w:rPr>
        <w:tab/>
        <w:t xml:space="preserve">the “draw number” for that lotto draw; </w:t>
      </w:r>
      <w:r>
        <w:t>and</w:t>
      </w:r>
    </w:p>
    <w:p>
      <w:pPr>
        <w:pStyle w:val="Indenta"/>
        <w:rPr>
          <w:snapToGrid w:val="0"/>
        </w:rPr>
      </w:pPr>
      <w:r>
        <w:rPr>
          <w:snapToGrid w:val="0"/>
        </w:rPr>
        <w:tab/>
      </w:r>
      <w:r>
        <w:t>(b)</w:t>
      </w:r>
      <w:r>
        <w:rPr>
          <w:snapToGrid w:val="0"/>
        </w:rPr>
        <w:tab/>
        <w:t xml:space="preserve">the 6 winning numbers and the 2 supplementary numbers; </w:t>
      </w:r>
      <w:r>
        <w:t>and</w:t>
      </w:r>
    </w:p>
    <w:p>
      <w:pPr>
        <w:pStyle w:val="Indenta"/>
        <w:rPr>
          <w:snapToGrid w:val="0"/>
        </w:rPr>
      </w:pPr>
      <w:r>
        <w:rPr>
          <w:snapToGrid w:val="0"/>
        </w:rPr>
        <w:tab/>
      </w:r>
      <w:r>
        <w:t>(c)</w:t>
      </w:r>
      <w:r>
        <w:rPr>
          <w:snapToGrid w:val="0"/>
        </w:rPr>
        <w:tab/>
        <w:t xml:space="preserve">the prize pool for </w:t>
      </w:r>
      <w:r>
        <w:t>divisions 2 to 6; and</w:t>
      </w:r>
    </w:p>
    <w:p>
      <w:pPr>
        <w:pStyle w:val="Indenta"/>
        <w:rPr>
          <w:snapToGrid w:val="0"/>
        </w:rPr>
      </w:pPr>
      <w:r>
        <w:rPr>
          <w:snapToGrid w:val="0"/>
        </w:rPr>
        <w:tab/>
      </w:r>
      <w:r>
        <w:t>(d)</w:t>
      </w:r>
      <w:r>
        <w:rPr>
          <w:snapToGrid w:val="0"/>
        </w:rPr>
        <w:tab/>
        <w:t xml:space="preserve">the amount allocated to a winning game in each division; </w:t>
      </w:r>
      <w:r>
        <w:t>and</w:t>
      </w:r>
    </w:p>
    <w:p>
      <w:pPr>
        <w:pStyle w:val="Indenta"/>
        <w:rPr>
          <w:snapToGrid w:val="0"/>
        </w:rPr>
      </w:pPr>
      <w:r>
        <w:rPr>
          <w:snapToGrid w:val="0"/>
        </w:rPr>
        <w:tab/>
      </w:r>
      <w:r>
        <w:t>(e)</w:t>
      </w:r>
      <w:r>
        <w:rPr>
          <w:snapToGrid w:val="0"/>
        </w:rPr>
        <w:tab/>
        <w:t xml:space="preserve">the validation period and the date after which division 1 prizes will be paid; </w:t>
      </w:r>
      <w:r>
        <w:t>and</w:t>
      </w:r>
    </w:p>
    <w:p>
      <w:pPr>
        <w:pStyle w:val="Indenta"/>
      </w:pPr>
      <w:bookmarkStart w:id="231" w:name="_Toc5071687"/>
      <w:bookmarkStart w:id="232" w:name="_Toc5071996"/>
      <w:bookmarkStart w:id="233" w:name="_Toc9846761"/>
      <w:bookmarkStart w:id="234" w:name="_Toc48382041"/>
      <w:bookmarkStart w:id="235" w:name="_Toc130782714"/>
      <w:r>
        <w:tab/>
        <w:t>(f)</w:t>
      </w:r>
      <w:r>
        <w:tab/>
        <w:t>the amount to go to the reserve prize fund after paying division 1 prizes from that draw.</w:t>
      </w:r>
    </w:p>
    <w:p>
      <w:pPr>
        <w:pStyle w:val="Footnotesection"/>
      </w:pPr>
      <w:r>
        <w:tab/>
        <w:t>[Rule 17 amended in Gazette 27 Jan 2012 p. 570.]</w:t>
      </w:r>
    </w:p>
    <w:p>
      <w:pPr>
        <w:pStyle w:val="Heading5"/>
        <w:rPr>
          <w:snapToGrid w:val="0"/>
        </w:rPr>
      </w:pPr>
      <w:bookmarkStart w:id="236" w:name="_Toc328461873"/>
      <w:r>
        <w:rPr>
          <w:rStyle w:val="CharSectno"/>
        </w:rPr>
        <w:t>18</w:t>
      </w:r>
      <w:r>
        <w:rPr>
          <w:snapToGrid w:val="0"/>
        </w:rPr>
        <w:t>.</w:t>
      </w:r>
      <w:r>
        <w:rPr>
          <w:snapToGrid w:val="0"/>
        </w:rPr>
        <w:tab/>
        <w:t>Monday and Wednesday Lotto Bloc prize pool and prize reserve fund</w:t>
      </w:r>
      <w:bookmarkEnd w:id="231"/>
      <w:bookmarkEnd w:id="232"/>
      <w:bookmarkEnd w:id="233"/>
      <w:bookmarkEnd w:id="234"/>
      <w:bookmarkEnd w:id="235"/>
      <w:bookmarkEnd w:id="236"/>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Monday and Wednesday Lotto Bloc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pPr>
      <w:r>
        <w:tab/>
        <w:t>(3A)</w:t>
      </w:r>
      <w:r>
        <w:tab/>
        <w:t>The prize reserve fund is to be used to pay the division 1 prizes in accordance with rule 23.</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 27 Jan 2012 p. 570.]</w:t>
      </w:r>
    </w:p>
    <w:p>
      <w:pPr>
        <w:pStyle w:val="Heading2"/>
      </w:pPr>
      <w:bookmarkStart w:id="237" w:name="_Toc129660702"/>
      <w:bookmarkStart w:id="238" w:name="_Toc129660750"/>
      <w:bookmarkStart w:id="239" w:name="_Toc129669298"/>
      <w:bookmarkStart w:id="240" w:name="_Toc129669354"/>
      <w:bookmarkStart w:id="241" w:name="_Toc129679037"/>
      <w:bookmarkStart w:id="242" w:name="_Toc129679148"/>
      <w:bookmarkStart w:id="243" w:name="_Toc129679196"/>
      <w:bookmarkStart w:id="244" w:name="_Toc130782458"/>
      <w:bookmarkStart w:id="245" w:name="_Toc130782667"/>
      <w:bookmarkStart w:id="246" w:name="_Toc130782715"/>
      <w:bookmarkStart w:id="247" w:name="_Toc133379725"/>
      <w:bookmarkStart w:id="248" w:name="_Toc133385320"/>
      <w:bookmarkStart w:id="249" w:name="_Toc147288408"/>
      <w:bookmarkStart w:id="250" w:name="_Toc170549125"/>
      <w:bookmarkStart w:id="251" w:name="_Toc170620878"/>
      <w:bookmarkStart w:id="252" w:name="_Toc170621030"/>
      <w:bookmarkStart w:id="253" w:name="_Toc200510460"/>
      <w:bookmarkStart w:id="254" w:name="_Toc210787557"/>
      <w:bookmarkStart w:id="255" w:name="_Toc222820817"/>
      <w:bookmarkStart w:id="256" w:name="_Toc222889176"/>
      <w:bookmarkStart w:id="257" w:name="_Toc224108801"/>
      <w:bookmarkStart w:id="258" w:name="_Toc256152930"/>
      <w:bookmarkStart w:id="259" w:name="_Toc277943301"/>
      <w:bookmarkStart w:id="260" w:name="_Toc315428709"/>
      <w:bookmarkStart w:id="261" w:name="_Toc317510737"/>
      <w:bookmarkStart w:id="262" w:name="_Toc317511281"/>
      <w:bookmarkStart w:id="263" w:name="_Toc317578428"/>
      <w:bookmarkStart w:id="264" w:name="_Toc324420139"/>
      <w:bookmarkStart w:id="265" w:name="_Toc324423625"/>
      <w:bookmarkStart w:id="266" w:name="_Toc324424327"/>
      <w:bookmarkStart w:id="267" w:name="_Toc326649701"/>
      <w:bookmarkStart w:id="268" w:name="_Toc326650455"/>
      <w:bookmarkStart w:id="269" w:name="_Toc328461874"/>
      <w:r>
        <w:rPr>
          <w:rStyle w:val="CharPartNo"/>
        </w:rPr>
        <w:t>Part 4</w:t>
      </w:r>
      <w:r>
        <w:t> — </w:t>
      </w:r>
      <w:r>
        <w:rPr>
          <w:rStyle w:val="CharPartText"/>
        </w:rPr>
        <w:t>Conducting a lotto draw</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rPr>
          <w:snapToGrid w:val="0"/>
        </w:rPr>
      </w:pPr>
      <w:bookmarkStart w:id="270" w:name="_Toc5071688"/>
      <w:bookmarkStart w:id="271" w:name="_Toc5071997"/>
      <w:bookmarkStart w:id="272" w:name="_Toc9846762"/>
      <w:bookmarkStart w:id="273" w:name="_Toc48382042"/>
      <w:bookmarkStart w:id="274" w:name="_Toc130782716"/>
      <w:bookmarkStart w:id="275" w:name="_Toc328461875"/>
      <w:r>
        <w:rPr>
          <w:rStyle w:val="CharSectno"/>
        </w:rPr>
        <w:t>19</w:t>
      </w:r>
      <w:r>
        <w:rPr>
          <w:snapToGrid w:val="0"/>
        </w:rPr>
        <w:t>.</w:t>
      </w:r>
      <w:r>
        <w:rPr>
          <w:snapToGrid w:val="0"/>
        </w:rPr>
        <w:tab/>
        <w:t>Lotto draw</w:t>
      </w:r>
      <w:bookmarkEnd w:id="270"/>
      <w:bookmarkEnd w:id="271"/>
      <w:bookmarkEnd w:id="272"/>
      <w:bookmarkEnd w:id="273"/>
      <w:bookmarkEnd w:id="274"/>
      <w:r>
        <w:rPr>
          <w:snapToGrid w:val="0"/>
        </w:rPr>
        <w:t>, nature of</w:t>
      </w:r>
      <w:bookmarkEnd w:id="275"/>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276" w:name="_Toc5071689"/>
      <w:bookmarkStart w:id="277" w:name="_Toc5071998"/>
      <w:bookmarkStart w:id="278" w:name="_Toc9846763"/>
      <w:bookmarkStart w:id="279" w:name="_Toc48382043"/>
      <w:bookmarkStart w:id="280" w:name="_Toc130782717"/>
      <w:bookmarkStart w:id="281" w:name="_Toc328461876"/>
      <w:r>
        <w:rPr>
          <w:rStyle w:val="CharSectno"/>
        </w:rPr>
        <w:t>20</w:t>
      </w:r>
      <w:r>
        <w:rPr>
          <w:snapToGrid w:val="0"/>
        </w:rPr>
        <w:t>.</w:t>
      </w:r>
      <w:r>
        <w:rPr>
          <w:snapToGrid w:val="0"/>
        </w:rPr>
        <w:tab/>
        <w:t xml:space="preserve">Criteria for </w:t>
      </w:r>
      <w:bookmarkEnd w:id="276"/>
      <w:bookmarkEnd w:id="277"/>
      <w:bookmarkEnd w:id="278"/>
      <w:bookmarkEnd w:id="279"/>
      <w:bookmarkEnd w:id="280"/>
      <w:r>
        <w:rPr>
          <w:snapToGrid w:val="0"/>
        </w:rPr>
        <w:t>winning</w:t>
      </w:r>
      <w:bookmarkEnd w:id="281"/>
    </w:p>
    <w:p>
      <w:pPr>
        <w:pStyle w:val="Subsection"/>
        <w:rPr>
          <w:snapToGrid w:val="0"/>
        </w:rPr>
      </w:pPr>
      <w:r>
        <w:rPr>
          <w:snapToGrid w:val="0"/>
        </w:rPr>
        <w:tab/>
      </w:r>
      <w:r>
        <w:rPr>
          <w:snapToGrid w:val="0"/>
        </w:rPr>
        <w:tab/>
        <w:t xml:space="preserve">In a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 xml:space="preserve">division 4, if 4 winning numbers; </w:t>
      </w:r>
    </w:p>
    <w:p>
      <w:pPr>
        <w:pStyle w:val="Indenta"/>
        <w:rPr>
          <w:snapToGrid w:val="0"/>
        </w:rPr>
      </w:pPr>
      <w:r>
        <w:rPr>
          <w:snapToGrid w:val="0"/>
        </w:rPr>
        <w:tab/>
      </w:r>
      <w:r>
        <w:t>(e)</w:t>
      </w:r>
      <w:r>
        <w:rPr>
          <w:snapToGrid w:val="0"/>
        </w:rPr>
        <w:tab/>
        <w:t xml:space="preserve">division 5, if 3 winning numbers and a supplementary </w:t>
      </w:r>
      <w:r>
        <w:t>number;</w:t>
      </w:r>
    </w:p>
    <w:p>
      <w:pPr>
        <w:pStyle w:val="Indenta"/>
      </w:pPr>
      <w:r>
        <w:tab/>
        <w:t>(f)</w:t>
      </w:r>
      <w:r>
        <w:tab/>
        <w:t>in relation to Monday lotto, draw 3116 on Monday 27 February 2012 and all subsequent Monday lotto draws — division 6, if one or 2 winning numbers and 2 supplementary numbers;</w:t>
      </w:r>
    </w:p>
    <w:p>
      <w:pPr>
        <w:pStyle w:val="Indenta"/>
      </w:pPr>
      <w:r>
        <w:tab/>
        <w:t>(g)</w:t>
      </w:r>
      <w:r>
        <w:tab/>
        <w:t>in relation to Wednesday lotto, draw 3117 on Wednesday 29 February 2012 and all subsequent Wednesday lotto draws — division 6, if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20 amended in Gazette 19 Nov 2010 p. 5721; 27 Jan 2012 p. 570</w:t>
      </w:r>
      <w:r>
        <w:noBreakHyphen/>
        <w:t>1.]</w:t>
      </w:r>
    </w:p>
    <w:p>
      <w:pPr>
        <w:pStyle w:val="Heading5"/>
        <w:rPr>
          <w:snapToGrid w:val="0"/>
        </w:rPr>
      </w:pPr>
      <w:bookmarkStart w:id="282" w:name="_Toc5071690"/>
      <w:bookmarkStart w:id="283" w:name="_Toc5071999"/>
      <w:bookmarkStart w:id="284" w:name="_Toc9846764"/>
      <w:bookmarkStart w:id="285" w:name="_Toc48382044"/>
      <w:bookmarkStart w:id="286" w:name="_Toc130782718"/>
      <w:bookmarkStart w:id="287" w:name="_Toc328461877"/>
      <w:r>
        <w:rPr>
          <w:rStyle w:val="CharSectno"/>
        </w:rPr>
        <w:t>21</w:t>
      </w:r>
      <w:r>
        <w:rPr>
          <w:snapToGrid w:val="0"/>
        </w:rPr>
        <w:t>.</w:t>
      </w:r>
      <w:r>
        <w:rPr>
          <w:snapToGrid w:val="0"/>
        </w:rPr>
        <w:tab/>
      </w:r>
      <w:bookmarkEnd w:id="282"/>
      <w:bookmarkEnd w:id="283"/>
      <w:bookmarkEnd w:id="284"/>
      <w:bookmarkEnd w:id="285"/>
      <w:bookmarkEnd w:id="286"/>
      <w:r>
        <w:rPr>
          <w:snapToGrid w:val="0"/>
        </w:rPr>
        <w:t>Which divisions can be won by a receipted ticket</w:t>
      </w:r>
      <w:bookmarkEnd w:id="287"/>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3.</w:t>
      </w:r>
    </w:p>
    <w:p>
      <w:pPr>
        <w:pStyle w:val="Subsection"/>
      </w:pPr>
      <w:bookmarkStart w:id="288" w:name="_Toc5071691"/>
      <w:bookmarkStart w:id="289" w:name="_Toc5072000"/>
      <w:bookmarkStart w:id="290" w:name="_Toc9846765"/>
      <w:bookmarkStart w:id="291" w:name="_Toc48382045"/>
      <w:bookmarkStart w:id="292" w:name="_Toc13078271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 19 Nov 2010 p. 5722.]</w:t>
      </w:r>
    </w:p>
    <w:p>
      <w:pPr>
        <w:pStyle w:val="Heading5"/>
        <w:rPr>
          <w:snapToGrid w:val="0"/>
        </w:rPr>
      </w:pPr>
      <w:bookmarkStart w:id="293" w:name="_Toc328461878"/>
      <w:r>
        <w:rPr>
          <w:rStyle w:val="CharSectno"/>
        </w:rPr>
        <w:t>22</w:t>
      </w:r>
      <w:r>
        <w:rPr>
          <w:snapToGrid w:val="0"/>
        </w:rPr>
        <w:t>.</w:t>
      </w:r>
      <w:r>
        <w:rPr>
          <w:snapToGrid w:val="0"/>
        </w:rPr>
        <w:tab/>
        <w:t>Distribution of prize pool</w:t>
      </w:r>
      <w:bookmarkEnd w:id="288"/>
      <w:bookmarkEnd w:id="289"/>
      <w:bookmarkEnd w:id="290"/>
      <w:bookmarkEnd w:id="291"/>
      <w:bookmarkEnd w:id="292"/>
      <w:bookmarkEnd w:id="293"/>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pPr>
      <w:bookmarkStart w:id="294" w:name="_Toc328461879"/>
      <w:bookmarkStart w:id="295" w:name="_Toc5071693"/>
      <w:bookmarkStart w:id="296" w:name="_Toc5072002"/>
      <w:bookmarkStart w:id="297" w:name="_Toc9846767"/>
      <w:bookmarkStart w:id="298" w:name="_Toc48382047"/>
      <w:bookmarkStart w:id="299" w:name="_Toc130782721"/>
      <w:r>
        <w:rPr>
          <w:rStyle w:val="CharSectno"/>
        </w:rPr>
        <w:t>23</w:t>
      </w:r>
      <w:r>
        <w:t>.</w:t>
      </w:r>
      <w:r>
        <w:tab/>
        <w:t>Division 1, application of prize reserve fund to</w:t>
      </w:r>
      <w:bookmarkEnd w:id="294"/>
    </w:p>
    <w:p>
      <w:pPr>
        <w:pStyle w:val="Subsection"/>
      </w:pPr>
      <w:r>
        <w:tab/>
        <w:t>(1)</w:t>
      </w:r>
      <w:r>
        <w:tab/>
        <w:t>If there is no winner of a division 1 prize in a particular lotto draw, the prize reserve fund retains the entire amount allocated to it for that draw.</w:t>
      </w:r>
    </w:p>
    <w:p>
      <w:pPr>
        <w:pStyle w:val="Subsection"/>
      </w:pPr>
      <w:r>
        <w:tab/>
        <w:t>(2)</w:t>
      </w:r>
      <w:r>
        <w:tab/>
        <w:t>If there is only one winner of a division 1 prize in a particular lotto draw, the prize reserve fund is to be used to pay a division 1 prize of $1 000 000.</w:t>
      </w:r>
    </w:p>
    <w:p>
      <w:pPr>
        <w:pStyle w:val="Subsection"/>
      </w:pPr>
      <w:r>
        <w:tab/>
        <w:t>(3)</w:t>
      </w:r>
      <w:r>
        <w:tab/>
        <w:t>If there are 2 or more winners of a division 1 prize in a particular lotto draw, the prize reserve fund is to be used to pay each division 1 winner an equal share of $2 000 000.</w:t>
      </w:r>
    </w:p>
    <w:p>
      <w:pPr>
        <w:pStyle w:val="Footnotesection"/>
      </w:pPr>
      <w:r>
        <w:tab/>
        <w:t>[Rule 23 inserted in Gazette 27 Jan 2012 p. 571.]</w:t>
      </w:r>
    </w:p>
    <w:p>
      <w:pPr>
        <w:pStyle w:val="Heading5"/>
        <w:rPr>
          <w:snapToGrid w:val="0"/>
        </w:rPr>
      </w:pPr>
      <w:bookmarkStart w:id="300" w:name="_Toc328461880"/>
      <w:r>
        <w:rPr>
          <w:rStyle w:val="CharSectno"/>
        </w:rPr>
        <w:t>24</w:t>
      </w:r>
      <w:r>
        <w:rPr>
          <w:snapToGrid w:val="0"/>
        </w:rPr>
        <w:t>.</w:t>
      </w:r>
      <w:r>
        <w:rPr>
          <w:snapToGrid w:val="0"/>
        </w:rPr>
        <w:tab/>
      </w:r>
      <w:bookmarkEnd w:id="295"/>
      <w:bookmarkEnd w:id="296"/>
      <w:bookmarkEnd w:id="297"/>
      <w:bookmarkEnd w:id="298"/>
      <w:bookmarkEnd w:id="299"/>
      <w:r>
        <w:t>Divisions 2 to 5 prize not won, application of prize pool in case of</w:t>
      </w:r>
      <w:bookmarkEnd w:id="300"/>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Footnotesection"/>
      </w:pPr>
      <w:bookmarkStart w:id="301" w:name="_Toc5071694"/>
      <w:bookmarkStart w:id="302" w:name="_Toc5072003"/>
      <w:bookmarkStart w:id="303" w:name="_Toc9846768"/>
      <w:bookmarkStart w:id="304" w:name="_Toc48382048"/>
      <w:bookmarkStart w:id="305" w:name="_Toc130782722"/>
      <w:r>
        <w:tab/>
        <w:t>[Rule 24 amended in Gazette 27 Jan 2012 p. 571.]</w:t>
      </w:r>
    </w:p>
    <w:p>
      <w:pPr>
        <w:pStyle w:val="Ednotesection"/>
      </w:pPr>
      <w:bookmarkStart w:id="306" w:name="_Toc5071695"/>
      <w:bookmarkStart w:id="307" w:name="_Toc5072004"/>
      <w:bookmarkStart w:id="308" w:name="_Toc9846769"/>
      <w:bookmarkStart w:id="309" w:name="_Toc48382049"/>
      <w:bookmarkStart w:id="310" w:name="_Toc130782723"/>
      <w:bookmarkEnd w:id="301"/>
      <w:bookmarkEnd w:id="302"/>
      <w:bookmarkEnd w:id="303"/>
      <w:bookmarkEnd w:id="304"/>
      <w:bookmarkEnd w:id="305"/>
      <w:r>
        <w:t>[</w:t>
      </w:r>
      <w:r>
        <w:rPr>
          <w:b/>
        </w:rPr>
        <w:t>25.</w:t>
      </w:r>
      <w:r>
        <w:tab/>
        <w:t>Deleted in Gazette 27 Jan 2012 p. 571.]</w:t>
      </w:r>
    </w:p>
    <w:p>
      <w:pPr>
        <w:pStyle w:val="Heading5"/>
        <w:rPr>
          <w:snapToGrid w:val="0"/>
        </w:rPr>
      </w:pPr>
      <w:bookmarkStart w:id="311" w:name="_Toc328461881"/>
      <w:r>
        <w:rPr>
          <w:rStyle w:val="CharSectno"/>
        </w:rPr>
        <w:t>26</w:t>
      </w:r>
      <w:r>
        <w:rPr>
          <w:snapToGrid w:val="0"/>
        </w:rPr>
        <w:t>.</w:t>
      </w:r>
      <w:r>
        <w:rPr>
          <w:snapToGrid w:val="0"/>
        </w:rPr>
        <w:tab/>
        <w:t>Division 1 prizes</w:t>
      </w:r>
      <w:bookmarkEnd w:id="306"/>
      <w:bookmarkEnd w:id="307"/>
      <w:bookmarkEnd w:id="308"/>
      <w:bookmarkEnd w:id="309"/>
      <w:bookmarkEnd w:id="310"/>
      <w:r>
        <w:rPr>
          <w:snapToGrid w:val="0"/>
        </w:rPr>
        <w:t>, claims for and payment of</w:t>
      </w:r>
      <w:bookmarkEnd w:id="311"/>
    </w:p>
    <w:p>
      <w:pPr>
        <w:pStyle w:val="Subsection"/>
      </w:pPr>
      <w:r>
        <w:rPr>
          <w:snapToGrid w:val="0"/>
        </w:rPr>
        <w:tab/>
        <w:t>(1A)</w:t>
      </w:r>
      <w:r>
        <w:rPr>
          <w:snapToGrid w:val="0"/>
        </w:rPr>
        <w:tab/>
        <w:t xml:space="preserve">A division 1 prize in a </w:t>
      </w:r>
      <w:r>
        <w:t>lotto draw</w:t>
      </w:r>
      <w:r>
        <w:rPr>
          <w:snapToGrid w:val="0"/>
        </w:rPr>
        <w:t xml:space="preserve">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lotto draw is to be </w:t>
      </w:r>
      <w:r>
        <w:t>paid to the holder of a winning receipted ticket —</w:t>
      </w:r>
    </w:p>
    <w:p>
      <w:pPr>
        <w:pStyle w:val="Indenta"/>
        <w:rPr>
          <w:snapToGrid w:val="0"/>
        </w:rPr>
      </w:pPr>
      <w:r>
        <w:rPr>
          <w:snapToGrid w:val="0"/>
        </w:rPr>
        <w:tab/>
      </w:r>
      <w:r>
        <w:t>(a)</w:t>
      </w:r>
      <w:r>
        <w:rPr>
          <w:snapToGrid w:val="0"/>
        </w:rPr>
        <w:tab/>
        <w:t>by the Commission;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bookmarkStart w:id="312" w:name="_Toc5071696"/>
      <w:bookmarkStart w:id="313" w:name="_Toc5072005"/>
      <w:bookmarkStart w:id="314" w:name="_Toc9846770"/>
      <w:bookmarkStart w:id="315" w:name="_Toc48382050"/>
      <w:bookmarkStart w:id="316" w:name="_Toc130782724"/>
      <w:r>
        <w:tab/>
        <w:t>[Rule 26 amended in Gazette 6 Jun 2008 p. 2313; 19 Nov 2010 p. 5722.]</w:t>
      </w:r>
    </w:p>
    <w:p>
      <w:pPr>
        <w:pStyle w:val="Heading5"/>
        <w:rPr>
          <w:snapToGrid w:val="0"/>
        </w:rPr>
      </w:pPr>
      <w:bookmarkStart w:id="317" w:name="_Toc328461882"/>
      <w:r>
        <w:rPr>
          <w:rStyle w:val="CharSectno"/>
        </w:rPr>
        <w:t>27</w:t>
      </w:r>
      <w:r>
        <w:rPr>
          <w:snapToGrid w:val="0"/>
        </w:rPr>
        <w:t>.</w:t>
      </w:r>
      <w:r>
        <w:rPr>
          <w:snapToGrid w:val="0"/>
        </w:rPr>
        <w:tab/>
        <w:t>Division 2 prizes</w:t>
      </w:r>
      <w:bookmarkEnd w:id="312"/>
      <w:bookmarkEnd w:id="313"/>
      <w:bookmarkEnd w:id="314"/>
      <w:bookmarkEnd w:id="315"/>
      <w:bookmarkEnd w:id="316"/>
      <w:r>
        <w:rPr>
          <w:snapToGrid w:val="0"/>
        </w:rPr>
        <w:t>, claims for and payment of</w:t>
      </w:r>
      <w:bookmarkEnd w:id="317"/>
    </w:p>
    <w:p>
      <w:pPr>
        <w:pStyle w:val="Subsection"/>
      </w:pPr>
      <w:r>
        <w:tab/>
        <w:t>(1A)</w:t>
      </w:r>
      <w:r>
        <w:tab/>
        <w:t xml:space="preserve">A division 2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r>
      <w:r>
        <w:t>(a)</w:t>
      </w:r>
      <w:r>
        <w:rPr>
          <w:snapToGrid w:val="0"/>
        </w:rPr>
        <w:tab/>
        <w:t>by the Commission or an authorised payout centre;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bookmarkStart w:id="318" w:name="_Toc5071697"/>
      <w:bookmarkStart w:id="319" w:name="_Toc5072006"/>
      <w:bookmarkStart w:id="320" w:name="_Toc9846771"/>
      <w:bookmarkStart w:id="321" w:name="_Toc48382051"/>
      <w:bookmarkStart w:id="322" w:name="_Toc130782725"/>
      <w:r>
        <w:tab/>
        <w:t>[Rule 27 amended in Gazette 6 Jun 2008 p. 2313; 19 Nov 2010 p. 5722</w:t>
      </w:r>
      <w:r>
        <w:noBreakHyphen/>
        <w:t>3.]</w:t>
      </w:r>
    </w:p>
    <w:p>
      <w:pPr>
        <w:pStyle w:val="Heading5"/>
        <w:rPr>
          <w:snapToGrid w:val="0"/>
        </w:rPr>
      </w:pPr>
      <w:bookmarkStart w:id="323" w:name="_Toc328461883"/>
      <w:r>
        <w:rPr>
          <w:rStyle w:val="CharSectno"/>
        </w:rPr>
        <w:t>28</w:t>
      </w:r>
      <w:r>
        <w:rPr>
          <w:snapToGrid w:val="0"/>
        </w:rPr>
        <w:t>.</w:t>
      </w:r>
      <w:r>
        <w:rPr>
          <w:snapToGrid w:val="0"/>
        </w:rPr>
        <w:tab/>
      </w:r>
      <w:bookmarkEnd w:id="318"/>
      <w:bookmarkEnd w:id="319"/>
      <w:bookmarkEnd w:id="320"/>
      <w:bookmarkEnd w:id="321"/>
      <w:bookmarkEnd w:id="322"/>
      <w:r>
        <w:t>Division 3 to 6 prizes, claims for and payment of</w:t>
      </w:r>
      <w:bookmarkEnd w:id="323"/>
    </w:p>
    <w:p>
      <w:pPr>
        <w:pStyle w:val="Subsection"/>
      </w:pPr>
      <w:r>
        <w:tab/>
        <w:t>(1A)</w:t>
      </w:r>
      <w:r>
        <w:tab/>
        <w:t xml:space="preserve">A division 3, 4, 5 or 6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 xml:space="preserve">4, 5 or 6 </w:t>
      </w:r>
      <w:r>
        <w:rPr>
          <w:snapToGrid w:val="0"/>
        </w:rPr>
        <w:t>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 xml:space="preserve">4, 5 or 6 </w:t>
      </w:r>
      <w:r>
        <w:rPr>
          <w:snapToGrid w:val="0"/>
        </w:rPr>
        <w:t>prize is to be paid to the holder of the winning receipted ticket —</w:t>
      </w:r>
    </w:p>
    <w:p>
      <w:pPr>
        <w:pStyle w:val="Indenta"/>
        <w:spacing w:before="60"/>
        <w:rPr>
          <w:snapToGrid w:val="0"/>
        </w:rPr>
      </w:pPr>
      <w:r>
        <w:rPr>
          <w:snapToGrid w:val="0"/>
        </w:rPr>
        <w:tab/>
      </w:r>
      <w:r>
        <w:t>(a)</w:t>
      </w:r>
      <w:r>
        <w:rPr>
          <w:snapToGrid w:val="0"/>
        </w:rPr>
        <w:tab/>
        <w:t>if it is $500 or less —</w:t>
      </w:r>
    </w:p>
    <w:p>
      <w:pPr>
        <w:pStyle w:val="Indenti"/>
        <w:spacing w:before="60"/>
        <w:rPr>
          <w:snapToGrid w:val="0"/>
        </w:rPr>
      </w:pPr>
      <w:r>
        <w:tab/>
        <w:t>(i)</w:t>
      </w:r>
      <w:r>
        <w:tab/>
      </w:r>
      <w:r>
        <w:rPr>
          <w:snapToGrid w:val="0"/>
        </w:rPr>
        <w:t>by the Commission, an authorised payout centre or any other agent; and</w:t>
      </w:r>
    </w:p>
    <w:p>
      <w:pPr>
        <w:pStyle w:val="Indenti"/>
        <w:spacing w:before="60"/>
        <w:rPr>
          <w:snapToGrid w:val="0"/>
        </w:rPr>
      </w:pPr>
      <w:r>
        <w:tab/>
        <w:t>(ii)</w:t>
      </w:r>
      <w:r>
        <w:tab/>
        <w:t xml:space="preserve">subject to rule 31A, </w:t>
      </w:r>
      <w:r>
        <w:rPr>
          <w:snapToGrid w:val="0"/>
        </w:rPr>
        <w:t>in cash or in any other manner determined by the Commission; and</w:t>
      </w:r>
    </w:p>
    <w:p>
      <w:pPr>
        <w:pStyle w:val="Indenti"/>
        <w:spacing w:before="60"/>
        <w:rPr>
          <w:snapToGrid w:val="0"/>
        </w:rPr>
      </w:pPr>
      <w:r>
        <w:tab/>
        <w:t>(iii)</w:t>
      </w:r>
      <w:r>
        <w:tab/>
      </w:r>
      <w:r>
        <w:rPr>
          <w:snapToGrid w:val="0"/>
        </w:rPr>
        <w:t>after the receipted ticket is presented to the Commission, authorised payout centre or agent;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r>
      <w:r>
        <w:t>(b)</w:t>
      </w:r>
      <w:r>
        <w:rPr>
          <w:snapToGrid w:val="0"/>
        </w:rPr>
        <w:tab/>
        <w:t>if it is more than $500 —</w:t>
      </w:r>
    </w:p>
    <w:p>
      <w:pPr>
        <w:pStyle w:val="Indenti"/>
        <w:spacing w:before="60"/>
        <w:rPr>
          <w:snapToGrid w:val="0"/>
        </w:rPr>
      </w:pPr>
      <w:r>
        <w:tab/>
        <w:t>(i)</w:t>
      </w:r>
      <w:r>
        <w:tab/>
      </w:r>
      <w:r>
        <w:rPr>
          <w:snapToGrid w:val="0"/>
        </w:rPr>
        <w:t>by the Commission, an authorised payout centre or an agent who has been authorised by the Commission to pay prizes over $500; and</w:t>
      </w:r>
    </w:p>
    <w:p>
      <w:pPr>
        <w:pStyle w:val="Indenti"/>
        <w:spacing w:before="60"/>
        <w:rPr>
          <w:snapToGrid w:val="0"/>
        </w:rPr>
      </w:pPr>
      <w:r>
        <w:tab/>
        <w:t>(ii)</w:t>
      </w:r>
      <w:r>
        <w:tab/>
        <w:t xml:space="preserve">subject to rule 31A, </w:t>
      </w:r>
      <w:r>
        <w:rPr>
          <w:snapToGrid w:val="0"/>
        </w:rPr>
        <w:t>by cheque or in any other manner determined by the Commission; and</w:t>
      </w:r>
    </w:p>
    <w:p>
      <w:pPr>
        <w:pStyle w:val="Indenti"/>
        <w:spacing w:before="60"/>
        <w:rPr>
          <w:snapToGrid w:val="0"/>
        </w:rPr>
      </w:pPr>
      <w:r>
        <w:tab/>
        <w:t>(iii)</w:t>
      </w:r>
      <w:r>
        <w:tab/>
      </w:r>
      <w:r>
        <w:rPr>
          <w:snapToGrid w:val="0"/>
        </w:rPr>
        <w:t>after the receipted ticket is presented to the Commission, authorised payout centre or authorised agent.</w:t>
      </w:r>
    </w:p>
    <w:p>
      <w:pPr>
        <w:pStyle w:val="Footnotesection"/>
      </w:pPr>
      <w:bookmarkStart w:id="324" w:name="_Toc5071698"/>
      <w:bookmarkStart w:id="325" w:name="_Toc5072007"/>
      <w:bookmarkStart w:id="326" w:name="_Toc9846772"/>
      <w:bookmarkStart w:id="327" w:name="_Toc48382052"/>
      <w:bookmarkStart w:id="328" w:name="_Toc130782726"/>
      <w:r>
        <w:tab/>
        <w:t>[Rule 28 amended in Gazette 6 Jun 2008 p. 2313-14; 19 Nov 2010 p. 5723; 27 Jan 2012 p. 571.]</w:t>
      </w:r>
    </w:p>
    <w:p>
      <w:pPr>
        <w:pStyle w:val="Heading5"/>
      </w:pPr>
      <w:bookmarkStart w:id="329" w:name="_Toc328461884"/>
      <w:r>
        <w:rPr>
          <w:rStyle w:val="CharSectno"/>
        </w:rPr>
        <w:t>28A</w:t>
      </w:r>
      <w:r>
        <w:t>.</w:t>
      </w:r>
      <w:r>
        <w:tab/>
        <w:t>Syndicate share prizes, claims for and payment of</w:t>
      </w:r>
      <w:bookmarkEnd w:id="329"/>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A share of a prize is to be paid to a holder of a winning syndicate share receipted ticket —</w:t>
      </w:r>
    </w:p>
    <w:p>
      <w:pPr>
        <w:pStyle w:val="Indenta"/>
        <w:spacing w:before="60"/>
      </w:pPr>
      <w:r>
        <w:tab/>
        <w:t>(a)</w:t>
      </w:r>
      <w:r>
        <w:tab/>
        <w:t>if it is $500 or less —</w:t>
      </w:r>
    </w:p>
    <w:p>
      <w:pPr>
        <w:pStyle w:val="Indenti"/>
        <w:spacing w:before="60"/>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330" w:name="_Toc328461885"/>
      <w:r>
        <w:rPr>
          <w:rStyle w:val="CharSectno"/>
        </w:rPr>
        <w:t>29</w:t>
      </w:r>
      <w:r>
        <w:rPr>
          <w:snapToGrid w:val="0"/>
        </w:rPr>
        <w:t>.</w:t>
      </w:r>
      <w:r>
        <w:rPr>
          <w:snapToGrid w:val="0"/>
        </w:rPr>
        <w:tab/>
        <w:t>Statutory declaration</w:t>
      </w:r>
      <w:bookmarkEnd w:id="324"/>
      <w:bookmarkEnd w:id="325"/>
      <w:bookmarkEnd w:id="326"/>
      <w:bookmarkEnd w:id="327"/>
      <w:bookmarkEnd w:id="328"/>
      <w:r>
        <w:rPr>
          <w:snapToGrid w:val="0"/>
        </w:rPr>
        <w:t xml:space="preserve"> as to compliance with law, Commission may require</w:t>
      </w:r>
      <w:bookmarkEnd w:id="330"/>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bookmarkStart w:id="331" w:name="_Toc5071699"/>
      <w:bookmarkStart w:id="332" w:name="_Toc5072008"/>
      <w:bookmarkStart w:id="333" w:name="_Toc9846773"/>
      <w:bookmarkStart w:id="334" w:name="_Toc48382053"/>
      <w:bookmarkStart w:id="335" w:name="_Toc130782727"/>
      <w:r>
        <w:tab/>
        <w:t>[Rule 29 amended in Gazette 6 Jun 2008 p. 2315.]</w:t>
      </w:r>
    </w:p>
    <w:p>
      <w:pPr>
        <w:pStyle w:val="Heading5"/>
        <w:rPr>
          <w:snapToGrid w:val="0"/>
        </w:rPr>
      </w:pPr>
      <w:bookmarkStart w:id="336" w:name="_Toc328461886"/>
      <w:r>
        <w:rPr>
          <w:rStyle w:val="CharSectno"/>
        </w:rPr>
        <w:t>30</w:t>
      </w:r>
      <w:r>
        <w:rPr>
          <w:snapToGrid w:val="0"/>
        </w:rPr>
        <w:t>.</w:t>
      </w:r>
      <w:r>
        <w:rPr>
          <w:snapToGrid w:val="0"/>
        </w:rPr>
        <w:tab/>
        <w:t>Names and addresses of prize winners</w:t>
      </w:r>
      <w:bookmarkEnd w:id="331"/>
      <w:bookmarkEnd w:id="332"/>
      <w:bookmarkEnd w:id="333"/>
      <w:bookmarkEnd w:id="334"/>
      <w:bookmarkEnd w:id="335"/>
      <w:r>
        <w:rPr>
          <w:snapToGrid w:val="0"/>
        </w:rPr>
        <w:t>, publishing</w:t>
      </w:r>
      <w:bookmarkEnd w:id="336"/>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37" w:name="_Toc5071700"/>
      <w:bookmarkStart w:id="338" w:name="_Toc5072009"/>
      <w:bookmarkStart w:id="339" w:name="_Toc9846774"/>
      <w:bookmarkStart w:id="340" w:name="_Toc48382054"/>
      <w:bookmarkStart w:id="341" w:name="_Toc130782728"/>
      <w:bookmarkStart w:id="342" w:name="_Toc328461887"/>
      <w:r>
        <w:rPr>
          <w:rStyle w:val="CharSectno"/>
        </w:rPr>
        <w:t>31</w:t>
      </w:r>
      <w:r>
        <w:rPr>
          <w:snapToGrid w:val="0"/>
        </w:rPr>
        <w:t>.</w:t>
      </w:r>
      <w:r>
        <w:rPr>
          <w:snapToGrid w:val="0"/>
        </w:rPr>
        <w:tab/>
        <w:t>Player Registration Service</w:t>
      </w:r>
      <w:bookmarkEnd w:id="337"/>
      <w:bookmarkEnd w:id="338"/>
      <w:bookmarkEnd w:id="339"/>
      <w:bookmarkEnd w:id="340"/>
      <w:bookmarkEnd w:id="341"/>
      <w:bookmarkEnd w:id="342"/>
    </w:p>
    <w:p>
      <w:pPr>
        <w:pStyle w:val="Subsection"/>
        <w:rPr>
          <w:snapToGrid w:val="0"/>
        </w:rPr>
      </w:pPr>
      <w:r>
        <w:rPr>
          <w:snapToGrid w:val="0"/>
        </w:rPr>
        <w:tab/>
        <w:t>(1)</w:t>
      </w:r>
      <w:r>
        <w:rPr>
          <w:snapToGrid w:val="0"/>
        </w:rPr>
        <w:tab/>
        <w:t>A “Player Registration Service” (PRS) number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bookmarkStart w:id="343" w:name="_Toc129660716"/>
      <w:bookmarkStart w:id="344" w:name="_Toc129660764"/>
      <w:bookmarkStart w:id="345" w:name="_Toc129669312"/>
      <w:bookmarkStart w:id="346" w:name="_Toc129669368"/>
      <w:bookmarkStart w:id="347" w:name="_Toc129679051"/>
      <w:bookmarkStart w:id="348" w:name="_Toc129679162"/>
      <w:bookmarkStart w:id="349" w:name="_Toc129679210"/>
      <w:bookmarkStart w:id="350" w:name="_Toc130782472"/>
      <w:bookmarkStart w:id="351" w:name="_Toc130782681"/>
      <w:bookmarkStart w:id="352" w:name="_Toc130782729"/>
      <w:bookmarkStart w:id="353" w:name="_Toc133379739"/>
      <w:bookmarkStart w:id="354" w:name="_Toc133385334"/>
      <w:bookmarkStart w:id="355" w:name="_Toc147288422"/>
      <w:bookmarkStart w:id="356" w:name="_Toc170549139"/>
      <w:bookmarkStart w:id="357" w:name="_Toc170620892"/>
      <w:bookmarkStart w:id="358" w:name="_Toc170621044"/>
      <w:r>
        <w:tab/>
        <w:t>[Rule 31 amended in Gazette 6 Jun 2008 p. 2315-16.]</w:t>
      </w:r>
    </w:p>
    <w:p>
      <w:pPr>
        <w:pStyle w:val="Heading5"/>
      </w:pPr>
      <w:bookmarkStart w:id="359" w:name="_Toc328461888"/>
      <w:r>
        <w:rPr>
          <w:rStyle w:val="CharSectno"/>
        </w:rPr>
        <w:t>31A</w:t>
      </w:r>
      <w:r>
        <w:t>.</w:t>
      </w:r>
      <w:r>
        <w:tab/>
        <w:t>Player’s card holders may request direct credit of prizes</w:t>
      </w:r>
      <w:bookmarkEnd w:id="359"/>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360" w:name="_Toc328461889"/>
      <w:r>
        <w:rPr>
          <w:rStyle w:val="CharSectno"/>
        </w:rPr>
        <w:t>31B</w:t>
      </w:r>
      <w:r>
        <w:t>.</w:t>
      </w:r>
      <w:r>
        <w:tab/>
        <w:t>Favourite numbers, registering by subscribers</w:t>
      </w:r>
      <w:bookmarkEnd w:id="360"/>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361" w:name="_Toc200510477"/>
      <w:bookmarkStart w:id="362" w:name="_Toc210787574"/>
      <w:bookmarkStart w:id="363" w:name="_Toc222820834"/>
      <w:bookmarkStart w:id="364" w:name="_Toc222889193"/>
      <w:bookmarkStart w:id="365" w:name="_Toc224108818"/>
      <w:bookmarkStart w:id="366" w:name="_Toc256152947"/>
      <w:bookmarkStart w:id="367" w:name="_Toc277943318"/>
      <w:bookmarkStart w:id="368" w:name="_Toc315428726"/>
      <w:bookmarkStart w:id="369" w:name="_Toc317510753"/>
      <w:bookmarkStart w:id="370" w:name="_Toc317511297"/>
      <w:bookmarkStart w:id="371" w:name="_Toc317578444"/>
      <w:bookmarkStart w:id="372" w:name="_Toc324420155"/>
      <w:bookmarkStart w:id="373" w:name="_Toc324423641"/>
      <w:bookmarkStart w:id="374" w:name="_Toc324424343"/>
      <w:bookmarkStart w:id="375" w:name="_Toc326649717"/>
      <w:bookmarkStart w:id="376" w:name="_Toc326650471"/>
      <w:bookmarkStart w:id="377" w:name="_Toc328461890"/>
      <w:r>
        <w:rPr>
          <w:rStyle w:val="CharPartNo"/>
        </w:rPr>
        <w:t>Part 5</w:t>
      </w:r>
      <w:r>
        <w:rPr>
          <w:rStyle w:val="CharDivNo"/>
        </w:rPr>
        <w:t> </w:t>
      </w:r>
      <w:r>
        <w:t>—</w:t>
      </w:r>
      <w:r>
        <w:rPr>
          <w:rStyle w:val="CharDivText"/>
        </w:rPr>
        <w:t> </w:t>
      </w:r>
      <w:r>
        <w:rPr>
          <w:rStyle w:val="CharPartText"/>
        </w:rPr>
        <w:t>Miscellaneous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5071701"/>
      <w:bookmarkStart w:id="379" w:name="_Toc5072010"/>
      <w:bookmarkStart w:id="380" w:name="_Toc9846775"/>
      <w:bookmarkStart w:id="381" w:name="_Toc48382055"/>
      <w:bookmarkStart w:id="382" w:name="_Toc130782730"/>
      <w:bookmarkStart w:id="383" w:name="_Toc328461891"/>
      <w:r>
        <w:rPr>
          <w:rStyle w:val="CharSectno"/>
        </w:rPr>
        <w:t>32</w:t>
      </w:r>
      <w:r>
        <w:rPr>
          <w:snapToGrid w:val="0"/>
        </w:rPr>
        <w:t>.</w:t>
      </w:r>
      <w:r>
        <w:rPr>
          <w:snapToGrid w:val="0"/>
        </w:rPr>
        <w:tab/>
        <w:t>Instructions</w:t>
      </w:r>
      <w:bookmarkEnd w:id="378"/>
      <w:bookmarkEnd w:id="379"/>
      <w:bookmarkEnd w:id="380"/>
      <w:bookmarkEnd w:id="381"/>
      <w:bookmarkEnd w:id="382"/>
      <w:r>
        <w:rPr>
          <w:snapToGrid w:val="0"/>
        </w:rPr>
        <w:t xml:space="preserve"> on playslips etc., status of</w:t>
      </w:r>
      <w:bookmarkEnd w:id="383"/>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84" w:name="_Toc5071702"/>
      <w:bookmarkStart w:id="385" w:name="_Toc5072011"/>
      <w:bookmarkStart w:id="386" w:name="_Toc9846776"/>
      <w:bookmarkStart w:id="387" w:name="_Toc48382056"/>
      <w:bookmarkStart w:id="388" w:name="_Toc130782731"/>
      <w:r>
        <w:tab/>
        <w:t>[Rule 32 amended in Gazette 6 Jun 2008 p. 2317.]</w:t>
      </w:r>
    </w:p>
    <w:p>
      <w:pPr>
        <w:pStyle w:val="Heading5"/>
        <w:rPr>
          <w:snapToGrid w:val="0"/>
        </w:rPr>
      </w:pPr>
      <w:bookmarkStart w:id="389" w:name="_Toc328461892"/>
      <w:r>
        <w:rPr>
          <w:rStyle w:val="CharSectno"/>
        </w:rPr>
        <w:t>33</w:t>
      </w:r>
      <w:r>
        <w:rPr>
          <w:snapToGrid w:val="0"/>
        </w:rPr>
        <w:t>.</w:t>
      </w:r>
      <w:r>
        <w:rPr>
          <w:snapToGrid w:val="0"/>
        </w:rPr>
        <w:tab/>
        <w:t>These rules to be made available</w:t>
      </w:r>
      <w:bookmarkEnd w:id="384"/>
      <w:bookmarkEnd w:id="385"/>
      <w:bookmarkEnd w:id="386"/>
      <w:bookmarkEnd w:id="387"/>
      <w:bookmarkEnd w:id="388"/>
      <w:r>
        <w:rPr>
          <w:snapToGrid w:val="0"/>
        </w:rPr>
        <w:t xml:space="preserve"> etc.</w:t>
      </w:r>
      <w:bookmarkEnd w:id="389"/>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90" w:name="_Toc5071703"/>
      <w:bookmarkStart w:id="391" w:name="_Toc5072012"/>
      <w:bookmarkStart w:id="392" w:name="_Toc9846777"/>
      <w:bookmarkStart w:id="393" w:name="_Toc48382057"/>
      <w:bookmarkStart w:id="394" w:name="_Toc130782732"/>
      <w:bookmarkStart w:id="395" w:name="_Toc328461893"/>
      <w:r>
        <w:rPr>
          <w:rStyle w:val="CharSectno"/>
        </w:rPr>
        <w:t>34</w:t>
      </w:r>
      <w:r>
        <w:rPr>
          <w:snapToGrid w:val="0"/>
        </w:rPr>
        <w:t>.</w:t>
      </w:r>
      <w:r>
        <w:rPr>
          <w:snapToGrid w:val="0"/>
        </w:rPr>
        <w:tab/>
        <w:t>Commission’s decisions are final</w:t>
      </w:r>
      <w:bookmarkEnd w:id="390"/>
      <w:bookmarkEnd w:id="391"/>
      <w:bookmarkEnd w:id="392"/>
      <w:bookmarkEnd w:id="393"/>
      <w:bookmarkEnd w:id="394"/>
      <w:bookmarkEnd w:id="395"/>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96" w:name="_Toc129660720"/>
      <w:bookmarkStart w:id="397" w:name="_Toc129660768"/>
      <w:bookmarkStart w:id="398" w:name="_Toc129669316"/>
      <w:bookmarkStart w:id="399" w:name="_Toc129669372"/>
      <w:bookmarkStart w:id="400" w:name="_Toc129679055"/>
      <w:bookmarkStart w:id="401" w:name="_Toc129679166"/>
      <w:bookmarkStart w:id="402" w:name="_Toc129679214"/>
      <w:bookmarkStart w:id="403" w:name="_Toc130782476"/>
      <w:bookmarkStart w:id="404" w:name="_Toc130782685"/>
      <w:bookmarkStart w:id="405" w:name="_Toc130782733"/>
      <w:bookmarkStart w:id="406" w:name="_Toc133379743"/>
    </w:p>
    <w:p>
      <w:pPr>
        <w:pStyle w:val="yScheduleHeading"/>
      </w:pPr>
      <w:bookmarkStart w:id="407" w:name="_Toc210787578"/>
      <w:bookmarkStart w:id="408" w:name="_Toc222820838"/>
      <w:bookmarkStart w:id="409" w:name="_Toc222889197"/>
      <w:bookmarkStart w:id="410" w:name="_Toc224108822"/>
      <w:bookmarkStart w:id="411" w:name="_Toc256152951"/>
      <w:bookmarkStart w:id="412" w:name="_Toc277943322"/>
      <w:bookmarkStart w:id="413" w:name="_Toc315428730"/>
      <w:bookmarkStart w:id="414" w:name="_Toc317510757"/>
      <w:bookmarkStart w:id="415" w:name="_Toc317511301"/>
      <w:bookmarkStart w:id="416" w:name="_Toc317578448"/>
      <w:bookmarkStart w:id="417" w:name="_Toc324420159"/>
      <w:bookmarkStart w:id="418" w:name="_Toc324423645"/>
      <w:bookmarkStart w:id="419" w:name="_Toc324424347"/>
      <w:bookmarkStart w:id="420" w:name="_Toc326649721"/>
      <w:bookmarkStart w:id="421" w:name="_Toc326650475"/>
      <w:bookmarkStart w:id="422" w:name="_Toc328461894"/>
      <w:bookmarkStart w:id="423" w:name="_Toc200510482"/>
      <w:bookmarkStart w:id="424" w:name="_Toc129660725"/>
      <w:bookmarkStart w:id="425" w:name="_Toc129660773"/>
      <w:bookmarkStart w:id="426" w:name="_Toc129669321"/>
      <w:bookmarkStart w:id="427" w:name="_Toc129669377"/>
      <w:bookmarkStart w:id="428" w:name="_Toc129679060"/>
      <w:bookmarkStart w:id="429" w:name="_Toc129679171"/>
      <w:bookmarkStart w:id="430" w:name="_Toc129679219"/>
      <w:bookmarkStart w:id="431" w:name="_Toc130782481"/>
      <w:bookmarkStart w:id="432" w:name="_Toc130782690"/>
      <w:bookmarkStart w:id="433" w:name="_Toc130782738"/>
      <w:bookmarkStart w:id="434" w:name="_Toc133379748"/>
      <w:bookmarkStart w:id="435" w:name="_Toc133385343"/>
      <w:bookmarkStart w:id="436" w:name="_Toc147288431"/>
      <w:bookmarkStart w:id="437" w:name="_Toc170549148"/>
      <w:bookmarkStart w:id="438" w:name="_Toc170620901"/>
      <w:bookmarkStart w:id="439" w:name="_Toc170621051"/>
      <w:bookmarkEnd w:id="396"/>
      <w:bookmarkEnd w:id="397"/>
      <w:bookmarkEnd w:id="398"/>
      <w:bookmarkEnd w:id="399"/>
      <w:bookmarkEnd w:id="400"/>
      <w:bookmarkEnd w:id="401"/>
      <w:bookmarkEnd w:id="402"/>
      <w:bookmarkEnd w:id="403"/>
      <w:bookmarkEnd w:id="404"/>
      <w:bookmarkEnd w:id="405"/>
      <w:bookmarkEnd w:id="406"/>
      <w:r>
        <w:rPr>
          <w:rStyle w:val="CharSchNo"/>
        </w:rPr>
        <w:t>Schedule 1</w:t>
      </w:r>
      <w:r>
        <w:t> — </w:t>
      </w:r>
      <w:r>
        <w:rPr>
          <w:rStyle w:val="CharSchText"/>
        </w:rPr>
        <w:t>Calculating the total cost of entry — Monday lotto or Wednesday lotto draw</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ShoulderClause"/>
        <w:rPr>
          <w:snapToGrid w:val="0"/>
        </w:rPr>
      </w:pPr>
      <w:r>
        <w:rPr>
          <w:snapToGrid w:val="0"/>
        </w:rPr>
        <w:t>[r. 5(1)]</w:t>
      </w:r>
    </w:p>
    <w:p>
      <w:pPr>
        <w:pStyle w:val="yFootnoteheading"/>
      </w:pPr>
      <w:r>
        <w:tab/>
        <w:t>[Heading inserted in Gazette 3 Oct 2008 p. 4495.]</w:t>
      </w:r>
    </w:p>
    <w:p>
      <w:pPr>
        <w:pStyle w:val="yHeading3"/>
      </w:pPr>
      <w:bookmarkStart w:id="440" w:name="_Toc317510758"/>
      <w:bookmarkStart w:id="441" w:name="_Toc317511302"/>
      <w:bookmarkStart w:id="442" w:name="_Toc317578449"/>
      <w:bookmarkStart w:id="443" w:name="_Toc324420160"/>
      <w:bookmarkStart w:id="444" w:name="_Toc324423646"/>
      <w:bookmarkStart w:id="445" w:name="_Toc324424348"/>
      <w:bookmarkStart w:id="446" w:name="_Toc326649722"/>
      <w:bookmarkStart w:id="447" w:name="_Toc326650476"/>
      <w:bookmarkStart w:id="448" w:name="_Toc328461895"/>
      <w:r>
        <w:rPr>
          <w:rStyle w:val="CharSDivNo"/>
        </w:rPr>
        <w:t>Part 1</w:t>
      </w:r>
      <w:r>
        <w:t> — </w:t>
      </w:r>
      <w:r>
        <w:rPr>
          <w:rStyle w:val="CharSDivText"/>
        </w:rPr>
        <w:t>Up to draw 3115</w:t>
      </w:r>
      <w:bookmarkEnd w:id="440"/>
      <w:bookmarkEnd w:id="441"/>
      <w:bookmarkEnd w:id="442"/>
      <w:bookmarkEnd w:id="443"/>
      <w:bookmarkEnd w:id="444"/>
      <w:bookmarkEnd w:id="445"/>
      <w:bookmarkEnd w:id="446"/>
      <w:bookmarkEnd w:id="447"/>
      <w:bookmarkEnd w:id="448"/>
    </w:p>
    <w:p>
      <w:pPr>
        <w:pStyle w:val="yFootnoteheading"/>
      </w:pPr>
      <w:r>
        <w:tab/>
        <w:t>[Heading inserted in Gazette 27 Jan 2012 p. 572.]</w:t>
      </w:r>
    </w:p>
    <w:p>
      <w:pPr>
        <w:pStyle w:val="yMiscellaneousBody"/>
      </w:pPr>
      <w:r>
        <w:t>The unit cost of entering a Monday lotto or a Wednesday lotto draw up to and including the Monday lotto draw numbered 3114, and the Wednesday lotto draw numbered 3115, is made up of a subscription of 40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$0.40) x .09 </w:t>
      </w:r>
      <w:r>
        <w:rPr>
          <w:b/>
          <w:bCs/>
        </w:rPr>
        <w:sym w:font="Symbol" w:char="F0AE"/>
      </w:r>
      <w:r>
        <w:rPr>
          <w:b/>
          <w:bCs/>
        </w:rPr>
        <w:t xml:space="preserve"> rounded) x W = T</w:t>
      </w:r>
    </w:p>
    <w:p>
      <w:pPr>
        <w:pStyle w:val="yMiscellaneousBody"/>
      </w:pPr>
      <w:r>
        <w:t>where —</w:t>
      </w:r>
    </w:p>
    <w:p>
      <w:pPr>
        <w:pStyle w:val="yMiscellaneousBody"/>
        <w:tabs>
          <w:tab w:val="left" w:pos="600"/>
          <w:tab w:val="left" w:pos="1080"/>
          <w:tab w:val="left" w:pos="1560"/>
        </w:tabs>
      </w:pPr>
      <w:r>
        <w:tab/>
      </w:r>
      <w:r>
        <w:rPr>
          <w:b/>
          <w:bCs/>
        </w:rPr>
        <w:t>G</w:t>
      </w:r>
      <w:r>
        <w:tab/>
        <w:t>=</w:t>
      </w:r>
      <w:r>
        <w:tab/>
        <w:t>No. of games entered in a draw</w:t>
      </w:r>
    </w:p>
    <w:p>
      <w:pPr>
        <w:pStyle w:val="yMiscellaneousBody"/>
        <w:tabs>
          <w:tab w:val="left" w:pos="600"/>
          <w:tab w:val="left" w:pos="1080"/>
          <w:tab w:val="left" w:pos="1560"/>
        </w:tabs>
      </w:pPr>
      <w:r>
        <w:tab/>
      </w:r>
      <w:r>
        <w:rPr>
          <w:b/>
          <w:bCs/>
        </w:rPr>
        <w:t>W</w:t>
      </w:r>
      <w:r>
        <w:rPr>
          <w:b/>
          <w:bCs/>
        </w:rPr>
        <w:tab/>
      </w:r>
      <w:r>
        <w:t>=</w:t>
      </w:r>
      <w:r>
        <w:tab/>
        <w:t>No. of weeks the entry spans</w:t>
      </w:r>
    </w:p>
    <w:p>
      <w:pPr>
        <w:pStyle w:val="yMiscellaneousBody"/>
        <w:tabs>
          <w:tab w:val="left" w:pos="600"/>
          <w:tab w:val="left" w:pos="1080"/>
          <w:tab w:val="left" w:pos="1560"/>
        </w:tabs>
      </w:pPr>
      <w:r>
        <w:tab/>
      </w:r>
      <w:r>
        <w:rPr>
          <w:b/>
          <w:bCs/>
        </w:rPr>
        <w:t>T</w:t>
      </w:r>
      <w:r>
        <w:tab/>
        <w:t>=</w:t>
      </w:r>
      <w:r>
        <w:tab/>
        <w:t>Total agent’s component cost payable by the subscriber</w:t>
      </w:r>
    </w:p>
    <w:p>
      <w:pPr>
        <w:pStyle w:val="yMiscellaneousBody"/>
        <w:spacing w:before="240"/>
        <w:rPr>
          <w:b/>
          <w:bCs/>
        </w:rPr>
      </w:pPr>
      <w:r>
        <w:rPr>
          <w:b/>
          <w:bCs/>
        </w:rPr>
        <w:t>Examples:</w:t>
      </w:r>
    </w:p>
    <w:p>
      <w:pPr>
        <w:pStyle w:val="yMiscellaneousBody"/>
      </w:pPr>
      <w:r>
        <w:t>The total cost of entry for a Slikpik 25 entry for a single Monday lotto or Wednesday lotto draw is calculated as follows —</w:t>
      </w:r>
    </w:p>
    <w:p>
      <w:pPr>
        <w:pStyle w:val="yMiscellaneousBody"/>
        <w:tabs>
          <w:tab w:val="left" w:pos="600"/>
          <w:tab w:val="left" w:pos="4560"/>
          <w:tab w:val="decimal" w:pos="5400"/>
        </w:tabs>
      </w:pPr>
      <w:r>
        <w:tab/>
        <w:t>Subscription [25 games @ $0.40 each]</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rPr>
          <w:b/>
          <w:bCs/>
        </w:rPr>
      </w:pPr>
      <w:r>
        <w:rPr>
          <w:b/>
          <w:bCs/>
        </w:rPr>
        <w:tab/>
        <w:t>Total cost of entry</w:t>
      </w:r>
      <w:r>
        <w:rPr>
          <w:b/>
          <w:bCs/>
        </w:rPr>
        <w:tab/>
      </w:r>
      <w:r>
        <w:rPr>
          <w:bCs/>
        </w:rPr>
        <w:t>=</w:t>
      </w:r>
      <w:r>
        <w:rPr>
          <w:b/>
          <w:bCs/>
        </w:rPr>
        <w:tab/>
        <w:t>$10.90</w:t>
      </w:r>
    </w:p>
    <w:p>
      <w:pPr>
        <w:pStyle w:val="yMiscellaneousBody"/>
        <w:keepNext/>
      </w:pPr>
      <w:r>
        <w:t>The total cost of entry for a System 8 entry for a single Monday lotto or Wednesday lotto draw is calculated as follows —</w:t>
      </w:r>
    </w:p>
    <w:p>
      <w:pPr>
        <w:pStyle w:val="yMiscellaneousBody"/>
        <w:keepNext/>
        <w:tabs>
          <w:tab w:val="left" w:pos="600"/>
          <w:tab w:val="left" w:pos="4560"/>
          <w:tab w:val="decimal" w:pos="5400"/>
        </w:tabs>
      </w:pPr>
      <w:r>
        <w:tab/>
        <w:t>Subscription [28 games @ $0.40 each]</w:t>
      </w:r>
      <w:r>
        <w:tab/>
        <w:t>=</w:t>
      </w:r>
      <w:r>
        <w:tab/>
        <w:t>$11.20</w:t>
      </w:r>
    </w:p>
    <w:p>
      <w:pPr>
        <w:pStyle w:val="yMiscellaneousBody"/>
        <w:tabs>
          <w:tab w:val="left" w:pos="600"/>
          <w:tab w:val="left" w:pos="4560"/>
          <w:tab w:val="decimal" w:pos="5400"/>
        </w:tabs>
      </w:pPr>
      <w:r>
        <w:tab/>
        <w:t>9% of subscription [.09 x $11.20]</w:t>
      </w:r>
      <w:r>
        <w:tab/>
        <w:t>=</w:t>
      </w:r>
      <w:r>
        <w:tab/>
        <w:t>$1.008</w:t>
      </w:r>
    </w:p>
    <w:p>
      <w:pPr>
        <w:pStyle w:val="yMiscellaneousBody"/>
        <w:tabs>
          <w:tab w:val="left" w:pos="600"/>
          <w:tab w:val="left" w:pos="4560"/>
          <w:tab w:val="decimal" w:pos="5400"/>
        </w:tabs>
      </w:pPr>
      <w:r>
        <w:tab/>
        <w:t>Rounded using “bankers rounding”</w:t>
      </w:r>
      <w:r>
        <w:tab/>
        <w:t>=</w:t>
      </w:r>
      <w:r>
        <w:tab/>
        <w:t>$1.00</w:t>
      </w:r>
    </w:p>
    <w:p>
      <w:pPr>
        <w:pStyle w:val="yMiscellaneousBody"/>
        <w:tabs>
          <w:tab w:val="left" w:pos="600"/>
          <w:tab w:val="left" w:pos="4560"/>
          <w:tab w:val="decimal" w:pos="5400"/>
        </w:tabs>
        <w:rPr>
          <w:b/>
          <w:bCs/>
        </w:rPr>
      </w:pPr>
      <w:r>
        <w:rPr>
          <w:b/>
          <w:bCs/>
        </w:rPr>
        <w:tab/>
        <w:t>Total cost of entry</w:t>
      </w:r>
      <w:r>
        <w:rPr>
          <w:b/>
          <w:bCs/>
        </w:rPr>
        <w:tab/>
      </w:r>
      <w:r>
        <w:rPr>
          <w:bCs/>
        </w:rPr>
        <w:t>=</w:t>
      </w:r>
      <w:r>
        <w:rPr>
          <w:b/>
          <w:bCs/>
        </w:rPr>
        <w:tab/>
        <w:t>$12.20</w:t>
      </w:r>
    </w:p>
    <w:p>
      <w:pPr>
        <w:pStyle w:val="yMiscellaneousBody"/>
        <w:spacing w:before="240"/>
      </w:pPr>
      <w:r>
        <w:t>The total cost of entry for a 6 game board System 9 entry for a single Monday lotto or Wednesday lotto draw is calculated as follows —</w:t>
      </w:r>
    </w:p>
    <w:p>
      <w:pPr>
        <w:pStyle w:val="yMiscellaneousBody"/>
        <w:tabs>
          <w:tab w:val="left" w:pos="600"/>
          <w:tab w:val="left" w:pos="4560"/>
          <w:tab w:val="decimal" w:pos="5400"/>
        </w:tabs>
      </w:pPr>
      <w:r>
        <w:tab/>
        <w:t>Subscription [6 x 84 games @ $0.40 each]</w:t>
      </w:r>
      <w:r>
        <w:tab/>
        <w:t>=</w:t>
      </w:r>
      <w:r>
        <w:tab/>
        <w:t>$201.60</w:t>
      </w:r>
    </w:p>
    <w:p>
      <w:pPr>
        <w:pStyle w:val="yMiscellaneousBody"/>
        <w:tabs>
          <w:tab w:val="left" w:pos="600"/>
          <w:tab w:val="left" w:pos="4560"/>
          <w:tab w:val="decimal" w:pos="5400"/>
        </w:tabs>
      </w:pPr>
      <w:r>
        <w:tab/>
        <w:t>9% of subscription [.09 x $201.60]</w:t>
      </w:r>
      <w:r>
        <w:tab/>
        <w:t>=</w:t>
      </w:r>
      <w:r>
        <w:tab/>
        <w:t>$18.144</w:t>
      </w:r>
    </w:p>
    <w:p>
      <w:pPr>
        <w:pStyle w:val="yMiscellaneousBody"/>
        <w:tabs>
          <w:tab w:val="left" w:pos="600"/>
          <w:tab w:val="left" w:pos="4560"/>
          <w:tab w:val="decimal" w:pos="5400"/>
        </w:tabs>
      </w:pPr>
      <w:r>
        <w:tab/>
        <w:t>Rounded using “bankers rounding”</w:t>
      </w:r>
      <w:r>
        <w:tab/>
        <w:t>=</w:t>
      </w:r>
      <w:r>
        <w:tab/>
        <w:t>$18.15</w:t>
      </w:r>
    </w:p>
    <w:p>
      <w:pPr>
        <w:pStyle w:val="yMiscellaneousBody"/>
        <w:tabs>
          <w:tab w:val="left" w:pos="600"/>
          <w:tab w:val="left" w:pos="4560"/>
          <w:tab w:val="decimal" w:pos="5400"/>
        </w:tabs>
        <w:rPr>
          <w:b/>
          <w:bCs/>
        </w:rPr>
      </w:pPr>
      <w:r>
        <w:rPr>
          <w:b/>
          <w:bCs/>
        </w:rPr>
        <w:tab/>
        <w:t>Total cost of entry</w:t>
      </w:r>
      <w:r>
        <w:rPr>
          <w:b/>
          <w:bCs/>
        </w:rPr>
        <w:tab/>
      </w:r>
      <w:r>
        <w:rPr>
          <w:bCs/>
        </w:rPr>
        <w:t>=</w:t>
      </w:r>
      <w:r>
        <w:rPr>
          <w:b/>
          <w:bCs/>
        </w:rPr>
        <w:tab/>
        <w:t>$219.75</w:t>
      </w:r>
    </w:p>
    <w:p>
      <w:pPr>
        <w:pStyle w:val="yMiscellaneousBody"/>
        <w:spacing w:before="240"/>
      </w:pPr>
      <w:r>
        <w:t>The total cost of entry for a Slikpik 25 entry spanning 10 weeks of Monday lotto or Wednesday lotto is calculated as follows —</w:t>
      </w:r>
    </w:p>
    <w:p>
      <w:pPr>
        <w:pStyle w:val="yMiscellaneousBody"/>
        <w:tabs>
          <w:tab w:val="left" w:pos="600"/>
          <w:tab w:val="left" w:pos="4560"/>
          <w:tab w:val="decimal" w:pos="5160"/>
        </w:tabs>
      </w:pPr>
      <w:r>
        <w:tab/>
        <w:t>Subscription for one week</w:t>
      </w:r>
    </w:p>
    <w:p>
      <w:pPr>
        <w:pStyle w:val="yMiscellaneousBody"/>
        <w:tabs>
          <w:tab w:val="left" w:pos="600"/>
          <w:tab w:val="left" w:pos="4560"/>
          <w:tab w:val="decimal" w:pos="5400"/>
        </w:tabs>
        <w:spacing w:before="0"/>
      </w:pPr>
      <w:r>
        <w:tab/>
        <w:t xml:space="preserve">[25 games @ $0.40 each] </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pPr>
      <w:r>
        <w:tab/>
        <w:t>Total cost of entry for one week</w:t>
      </w:r>
      <w:r>
        <w:tab/>
        <w:t>=</w:t>
      </w:r>
      <w:r>
        <w:tab/>
        <w:t>$10.90</w:t>
      </w:r>
    </w:p>
    <w:p>
      <w:pPr>
        <w:pStyle w:val="yMiscellaneousBody"/>
        <w:tabs>
          <w:tab w:val="left" w:pos="600"/>
          <w:tab w:val="left" w:pos="4560"/>
          <w:tab w:val="decimal" w:pos="5400"/>
        </w:tabs>
        <w:rPr>
          <w:b/>
          <w:bCs/>
        </w:rPr>
      </w:pPr>
      <w:r>
        <w:rPr>
          <w:b/>
          <w:bCs/>
        </w:rPr>
        <w:tab/>
        <w:t>Total cost of entry for 10 weeks</w:t>
      </w:r>
      <w:r>
        <w:rPr>
          <w:b/>
          <w:bCs/>
        </w:rPr>
        <w:tab/>
      </w:r>
      <w:r>
        <w:rPr>
          <w:bCs/>
        </w:rPr>
        <w:t>=</w:t>
      </w:r>
      <w:r>
        <w:rPr>
          <w:b/>
          <w:bCs/>
        </w:rPr>
        <w:tab/>
        <w:t>$109.00</w:t>
      </w:r>
    </w:p>
    <w:p>
      <w:pPr>
        <w:pStyle w:val="yMiscellaneousBody"/>
      </w:pPr>
      <w:r>
        <w:t>* Rounding is calculated using the method known as “bankers rounding” or “round</w:t>
      </w:r>
      <w:r>
        <w:noBreakHyphen/>
        <w:t>to</w:t>
      </w:r>
      <w:r>
        <w:noBreakHyphen/>
        <w:t>even” rounding.</w:t>
      </w:r>
    </w:p>
    <w:p>
      <w:pPr>
        <w:pStyle w:val="yFootnotesection"/>
      </w:pPr>
      <w:bookmarkStart w:id="449" w:name="_Toc317510759"/>
      <w:bookmarkStart w:id="450" w:name="_Toc317511303"/>
      <w:r>
        <w:tab/>
        <w:t>[Part 1, formerly Schedule 1, inserted in Gazette 3 Oct 2008 p. 4495</w:t>
      </w:r>
      <w:r>
        <w:noBreakHyphen/>
        <w:t>6; renumbered as Part 1 and amended  in Gazette 27 Jan 2012 p. 572.]</w:t>
      </w:r>
    </w:p>
    <w:p>
      <w:pPr>
        <w:pStyle w:val="yHeading3"/>
      </w:pPr>
      <w:bookmarkStart w:id="451" w:name="_Toc317578450"/>
      <w:bookmarkStart w:id="452" w:name="_Toc324420161"/>
      <w:bookmarkStart w:id="453" w:name="_Toc324423647"/>
      <w:bookmarkStart w:id="454" w:name="_Toc324424349"/>
      <w:bookmarkStart w:id="455" w:name="_Toc326649723"/>
      <w:bookmarkStart w:id="456" w:name="_Toc326650477"/>
      <w:bookmarkStart w:id="457" w:name="_Toc328461896"/>
      <w:r>
        <w:rPr>
          <w:rStyle w:val="CharSDivNo"/>
        </w:rPr>
        <w:t>Part 2</w:t>
      </w:r>
      <w:r>
        <w:rPr>
          <w:b w:val="0"/>
        </w:rPr>
        <w:t> — </w:t>
      </w:r>
      <w:r>
        <w:rPr>
          <w:rStyle w:val="CharSDivText"/>
        </w:rPr>
        <w:t>On and after draw 3116</w:t>
      </w:r>
      <w:bookmarkEnd w:id="449"/>
      <w:bookmarkEnd w:id="450"/>
      <w:bookmarkEnd w:id="451"/>
      <w:bookmarkEnd w:id="452"/>
      <w:bookmarkEnd w:id="453"/>
      <w:bookmarkEnd w:id="454"/>
      <w:bookmarkEnd w:id="455"/>
      <w:bookmarkEnd w:id="456"/>
      <w:bookmarkEnd w:id="457"/>
    </w:p>
    <w:p>
      <w:pPr>
        <w:pStyle w:val="yFootnoteheading"/>
        <w:keepNext/>
      </w:pPr>
      <w:r>
        <w:tab/>
        <w:t>[Heading inserted in Gazette 27 Jan 2012 p. 572.]</w:t>
      </w:r>
    </w:p>
    <w:p>
      <w:pPr>
        <w:pStyle w:val="yMiscellaneousBody"/>
      </w:pPr>
      <w:r>
        <w:t>The unit cost of entering a Monday lotto or a Wednesday lotto draw on and after the Monday lotto draw numbered 3116, and the Wednesday lotto draw numbered 3117, is made up of a subscription of 50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szCs w:val="22"/>
        </w:rPr>
      </w:pPr>
      <w:r>
        <w:rPr>
          <w:b/>
          <w:szCs w:val="22"/>
        </w:rPr>
        <w:t>((G x $0.50) x .09 </w:t>
      </w:r>
      <w:r>
        <w:rPr>
          <w:b/>
          <w:szCs w:val="22"/>
        </w:rPr>
        <w:sym w:font="Symbol" w:char="F0AE"/>
      </w:r>
      <w:r>
        <w:rPr>
          <w:b/>
          <w:szCs w:val="22"/>
        </w:rPr>
        <w:t xml:space="preserve"> rounded) x W = T</w:t>
      </w:r>
    </w:p>
    <w:p>
      <w:pPr>
        <w:pStyle w:val="yMiscellaneousBody"/>
        <w:rPr>
          <w:szCs w:val="22"/>
        </w:rPr>
      </w:pPr>
      <w:r>
        <w:rPr>
          <w:szCs w:val="22"/>
        </w:rPr>
        <w:t>where —</w:t>
      </w:r>
    </w:p>
    <w:p>
      <w:pPr>
        <w:pStyle w:val="yMiscellaneousBody"/>
        <w:tabs>
          <w:tab w:val="left" w:pos="600"/>
          <w:tab w:val="left" w:pos="1080"/>
          <w:tab w:val="left" w:pos="1560"/>
        </w:tabs>
        <w:rPr>
          <w:szCs w:val="22"/>
        </w:rPr>
      </w:pPr>
      <w:r>
        <w:rPr>
          <w:b/>
          <w:szCs w:val="22"/>
        </w:rPr>
        <w:tab/>
        <w:t>G</w:t>
      </w:r>
      <w:r>
        <w:rPr>
          <w:b/>
          <w:szCs w:val="22"/>
        </w:rPr>
        <w:tab/>
      </w:r>
      <w:r>
        <w:rPr>
          <w:szCs w:val="22"/>
        </w:rPr>
        <w:t>=</w:t>
      </w:r>
      <w:r>
        <w:rPr>
          <w:szCs w:val="22"/>
        </w:rPr>
        <w:tab/>
        <w:t>No. of games entered in a draw</w:t>
      </w:r>
    </w:p>
    <w:p>
      <w:pPr>
        <w:pStyle w:val="yMiscellaneousBody"/>
        <w:tabs>
          <w:tab w:val="left" w:pos="600"/>
          <w:tab w:val="left" w:pos="1080"/>
          <w:tab w:val="left" w:pos="1560"/>
        </w:tabs>
        <w:rPr>
          <w:szCs w:val="22"/>
        </w:rPr>
      </w:pPr>
      <w:r>
        <w:rPr>
          <w:b/>
          <w:szCs w:val="22"/>
        </w:rPr>
        <w:tab/>
        <w:t>W</w:t>
      </w:r>
      <w:r>
        <w:rPr>
          <w:b/>
          <w:szCs w:val="22"/>
        </w:rPr>
        <w:tab/>
      </w:r>
      <w:r>
        <w:rPr>
          <w:szCs w:val="22"/>
        </w:rPr>
        <w:t>=</w:t>
      </w:r>
      <w:r>
        <w:rPr>
          <w:szCs w:val="22"/>
        </w:rPr>
        <w:tab/>
        <w:t>No. of weeks the entry spans</w:t>
      </w:r>
    </w:p>
    <w:p>
      <w:pPr>
        <w:pStyle w:val="yMiscellaneousBody"/>
        <w:tabs>
          <w:tab w:val="left" w:pos="600"/>
          <w:tab w:val="left" w:pos="1080"/>
          <w:tab w:val="left" w:pos="1560"/>
        </w:tabs>
        <w:rPr>
          <w:szCs w:val="22"/>
        </w:rPr>
      </w:pPr>
      <w:r>
        <w:rPr>
          <w:b/>
          <w:szCs w:val="22"/>
        </w:rPr>
        <w:tab/>
        <w:t>T</w:t>
      </w:r>
      <w:r>
        <w:rPr>
          <w:b/>
          <w:szCs w:val="22"/>
        </w:rPr>
        <w:tab/>
      </w:r>
      <w:r>
        <w:rPr>
          <w:szCs w:val="22"/>
        </w:rPr>
        <w:t>=</w:t>
      </w:r>
      <w:r>
        <w:rPr>
          <w:szCs w:val="22"/>
        </w:rPr>
        <w:tab/>
        <w:t>Total agent’s component cost payable by the subscriber</w:t>
      </w:r>
    </w:p>
    <w:p>
      <w:pPr>
        <w:pStyle w:val="yMiscellaneousBody"/>
        <w:spacing w:before="240"/>
        <w:rPr>
          <w:b/>
          <w:szCs w:val="22"/>
        </w:rPr>
      </w:pPr>
      <w:r>
        <w:rPr>
          <w:b/>
          <w:szCs w:val="22"/>
        </w:rPr>
        <w:t>Examples:</w:t>
      </w:r>
    </w:p>
    <w:p>
      <w:pPr>
        <w:pStyle w:val="yMiscellaneousBody"/>
        <w:rPr>
          <w:szCs w:val="22"/>
        </w:rPr>
      </w:pPr>
      <w:r>
        <w:rPr>
          <w:szCs w:val="22"/>
        </w:rPr>
        <w:t>The total cost of entry for a Slikpik 25 entry for a single Monday lotto or Wednesday lotto draw is calculated as follows —</w:t>
      </w:r>
    </w:p>
    <w:p>
      <w:pPr>
        <w:pStyle w:val="yMiscellaneousBody"/>
        <w:tabs>
          <w:tab w:val="left" w:pos="600"/>
          <w:tab w:val="left" w:pos="4560"/>
          <w:tab w:val="decimal" w:pos="5400"/>
        </w:tabs>
      </w:pPr>
      <w:r>
        <w:tab/>
        <w:t>Subscription [25 games @ $0.50 each]</w:t>
      </w:r>
      <w:r>
        <w:tab/>
        <w:t>=</w:t>
      </w:r>
      <w:r>
        <w:tab/>
        <w:t>$12.50</w:t>
      </w:r>
    </w:p>
    <w:p>
      <w:pPr>
        <w:pStyle w:val="yMiscellaneousBody"/>
        <w:tabs>
          <w:tab w:val="left" w:pos="600"/>
          <w:tab w:val="left" w:pos="4560"/>
          <w:tab w:val="decimal" w:pos="5400"/>
        </w:tabs>
        <w:rPr>
          <w:szCs w:val="22"/>
        </w:rPr>
      </w:pPr>
      <w:r>
        <w:rPr>
          <w:szCs w:val="22"/>
        </w:rPr>
        <w:tab/>
        <w:t>9% of subscription [.09 x $12.50]</w:t>
      </w:r>
      <w:r>
        <w:rPr>
          <w:szCs w:val="22"/>
        </w:rPr>
        <w:tab/>
        <w:t>=</w:t>
      </w:r>
      <w:r>
        <w:rPr>
          <w:szCs w:val="22"/>
        </w:rPr>
        <w:tab/>
        <w:t>$1.125</w:t>
      </w:r>
    </w:p>
    <w:p>
      <w:pPr>
        <w:pStyle w:val="yMiscellaneousBody"/>
        <w:tabs>
          <w:tab w:val="left" w:pos="600"/>
          <w:tab w:val="left" w:pos="4560"/>
          <w:tab w:val="decimal" w:pos="5400"/>
        </w:tabs>
        <w:rPr>
          <w:szCs w:val="22"/>
        </w:rPr>
      </w:pPr>
      <w:r>
        <w:rPr>
          <w:szCs w:val="22"/>
        </w:rPr>
        <w:tab/>
        <w:t>Rounded using “bankers rounding”</w:t>
      </w:r>
      <w:r>
        <w:rPr>
          <w:szCs w:val="22"/>
        </w:rPr>
        <w:tab/>
        <w:t>=</w:t>
      </w:r>
      <w:r>
        <w:rPr>
          <w:szCs w:val="22"/>
        </w:rPr>
        <w:tab/>
        <w:t>$1.10</w:t>
      </w:r>
    </w:p>
    <w:p>
      <w:pPr>
        <w:pStyle w:val="yMiscellaneousBody"/>
        <w:tabs>
          <w:tab w:val="left" w:pos="600"/>
          <w:tab w:val="left" w:pos="4560"/>
          <w:tab w:val="decimal" w:pos="5400"/>
        </w:tabs>
        <w:rPr>
          <w:b/>
          <w:szCs w:val="22"/>
        </w:rPr>
      </w:pPr>
      <w:r>
        <w:rPr>
          <w:b/>
          <w:szCs w:val="22"/>
        </w:rPr>
        <w:tab/>
        <w:t>Total cost of entry</w:t>
      </w:r>
      <w:r>
        <w:rPr>
          <w:b/>
          <w:szCs w:val="22"/>
        </w:rPr>
        <w:tab/>
      </w:r>
      <w:r>
        <w:rPr>
          <w:szCs w:val="22"/>
        </w:rPr>
        <w:t>=</w:t>
      </w:r>
      <w:r>
        <w:rPr>
          <w:b/>
          <w:szCs w:val="22"/>
        </w:rPr>
        <w:tab/>
        <w:t>$13.60</w:t>
      </w:r>
    </w:p>
    <w:p>
      <w:pPr>
        <w:pStyle w:val="yMiscellaneousBody"/>
        <w:spacing w:before="240"/>
        <w:rPr>
          <w:szCs w:val="22"/>
        </w:rPr>
      </w:pPr>
      <w:r>
        <w:rPr>
          <w:szCs w:val="22"/>
        </w:rPr>
        <w:t>The total cost of entry for a System 8 entry for a single Monday lotto or Wednesday lotto draw is calculated as follows —</w:t>
      </w:r>
    </w:p>
    <w:p>
      <w:pPr>
        <w:pStyle w:val="yMiscellaneousBody"/>
        <w:tabs>
          <w:tab w:val="left" w:pos="600"/>
          <w:tab w:val="left" w:pos="4560"/>
          <w:tab w:val="decimal" w:pos="5400"/>
        </w:tabs>
        <w:rPr>
          <w:szCs w:val="22"/>
        </w:rPr>
      </w:pPr>
      <w:r>
        <w:rPr>
          <w:szCs w:val="22"/>
        </w:rPr>
        <w:tab/>
        <w:t>Subscription [28 games @ $0.50 each]</w:t>
      </w:r>
      <w:r>
        <w:rPr>
          <w:szCs w:val="22"/>
        </w:rPr>
        <w:tab/>
        <w:t>=</w:t>
      </w:r>
      <w:r>
        <w:rPr>
          <w:szCs w:val="22"/>
        </w:rPr>
        <w:tab/>
        <w:t>$14.00</w:t>
      </w:r>
    </w:p>
    <w:p>
      <w:pPr>
        <w:pStyle w:val="yMiscellaneousBody"/>
        <w:tabs>
          <w:tab w:val="left" w:pos="600"/>
          <w:tab w:val="left" w:pos="4560"/>
          <w:tab w:val="decimal" w:pos="5400"/>
        </w:tabs>
        <w:rPr>
          <w:szCs w:val="22"/>
        </w:rPr>
      </w:pPr>
      <w:r>
        <w:rPr>
          <w:szCs w:val="22"/>
        </w:rPr>
        <w:tab/>
        <w:t>9% of subscription [.09 x $14.00]</w:t>
      </w:r>
      <w:r>
        <w:rPr>
          <w:szCs w:val="22"/>
        </w:rPr>
        <w:tab/>
        <w:t>=</w:t>
      </w:r>
      <w:r>
        <w:rPr>
          <w:szCs w:val="22"/>
        </w:rPr>
        <w:tab/>
        <w:t>$1.26</w:t>
      </w:r>
    </w:p>
    <w:p>
      <w:pPr>
        <w:pStyle w:val="yMiscellaneousBody"/>
        <w:tabs>
          <w:tab w:val="left" w:pos="600"/>
          <w:tab w:val="left" w:pos="4560"/>
          <w:tab w:val="decimal" w:pos="5400"/>
        </w:tabs>
        <w:rPr>
          <w:szCs w:val="22"/>
        </w:rPr>
      </w:pPr>
      <w:r>
        <w:rPr>
          <w:szCs w:val="22"/>
        </w:rPr>
        <w:tab/>
        <w:t>Rounded using “bankers rounding”</w:t>
      </w:r>
      <w:r>
        <w:rPr>
          <w:szCs w:val="22"/>
        </w:rPr>
        <w:tab/>
        <w:t>=</w:t>
      </w:r>
      <w:r>
        <w:rPr>
          <w:szCs w:val="22"/>
        </w:rPr>
        <w:tab/>
        <w:t>$1.25</w:t>
      </w:r>
    </w:p>
    <w:p>
      <w:pPr>
        <w:pStyle w:val="yMiscellaneousBody"/>
        <w:tabs>
          <w:tab w:val="left" w:pos="600"/>
          <w:tab w:val="left" w:pos="4560"/>
          <w:tab w:val="decimal" w:pos="5400"/>
        </w:tabs>
        <w:rPr>
          <w:b/>
          <w:szCs w:val="22"/>
        </w:rPr>
      </w:pPr>
      <w:r>
        <w:rPr>
          <w:b/>
          <w:szCs w:val="22"/>
        </w:rPr>
        <w:tab/>
        <w:t>Total cost of entry</w:t>
      </w:r>
      <w:r>
        <w:rPr>
          <w:b/>
          <w:szCs w:val="22"/>
        </w:rPr>
        <w:tab/>
      </w:r>
      <w:r>
        <w:rPr>
          <w:szCs w:val="22"/>
        </w:rPr>
        <w:t>=</w:t>
      </w:r>
      <w:r>
        <w:rPr>
          <w:b/>
          <w:szCs w:val="22"/>
        </w:rPr>
        <w:tab/>
        <w:t>$15.25</w:t>
      </w:r>
    </w:p>
    <w:p>
      <w:pPr>
        <w:pStyle w:val="yMiscellaneousBody"/>
        <w:rPr>
          <w:szCs w:val="22"/>
        </w:rPr>
      </w:pPr>
      <w:r>
        <w:rPr>
          <w:szCs w:val="22"/>
        </w:rPr>
        <w:t>The total cost of entry for a 6 game board System 9 entry for a single Monday lotto or Wednesday lotto draw is calculated as follows —</w:t>
      </w:r>
    </w:p>
    <w:p>
      <w:pPr>
        <w:pStyle w:val="yMiscellaneousBody"/>
        <w:tabs>
          <w:tab w:val="left" w:pos="600"/>
          <w:tab w:val="left" w:pos="4560"/>
          <w:tab w:val="decimal" w:pos="5400"/>
        </w:tabs>
        <w:rPr>
          <w:szCs w:val="22"/>
        </w:rPr>
      </w:pPr>
      <w:r>
        <w:rPr>
          <w:szCs w:val="22"/>
        </w:rPr>
        <w:tab/>
        <w:t>Subscription [6 x 84 games @ $0.50 each]</w:t>
      </w:r>
      <w:r>
        <w:rPr>
          <w:szCs w:val="22"/>
        </w:rPr>
        <w:tab/>
        <w:t>=</w:t>
      </w:r>
      <w:r>
        <w:rPr>
          <w:szCs w:val="22"/>
        </w:rPr>
        <w:tab/>
        <w:t>$252.00</w:t>
      </w:r>
    </w:p>
    <w:p>
      <w:pPr>
        <w:pStyle w:val="yMiscellaneousBody"/>
        <w:tabs>
          <w:tab w:val="left" w:pos="600"/>
          <w:tab w:val="left" w:pos="4560"/>
          <w:tab w:val="decimal" w:pos="5400"/>
        </w:tabs>
        <w:rPr>
          <w:szCs w:val="22"/>
        </w:rPr>
      </w:pPr>
      <w:r>
        <w:rPr>
          <w:szCs w:val="22"/>
        </w:rPr>
        <w:tab/>
        <w:t>9% of subscription [.09 x $252.00]</w:t>
      </w:r>
      <w:r>
        <w:rPr>
          <w:szCs w:val="22"/>
        </w:rPr>
        <w:tab/>
        <w:t>=</w:t>
      </w:r>
      <w:r>
        <w:rPr>
          <w:szCs w:val="22"/>
        </w:rPr>
        <w:tab/>
        <w:t>$22.68</w:t>
      </w:r>
    </w:p>
    <w:p>
      <w:pPr>
        <w:pStyle w:val="yMiscellaneousBody"/>
        <w:tabs>
          <w:tab w:val="left" w:pos="600"/>
          <w:tab w:val="left" w:pos="4560"/>
          <w:tab w:val="decimal" w:pos="5400"/>
        </w:tabs>
        <w:rPr>
          <w:szCs w:val="22"/>
        </w:rPr>
      </w:pPr>
      <w:r>
        <w:rPr>
          <w:szCs w:val="22"/>
        </w:rPr>
        <w:tab/>
        <w:t>Rounded using “bankers rounding”</w:t>
      </w:r>
      <w:r>
        <w:rPr>
          <w:szCs w:val="22"/>
        </w:rPr>
        <w:tab/>
        <w:t>=</w:t>
      </w:r>
      <w:r>
        <w:rPr>
          <w:szCs w:val="22"/>
        </w:rPr>
        <w:tab/>
        <w:t>$22.70</w:t>
      </w:r>
    </w:p>
    <w:p>
      <w:pPr>
        <w:pStyle w:val="yMiscellaneousBody"/>
        <w:tabs>
          <w:tab w:val="left" w:pos="600"/>
          <w:tab w:val="left" w:pos="4560"/>
          <w:tab w:val="decimal" w:pos="5400"/>
        </w:tabs>
        <w:rPr>
          <w:b/>
          <w:szCs w:val="22"/>
        </w:rPr>
      </w:pPr>
      <w:r>
        <w:rPr>
          <w:b/>
          <w:szCs w:val="22"/>
        </w:rPr>
        <w:tab/>
        <w:t>Total cost of entry</w:t>
      </w:r>
      <w:r>
        <w:rPr>
          <w:b/>
          <w:szCs w:val="22"/>
        </w:rPr>
        <w:tab/>
      </w:r>
      <w:r>
        <w:rPr>
          <w:szCs w:val="22"/>
        </w:rPr>
        <w:t>=</w:t>
      </w:r>
      <w:r>
        <w:rPr>
          <w:b/>
          <w:szCs w:val="22"/>
        </w:rPr>
        <w:tab/>
        <w:t>$274.70</w:t>
      </w:r>
    </w:p>
    <w:p>
      <w:pPr>
        <w:pStyle w:val="yMiscellaneousBody"/>
        <w:spacing w:before="240"/>
        <w:rPr>
          <w:szCs w:val="22"/>
        </w:rPr>
      </w:pPr>
      <w:r>
        <w:rPr>
          <w:szCs w:val="22"/>
        </w:rPr>
        <w:t>The total cost of entry for a Slikpik 25 entry spanning 10 weeks of Monday lotto or Wednesday lotto is calculated as follows —</w:t>
      </w:r>
    </w:p>
    <w:p>
      <w:pPr>
        <w:pStyle w:val="yMiscellaneousBody"/>
        <w:tabs>
          <w:tab w:val="left" w:pos="600"/>
          <w:tab w:val="left" w:pos="4560"/>
          <w:tab w:val="decimal" w:pos="5400"/>
        </w:tabs>
        <w:rPr>
          <w:szCs w:val="22"/>
        </w:rPr>
      </w:pPr>
      <w:r>
        <w:rPr>
          <w:szCs w:val="22"/>
        </w:rPr>
        <w:tab/>
        <w:t>Subscription for one week</w:t>
      </w:r>
      <w:r>
        <w:rPr>
          <w:szCs w:val="22"/>
        </w:rPr>
        <w:br/>
      </w:r>
      <w:r>
        <w:rPr>
          <w:szCs w:val="22"/>
        </w:rPr>
        <w:tab/>
        <w:t>[25 games @ $0.50 each]</w:t>
      </w:r>
      <w:r>
        <w:rPr>
          <w:szCs w:val="22"/>
        </w:rPr>
        <w:tab/>
        <w:t>=</w:t>
      </w:r>
      <w:r>
        <w:rPr>
          <w:szCs w:val="22"/>
        </w:rPr>
        <w:tab/>
        <w:t>$12.50</w:t>
      </w:r>
    </w:p>
    <w:p>
      <w:pPr>
        <w:pStyle w:val="yMiscellaneousBody"/>
        <w:tabs>
          <w:tab w:val="left" w:pos="600"/>
          <w:tab w:val="left" w:pos="4560"/>
          <w:tab w:val="decimal" w:pos="5400"/>
        </w:tabs>
        <w:rPr>
          <w:szCs w:val="22"/>
        </w:rPr>
      </w:pPr>
      <w:r>
        <w:rPr>
          <w:szCs w:val="22"/>
        </w:rPr>
        <w:tab/>
        <w:t>9% of subscription [.09 x $12.50]</w:t>
      </w:r>
      <w:r>
        <w:rPr>
          <w:szCs w:val="22"/>
        </w:rPr>
        <w:tab/>
        <w:t>=</w:t>
      </w:r>
      <w:r>
        <w:rPr>
          <w:szCs w:val="22"/>
        </w:rPr>
        <w:tab/>
        <w:t>$1.125</w:t>
      </w:r>
    </w:p>
    <w:p>
      <w:pPr>
        <w:pStyle w:val="yMiscellaneousBody"/>
        <w:tabs>
          <w:tab w:val="left" w:pos="600"/>
          <w:tab w:val="left" w:pos="4560"/>
          <w:tab w:val="decimal" w:pos="5400"/>
        </w:tabs>
        <w:rPr>
          <w:szCs w:val="22"/>
        </w:rPr>
      </w:pPr>
      <w:r>
        <w:rPr>
          <w:szCs w:val="22"/>
        </w:rPr>
        <w:tab/>
        <w:t>Rounded using “bankers rounding”</w:t>
      </w:r>
      <w:r>
        <w:rPr>
          <w:szCs w:val="22"/>
        </w:rPr>
        <w:tab/>
        <w:t>=</w:t>
      </w:r>
      <w:r>
        <w:rPr>
          <w:szCs w:val="22"/>
        </w:rPr>
        <w:tab/>
        <w:t>$1.10</w:t>
      </w:r>
    </w:p>
    <w:p>
      <w:pPr>
        <w:pStyle w:val="yMiscellaneousBody"/>
        <w:tabs>
          <w:tab w:val="left" w:pos="600"/>
          <w:tab w:val="left" w:pos="4560"/>
          <w:tab w:val="decimal" w:pos="5400"/>
        </w:tabs>
        <w:rPr>
          <w:szCs w:val="22"/>
        </w:rPr>
      </w:pPr>
      <w:r>
        <w:rPr>
          <w:szCs w:val="22"/>
        </w:rPr>
        <w:tab/>
        <w:t>Total cost of entry for one week</w:t>
      </w:r>
      <w:r>
        <w:rPr>
          <w:szCs w:val="22"/>
        </w:rPr>
        <w:tab/>
        <w:t>=</w:t>
      </w:r>
      <w:r>
        <w:rPr>
          <w:szCs w:val="22"/>
        </w:rPr>
        <w:tab/>
        <w:t>$13.60</w:t>
      </w:r>
    </w:p>
    <w:p>
      <w:pPr>
        <w:pStyle w:val="yMiscellaneousBody"/>
        <w:tabs>
          <w:tab w:val="left" w:pos="600"/>
          <w:tab w:val="left" w:pos="4560"/>
          <w:tab w:val="decimal" w:pos="5400"/>
        </w:tabs>
        <w:rPr>
          <w:b/>
          <w:szCs w:val="22"/>
        </w:rPr>
      </w:pPr>
      <w:r>
        <w:rPr>
          <w:b/>
          <w:szCs w:val="22"/>
        </w:rPr>
        <w:tab/>
        <w:t>Total cost of entry for 10 weeks</w:t>
      </w:r>
      <w:r>
        <w:rPr>
          <w:b/>
          <w:szCs w:val="22"/>
        </w:rPr>
        <w:tab/>
      </w:r>
      <w:r>
        <w:rPr>
          <w:szCs w:val="22"/>
        </w:rPr>
        <w:t>=</w:t>
      </w:r>
      <w:r>
        <w:rPr>
          <w:b/>
          <w:szCs w:val="22"/>
        </w:rPr>
        <w:tab/>
        <w:t>$136.00</w:t>
      </w:r>
    </w:p>
    <w:p>
      <w:pPr>
        <w:pStyle w:val="yMiscellaneousBody"/>
        <w:rPr>
          <w:szCs w:val="22"/>
        </w:rPr>
      </w:pPr>
      <w:r>
        <w:rPr>
          <w:szCs w:val="22"/>
        </w:rPr>
        <w:t>* Rounding is calculated using the method known as “bankers rounding” or “round</w:t>
      </w:r>
      <w:r>
        <w:rPr>
          <w:szCs w:val="22"/>
        </w:rPr>
        <w:noBreakHyphen/>
        <w:t>to</w:t>
      </w:r>
      <w:r>
        <w:rPr>
          <w:szCs w:val="22"/>
        </w:rPr>
        <w:noBreakHyphen/>
        <w:t>even” rounding.</w:t>
      </w:r>
    </w:p>
    <w:p>
      <w:pPr>
        <w:pStyle w:val="yFootnotesection"/>
      </w:pPr>
      <w:bookmarkStart w:id="458" w:name="_Toc210787579"/>
      <w:bookmarkStart w:id="459" w:name="_Toc222820839"/>
      <w:bookmarkStart w:id="460" w:name="_Toc222889198"/>
      <w:bookmarkStart w:id="461" w:name="_Toc224108823"/>
      <w:bookmarkStart w:id="462" w:name="_Toc256152952"/>
      <w:bookmarkStart w:id="463" w:name="_Toc277943323"/>
      <w:bookmarkStart w:id="464" w:name="_Toc315428731"/>
      <w:bookmarkStart w:id="465" w:name="_Toc317510760"/>
      <w:bookmarkStart w:id="466" w:name="_Toc317511304"/>
      <w:r>
        <w:tab/>
        <w:t>[Part 2 inserted in Gazette 27 Jan 2012 p. 572-3.]</w:t>
      </w:r>
    </w:p>
    <w:p>
      <w:pPr>
        <w:pStyle w:val="yScheduleHeading"/>
      </w:pPr>
      <w:bookmarkStart w:id="467" w:name="_Toc317578451"/>
      <w:bookmarkStart w:id="468" w:name="_Toc324420162"/>
      <w:bookmarkStart w:id="469" w:name="_Toc324423648"/>
      <w:bookmarkStart w:id="470" w:name="_Toc324424350"/>
      <w:bookmarkStart w:id="471" w:name="_Toc326649724"/>
      <w:bookmarkStart w:id="472" w:name="_Toc326650478"/>
      <w:bookmarkStart w:id="473" w:name="_Toc328461897"/>
      <w:r>
        <w:rPr>
          <w:rStyle w:val="CharSchNo"/>
        </w:rPr>
        <w:t>Schedule 2</w:t>
      </w:r>
      <w:r>
        <w:rPr>
          <w:rStyle w:val="CharSDivNo"/>
        </w:rPr>
        <w:t> </w:t>
      </w:r>
      <w:r>
        <w:t>—</w:t>
      </w:r>
      <w:r>
        <w:rPr>
          <w:rStyle w:val="CharSDivText"/>
        </w:rPr>
        <w:t> </w:t>
      </w:r>
      <w:r>
        <w:rPr>
          <w:rStyle w:val="CharSchText"/>
        </w:rPr>
        <w:t>System entries and game equivalents</w:t>
      </w:r>
      <w:bookmarkEnd w:id="423"/>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Monday and Wednesday Lotto</w:t>
            </w:r>
          </w:p>
          <w:p>
            <w:pPr>
              <w:pStyle w:val="yTable"/>
              <w:keepLines/>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38 760</w:t>
            </w:r>
          </w:p>
        </w:tc>
      </w:tr>
    </w:tbl>
    <w:p>
      <w:pPr>
        <w:pStyle w:val="yFootnotesection"/>
      </w:pPr>
      <w:r>
        <w:tab/>
        <w:t>[Schedule 2 inserted in Gazette 6 Jun 2008 p. 2319-20.]</w:t>
      </w:r>
    </w:p>
    <w:p>
      <w:pPr>
        <w:pStyle w:val="yScheduleHeading"/>
      </w:pPr>
      <w:bookmarkStart w:id="474" w:name="_Toc317510761"/>
      <w:bookmarkStart w:id="475" w:name="_Toc317511305"/>
      <w:bookmarkStart w:id="476" w:name="_Toc317578452"/>
      <w:bookmarkStart w:id="477" w:name="_Toc324420163"/>
      <w:bookmarkStart w:id="478" w:name="_Toc324423649"/>
      <w:bookmarkStart w:id="479" w:name="_Toc324424351"/>
      <w:bookmarkStart w:id="480" w:name="_Toc326649725"/>
      <w:bookmarkStart w:id="481" w:name="_Toc326650479"/>
      <w:bookmarkStart w:id="482" w:name="_Toc328461898"/>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SchNo"/>
        </w:rPr>
        <w:t>Schedule 3</w:t>
      </w:r>
      <w:r>
        <w:t> — </w:t>
      </w:r>
      <w:r>
        <w:rPr>
          <w:rStyle w:val="CharSchText"/>
        </w:rPr>
        <w:t>System entry prize schedule</w:t>
      </w:r>
      <w:bookmarkEnd w:id="474"/>
      <w:bookmarkEnd w:id="475"/>
      <w:bookmarkEnd w:id="476"/>
      <w:bookmarkEnd w:id="477"/>
      <w:bookmarkEnd w:id="478"/>
      <w:bookmarkEnd w:id="479"/>
      <w:bookmarkEnd w:id="480"/>
      <w:bookmarkEnd w:id="481"/>
      <w:bookmarkEnd w:id="482"/>
    </w:p>
    <w:p>
      <w:pPr>
        <w:pStyle w:val="yShoulderClause"/>
      </w:pPr>
      <w:r>
        <w:t>[r. 21(2)]</w:t>
      </w:r>
    </w:p>
    <w:p>
      <w:pPr>
        <w:pStyle w:val="yFootnoteheading"/>
      </w:pPr>
      <w:r>
        <w:tab/>
        <w:t>[Heading inserted in Gazette 27 Jan 2012 p. 573.]</w:t>
      </w:r>
    </w:p>
    <w:p>
      <w:pPr>
        <w:pStyle w:val="yHeading3"/>
      </w:pPr>
      <w:bookmarkStart w:id="483" w:name="_Toc317510762"/>
      <w:bookmarkStart w:id="484" w:name="_Toc317511306"/>
      <w:bookmarkStart w:id="485" w:name="_Toc317578453"/>
      <w:bookmarkStart w:id="486" w:name="_Toc324420164"/>
      <w:bookmarkStart w:id="487" w:name="_Toc324423650"/>
      <w:bookmarkStart w:id="488" w:name="_Toc324424352"/>
      <w:bookmarkStart w:id="489" w:name="_Toc326649726"/>
      <w:bookmarkStart w:id="490" w:name="_Toc326650480"/>
      <w:bookmarkStart w:id="491" w:name="_Toc328461899"/>
      <w:r>
        <w:rPr>
          <w:rStyle w:val="CharSDivNo"/>
        </w:rPr>
        <w:t>Part 1</w:t>
      </w:r>
      <w:r>
        <w:t> — </w:t>
      </w:r>
      <w:r>
        <w:rPr>
          <w:rStyle w:val="CharSDivText"/>
        </w:rPr>
        <w:t>Up to draw 3115</w:t>
      </w:r>
      <w:bookmarkEnd w:id="483"/>
      <w:bookmarkEnd w:id="484"/>
      <w:bookmarkEnd w:id="485"/>
      <w:bookmarkEnd w:id="486"/>
      <w:bookmarkEnd w:id="487"/>
      <w:bookmarkEnd w:id="488"/>
      <w:bookmarkEnd w:id="489"/>
      <w:bookmarkEnd w:id="490"/>
      <w:bookmarkEnd w:id="491"/>
    </w:p>
    <w:p>
      <w:pPr>
        <w:pStyle w:val="yFootnoteheading"/>
      </w:pPr>
      <w:r>
        <w:tab/>
        <w:t>[Heading inserted in Gazette 27 Jan 2012 p. 573.]</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PRIZE</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yFootnotesection"/>
      </w:pPr>
      <w:bookmarkStart w:id="492" w:name="_Toc317510763"/>
      <w:bookmarkStart w:id="493" w:name="_Toc317511307"/>
      <w:bookmarkStart w:id="494" w:name="_Toc317578454"/>
      <w:bookmarkStart w:id="495" w:name="_Toc200510485"/>
      <w:bookmarkStart w:id="496" w:name="_Toc210787582"/>
      <w:bookmarkStart w:id="497" w:name="_Toc222820842"/>
      <w:bookmarkStart w:id="498" w:name="_Toc222889201"/>
      <w:bookmarkStart w:id="499" w:name="_Toc224108826"/>
      <w:bookmarkStart w:id="500" w:name="_Toc256152955"/>
      <w:bookmarkStart w:id="501" w:name="_Toc277943326"/>
      <w:bookmarkStart w:id="502" w:name="_Toc315428734"/>
      <w:bookmarkStart w:id="503" w:name="_Toc113695922"/>
      <w:r>
        <w:tab/>
        <w:t>[Part 1, formerly Schedule 3, renumbered as Part 1 in Gazette 27 Jan 2012 p. 573.]</w:t>
      </w:r>
    </w:p>
    <w:p>
      <w:pPr>
        <w:pStyle w:val="yHeading3"/>
        <w:pageBreakBefore/>
        <w:spacing w:before="0"/>
      </w:pPr>
      <w:bookmarkStart w:id="504" w:name="_Toc324420165"/>
      <w:bookmarkStart w:id="505" w:name="_Toc324423651"/>
      <w:bookmarkStart w:id="506" w:name="_Toc324424353"/>
      <w:bookmarkStart w:id="507" w:name="_Toc326649727"/>
      <w:bookmarkStart w:id="508" w:name="_Toc326650481"/>
      <w:bookmarkStart w:id="509" w:name="_Toc328461900"/>
      <w:r>
        <w:rPr>
          <w:rStyle w:val="CharSDivNo"/>
        </w:rPr>
        <w:t>Part 2</w:t>
      </w:r>
      <w:r>
        <w:t> — </w:t>
      </w:r>
      <w:r>
        <w:rPr>
          <w:rStyle w:val="CharSDivText"/>
        </w:rPr>
        <w:t>On and after draw 3116</w:t>
      </w:r>
      <w:bookmarkEnd w:id="492"/>
      <w:bookmarkEnd w:id="493"/>
      <w:bookmarkEnd w:id="494"/>
      <w:bookmarkEnd w:id="504"/>
      <w:bookmarkEnd w:id="505"/>
      <w:bookmarkEnd w:id="506"/>
      <w:bookmarkEnd w:id="507"/>
      <w:bookmarkEnd w:id="508"/>
      <w:bookmarkEnd w:id="509"/>
    </w:p>
    <w:p>
      <w:pPr>
        <w:pStyle w:val="yFootnoteheading"/>
        <w:spacing w:after="120"/>
      </w:pPr>
      <w:r>
        <w:tab/>
        <w:t>[Heading inserted in Gazette 27 Jan 2012 p. 573.]</w:t>
      </w:r>
    </w:p>
    <w:tbl>
      <w:tblPr>
        <w:tblW w:w="7088" w:type="dxa"/>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Borders>
              <w:top w:val="single" w:sz="4" w:space="0" w:color="auto"/>
              <w:bottom w:val="nil"/>
            </w:tcBorders>
          </w:tcPr>
          <w:p>
            <w:pPr>
              <w:pStyle w:val="yTableNAm"/>
              <w:rPr>
                <w:sz w:val="12"/>
                <w:szCs w:val="12"/>
              </w:rPr>
            </w:pPr>
          </w:p>
        </w:tc>
        <w:tc>
          <w:tcPr>
            <w:tcW w:w="2835" w:type="dxa"/>
            <w:gridSpan w:val="8"/>
            <w:tcBorders>
              <w:top w:val="single" w:sz="4" w:space="0" w:color="auto"/>
              <w:bottom w:val="nil"/>
            </w:tcBorders>
          </w:tcPr>
          <w:p>
            <w:pPr>
              <w:pStyle w:val="yTableNAm"/>
              <w:rPr>
                <w:sz w:val="12"/>
                <w:szCs w:val="12"/>
              </w:rPr>
            </w:pPr>
          </w:p>
        </w:tc>
        <w:tc>
          <w:tcPr>
            <w:tcW w:w="3260" w:type="dxa"/>
            <w:gridSpan w:val="10"/>
            <w:tcBorders>
              <w:top w:val="single" w:sz="4" w:space="0" w:color="auto"/>
              <w:bottom w:val="nil"/>
            </w:tcBorders>
          </w:tcPr>
          <w:p>
            <w:pPr>
              <w:pStyle w:val="yTableNAm"/>
              <w:rPr>
                <w:sz w:val="12"/>
                <w:szCs w:val="12"/>
              </w:rPr>
            </w:pPr>
            <w:r>
              <w:rPr>
                <w:b/>
                <w:sz w:val="12"/>
                <w:szCs w:val="12"/>
              </w:rPr>
              <w:t>NUMBER OF PRIZES</w:t>
            </w:r>
          </w:p>
        </w:tc>
      </w:tr>
      <w:tr>
        <w:trPr>
          <w:trHeight w:val="275"/>
          <w:tblHeader/>
        </w:trPr>
        <w:tc>
          <w:tcPr>
            <w:tcW w:w="993" w:type="dxa"/>
            <w:tcBorders>
              <w:bottom w:val="single" w:sz="4" w:space="0" w:color="auto"/>
            </w:tcBorders>
          </w:tcPr>
          <w:p>
            <w:pPr>
              <w:pStyle w:val="yTableNAm"/>
              <w:rPr>
                <w:sz w:val="12"/>
                <w:szCs w:val="12"/>
              </w:rPr>
            </w:pPr>
            <w:r>
              <w:rPr>
                <w:b/>
                <w:sz w:val="12"/>
                <w:szCs w:val="12"/>
              </w:rPr>
              <w:t>WINNING</w:t>
            </w:r>
            <w:r>
              <w:rPr>
                <w:b/>
                <w:sz w:val="12"/>
                <w:szCs w:val="12"/>
              </w:rPr>
              <w:br/>
              <w:t>NUMBERS</w:t>
            </w:r>
          </w:p>
        </w:tc>
        <w:tc>
          <w:tcPr>
            <w:tcW w:w="2835" w:type="dxa"/>
            <w:gridSpan w:val="8"/>
            <w:tcBorders>
              <w:bottom w:val="single" w:sz="4" w:space="0" w:color="auto"/>
            </w:tcBorders>
          </w:tcPr>
          <w:p>
            <w:pPr>
              <w:pStyle w:val="yTableNAm"/>
              <w:rPr>
                <w:sz w:val="12"/>
                <w:szCs w:val="12"/>
              </w:rPr>
            </w:pPr>
            <w:r>
              <w:rPr>
                <w:b/>
                <w:sz w:val="12"/>
                <w:szCs w:val="12"/>
              </w:rPr>
              <w:t>PRIZE TAKE</w:t>
            </w:r>
            <w:r>
              <w:rPr>
                <w:b/>
                <w:sz w:val="12"/>
                <w:szCs w:val="12"/>
              </w:rPr>
              <w:br/>
              <w:t>DIVISIONS</w:t>
            </w:r>
          </w:p>
        </w:tc>
        <w:tc>
          <w:tcPr>
            <w:tcW w:w="3260" w:type="dxa"/>
            <w:gridSpan w:val="10"/>
            <w:tcBorders>
              <w:bottom w:val="single" w:sz="4" w:space="0" w:color="auto"/>
            </w:tcBorders>
          </w:tcPr>
          <w:p>
            <w:pPr>
              <w:pStyle w:val="yTableNAm"/>
              <w:rPr>
                <w:sz w:val="12"/>
                <w:szCs w:val="12"/>
              </w:rPr>
            </w:pPr>
            <w:r>
              <w:rPr>
                <w:b/>
                <w:sz w:val="12"/>
                <w:szCs w:val="12"/>
              </w:rPr>
              <w:t>SYSTEMS</w:t>
            </w:r>
          </w:p>
        </w:tc>
      </w:tr>
      <w:tr>
        <w:tblPrEx>
          <w:tblCellMar>
            <w:left w:w="0" w:type="dxa"/>
            <w:right w:w="0" w:type="dxa"/>
          </w:tblCellMar>
        </w:tblPrEx>
        <w:trPr>
          <w:tblHeader/>
        </w:trPr>
        <w:tc>
          <w:tcPr>
            <w:tcW w:w="993" w:type="dxa"/>
            <w:tcBorders>
              <w:top w:val="single" w:sz="4" w:space="0" w:color="auto"/>
            </w:tcBorders>
          </w:tcPr>
          <w:p>
            <w:pPr>
              <w:pStyle w:val="yTableNAm"/>
              <w:rPr>
                <w:sz w:val="12"/>
                <w:szCs w:val="12"/>
              </w:rPr>
            </w:pPr>
            <w:r>
              <w:rPr>
                <w:sz w:val="12"/>
                <w:szCs w:val="12"/>
              </w:rPr>
              <w:fldChar w:fldCharType="begin"/>
            </w:r>
            <w:r>
              <w:rPr>
                <w:sz w:val="12"/>
                <w:szCs w:val="12"/>
              </w:rPr>
              <w:instrText>ADVANCE \D 2.80</w:instrText>
            </w:r>
            <w:r>
              <w:rPr>
                <w:sz w:val="12"/>
                <w:szCs w:val="12"/>
              </w:rPr>
              <w:fldChar w:fldCharType="end"/>
            </w:r>
          </w:p>
        </w:tc>
        <w:tc>
          <w:tcPr>
            <w:tcW w:w="358" w:type="dxa"/>
            <w:tcBorders>
              <w:top w:val="single" w:sz="4" w:space="0" w:color="auto"/>
              <w:bottom w:val="nil"/>
              <w:right w:val="nil"/>
            </w:tcBorders>
          </w:tcPr>
          <w:p>
            <w:pPr>
              <w:pStyle w:val="yTableNAm"/>
              <w:jc w:val="right"/>
              <w:rPr>
                <w:sz w:val="12"/>
                <w:szCs w:val="12"/>
              </w:rPr>
            </w:pPr>
          </w:p>
        </w:tc>
        <w:tc>
          <w:tcPr>
            <w:tcW w:w="359" w:type="dxa"/>
            <w:tcBorders>
              <w:top w:val="single" w:sz="4" w:space="0" w:color="auto"/>
              <w:left w:val="nil"/>
              <w:bottom w:val="nil"/>
            </w:tcBorders>
          </w:tcPr>
          <w:p>
            <w:pPr>
              <w:pStyle w:val="yTableNAm"/>
              <w:jc w:val="right"/>
              <w:rPr>
                <w:sz w:val="12"/>
                <w:szCs w:val="12"/>
              </w:rPr>
            </w:pPr>
            <w:r>
              <w:rPr>
                <w:b/>
                <w:sz w:val="12"/>
                <w:szCs w:val="12"/>
              </w:rPr>
              <w:t>5</w:t>
            </w:r>
          </w:p>
        </w:tc>
        <w:tc>
          <w:tcPr>
            <w:tcW w:w="358" w:type="dxa"/>
            <w:tcBorders>
              <w:top w:val="single" w:sz="4" w:space="0" w:color="auto"/>
              <w:bottom w:val="nil"/>
            </w:tcBorders>
          </w:tcPr>
          <w:p>
            <w:pPr>
              <w:pStyle w:val="yTableNAm"/>
              <w:jc w:val="right"/>
              <w:rPr>
                <w:sz w:val="12"/>
                <w:szCs w:val="12"/>
              </w:rPr>
            </w:pPr>
            <w:r>
              <w:rPr>
                <w:b/>
                <w:sz w:val="12"/>
                <w:szCs w:val="12"/>
              </w:rPr>
              <w:t>4</w:t>
            </w:r>
          </w:p>
        </w:tc>
        <w:tc>
          <w:tcPr>
            <w:tcW w:w="359" w:type="dxa"/>
            <w:tcBorders>
              <w:top w:val="single" w:sz="4" w:space="0" w:color="auto"/>
              <w:bottom w:val="nil"/>
            </w:tcBorders>
          </w:tcPr>
          <w:p>
            <w:pPr>
              <w:pStyle w:val="yTableNAm"/>
              <w:jc w:val="right"/>
              <w:rPr>
                <w:sz w:val="12"/>
                <w:szCs w:val="12"/>
              </w:rPr>
            </w:pPr>
            <w:r>
              <w:rPr>
                <w:b/>
                <w:sz w:val="12"/>
                <w:szCs w:val="12"/>
              </w:rPr>
              <w:t>7</w:t>
            </w:r>
          </w:p>
        </w:tc>
        <w:tc>
          <w:tcPr>
            <w:tcW w:w="358" w:type="dxa"/>
            <w:tcBorders>
              <w:top w:val="single" w:sz="4" w:space="0" w:color="auto"/>
              <w:bottom w:val="nil"/>
            </w:tcBorders>
          </w:tcPr>
          <w:p>
            <w:pPr>
              <w:pStyle w:val="yTableNAm"/>
              <w:jc w:val="right"/>
              <w:rPr>
                <w:sz w:val="12"/>
                <w:szCs w:val="12"/>
              </w:rPr>
            </w:pPr>
            <w:r>
              <w:rPr>
                <w:b/>
                <w:sz w:val="12"/>
                <w:szCs w:val="12"/>
              </w:rPr>
              <w:t>8</w:t>
            </w:r>
          </w:p>
        </w:tc>
        <w:tc>
          <w:tcPr>
            <w:tcW w:w="359" w:type="dxa"/>
            <w:tcBorders>
              <w:top w:val="single" w:sz="4" w:space="0" w:color="auto"/>
              <w:bottom w:val="nil"/>
            </w:tcBorders>
          </w:tcPr>
          <w:p>
            <w:pPr>
              <w:pStyle w:val="yTableNAm"/>
              <w:jc w:val="right"/>
              <w:rPr>
                <w:sz w:val="12"/>
                <w:szCs w:val="12"/>
              </w:rPr>
            </w:pPr>
            <w:r>
              <w:rPr>
                <w:b/>
                <w:sz w:val="12"/>
                <w:szCs w:val="12"/>
              </w:rPr>
              <w:t>9</w:t>
            </w:r>
          </w:p>
        </w:tc>
        <w:tc>
          <w:tcPr>
            <w:tcW w:w="358" w:type="dxa"/>
            <w:tcBorders>
              <w:top w:val="single" w:sz="4" w:space="0" w:color="auto"/>
              <w:bottom w:val="nil"/>
            </w:tcBorders>
          </w:tcPr>
          <w:p>
            <w:pPr>
              <w:pStyle w:val="yTableNAm"/>
              <w:jc w:val="right"/>
              <w:rPr>
                <w:sz w:val="12"/>
                <w:szCs w:val="12"/>
              </w:rPr>
            </w:pPr>
            <w:r>
              <w:rPr>
                <w:b/>
                <w:sz w:val="12"/>
                <w:szCs w:val="12"/>
              </w:rPr>
              <w:t>10</w:t>
            </w:r>
          </w:p>
        </w:tc>
        <w:tc>
          <w:tcPr>
            <w:tcW w:w="359" w:type="dxa"/>
            <w:gridSpan w:val="2"/>
            <w:tcBorders>
              <w:top w:val="single" w:sz="4" w:space="0" w:color="auto"/>
              <w:bottom w:val="nil"/>
            </w:tcBorders>
          </w:tcPr>
          <w:p>
            <w:pPr>
              <w:pStyle w:val="yTableNAm"/>
              <w:jc w:val="right"/>
              <w:rPr>
                <w:sz w:val="12"/>
                <w:szCs w:val="12"/>
              </w:rPr>
            </w:pPr>
            <w:r>
              <w:rPr>
                <w:b/>
                <w:sz w:val="12"/>
                <w:szCs w:val="12"/>
              </w:rPr>
              <w:t>11</w:t>
            </w:r>
          </w:p>
        </w:tc>
        <w:tc>
          <w:tcPr>
            <w:tcW w:w="358" w:type="dxa"/>
            <w:tcBorders>
              <w:top w:val="single" w:sz="4" w:space="0" w:color="auto"/>
              <w:bottom w:val="nil"/>
            </w:tcBorders>
          </w:tcPr>
          <w:p>
            <w:pPr>
              <w:pStyle w:val="yTableNAm"/>
              <w:jc w:val="right"/>
              <w:rPr>
                <w:sz w:val="12"/>
                <w:szCs w:val="12"/>
              </w:rPr>
            </w:pPr>
            <w:r>
              <w:rPr>
                <w:b/>
                <w:sz w:val="12"/>
                <w:szCs w:val="12"/>
              </w:rPr>
              <w:t>12</w:t>
            </w:r>
          </w:p>
        </w:tc>
        <w:tc>
          <w:tcPr>
            <w:tcW w:w="359" w:type="dxa"/>
            <w:tcBorders>
              <w:top w:val="single" w:sz="4" w:space="0" w:color="auto"/>
              <w:bottom w:val="nil"/>
            </w:tcBorders>
          </w:tcPr>
          <w:p>
            <w:pPr>
              <w:pStyle w:val="yTableNAm"/>
              <w:jc w:val="right"/>
              <w:rPr>
                <w:sz w:val="12"/>
                <w:szCs w:val="12"/>
              </w:rPr>
            </w:pPr>
            <w:r>
              <w:rPr>
                <w:b/>
                <w:sz w:val="12"/>
                <w:szCs w:val="12"/>
              </w:rPr>
              <w:t>13</w:t>
            </w:r>
          </w:p>
        </w:tc>
        <w:tc>
          <w:tcPr>
            <w:tcW w:w="358" w:type="dxa"/>
            <w:tcBorders>
              <w:top w:val="single" w:sz="4" w:space="0" w:color="auto"/>
              <w:bottom w:val="nil"/>
            </w:tcBorders>
          </w:tcPr>
          <w:p>
            <w:pPr>
              <w:pStyle w:val="yTableNAm"/>
              <w:jc w:val="right"/>
              <w:rPr>
                <w:sz w:val="12"/>
                <w:szCs w:val="12"/>
              </w:rPr>
            </w:pPr>
            <w:r>
              <w:rPr>
                <w:b/>
                <w:sz w:val="12"/>
                <w:szCs w:val="12"/>
              </w:rPr>
              <w:t>14</w:t>
            </w:r>
          </w:p>
        </w:tc>
        <w:tc>
          <w:tcPr>
            <w:tcW w:w="359" w:type="dxa"/>
            <w:tcBorders>
              <w:top w:val="single" w:sz="4" w:space="0" w:color="auto"/>
              <w:bottom w:val="nil"/>
            </w:tcBorders>
          </w:tcPr>
          <w:p>
            <w:pPr>
              <w:pStyle w:val="yTableNAm"/>
              <w:jc w:val="right"/>
              <w:rPr>
                <w:sz w:val="12"/>
                <w:szCs w:val="12"/>
              </w:rPr>
            </w:pPr>
            <w:r>
              <w:rPr>
                <w:b/>
                <w:sz w:val="12"/>
                <w:szCs w:val="12"/>
              </w:rPr>
              <w:t>15</w:t>
            </w:r>
          </w:p>
        </w:tc>
        <w:tc>
          <w:tcPr>
            <w:tcW w:w="358" w:type="dxa"/>
            <w:tcBorders>
              <w:top w:val="single" w:sz="4" w:space="0" w:color="auto"/>
              <w:bottom w:val="nil"/>
            </w:tcBorders>
          </w:tcPr>
          <w:p>
            <w:pPr>
              <w:pStyle w:val="yTableNAm"/>
              <w:jc w:val="right"/>
              <w:rPr>
                <w:sz w:val="12"/>
                <w:szCs w:val="12"/>
              </w:rPr>
            </w:pPr>
            <w:r>
              <w:rPr>
                <w:b/>
                <w:sz w:val="12"/>
                <w:szCs w:val="12"/>
              </w:rPr>
              <w:t>16</w:t>
            </w:r>
          </w:p>
        </w:tc>
        <w:tc>
          <w:tcPr>
            <w:tcW w:w="359" w:type="dxa"/>
            <w:tcBorders>
              <w:top w:val="single" w:sz="4" w:space="0" w:color="auto"/>
              <w:bottom w:val="nil"/>
            </w:tcBorders>
          </w:tcPr>
          <w:p>
            <w:pPr>
              <w:pStyle w:val="yTableNAm"/>
              <w:jc w:val="right"/>
              <w:rPr>
                <w:sz w:val="12"/>
                <w:szCs w:val="12"/>
              </w:rPr>
            </w:pPr>
            <w:r>
              <w:rPr>
                <w:b/>
                <w:sz w:val="12"/>
                <w:szCs w:val="12"/>
              </w:rPr>
              <w:t>17</w:t>
            </w:r>
          </w:p>
        </w:tc>
        <w:tc>
          <w:tcPr>
            <w:tcW w:w="358" w:type="dxa"/>
            <w:tcBorders>
              <w:top w:val="single" w:sz="4" w:space="0" w:color="auto"/>
              <w:bottom w:val="nil"/>
            </w:tcBorders>
          </w:tcPr>
          <w:p>
            <w:pPr>
              <w:pStyle w:val="yTableNAm"/>
              <w:jc w:val="right"/>
              <w:rPr>
                <w:sz w:val="12"/>
                <w:szCs w:val="12"/>
              </w:rPr>
            </w:pPr>
            <w:r>
              <w:rPr>
                <w:b/>
                <w:sz w:val="12"/>
                <w:szCs w:val="12"/>
              </w:rPr>
              <w:t>18</w:t>
            </w:r>
          </w:p>
        </w:tc>
        <w:tc>
          <w:tcPr>
            <w:tcW w:w="359" w:type="dxa"/>
            <w:tcBorders>
              <w:top w:val="single" w:sz="4" w:space="0" w:color="auto"/>
              <w:bottom w:val="nil"/>
            </w:tcBorders>
          </w:tcPr>
          <w:p>
            <w:pPr>
              <w:pStyle w:val="yTableNAm"/>
              <w:jc w:val="right"/>
              <w:rPr>
                <w:sz w:val="12"/>
                <w:szCs w:val="12"/>
              </w:rPr>
            </w:pPr>
            <w:r>
              <w:rPr>
                <w:b/>
                <w:sz w:val="12"/>
                <w:szCs w:val="12"/>
              </w:rPr>
              <w:t>19</w:t>
            </w:r>
          </w:p>
        </w:tc>
        <w:tc>
          <w:tcPr>
            <w:tcW w:w="359" w:type="dxa"/>
            <w:tcBorders>
              <w:top w:val="single" w:sz="4" w:space="0" w:color="auto"/>
              <w:bottom w:val="nil"/>
            </w:tcBorders>
          </w:tcPr>
          <w:p>
            <w:pPr>
              <w:pStyle w:val="yTableNAm"/>
              <w:jc w:val="right"/>
              <w:rPr>
                <w:sz w:val="12"/>
                <w:szCs w:val="12"/>
              </w:rPr>
            </w:pPr>
            <w:r>
              <w:rPr>
                <w:b/>
                <w:sz w:val="12"/>
                <w:szCs w:val="12"/>
              </w:rPr>
              <w:t>20</w:t>
            </w:r>
          </w:p>
        </w:tc>
      </w:tr>
      <w:tr>
        <w:tblPrEx>
          <w:tblCellMar>
            <w:left w:w="0" w:type="dxa"/>
            <w:right w:w="0" w:type="dxa"/>
          </w:tblCellMar>
        </w:tblPrEx>
        <w:tc>
          <w:tcPr>
            <w:tcW w:w="993" w:type="dxa"/>
            <w:tcBorders>
              <w:top w:val="nil"/>
            </w:tcBorders>
          </w:tcPr>
          <w:p>
            <w:pPr>
              <w:pStyle w:val="yTableNAm"/>
              <w:rPr>
                <w:sz w:val="12"/>
                <w:szCs w:val="12"/>
              </w:rPr>
            </w:pPr>
            <w:r>
              <w:rPr>
                <w:sz w:val="12"/>
                <w:szCs w:val="12"/>
              </w:rPr>
              <w:t>Six and two</w:t>
            </w:r>
            <w:r>
              <w:rPr>
                <w:sz w:val="12"/>
                <w:szCs w:val="12"/>
              </w:rPr>
              <w:br/>
              <w:t>supplementaries</w:t>
            </w:r>
          </w:p>
        </w:tc>
        <w:tc>
          <w:tcPr>
            <w:tcW w:w="358" w:type="dxa"/>
            <w:tcBorders>
              <w:top w:val="nil"/>
              <w:bottom w:val="nil"/>
              <w:right w:val="nil"/>
            </w:tcBorders>
          </w:tcPr>
          <w:p>
            <w:pPr>
              <w:pStyle w:val="yTableNAm"/>
              <w:jc w:val="right"/>
              <w:rPr>
                <w:sz w:val="12"/>
                <w:szCs w:val="12"/>
              </w:rPr>
            </w:pPr>
          </w:p>
        </w:tc>
        <w:tc>
          <w:tcPr>
            <w:tcW w:w="359" w:type="dxa"/>
            <w:tcBorders>
              <w:top w:val="nil"/>
              <w:left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gridSpan w:val="2"/>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gridSpan w:val="2"/>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12</w:t>
            </w:r>
          </w:p>
        </w:tc>
        <w:tc>
          <w:tcPr>
            <w:tcW w:w="359" w:type="dxa"/>
            <w:gridSpan w:val="2"/>
          </w:tcPr>
          <w:p>
            <w:pPr>
              <w:pStyle w:val="yTableNAm"/>
              <w:spacing w:before="0"/>
              <w:jc w:val="right"/>
              <w:rPr>
                <w:sz w:val="12"/>
                <w:szCs w:val="12"/>
              </w:rPr>
            </w:pPr>
            <w:r>
              <w:rPr>
                <w:sz w:val="12"/>
                <w:szCs w:val="12"/>
              </w:rPr>
              <w:t>18</w:t>
            </w:r>
          </w:p>
        </w:tc>
        <w:tc>
          <w:tcPr>
            <w:tcW w:w="358" w:type="dxa"/>
          </w:tcPr>
          <w:p>
            <w:pPr>
              <w:pStyle w:val="yTableNAm"/>
              <w:spacing w:before="0"/>
              <w:jc w:val="right"/>
              <w:rPr>
                <w:sz w:val="12"/>
                <w:szCs w:val="12"/>
              </w:rPr>
            </w:pPr>
            <w:r>
              <w:rPr>
                <w:sz w:val="12"/>
                <w:szCs w:val="12"/>
              </w:rPr>
              <w:t>24</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t>42</w:t>
            </w:r>
          </w:p>
        </w:tc>
        <w:tc>
          <w:tcPr>
            <w:tcW w:w="358" w:type="dxa"/>
          </w:tcPr>
          <w:p>
            <w:pPr>
              <w:pStyle w:val="yTableNAm"/>
              <w:spacing w:before="0"/>
              <w:jc w:val="right"/>
              <w:rPr>
                <w:sz w:val="12"/>
                <w:szCs w:val="12"/>
              </w:rPr>
            </w:pPr>
            <w:r>
              <w:rPr>
                <w:sz w:val="12"/>
                <w:szCs w:val="12"/>
              </w:rPr>
              <w:t>48</w:t>
            </w:r>
          </w:p>
        </w:tc>
        <w:tc>
          <w:tcPr>
            <w:tcW w:w="359" w:type="dxa"/>
          </w:tcPr>
          <w:p>
            <w:pPr>
              <w:pStyle w:val="yTableNAm"/>
              <w:spacing w:before="0"/>
              <w:jc w:val="right"/>
              <w:rPr>
                <w:sz w:val="12"/>
                <w:szCs w:val="12"/>
              </w:rPr>
            </w:pPr>
            <w:r>
              <w:rPr>
                <w:sz w:val="12"/>
                <w:szCs w:val="12"/>
              </w:rPr>
              <w:t>54</w:t>
            </w:r>
          </w:p>
        </w:tc>
        <w:tc>
          <w:tcPr>
            <w:tcW w:w="358" w:type="dxa"/>
          </w:tcPr>
          <w:p>
            <w:pPr>
              <w:pStyle w:val="yTableNAm"/>
              <w:spacing w:before="0"/>
              <w:jc w:val="right"/>
              <w:rPr>
                <w:sz w:val="12"/>
                <w:szCs w:val="12"/>
              </w:rPr>
            </w:pPr>
            <w:r>
              <w:rPr>
                <w:sz w:val="12"/>
                <w:szCs w:val="12"/>
              </w:rPr>
              <w:t>60</w:t>
            </w:r>
          </w:p>
        </w:tc>
        <w:tc>
          <w:tcPr>
            <w:tcW w:w="359"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80</w:t>
            </w:r>
          </w:p>
        </w:tc>
        <w:tc>
          <w:tcPr>
            <w:tcW w:w="359" w:type="dxa"/>
            <w:gridSpan w:val="2"/>
          </w:tcPr>
          <w:p>
            <w:pPr>
              <w:pStyle w:val="yTableNAm"/>
              <w:spacing w:before="0"/>
              <w:jc w:val="right"/>
              <w:rPr>
                <w:sz w:val="12"/>
                <w:szCs w:val="12"/>
              </w:rPr>
            </w:pPr>
            <w:r>
              <w:rPr>
                <w:sz w:val="12"/>
                <w:szCs w:val="12"/>
              </w:rPr>
              <w:t>180</w:t>
            </w:r>
          </w:p>
        </w:tc>
        <w:tc>
          <w:tcPr>
            <w:tcW w:w="358" w:type="dxa"/>
          </w:tcPr>
          <w:p>
            <w:pPr>
              <w:pStyle w:val="yTableNAm"/>
              <w:spacing w:before="0"/>
              <w:jc w:val="right"/>
              <w:rPr>
                <w:sz w:val="12"/>
                <w:szCs w:val="12"/>
              </w:rPr>
            </w:pPr>
            <w:r>
              <w:rPr>
                <w:sz w:val="12"/>
                <w:szCs w:val="12"/>
              </w:rPr>
              <w:t>320</w:t>
            </w:r>
          </w:p>
        </w:tc>
        <w:tc>
          <w:tcPr>
            <w:tcW w:w="359" w:type="dxa"/>
          </w:tcPr>
          <w:p>
            <w:pPr>
              <w:pStyle w:val="yTableNAm"/>
              <w:spacing w:before="0"/>
              <w:jc w:val="right"/>
              <w:rPr>
                <w:sz w:val="12"/>
                <w:szCs w:val="12"/>
              </w:rPr>
            </w:pPr>
            <w:r>
              <w:rPr>
                <w:sz w:val="12"/>
                <w:szCs w:val="12"/>
              </w:rPr>
              <w:t>500</w:t>
            </w:r>
          </w:p>
        </w:tc>
        <w:tc>
          <w:tcPr>
            <w:tcW w:w="358" w:type="dxa"/>
          </w:tcPr>
          <w:p>
            <w:pPr>
              <w:pStyle w:val="yTableNAm"/>
              <w:spacing w:before="0"/>
              <w:jc w:val="right"/>
              <w:rPr>
                <w:sz w:val="12"/>
                <w:szCs w:val="12"/>
              </w:rPr>
            </w:pPr>
            <w:r>
              <w:rPr>
                <w:sz w:val="12"/>
                <w:szCs w:val="12"/>
              </w:rPr>
              <w:t>720</w:t>
            </w:r>
          </w:p>
        </w:tc>
        <w:tc>
          <w:tcPr>
            <w:tcW w:w="359" w:type="dxa"/>
          </w:tcPr>
          <w:p>
            <w:pPr>
              <w:pStyle w:val="yTableNAm"/>
              <w:spacing w:before="0"/>
              <w:jc w:val="right"/>
              <w:rPr>
                <w:sz w:val="12"/>
                <w:szCs w:val="12"/>
              </w:rPr>
            </w:pPr>
            <w:r>
              <w:rPr>
                <w:sz w:val="12"/>
                <w:szCs w:val="12"/>
              </w:rPr>
              <w:t>980</w:t>
            </w:r>
          </w:p>
        </w:tc>
        <w:tc>
          <w:tcPr>
            <w:tcW w:w="358" w:type="dxa"/>
          </w:tcPr>
          <w:p>
            <w:pPr>
              <w:pStyle w:val="yTableNAm"/>
              <w:spacing w:before="0"/>
              <w:jc w:val="right"/>
              <w:rPr>
                <w:sz w:val="12"/>
                <w:szCs w:val="12"/>
              </w:rPr>
            </w:pPr>
            <w:r>
              <w:rPr>
                <w:sz w:val="12"/>
                <w:szCs w:val="12"/>
              </w:rPr>
              <w:t>1280</w:t>
            </w:r>
          </w:p>
        </w:tc>
        <w:tc>
          <w:tcPr>
            <w:tcW w:w="359" w:type="dxa"/>
          </w:tcPr>
          <w:p>
            <w:pPr>
              <w:pStyle w:val="yTableNAm"/>
              <w:spacing w:before="0"/>
              <w:jc w:val="right"/>
              <w:rPr>
                <w:sz w:val="12"/>
                <w:szCs w:val="12"/>
              </w:rPr>
            </w:pPr>
            <w:r>
              <w:rPr>
                <w:sz w:val="12"/>
                <w:szCs w:val="12"/>
              </w:rPr>
              <w:t>1620</w:t>
            </w:r>
          </w:p>
        </w:tc>
        <w:tc>
          <w:tcPr>
            <w:tcW w:w="358" w:type="dxa"/>
          </w:tcPr>
          <w:p>
            <w:pPr>
              <w:pStyle w:val="yTableNAm"/>
              <w:spacing w:before="0"/>
              <w:jc w:val="right"/>
              <w:rPr>
                <w:sz w:val="12"/>
                <w:szCs w:val="12"/>
              </w:rPr>
            </w:pPr>
            <w:r>
              <w:rPr>
                <w:sz w:val="12"/>
                <w:szCs w:val="12"/>
              </w:rPr>
              <w:t>2000</w:t>
            </w:r>
          </w:p>
        </w:tc>
        <w:tc>
          <w:tcPr>
            <w:tcW w:w="359" w:type="dxa"/>
          </w:tcPr>
          <w:p>
            <w:pPr>
              <w:pStyle w:val="yTableNAm"/>
              <w:spacing w:before="0"/>
              <w:jc w:val="right"/>
              <w:rPr>
                <w:sz w:val="12"/>
                <w:szCs w:val="12"/>
              </w:rPr>
            </w:pPr>
            <w:r>
              <w:rPr>
                <w:sz w:val="12"/>
                <w:szCs w:val="12"/>
              </w:rPr>
              <w:t>2420</w:t>
            </w:r>
          </w:p>
        </w:tc>
        <w:tc>
          <w:tcPr>
            <w:tcW w:w="359" w:type="dxa"/>
          </w:tcPr>
          <w:p>
            <w:pPr>
              <w:pStyle w:val="yTableNAm"/>
              <w:spacing w:before="0"/>
              <w:jc w:val="right"/>
              <w:rPr>
                <w:sz w:val="12"/>
                <w:szCs w:val="12"/>
              </w:rPr>
            </w:pPr>
            <w:r>
              <w:rPr>
                <w:sz w:val="12"/>
                <w:szCs w:val="12"/>
              </w:rPr>
              <w:t>2880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51</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t>210</w:t>
            </w:r>
          </w:p>
        </w:tc>
        <w:tc>
          <w:tcPr>
            <w:tcW w:w="358" w:type="dxa"/>
          </w:tcPr>
          <w:p>
            <w:pPr>
              <w:pStyle w:val="yTableNAm"/>
              <w:spacing w:before="0"/>
              <w:jc w:val="right"/>
              <w:rPr>
                <w:sz w:val="12"/>
                <w:szCs w:val="12"/>
              </w:rPr>
            </w:pPr>
            <w:r>
              <w:rPr>
                <w:sz w:val="12"/>
                <w:szCs w:val="12"/>
              </w:rPr>
              <w:t>345</w:t>
            </w:r>
          </w:p>
        </w:tc>
        <w:tc>
          <w:tcPr>
            <w:tcW w:w="359" w:type="dxa"/>
          </w:tcPr>
          <w:p>
            <w:pPr>
              <w:pStyle w:val="yTableNAm"/>
              <w:spacing w:before="0"/>
              <w:jc w:val="right"/>
              <w:rPr>
                <w:sz w:val="12"/>
                <w:szCs w:val="12"/>
              </w:rPr>
            </w:pPr>
            <w:r>
              <w:rPr>
                <w:sz w:val="12"/>
                <w:szCs w:val="12"/>
              </w:rPr>
              <w:t>525</w:t>
            </w:r>
          </w:p>
        </w:tc>
        <w:tc>
          <w:tcPr>
            <w:tcW w:w="358" w:type="dxa"/>
          </w:tcPr>
          <w:p>
            <w:pPr>
              <w:pStyle w:val="yTableNAm"/>
              <w:spacing w:before="0"/>
              <w:jc w:val="right"/>
              <w:rPr>
                <w:sz w:val="12"/>
                <w:szCs w:val="12"/>
              </w:rPr>
            </w:pPr>
            <w:r>
              <w:rPr>
                <w:sz w:val="12"/>
                <w:szCs w:val="12"/>
              </w:rPr>
              <w:t>756</w:t>
            </w:r>
          </w:p>
        </w:tc>
        <w:tc>
          <w:tcPr>
            <w:tcW w:w="359" w:type="dxa"/>
          </w:tcPr>
          <w:p>
            <w:pPr>
              <w:pStyle w:val="yTableNAm"/>
              <w:spacing w:before="0"/>
              <w:jc w:val="right"/>
              <w:rPr>
                <w:sz w:val="12"/>
                <w:szCs w:val="12"/>
              </w:rPr>
            </w:pPr>
            <w:r>
              <w:rPr>
                <w:sz w:val="12"/>
                <w:szCs w:val="12"/>
              </w:rPr>
              <w:t>1044</w:t>
            </w:r>
          </w:p>
        </w:tc>
        <w:tc>
          <w:tcPr>
            <w:tcW w:w="358" w:type="dxa"/>
          </w:tcPr>
          <w:p>
            <w:pPr>
              <w:pStyle w:val="yTableNAm"/>
              <w:spacing w:before="0"/>
              <w:jc w:val="right"/>
              <w:rPr>
                <w:sz w:val="12"/>
                <w:szCs w:val="12"/>
              </w:rPr>
            </w:pPr>
            <w:r>
              <w:rPr>
                <w:sz w:val="12"/>
                <w:szCs w:val="12"/>
              </w:rPr>
              <w:t>1395</w:t>
            </w:r>
          </w:p>
        </w:tc>
        <w:tc>
          <w:tcPr>
            <w:tcW w:w="359" w:type="dxa"/>
          </w:tcPr>
          <w:p>
            <w:pPr>
              <w:pStyle w:val="yTableNAm"/>
              <w:spacing w:before="0"/>
              <w:jc w:val="right"/>
              <w:rPr>
                <w:sz w:val="12"/>
                <w:szCs w:val="12"/>
              </w:rPr>
            </w:pPr>
            <w:r>
              <w:rPr>
                <w:sz w:val="12"/>
                <w:szCs w:val="12"/>
              </w:rPr>
              <w:t>1815</w:t>
            </w:r>
          </w:p>
        </w:tc>
        <w:tc>
          <w:tcPr>
            <w:tcW w:w="359" w:type="dxa"/>
          </w:tcPr>
          <w:p>
            <w:pPr>
              <w:pStyle w:val="yTableNAm"/>
              <w:spacing w:before="0"/>
              <w:jc w:val="right"/>
              <w:rPr>
                <w:sz w:val="12"/>
                <w:szCs w:val="12"/>
              </w:rPr>
            </w:pPr>
            <w:r>
              <w:rPr>
                <w:sz w:val="12"/>
                <w:szCs w:val="12"/>
              </w:rPr>
              <w:t>2310</w:t>
            </w:r>
          </w:p>
        </w:tc>
      </w:tr>
      <w:tr>
        <w:tblPrEx>
          <w:tblCellMar>
            <w:left w:w="0" w:type="dxa"/>
            <w:right w:w="0" w:type="dxa"/>
          </w:tblCellMar>
        </w:tblPrEx>
        <w:tc>
          <w:tcPr>
            <w:tcW w:w="993" w:type="dxa"/>
          </w:tcPr>
          <w:p>
            <w:pPr>
              <w:pStyle w:val="yTableNAm"/>
              <w:rPr>
                <w:sz w:val="12"/>
                <w:szCs w:val="12"/>
              </w:rPr>
            </w:pPr>
            <w:r>
              <w:rPr>
                <w:sz w:val="12"/>
                <w:szCs w:val="12"/>
              </w:rPr>
              <w:t>Six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gridSpan w:val="2"/>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18</w:t>
            </w:r>
          </w:p>
        </w:tc>
        <w:tc>
          <w:tcPr>
            <w:tcW w:w="359" w:type="dxa"/>
            <w:gridSpan w:val="2"/>
          </w:tcPr>
          <w:p>
            <w:pPr>
              <w:pStyle w:val="yTableNAm"/>
              <w:spacing w:before="0"/>
              <w:jc w:val="right"/>
              <w:rPr>
                <w:sz w:val="12"/>
                <w:szCs w:val="12"/>
              </w:rPr>
            </w:pPr>
            <w:r>
              <w:rPr>
                <w:sz w:val="12"/>
                <w:szCs w:val="12"/>
              </w:rPr>
              <w:t>24</w:t>
            </w:r>
          </w:p>
        </w:tc>
        <w:tc>
          <w:tcPr>
            <w:tcW w:w="358" w:type="dxa"/>
          </w:tcPr>
          <w:p>
            <w:pPr>
              <w:pStyle w:val="yTableNAm"/>
              <w:spacing w:before="0"/>
              <w:jc w:val="right"/>
              <w:rPr>
                <w:sz w:val="12"/>
                <w:szCs w:val="12"/>
              </w:rPr>
            </w:pPr>
            <w:r>
              <w:rPr>
                <w:sz w:val="12"/>
                <w:szCs w:val="12"/>
              </w:rPr>
              <w:t>30</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42</w:t>
            </w:r>
          </w:p>
        </w:tc>
        <w:tc>
          <w:tcPr>
            <w:tcW w:w="359" w:type="dxa"/>
          </w:tcPr>
          <w:p>
            <w:pPr>
              <w:pStyle w:val="yTableNAm"/>
              <w:spacing w:before="0"/>
              <w:jc w:val="right"/>
              <w:rPr>
                <w:sz w:val="12"/>
                <w:szCs w:val="12"/>
              </w:rPr>
            </w:pPr>
            <w:r>
              <w:rPr>
                <w:sz w:val="12"/>
                <w:szCs w:val="12"/>
              </w:rPr>
              <w:t>48</w:t>
            </w:r>
          </w:p>
        </w:tc>
        <w:tc>
          <w:tcPr>
            <w:tcW w:w="358" w:type="dxa"/>
          </w:tcPr>
          <w:p>
            <w:pPr>
              <w:pStyle w:val="yTableNAm"/>
              <w:spacing w:before="0"/>
              <w:jc w:val="right"/>
              <w:rPr>
                <w:sz w:val="12"/>
                <w:szCs w:val="12"/>
              </w:rPr>
            </w:pPr>
            <w:r>
              <w:rPr>
                <w:sz w:val="12"/>
                <w:szCs w:val="12"/>
              </w:rPr>
              <w:t>54</w:t>
            </w:r>
          </w:p>
        </w:tc>
        <w:tc>
          <w:tcPr>
            <w:tcW w:w="359" w:type="dxa"/>
          </w:tcPr>
          <w:p>
            <w:pPr>
              <w:pStyle w:val="yTableNAm"/>
              <w:spacing w:before="0"/>
              <w:jc w:val="right"/>
              <w:rPr>
                <w:sz w:val="12"/>
                <w:szCs w:val="12"/>
              </w:rPr>
            </w:pPr>
            <w:r>
              <w:rPr>
                <w:sz w:val="12"/>
                <w:szCs w:val="12"/>
              </w:rPr>
              <w:t>60</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72</w:t>
            </w:r>
          </w:p>
        </w:tc>
        <w:tc>
          <w:tcPr>
            <w:tcW w:w="359" w:type="dxa"/>
          </w:tcPr>
          <w:p>
            <w:pPr>
              <w:pStyle w:val="yTableNAm"/>
              <w:spacing w:before="0"/>
              <w:jc w:val="right"/>
              <w:rPr>
                <w:sz w:val="12"/>
                <w:szCs w:val="12"/>
              </w:rPr>
            </w:pPr>
            <w:r>
              <w:rPr>
                <w:sz w:val="12"/>
                <w:szCs w:val="12"/>
              </w:rPr>
              <w:t>78</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120</w:t>
            </w:r>
          </w:p>
        </w:tc>
        <w:tc>
          <w:tcPr>
            <w:tcW w:w="358" w:type="dxa"/>
          </w:tcPr>
          <w:p>
            <w:pPr>
              <w:pStyle w:val="yTableNAm"/>
              <w:spacing w:before="0"/>
              <w:jc w:val="right"/>
              <w:rPr>
                <w:sz w:val="12"/>
                <w:szCs w:val="12"/>
              </w:rPr>
            </w:pPr>
            <w:r>
              <w:rPr>
                <w:sz w:val="12"/>
                <w:szCs w:val="12"/>
              </w:rPr>
              <w:t>200</w:t>
            </w:r>
          </w:p>
        </w:tc>
        <w:tc>
          <w:tcPr>
            <w:tcW w:w="359" w:type="dxa"/>
          </w:tcPr>
          <w:p>
            <w:pPr>
              <w:pStyle w:val="yTableNAm"/>
              <w:spacing w:before="0"/>
              <w:jc w:val="right"/>
              <w:rPr>
                <w:sz w:val="12"/>
                <w:szCs w:val="12"/>
              </w:rPr>
            </w:pPr>
            <w:r>
              <w:rPr>
                <w:sz w:val="12"/>
                <w:szCs w:val="12"/>
              </w:rPr>
              <w:t>300</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560</w:t>
            </w:r>
          </w:p>
        </w:tc>
        <w:tc>
          <w:tcPr>
            <w:tcW w:w="358" w:type="dxa"/>
          </w:tcPr>
          <w:p>
            <w:pPr>
              <w:pStyle w:val="yTableNAm"/>
              <w:spacing w:before="0"/>
              <w:jc w:val="right"/>
              <w:rPr>
                <w:sz w:val="12"/>
                <w:szCs w:val="12"/>
              </w:rPr>
            </w:pPr>
            <w:r>
              <w:rPr>
                <w:sz w:val="12"/>
                <w:szCs w:val="12"/>
              </w:rPr>
              <w:t>720</w:t>
            </w:r>
          </w:p>
        </w:tc>
        <w:tc>
          <w:tcPr>
            <w:tcW w:w="359" w:type="dxa"/>
          </w:tcPr>
          <w:p>
            <w:pPr>
              <w:pStyle w:val="yTableNAm"/>
              <w:spacing w:before="0"/>
              <w:jc w:val="right"/>
              <w:rPr>
                <w:sz w:val="12"/>
                <w:szCs w:val="12"/>
              </w:rPr>
            </w:pPr>
            <w:r>
              <w:rPr>
                <w:sz w:val="12"/>
                <w:szCs w:val="12"/>
              </w:rPr>
              <w:t>900</w:t>
            </w:r>
          </w:p>
        </w:tc>
        <w:tc>
          <w:tcPr>
            <w:tcW w:w="358" w:type="dxa"/>
          </w:tcPr>
          <w:p>
            <w:pPr>
              <w:pStyle w:val="yTableNAm"/>
              <w:spacing w:before="0"/>
              <w:jc w:val="right"/>
              <w:rPr>
                <w:sz w:val="12"/>
                <w:szCs w:val="12"/>
              </w:rPr>
            </w:pPr>
            <w:r>
              <w:rPr>
                <w:sz w:val="12"/>
                <w:szCs w:val="12"/>
              </w:rPr>
              <w:t>1100</w:t>
            </w:r>
          </w:p>
        </w:tc>
        <w:tc>
          <w:tcPr>
            <w:tcW w:w="359" w:type="dxa"/>
          </w:tcPr>
          <w:p>
            <w:pPr>
              <w:pStyle w:val="yTableNAm"/>
              <w:spacing w:before="0"/>
              <w:jc w:val="right"/>
              <w:rPr>
                <w:sz w:val="12"/>
                <w:szCs w:val="12"/>
              </w:rPr>
            </w:pPr>
            <w:r>
              <w:rPr>
                <w:sz w:val="12"/>
                <w:szCs w:val="12"/>
              </w:rPr>
              <w:t>1320</w:t>
            </w:r>
          </w:p>
        </w:tc>
        <w:tc>
          <w:tcPr>
            <w:tcW w:w="359" w:type="dxa"/>
          </w:tcPr>
          <w:p>
            <w:pPr>
              <w:pStyle w:val="yTableNAm"/>
              <w:spacing w:before="0"/>
              <w:jc w:val="right"/>
              <w:rPr>
                <w:sz w:val="12"/>
                <w:szCs w:val="12"/>
              </w:rPr>
            </w:pPr>
            <w:r>
              <w:rPr>
                <w:sz w:val="12"/>
                <w:szCs w:val="12"/>
              </w:rPr>
              <w:t>1560</w:t>
            </w:r>
          </w:p>
        </w:tc>
      </w:tr>
      <w:tr>
        <w:tblPrEx>
          <w:tblCellMar>
            <w:left w:w="0" w:type="dxa"/>
            <w:right w:w="0" w:type="dxa"/>
          </w:tblCellMar>
        </w:tblPrEx>
        <w:tc>
          <w:tcPr>
            <w:tcW w:w="993" w:type="dxa"/>
          </w:tcPr>
          <w:p>
            <w:pPr>
              <w:pStyle w:val="yTableNAm"/>
              <w:rPr>
                <w:sz w:val="12"/>
                <w:szCs w:val="12"/>
              </w:rPr>
            </w:pPr>
            <w:r>
              <w:rPr>
                <w:sz w:val="12"/>
                <w:szCs w:val="12"/>
              </w:rPr>
              <w:t>Six</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18</w:t>
            </w:r>
          </w:p>
        </w:tc>
        <w:tc>
          <w:tcPr>
            <w:tcW w:w="358" w:type="dxa"/>
          </w:tcPr>
          <w:p>
            <w:pPr>
              <w:pStyle w:val="yTableNAm"/>
              <w:spacing w:before="0"/>
              <w:jc w:val="right"/>
              <w:rPr>
                <w:sz w:val="12"/>
                <w:szCs w:val="12"/>
              </w:rPr>
            </w:pPr>
            <w:r>
              <w:rPr>
                <w:sz w:val="12"/>
                <w:szCs w:val="12"/>
              </w:rPr>
              <w:t>24</w:t>
            </w:r>
          </w:p>
        </w:tc>
        <w:tc>
          <w:tcPr>
            <w:tcW w:w="359" w:type="dxa"/>
            <w:gridSpan w:val="2"/>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t>42</w:t>
            </w:r>
          </w:p>
        </w:tc>
        <w:tc>
          <w:tcPr>
            <w:tcW w:w="358" w:type="dxa"/>
          </w:tcPr>
          <w:p>
            <w:pPr>
              <w:pStyle w:val="yTableNAm"/>
              <w:spacing w:before="0"/>
              <w:jc w:val="right"/>
              <w:rPr>
                <w:sz w:val="12"/>
                <w:szCs w:val="12"/>
              </w:rPr>
            </w:pPr>
            <w:r>
              <w:rPr>
                <w:sz w:val="12"/>
                <w:szCs w:val="12"/>
              </w:rPr>
              <w:t>48</w:t>
            </w:r>
          </w:p>
        </w:tc>
        <w:tc>
          <w:tcPr>
            <w:tcW w:w="359" w:type="dxa"/>
          </w:tcPr>
          <w:p>
            <w:pPr>
              <w:pStyle w:val="yTableNAm"/>
              <w:spacing w:before="0"/>
              <w:jc w:val="right"/>
              <w:rPr>
                <w:sz w:val="12"/>
                <w:szCs w:val="12"/>
              </w:rPr>
            </w:pPr>
            <w:r>
              <w:rPr>
                <w:sz w:val="12"/>
                <w:szCs w:val="12"/>
              </w:rPr>
              <w:t>54</w:t>
            </w:r>
          </w:p>
        </w:tc>
        <w:tc>
          <w:tcPr>
            <w:tcW w:w="358" w:type="dxa"/>
          </w:tcPr>
          <w:p>
            <w:pPr>
              <w:pStyle w:val="yTableNAm"/>
              <w:spacing w:before="0"/>
              <w:jc w:val="right"/>
              <w:rPr>
                <w:sz w:val="12"/>
                <w:szCs w:val="12"/>
              </w:rPr>
            </w:pPr>
            <w:r>
              <w:rPr>
                <w:sz w:val="12"/>
                <w:szCs w:val="12"/>
              </w:rPr>
              <w:t>60</w:t>
            </w:r>
          </w:p>
        </w:tc>
        <w:tc>
          <w:tcPr>
            <w:tcW w:w="359" w:type="dxa"/>
          </w:tcPr>
          <w:p>
            <w:pPr>
              <w:pStyle w:val="yTableNAm"/>
              <w:spacing w:before="0"/>
              <w:jc w:val="right"/>
              <w:rPr>
                <w:sz w:val="12"/>
                <w:szCs w:val="12"/>
              </w:rPr>
            </w:pPr>
            <w:r>
              <w:rPr>
                <w:sz w:val="12"/>
                <w:szCs w:val="12"/>
              </w:rPr>
              <w:t>66</w:t>
            </w:r>
          </w:p>
        </w:tc>
        <w:tc>
          <w:tcPr>
            <w:tcW w:w="358" w:type="dxa"/>
          </w:tcPr>
          <w:p>
            <w:pPr>
              <w:pStyle w:val="yTableNAm"/>
              <w:spacing w:before="0"/>
              <w:jc w:val="right"/>
              <w:rPr>
                <w:sz w:val="12"/>
                <w:szCs w:val="12"/>
              </w:rPr>
            </w:pPr>
            <w:r>
              <w:rPr>
                <w:sz w:val="12"/>
                <w:szCs w:val="12"/>
              </w:rPr>
              <w:t>72</w:t>
            </w:r>
          </w:p>
        </w:tc>
        <w:tc>
          <w:tcPr>
            <w:tcW w:w="359" w:type="dxa"/>
          </w:tcPr>
          <w:p>
            <w:pPr>
              <w:pStyle w:val="yTableNAm"/>
              <w:spacing w:before="0"/>
              <w:jc w:val="right"/>
              <w:rPr>
                <w:sz w:val="12"/>
                <w:szCs w:val="12"/>
              </w:rPr>
            </w:pPr>
            <w:r>
              <w:rPr>
                <w:sz w:val="12"/>
                <w:szCs w:val="12"/>
              </w:rPr>
              <w:t>78</w:t>
            </w:r>
          </w:p>
        </w:tc>
        <w:tc>
          <w:tcPr>
            <w:tcW w:w="359" w:type="dxa"/>
          </w:tcPr>
          <w:p>
            <w:pPr>
              <w:pStyle w:val="yTableNAm"/>
              <w:spacing w:before="0"/>
              <w:jc w:val="right"/>
              <w:rPr>
                <w:sz w:val="12"/>
                <w:szCs w:val="12"/>
              </w:rPr>
            </w:pPr>
            <w:r>
              <w:rPr>
                <w:sz w:val="12"/>
                <w:szCs w:val="12"/>
              </w:rPr>
              <w:t>84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rPr>
                <w:sz w:val="12"/>
                <w:szCs w:val="12"/>
              </w:rPr>
            </w:pPr>
            <w:r>
              <w:rPr>
                <w:sz w:val="12"/>
                <w:szCs w:val="12"/>
              </w:rPr>
              <w:t>Five and 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gridSpan w:val="2"/>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3</w:t>
            </w:r>
          </w:p>
        </w:tc>
        <w:tc>
          <w:tcPr>
            <w:tcW w:w="359" w:type="dxa"/>
            <w:gridSpan w:val="2"/>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5</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7</w:t>
            </w:r>
          </w:p>
        </w:tc>
        <w:tc>
          <w:tcPr>
            <w:tcW w:w="359" w:type="dxa"/>
          </w:tcPr>
          <w:p>
            <w:pPr>
              <w:pStyle w:val="yTableNAm"/>
              <w:spacing w:before="0"/>
              <w:jc w:val="right"/>
              <w:rPr>
                <w:sz w:val="12"/>
                <w:szCs w:val="12"/>
              </w:rPr>
            </w:pPr>
            <w:r>
              <w:rPr>
                <w:sz w:val="12"/>
                <w:szCs w:val="12"/>
              </w:rPr>
              <w:t>8</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11</w:t>
            </w:r>
          </w:p>
        </w:tc>
        <w:tc>
          <w:tcPr>
            <w:tcW w:w="359"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13</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40</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160</w:t>
            </w:r>
          </w:p>
        </w:tc>
        <w:tc>
          <w:tcPr>
            <w:tcW w:w="358" w:type="dxa"/>
          </w:tcPr>
          <w:p>
            <w:pPr>
              <w:pStyle w:val="yTableNAm"/>
              <w:spacing w:before="0"/>
              <w:jc w:val="right"/>
              <w:rPr>
                <w:sz w:val="12"/>
                <w:szCs w:val="12"/>
              </w:rPr>
            </w:pPr>
            <w:r>
              <w:rPr>
                <w:sz w:val="12"/>
                <w:szCs w:val="12"/>
              </w:rPr>
              <w:t>250</w:t>
            </w:r>
          </w:p>
        </w:tc>
        <w:tc>
          <w:tcPr>
            <w:tcW w:w="359" w:type="dxa"/>
          </w:tcPr>
          <w:p>
            <w:pPr>
              <w:pStyle w:val="yTableNAm"/>
              <w:spacing w:before="0"/>
              <w:jc w:val="right"/>
              <w:rPr>
                <w:sz w:val="12"/>
                <w:szCs w:val="12"/>
              </w:rPr>
            </w:pPr>
            <w:r>
              <w:rPr>
                <w:sz w:val="12"/>
                <w:szCs w:val="12"/>
              </w:rPr>
              <w:t>360</w:t>
            </w:r>
          </w:p>
        </w:tc>
        <w:tc>
          <w:tcPr>
            <w:tcW w:w="358" w:type="dxa"/>
          </w:tcPr>
          <w:p>
            <w:pPr>
              <w:pStyle w:val="yTableNAm"/>
              <w:spacing w:before="0"/>
              <w:jc w:val="right"/>
              <w:rPr>
                <w:sz w:val="12"/>
                <w:szCs w:val="12"/>
              </w:rPr>
            </w:pPr>
            <w:r>
              <w:rPr>
                <w:sz w:val="12"/>
                <w:szCs w:val="12"/>
              </w:rPr>
              <w:t>490</w:t>
            </w:r>
          </w:p>
        </w:tc>
        <w:tc>
          <w:tcPr>
            <w:tcW w:w="359" w:type="dxa"/>
          </w:tcPr>
          <w:p>
            <w:pPr>
              <w:pStyle w:val="yTableNAm"/>
              <w:spacing w:before="0"/>
              <w:jc w:val="right"/>
              <w:rPr>
                <w:sz w:val="12"/>
                <w:szCs w:val="12"/>
              </w:rPr>
            </w:pPr>
            <w:r>
              <w:rPr>
                <w:sz w:val="12"/>
                <w:szCs w:val="12"/>
              </w:rPr>
              <w:t>640</w:t>
            </w:r>
          </w:p>
        </w:tc>
        <w:tc>
          <w:tcPr>
            <w:tcW w:w="358" w:type="dxa"/>
          </w:tcPr>
          <w:p>
            <w:pPr>
              <w:pStyle w:val="yTableNAm"/>
              <w:spacing w:before="0"/>
              <w:jc w:val="right"/>
              <w:rPr>
                <w:sz w:val="12"/>
                <w:szCs w:val="12"/>
              </w:rPr>
            </w:pPr>
            <w:r>
              <w:rPr>
                <w:sz w:val="12"/>
                <w:szCs w:val="12"/>
              </w:rPr>
              <w:t>810</w:t>
            </w:r>
          </w:p>
        </w:tc>
        <w:tc>
          <w:tcPr>
            <w:tcW w:w="359" w:type="dxa"/>
          </w:tcPr>
          <w:p>
            <w:pPr>
              <w:pStyle w:val="yTableNAm"/>
              <w:spacing w:before="0"/>
              <w:jc w:val="right"/>
              <w:rPr>
                <w:sz w:val="12"/>
                <w:szCs w:val="12"/>
              </w:rPr>
            </w:pPr>
            <w:r>
              <w:rPr>
                <w:sz w:val="12"/>
                <w:szCs w:val="12"/>
              </w:rPr>
              <w:t>1000</w:t>
            </w:r>
          </w:p>
        </w:tc>
        <w:tc>
          <w:tcPr>
            <w:tcW w:w="358" w:type="dxa"/>
          </w:tcPr>
          <w:p>
            <w:pPr>
              <w:pStyle w:val="yTableNAm"/>
              <w:spacing w:before="0"/>
              <w:jc w:val="right"/>
              <w:rPr>
                <w:sz w:val="12"/>
                <w:szCs w:val="12"/>
              </w:rPr>
            </w:pPr>
            <w:r>
              <w:rPr>
                <w:sz w:val="12"/>
                <w:szCs w:val="12"/>
              </w:rPr>
              <w:t>1210</w:t>
            </w:r>
          </w:p>
        </w:tc>
        <w:tc>
          <w:tcPr>
            <w:tcW w:w="359" w:type="dxa"/>
          </w:tcPr>
          <w:p>
            <w:pPr>
              <w:pStyle w:val="yTableNAm"/>
              <w:spacing w:before="0"/>
              <w:jc w:val="right"/>
              <w:rPr>
                <w:sz w:val="12"/>
                <w:szCs w:val="12"/>
              </w:rPr>
            </w:pPr>
            <w:r>
              <w:rPr>
                <w:sz w:val="12"/>
                <w:szCs w:val="12"/>
              </w:rPr>
              <w:t>1440</w:t>
            </w:r>
          </w:p>
        </w:tc>
        <w:tc>
          <w:tcPr>
            <w:tcW w:w="359" w:type="dxa"/>
          </w:tcPr>
          <w:p>
            <w:pPr>
              <w:pStyle w:val="yTableNAm"/>
              <w:spacing w:before="0"/>
              <w:jc w:val="right"/>
              <w:rPr>
                <w:sz w:val="12"/>
                <w:szCs w:val="12"/>
              </w:rPr>
            </w:pPr>
            <w:r>
              <w:rPr>
                <w:sz w:val="12"/>
                <w:szCs w:val="12"/>
              </w:rPr>
              <w:t>1690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35</w:t>
            </w:r>
          </w:p>
        </w:tc>
        <w:tc>
          <w:tcPr>
            <w:tcW w:w="359" w:type="dxa"/>
            <w:gridSpan w:val="2"/>
          </w:tcPr>
          <w:p>
            <w:pPr>
              <w:pStyle w:val="yTableNAm"/>
              <w:spacing w:before="0"/>
              <w:jc w:val="right"/>
              <w:rPr>
                <w:sz w:val="12"/>
                <w:szCs w:val="12"/>
              </w:rPr>
            </w:pPr>
            <w:r>
              <w:rPr>
                <w:sz w:val="12"/>
                <w:szCs w:val="12"/>
              </w:rPr>
              <w:t>80</w:t>
            </w:r>
          </w:p>
        </w:tc>
        <w:tc>
          <w:tcPr>
            <w:tcW w:w="358" w:type="dxa"/>
          </w:tcPr>
          <w:p>
            <w:pPr>
              <w:pStyle w:val="yTableNAm"/>
              <w:spacing w:before="0"/>
              <w:jc w:val="right"/>
              <w:rPr>
                <w:sz w:val="12"/>
                <w:szCs w:val="12"/>
              </w:rPr>
            </w:pPr>
            <w:r>
              <w:rPr>
                <w:sz w:val="12"/>
                <w:szCs w:val="12"/>
              </w:rPr>
              <w:t>150</w:t>
            </w:r>
          </w:p>
        </w:tc>
        <w:tc>
          <w:tcPr>
            <w:tcW w:w="359" w:type="dxa"/>
          </w:tcPr>
          <w:p>
            <w:pPr>
              <w:pStyle w:val="yTableNAm"/>
              <w:spacing w:before="0"/>
              <w:jc w:val="right"/>
              <w:rPr>
                <w:sz w:val="12"/>
                <w:szCs w:val="12"/>
              </w:rPr>
            </w:pPr>
            <w:r>
              <w:rPr>
                <w:sz w:val="12"/>
                <w:szCs w:val="12"/>
              </w:rPr>
              <w:t>250</w:t>
            </w:r>
          </w:p>
        </w:tc>
        <w:tc>
          <w:tcPr>
            <w:tcW w:w="358" w:type="dxa"/>
          </w:tcPr>
          <w:p>
            <w:pPr>
              <w:pStyle w:val="yTableNAm"/>
              <w:spacing w:before="0"/>
              <w:jc w:val="right"/>
              <w:rPr>
                <w:sz w:val="12"/>
                <w:szCs w:val="12"/>
              </w:rPr>
            </w:pPr>
            <w:r>
              <w:rPr>
                <w:sz w:val="12"/>
                <w:szCs w:val="12"/>
              </w:rPr>
              <w:t>385</w:t>
            </w:r>
          </w:p>
        </w:tc>
        <w:tc>
          <w:tcPr>
            <w:tcW w:w="359" w:type="dxa"/>
          </w:tcPr>
          <w:p>
            <w:pPr>
              <w:pStyle w:val="yTableNAm"/>
              <w:spacing w:before="0"/>
              <w:jc w:val="right"/>
              <w:rPr>
                <w:sz w:val="12"/>
                <w:szCs w:val="12"/>
              </w:rPr>
            </w:pPr>
            <w:r>
              <w:rPr>
                <w:sz w:val="12"/>
                <w:szCs w:val="12"/>
              </w:rPr>
              <w:t>560</w:t>
            </w:r>
          </w:p>
        </w:tc>
        <w:tc>
          <w:tcPr>
            <w:tcW w:w="358" w:type="dxa"/>
          </w:tcPr>
          <w:p>
            <w:pPr>
              <w:pStyle w:val="yTableNAm"/>
              <w:spacing w:before="0"/>
              <w:jc w:val="right"/>
              <w:rPr>
                <w:sz w:val="12"/>
                <w:szCs w:val="12"/>
              </w:rPr>
            </w:pPr>
            <w:r>
              <w:rPr>
                <w:sz w:val="12"/>
                <w:szCs w:val="12"/>
              </w:rPr>
              <w:t>780</w:t>
            </w:r>
          </w:p>
        </w:tc>
        <w:tc>
          <w:tcPr>
            <w:tcW w:w="359" w:type="dxa"/>
          </w:tcPr>
          <w:p>
            <w:pPr>
              <w:pStyle w:val="yTableNAm"/>
              <w:spacing w:before="0"/>
              <w:jc w:val="right"/>
              <w:rPr>
                <w:sz w:val="12"/>
                <w:szCs w:val="12"/>
              </w:rPr>
            </w:pPr>
            <w:r>
              <w:rPr>
                <w:sz w:val="12"/>
                <w:szCs w:val="12"/>
              </w:rPr>
              <w:t>1050</w:t>
            </w:r>
          </w:p>
        </w:tc>
        <w:tc>
          <w:tcPr>
            <w:tcW w:w="358" w:type="dxa"/>
          </w:tcPr>
          <w:p>
            <w:pPr>
              <w:pStyle w:val="yTableNAm"/>
              <w:spacing w:before="0"/>
              <w:jc w:val="right"/>
              <w:rPr>
                <w:sz w:val="12"/>
                <w:szCs w:val="12"/>
              </w:rPr>
            </w:pPr>
            <w:r>
              <w:rPr>
                <w:sz w:val="12"/>
                <w:szCs w:val="12"/>
              </w:rPr>
              <w:t>1375</w:t>
            </w:r>
          </w:p>
        </w:tc>
        <w:tc>
          <w:tcPr>
            <w:tcW w:w="359" w:type="dxa"/>
          </w:tcPr>
          <w:p>
            <w:pPr>
              <w:pStyle w:val="yTableNAm"/>
              <w:spacing w:before="0"/>
              <w:jc w:val="right"/>
              <w:rPr>
                <w:sz w:val="12"/>
                <w:szCs w:val="12"/>
              </w:rPr>
            </w:pPr>
            <w:r>
              <w:rPr>
                <w:sz w:val="12"/>
                <w:szCs w:val="12"/>
              </w:rPr>
              <w:t>1760</w:t>
            </w:r>
          </w:p>
        </w:tc>
        <w:tc>
          <w:tcPr>
            <w:tcW w:w="359" w:type="dxa"/>
          </w:tcPr>
          <w:p>
            <w:pPr>
              <w:pStyle w:val="yTableNAm"/>
              <w:spacing w:before="0"/>
              <w:jc w:val="right"/>
              <w:rPr>
                <w:sz w:val="12"/>
                <w:szCs w:val="12"/>
              </w:rPr>
            </w:pPr>
            <w:r>
              <w:rPr>
                <w:sz w:val="12"/>
                <w:szCs w:val="12"/>
              </w:rPr>
              <w:t>2210</w:t>
            </w:r>
          </w:p>
        </w:tc>
      </w:tr>
      <w:tr>
        <w:tblPrEx>
          <w:tblCellMar>
            <w:left w:w="0" w:type="dxa"/>
            <w:right w:w="0" w:type="dxa"/>
          </w:tblCellMar>
        </w:tblPrEx>
        <w:tc>
          <w:tcPr>
            <w:tcW w:w="993" w:type="dxa"/>
          </w:tcPr>
          <w:p>
            <w:pPr>
              <w:pStyle w:val="yTableNAm"/>
              <w:rPr>
                <w:sz w:val="12"/>
                <w:szCs w:val="12"/>
              </w:rPr>
            </w:pPr>
            <w:r>
              <w:rPr>
                <w:sz w:val="12"/>
                <w:szCs w:val="12"/>
              </w:rPr>
              <w:t>Five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4</w:t>
            </w:r>
          </w:p>
        </w:tc>
        <w:tc>
          <w:tcPr>
            <w:tcW w:w="359" w:type="dxa"/>
            <w:gridSpan w:val="2"/>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7</w:t>
            </w:r>
          </w:p>
        </w:tc>
        <w:tc>
          <w:tcPr>
            <w:tcW w:w="358" w:type="dxa"/>
          </w:tcPr>
          <w:p>
            <w:pPr>
              <w:pStyle w:val="yTableNAm"/>
              <w:spacing w:before="0"/>
              <w:jc w:val="right"/>
              <w:rPr>
                <w:sz w:val="12"/>
                <w:szCs w:val="12"/>
              </w:rPr>
            </w:pPr>
            <w:r>
              <w:rPr>
                <w:sz w:val="12"/>
                <w:szCs w:val="12"/>
              </w:rPr>
              <w:t>8</w:t>
            </w:r>
          </w:p>
        </w:tc>
        <w:tc>
          <w:tcPr>
            <w:tcW w:w="359" w:type="dxa"/>
          </w:tcPr>
          <w:p>
            <w:pPr>
              <w:pStyle w:val="yTableNAm"/>
              <w:spacing w:before="0"/>
              <w:jc w:val="right"/>
              <w:rPr>
                <w:sz w:val="12"/>
                <w:szCs w:val="12"/>
              </w:rPr>
            </w:pPr>
            <w:r>
              <w:rPr>
                <w:sz w:val="12"/>
                <w:szCs w:val="12"/>
              </w:rPr>
              <w:t>9</w:t>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11</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13</w:t>
            </w:r>
          </w:p>
        </w:tc>
        <w:tc>
          <w:tcPr>
            <w:tcW w:w="359" w:type="dxa"/>
          </w:tcPr>
          <w:p>
            <w:pPr>
              <w:pStyle w:val="yTableNAm"/>
              <w:spacing w:before="0"/>
              <w:jc w:val="right"/>
              <w:rPr>
                <w:sz w:val="12"/>
                <w:szCs w:val="12"/>
              </w:rPr>
            </w:pPr>
            <w:r>
              <w:rPr>
                <w:sz w:val="12"/>
                <w:szCs w:val="12"/>
              </w:rPr>
              <w:t>14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150</w:t>
            </w:r>
          </w:p>
        </w:tc>
        <w:tc>
          <w:tcPr>
            <w:tcW w:w="359" w:type="dxa"/>
          </w:tcPr>
          <w:p>
            <w:pPr>
              <w:pStyle w:val="yTableNAm"/>
              <w:spacing w:before="0"/>
              <w:jc w:val="right"/>
              <w:rPr>
                <w:sz w:val="12"/>
                <w:szCs w:val="12"/>
              </w:rPr>
            </w:pPr>
            <w:r>
              <w:rPr>
                <w:sz w:val="12"/>
                <w:szCs w:val="12"/>
              </w:rPr>
              <w:t>210</w:t>
            </w:r>
          </w:p>
        </w:tc>
        <w:tc>
          <w:tcPr>
            <w:tcW w:w="358" w:type="dxa"/>
          </w:tcPr>
          <w:p>
            <w:pPr>
              <w:pStyle w:val="yTableNAm"/>
              <w:spacing w:before="0"/>
              <w:jc w:val="right"/>
              <w:rPr>
                <w:sz w:val="12"/>
                <w:szCs w:val="12"/>
              </w:rPr>
            </w:pPr>
            <w:r>
              <w:rPr>
                <w:sz w:val="12"/>
                <w:szCs w:val="12"/>
              </w:rPr>
              <w:t>280</w:t>
            </w:r>
          </w:p>
        </w:tc>
        <w:tc>
          <w:tcPr>
            <w:tcW w:w="359" w:type="dxa"/>
          </w:tcPr>
          <w:p>
            <w:pPr>
              <w:pStyle w:val="yTableNAm"/>
              <w:spacing w:before="0"/>
              <w:jc w:val="right"/>
              <w:rPr>
                <w:sz w:val="12"/>
                <w:szCs w:val="12"/>
              </w:rPr>
            </w:pPr>
            <w:r>
              <w:rPr>
                <w:sz w:val="12"/>
                <w:szCs w:val="12"/>
              </w:rPr>
              <w:t>360</w:t>
            </w:r>
          </w:p>
        </w:tc>
        <w:tc>
          <w:tcPr>
            <w:tcW w:w="358" w:type="dxa"/>
          </w:tcPr>
          <w:p>
            <w:pPr>
              <w:pStyle w:val="yTableNAm"/>
              <w:spacing w:before="0"/>
              <w:jc w:val="right"/>
              <w:rPr>
                <w:sz w:val="12"/>
                <w:szCs w:val="12"/>
              </w:rPr>
            </w:pPr>
            <w:r>
              <w:rPr>
                <w:sz w:val="12"/>
                <w:szCs w:val="12"/>
              </w:rPr>
              <w:t>450</w:t>
            </w:r>
          </w:p>
        </w:tc>
        <w:tc>
          <w:tcPr>
            <w:tcW w:w="359" w:type="dxa"/>
          </w:tcPr>
          <w:p>
            <w:pPr>
              <w:pStyle w:val="yTableNAm"/>
              <w:spacing w:before="0"/>
              <w:jc w:val="right"/>
              <w:rPr>
                <w:sz w:val="12"/>
                <w:szCs w:val="12"/>
              </w:rPr>
            </w:pPr>
            <w:r>
              <w:rPr>
                <w:sz w:val="12"/>
                <w:szCs w:val="12"/>
              </w:rPr>
              <w:t>550</w:t>
            </w:r>
          </w:p>
        </w:tc>
        <w:tc>
          <w:tcPr>
            <w:tcW w:w="358" w:type="dxa"/>
          </w:tcPr>
          <w:p>
            <w:pPr>
              <w:pStyle w:val="yTableNAm"/>
              <w:spacing w:before="0"/>
              <w:jc w:val="right"/>
              <w:rPr>
                <w:sz w:val="12"/>
                <w:szCs w:val="12"/>
              </w:rPr>
            </w:pPr>
            <w:r>
              <w:rPr>
                <w:sz w:val="12"/>
                <w:szCs w:val="12"/>
              </w:rPr>
              <w:t>660</w:t>
            </w:r>
          </w:p>
        </w:tc>
        <w:tc>
          <w:tcPr>
            <w:tcW w:w="359" w:type="dxa"/>
          </w:tcPr>
          <w:p>
            <w:pPr>
              <w:pStyle w:val="yTableNAm"/>
              <w:spacing w:before="0"/>
              <w:jc w:val="right"/>
              <w:rPr>
                <w:sz w:val="12"/>
                <w:szCs w:val="12"/>
              </w:rPr>
            </w:pPr>
            <w:r>
              <w:rPr>
                <w:sz w:val="12"/>
                <w:szCs w:val="12"/>
              </w:rPr>
              <w:t>780</w:t>
            </w:r>
          </w:p>
        </w:tc>
        <w:tc>
          <w:tcPr>
            <w:tcW w:w="359" w:type="dxa"/>
          </w:tcPr>
          <w:p>
            <w:pPr>
              <w:pStyle w:val="yTableNAm"/>
              <w:spacing w:before="0"/>
              <w:jc w:val="right"/>
              <w:rPr>
                <w:sz w:val="12"/>
                <w:szCs w:val="12"/>
              </w:rPr>
            </w:pPr>
            <w:r>
              <w:rPr>
                <w:sz w:val="12"/>
                <w:szCs w:val="12"/>
              </w:rPr>
              <w:t>910</w:t>
            </w:r>
          </w:p>
        </w:tc>
      </w:tr>
      <w:tr>
        <w:tblPrEx>
          <w:tblCellMar>
            <w:left w:w="0" w:type="dxa"/>
            <w:right w:w="0" w:type="dxa"/>
          </w:tblCellMar>
        </w:tblPrEx>
        <w:tc>
          <w:tcPr>
            <w:tcW w:w="993" w:type="dxa"/>
          </w:tcPr>
          <w:p>
            <w:pPr>
              <w:pStyle w:val="yTableNAm"/>
              <w:keepNext/>
              <w:rPr>
                <w:sz w:val="12"/>
                <w:szCs w:val="12"/>
              </w:rPr>
            </w:pPr>
            <w:r>
              <w:rPr>
                <w:sz w:val="12"/>
                <w:szCs w:val="12"/>
              </w:rPr>
              <w:t>Five</w:t>
            </w:r>
          </w:p>
        </w:tc>
        <w:tc>
          <w:tcPr>
            <w:tcW w:w="358" w:type="dxa"/>
            <w:tcBorders>
              <w:top w:val="nil"/>
              <w:bottom w:val="nil"/>
              <w:right w:val="nil"/>
            </w:tcBorders>
          </w:tcPr>
          <w:p>
            <w:pPr>
              <w:pStyle w:val="yTableNAm"/>
              <w:keepNext/>
              <w:jc w:val="right"/>
              <w:rPr>
                <w:sz w:val="12"/>
                <w:szCs w:val="12"/>
              </w:rPr>
            </w:pPr>
          </w:p>
        </w:tc>
        <w:tc>
          <w:tcPr>
            <w:tcW w:w="359" w:type="dxa"/>
            <w:tcBorders>
              <w:left w:val="nil"/>
            </w:tcBorders>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gridSpan w:val="2"/>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9" w:type="dxa"/>
          </w:tcPr>
          <w:p>
            <w:pPr>
              <w:pStyle w:val="yTableNAm"/>
              <w:keepNext/>
              <w:jc w:val="right"/>
              <w:rPr>
                <w:sz w:val="12"/>
                <w:szCs w:val="12"/>
              </w:rPr>
            </w:pP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1</w:t>
            </w:r>
          </w:p>
        </w:tc>
        <w:tc>
          <w:tcPr>
            <w:tcW w:w="359" w:type="dxa"/>
            <w:tcBorders>
              <w:left w:val="nil"/>
            </w:tcBorders>
          </w:tcPr>
          <w:p>
            <w:pPr>
              <w:pStyle w:val="yTableNAm"/>
              <w:keepNext/>
              <w:spacing w:before="0"/>
              <w:jc w:val="right"/>
              <w:rPr>
                <w:sz w:val="12"/>
                <w:szCs w:val="12"/>
              </w:rPr>
            </w:pPr>
            <w:r>
              <w:rPr>
                <w:sz w:val="12"/>
                <w:szCs w:val="12"/>
              </w:rPr>
              <w:t>1</w:t>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5</w:t>
            </w:r>
          </w:p>
        </w:tc>
        <w:tc>
          <w:tcPr>
            <w:tcW w:w="359" w:type="dxa"/>
            <w:gridSpan w:val="2"/>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7</w:t>
            </w:r>
          </w:p>
        </w:tc>
        <w:tc>
          <w:tcPr>
            <w:tcW w:w="359" w:type="dxa"/>
          </w:tcPr>
          <w:p>
            <w:pPr>
              <w:pStyle w:val="yTableNAm"/>
              <w:spacing w:before="0"/>
              <w:jc w:val="right"/>
              <w:rPr>
                <w:sz w:val="12"/>
                <w:szCs w:val="12"/>
              </w:rPr>
            </w:pPr>
            <w:r>
              <w:rPr>
                <w:sz w:val="12"/>
                <w:szCs w:val="12"/>
              </w:rPr>
              <w:t>8</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11</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13</w:t>
            </w:r>
          </w:p>
        </w:tc>
        <w:tc>
          <w:tcPr>
            <w:tcW w:w="359" w:type="dxa"/>
          </w:tcPr>
          <w:p>
            <w:pPr>
              <w:pStyle w:val="yTableNAm"/>
              <w:spacing w:before="0"/>
              <w:jc w:val="right"/>
              <w:rPr>
                <w:sz w:val="12"/>
                <w:szCs w:val="12"/>
              </w:rPr>
            </w:pPr>
            <w:r>
              <w:rPr>
                <w:sz w:val="12"/>
                <w:szCs w:val="12"/>
              </w:rPr>
              <w:t>14</w:t>
            </w:r>
          </w:p>
        </w:tc>
        <w:tc>
          <w:tcPr>
            <w:tcW w:w="359" w:type="dxa"/>
          </w:tcPr>
          <w:p>
            <w:pPr>
              <w:pStyle w:val="yTableNAm"/>
              <w:spacing w:before="0"/>
              <w:jc w:val="right"/>
              <w:rPr>
                <w:sz w:val="12"/>
                <w:szCs w:val="12"/>
              </w:rPr>
            </w:pPr>
            <w:r>
              <w:rPr>
                <w:sz w:val="12"/>
                <w:szCs w:val="12"/>
              </w:rPr>
              <w:t>15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rPr>
                <w:sz w:val="12"/>
                <w:szCs w:val="12"/>
              </w:rPr>
            </w:pPr>
            <w:r>
              <w:rPr>
                <w:sz w:val="12"/>
                <w:szCs w:val="12"/>
              </w:rPr>
              <w:t>Four and two 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16</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64</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144</w:t>
            </w:r>
          </w:p>
        </w:tc>
        <w:tc>
          <w:tcPr>
            <w:tcW w:w="359" w:type="dxa"/>
          </w:tcPr>
          <w:p>
            <w:pPr>
              <w:pStyle w:val="yTableNAm"/>
              <w:spacing w:before="0"/>
              <w:jc w:val="right"/>
              <w:rPr>
                <w:sz w:val="12"/>
                <w:szCs w:val="12"/>
              </w:rPr>
            </w:pPr>
            <w:r>
              <w:rPr>
                <w:sz w:val="12"/>
                <w:szCs w:val="12"/>
              </w:rPr>
              <w:t>196</w:t>
            </w:r>
          </w:p>
        </w:tc>
        <w:tc>
          <w:tcPr>
            <w:tcW w:w="358" w:type="dxa"/>
          </w:tcPr>
          <w:p>
            <w:pPr>
              <w:pStyle w:val="yTableNAm"/>
              <w:spacing w:before="0"/>
              <w:jc w:val="right"/>
              <w:rPr>
                <w:sz w:val="12"/>
                <w:szCs w:val="12"/>
              </w:rPr>
            </w:pPr>
            <w:r>
              <w:rPr>
                <w:sz w:val="12"/>
                <w:szCs w:val="12"/>
              </w:rPr>
              <w:t>256</w:t>
            </w:r>
          </w:p>
        </w:tc>
        <w:tc>
          <w:tcPr>
            <w:tcW w:w="359" w:type="dxa"/>
          </w:tcPr>
          <w:p>
            <w:pPr>
              <w:pStyle w:val="yTableNAm"/>
              <w:spacing w:before="0"/>
              <w:jc w:val="right"/>
              <w:rPr>
                <w:sz w:val="12"/>
                <w:szCs w:val="12"/>
              </w:rPr>
            </w:pPr>
            <w:r>
              <w:rPr>
                <w:sz w:val="12"/>
                <w:szCs w:val="12"/>
              </w:rPr>
              <w:t>324</w:t>
            </w:r>
          </w:p>
        </w:tc>
        <w:tc>
          <w:tcPr>
            <w:tcW w:w="358" w:type="dxa"/>
          </w:tcPr>
          <w:p>
            <w:pPr>
              <w:pStyle w:val="yTableNAm"/>
              <w:spacing w:before="0"/>
              <w:jc w:val="right"/>
              <w:rPr>
                <w:sz w:val="12"/>
                <w:szCs w:val="12"/>
              </w:rPr>
            </w:pPr>
            <w:r>
              <w:rPr>
                <w:sz w:val="12"/>
                <w:szCs w:val="12"/>
              </w:rPr>
              <w:t>400</w:t>
            </w:r>
          </w:p>
        </w:tc>
        <w:tc>
          <w:tcPr>
            <w:tcW w:w="359" w:type="dxa"/>
          </w:tcPr>
          <w:p>
            <w:pPr>
              <w:pStyle w:val="yTableNAm"/>
              <w:spacing w:before="0"/>
              <w:jc w:val="right"/>
              <w:rPr>
                <w:sz w:val="12"/>
                <w:szCs w:val="12"/>
              </w:rPr>
            </w:pPr>
            <w:r>
              <w:rPr>
                <w:sz w:val="12"/>
                <w:szCs w:val="12"/>
              </w:rPr>
              <w:t>484</w:t>
            </w:r>
          </w:p>
        </w:tc>
        <w:tc>
          <w:tcPr>
            <w:tcW w:w="358" w:type="dxa"/>
          </w:tcPr>
          <w:p>
            <w:pPr>
              <w:pStyle w:val="yTableNAm"/>
              <w:spacing w:before="0"/>
              <w:jc w:val="right"/>
              <w:rPr>
                <w:sz w:val="12"/>
                <w:szCs w:val="12"/>
              </w:rPr>
            </w:pPr>
            <w:r>
              <w:rPr>
                <w:sz w:val="12"/>
                <w:szCs w:val="12"/>
              </w:rPr>
              <w:t>576</w:t>
            </w:r>
          </w:p>
        </w:tc>
        <w:tc>
          <w:tcPr>
            <w:tcW w:w="359" w:type="dxa"/>
          </w:tcPr>
          <w:p>
            <w:pPr>
              <w:pStyle w:val="yTableNAm"/>
              <w:spacing w:before="0"/>
              <w:jc w:val="right"/>
              <w:rPr>
                <w:sz w:val="12"/>
                <w:szCs w:val="12"/>
              </w:rPr>
            </w:pPr>
            <w:r>
              <w:rPr>
                <w:sz w:val="12"/>
                <w:szCs w:val="12"/>
              </w:rPr>
              <w:t>676</w:t>
            </w:r>
          </w:p>
        </w:tc>
        <w:tc>
          <w:tcPr>
            <w:tcW w:w="359" w:type="dxa"/>
          </w:tcPr>
          <w:p>
            <w:pPr>
              <w:pStyle w:val="yTableNAm"/>
              <w:spacing w:before="0"/>
              <w:jc w:val="right"/>
              <w:rPr>
                <w:sz w:val="12"/>
                <w:szCs w:val="12"/>
              </w:rPr>
            </w:pPr>
            <w:r>
              <w:rPr>
                <w:sz w:val="12"/>
                <w:szCs w:val="12"/>
              </w:rPr>
              <w:t>784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22</w:t>
            </w:r>
          </w:p>
        </w:tc>
        <w:tc>
          <w:tcPr>
            <w:tcW w:w="358" w:type="dxa"/>
          </w:tcPr>
          <w:p>
            <w:pPr>
              <w:pStyle w:val="yTableNAm"/>
              <w:spacing w:before="0"/>
              <w:jc w:val="right"/>
              <w:rPr>
                <w:sz w:val="12"/>
                <w:szCs w:val="12"/>
              </w:rPr>
            </w:pPr>
            <w:r>
              <w:rPr>
                <w:sz w:val="12"/>
                <w:szCs w:val="12"/>
              </w:rPr>
              <w:t>52</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170</w:t>
            </w:r>
          </w:p>
        </w:tc>
        <w:tc>
          <w:tcPr>
            <w:tcW w:w="359" w:type="dxa"/>
          </w:tcPr>
          <w:p>
            <w:pPr>
              <w:pStyle w:val="yTableNAm"/>
              <w:spacing w:before="0"/>
              <w:jc w:val="right"/>
              <w:rPr>
                <w:sz w:val="12"/>
                <w:szCs w:val="12"/>
              </w:rPr>
            </w:pPr>
            <w:r>
              <w:rPr>
                <w:sz w:val="12"/>
                <w:szCs w:val="12"/>
              </w:rPr>
              <w:t>266</w:t>
            </w:r>
          </w:p>
        </w:tc>
        <w:tc>
          <w:tcPr>
            <w:tcW w:w="358" w:type="dxa"/>
          </w:tcPr>
          <w:p>
            <w:pPr>
              <w:pStyle w:val="yTableNAm"/>
              <w:spacing w:before="0"/>
              <w:jc w:val="right"/>
              <w:rPr>
                <w:sz w:val="12"/>
                <w:szCs w:val="12"/>
              </w:rPr>
            </w:pPr>
            <w:r>
              <w:rPr>
                <w:sz w:val="12"/>
                <w:szCs w:val="12"/>
              </w:rPr>
              <w:t>392</w:t>
            </w:r>
          </w:p>
        </w:tc>
        <w:tc>
          <w:tcPr>
            <w:tcW w:w="359" w:type="dxa"/>
          </w:tcPr>
          <w:p>
            <w:pPr>
              <w:pStyle w:val="yTableNAm"/>
              <w:spacing w:before="0"/>
              <w:jc w:val="right"/>
              <w:rPr>
                <w:sz w:val="12"/>
                <w:szCs w:val="12"/>
              </w:rPr>
            </w:pPr>
            <w:r>
              <w:rPr>
                <w:sz w:val="12"/>
                <w:szCs w:val="12"/>
              </w:rPr>
              <w:t>552</w:t>
            </w:r>
          </w:p>
        </w:tc>
        <w:tc>
          <w:tcPr>
            <w:tcW w:w="358" w:type="dxa"/>
          </w:tcPr>
          <w:p>
            <w:pPr>
              <w:pStyle w:val="yTableNAm"/>
              <w:spacing w:before="0"/>
              <w:jc w:val="right"/>
              <w:rPr>
                <w:sz w:val="12"/>
                <w:szCs w:val="12"/>
              </w:rPr>
            </w:pPr>
            <w:r>
              <w:rPr>
                <w:sz w:val="12"/>
                <w:szCs w:val="12"/>
              </w:rPr>
              <w:t>750</w:t>
            </w:r>
          </w:p>
        </w:tc>
        <w:tc>
          <w:tcPr>
            <w:tcW w:w="359" w:type="dxa"/>
          </w:tcPr>
          <w:p>
            <w:pPr>
              <w:pStyle w:val="yTableNAm"/>
              <w:spacing w:before="0"/>
              <w:jc w:val="right"/>
              <w:rPr>
                <w:sz w:val="12"/>
                <w:szCs w:val="12"/>
              </w:rPr>
            </w:pPr>
            <w:r>
              <w:rPr>
                <w:sz w:val="12"/>
                <w:szCs w:val="12"/>
              </w:rPr>
              <w:t>990</w:t>
            </w:r>
          </w:p>
        </w:tc>
        <w:tc>
          <w:tcPr>
            <w:tcW w:w="358" w:type="dxa"/>
          </w:tcPr>
          <w:p>
            <w:pPr>
              <w:pStyle w:val="yTableNAm"/>
              <w:spacing w:before="0"/>
              <w:jc w:val="right"/>
              <w:rPr>
                <w:sz w:val="12"/>
                <w:szCs w:val="12"/>
              </w:rPr>
            </w:pPr>
            <w:r>
              <w:rPr>
                <w:sz w:val="12"/>
                <w:szCs w:val="12"/>
              </w:rPr>
              <w:t>1276</w:t>
            </w:r>
          </w:p>
        </w:tc>
        <w:tc>
          <w:tcPr>
            <w:tcW w:w="359" w:type="dxa"/>
          </w:tcPr>
          <w:p>
            <w:pPr>
              <w:pStyle w:val="yTableNAm"/>
              <w:spacing w:before="0"/>
              <w:jc w:val="right"/>
              <w:rPr>
                <w:sz w:val="12"/>
                <w:szCs w:val="12"/>
              </w:rPr>
            </w:pPr>
            <w:r>
              <w:rPr>
                <w:sz w:val="12"/>
                <w:szCs w:val="12"/>
              </w:rPr>
              <w:t>1612</w:t>
            </w:r>
          </w:p>
        </w:tc>
        <w:tc>
          <w:tcPr>
            <w:tcW w:w="359" w:type="dxa"/>
          </w:tcPr>
          <w:p>
            <w:pPr>
              <w:pStyle w:val="yTableNAm"/>
              <w:spacing w:before="0"/>
              <w:jc w:val="right"/>
              <w:rPr>
                <w:sz w:val="12"/>
                <w:szCs w:val="12"/>
              </w:rPr>
            </w:pPr>
            <w:r>
              <w:rPr>
                <w:sz w:val="12"/>
                <w:szCs w:val="12"/>
              </w:rPr>
              <w:t>2002</w:t>
            </w:r>
          </w:p>
        </w:tc>
      </w:tr>
      <w:tr>
        <w:tblPrEx>
          <w:tblCellMar>
            <w:left w:w="0" w:type="dxa"/>
            <w:right w:w="0" w:type="dxa"/>
          </w:tblCellMar>
        </w:tblPrEx>
        <w:tc>
          <w:tcPr>
            <w:tcW w:w="993" w:type="dxa"/>
          </w:tcPr>
          <w:p>
            <w:pPr>
              <w:pStyle w:val="yTableNAm"/>
              <w:rPr>
                <w:sz w:val="12"/>
                <w:szCs w:val="12"/>
              </w:rPr>
            </w:pPr>
            <w:r>
              <w:rPr>
                <w:sz w:val="12"/>
                <w:szCs w:val="12"/>
              </w:rPr>
              <w:t>Four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38</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24</w:t>
            </w:r>
          </w:p>
        </w:tc>
        <w:tc>
          <w:tcPr>
            <w:tcW w:w="358" w:type="dxa"/>
          </w:tcPr>
          <w:p>
            <w:pPr>
              <w:pStyle w:val="yTableNAm"/>
              <w:spacing w:before="0"/>
              <w:jc w:val="right"/>
              <w:rPr>
                <w:sz w:val="12"/>
                <w:szCs w:val="12"/>
              </w:rPr>
            </w:pPr>
            <w:r>
              <w:rPr>
                <w:sz w:val="12"/>
                <w:szCs w:val="12"/>
              </w:rPr>
              <w:t>40</w:t>
            </w:r>
          </w:p>
        </w:tc>
        <w:tc>
          <w:tcPr>
            <w:tcW w:w="359" w:type="dxa"/>
            <w:gridSpan w:val="2"/>
          </w:tcPr>
          <w:p>
            <w:pPr>
              <w:pStyle w:val="yTableNAm"/>
              <w:spacing w:before="0"/>
              <w:jc w:val="right"/>
              <w:rPr>
                <w:sz w:val="12"/>
                <w:szCs w:val="12"/>
              </w:rPr>
            </w:pPr>
            <w:r>
              <w:rPr>
                <w:sz w:val="12"/>
                <w:szCs w:val="12"/>
              </w:rPr>
              <w:t>60</w:t>
            </w:r>
          </w:p>
        </w:tc>
        <w:tc>
          <w:tcPr>
            <w:tcW w:w="358" w:type="dxa"/>
          </w:tcPr>
          <w:p>
            <w:pPr>
              <w:pStyle w:val="yTableNAm"/>
              <w:spacing w:before="0"/>
              <w:jc w:val="right"/>
              <w:rPr>
                <w:sz w:val="12"/>
                <w:szCs w:val="12"/>
              </w:rPr>
            </w:pPr>
            <w:r>
              <w:rPr>
                <w:sz w:val="12"/>
                <w:szCs w:val="12"/>
              </w:rPr>
              <w:t>84</w:t>
            </w:r>
          </w:p>
        </w:tc>
        <w:tc>
          <w:tcPr>
            <w:tcW w:w="359" w:type="dxa"/>
          </w:tcPr>
          <w:p>
            <w:pPr>
              <w:pStyle w:val="yTableNAm"/>
              <w:spacing w:before="0"/>
              <w:jc w:val="right"/>
              <w:rPr>
                <w:sz w:val="12"/>
                <w:szCs w:val="12"/>
              </w:rPr>
            </w:pPr>
            <w:r>
              <w:rPr>
                <w:sz w:val="12"/>
                <w:szCs w:val="12"/>
              </w:rPr>
              <w:t>112</w:t>
            </w:r>
          </w:p>
        </w:tc>
        <w:tc>
          <w:tcPr>
            <w:tcW w:w="358" w:type="dxa"/>
          </w:tcPr>
          <w:p>
            <w:pPr>
              <w:pStyle w:val="yTableNAm"/>
              <w:spacing w:before="0"/>
              <w:jc w:val="right"/>
              <w:rPr>
                <w:sz w:val="12"/>
                <w:szCs w:val="12"/>
              </w:rPr>
            </w:pPr>
            <w:r>
              <w:rPr>
                <w:sz w:val="12"/>
                <w:szCs w:val="12"/>
              </w:rPr>
              <w:t>144</w:t>
            </w:r>
          </w:p>
        </w:tc>
        <w:tc>
          <w:tcPr>
            <w:tcW w:w="359" w:type="dxa"/>
          </w:tcPr>
          <w:p>
            <w:pPr>
              <w:pStyle w:val="yTableNAm"/>
              <w:spacing w:before="0"/>
              <w:jc w:val="right"/>
              <w:rPr>
                <w:sz w:val="12"/>
                <w:szCs w:val="12"/>
              </w:rPr>
            </w:pPr>
            <w:r>
              <w:rPr>
                <w:sz w:val="12"/>
                <w:szCs w:val="12"/>
              </w:rPr>
              <w:t>180</w:t>
            </w:r>
          </w:p>
        </w:tc>
        <w:tc>
          <w:tcPr>
            <w:tcW w:w="358" w:type="dxa"/>
          </w:tcPr>
          <w:p>
            <w:pPr>
              <w:pStyle w:val="yTableNAm"/>
              <w:spacing w:before="0"/>
              <w:jc w:val="right"/>
              <w:rPr>
                <w:sz w:val="12"/>
                <w:szCs w:val="12"/>
              </w:rPr>
            </w:pPr>
            <w:r>
              <w:rPr>
                <w:sz w:val="12"/>
                <w:szCs w:val="12"/>
              </w:rPr>
              <w:t>220</w:t>
            </w:r>
          </w:p>
        </w:tc>
        <w:tc>
          <w:tcPr>
            <w:tcW w:w="359" w:type="dxa"/>
          </w:tcPr>
          <w:p>
            <w:pPr>
              <w:pStyle w:val="yTableNAm"/>
              <w:spacing w:before="0"/>
              <w:jc w:val="right"/>
              <w:rPr>
                <w:sz w:val="12"/>
                <w:szCs w:val="12"/>
              </w:rPr>
            </w:pPr>
            <w:r>
              <w:rPr>
                <w:sz w:val="12"/>
                <w:szCs w:val="12"/>
              </w:rPr>
              <w:t>264</w:t>
            </w:r>
          </w:p>
        </w:tc>
        <w:tc>
          <w:tcPr>
            <w:tcW w:w="358" w:type="dxa"/>
          </w:tcPr>
          <w:p>
            <w:pPr>
              <w:pStyle w:val="yTableNAm"/>
              <w:spacing w:before="0"/>
              <w:jc w:val="right"/>
              <w:rPr>
                <w:sz w:val="12"/>
                <w:szCs w:val="12"/>
              </w:rPr>
            </w:pPr>
            <w:r>
              <w:rPr>
                <w:sz w:val="12"/>
                <w:szCs w:val="12"/>
              </w:rPr>
              <w:t>312</w:t>
            </w:r>
          </w:p>
        </w:tc>
        <w:tc>
          <w:tcPr>
            <w:tcW w:w="359" w:type="dxa"/>
          </w:tcPr>
          <w:p>
            <w:pPr>
              <w:pStyle w:val="yTableNAm"/>
              <w:spacing w:before="0"/>
              <w:jc w:val="right"/>
              <w:rPr>
                <w:sz w:val="12"/>
                <w:szCs w:val="12"/>
              </w:rPr>
            </w:pPr>
            <w:r>
              <w:rPr>
                <w:sz w:val="12"/>
                <w:szCs w:val="12"/>
              </w:rPr>
              <w:t>364</w:t>
            </w:r>
          </w:p>
        </w:tc>
        <w:tc>
          <w:tcPr>
            <w:tcW w:w="359" w:type="dxa"/>
          </w:tcPr>
          <w:p>
            <w:pPr>
              <w:pStyle w:val="yTableNAm"/>
              <w:spacing w:before="0"/>
              <w:jc w:val="right"/>
              <w:rPr>
                <w:sz w:val="12"/>
                <w:szCs w:val="12"/>
              </w:rPr>
            </w:pPr>
            <w:r>
              <w:rPr>
                <w:sz w:val="12"/>
                <w:szCs w:val="12"/>
              </w:rPr>
              <w:t>420</w:t>
            </w:r>
          </w:p>
        </w:tc>
      </w:tr>
      <w:tr>
        <w:tblPrEx>
          <w:tblCellMar>
            <w:left w:w="0" w:type="dxa"/>
            <w:right w:w="0" w:type="dxa"/>
          </w:tblCellMar>
        </w:tblPrEx>
        <w:tc>
          <w:tcPr>
            <w:tcW w:w="993" w:type="dxa"/>
          </w:tcPr>
          <w:p>
            <w:pPr>
              <w:pStyle w:val="yTableNAm"/>
              <w:rPr>
                <w:sz w:val="12"/>
                <w:szCs w:val="12"/>
              </w:rPr>
            </w:pPr>
            <w:r>
              <w:rPr>
                <w:sz w:val="12"/>
                <w:szCs w:val="12"/>
              </w:rPr>
              <w:t>Four</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Borders>
              <w:bottom w:val="nil"/>
            </w:tcBorders>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bottom w:val="nil"/>
            </w:tcBorders>
          </w:tcPr>
          <w:p>
            <w:pPr>
              <w:pStyle w:val="yTableNAm"/>
              <w:spacing w:before="0"/>
              <w:jc w:val="right"/>
              <w:rPr>
                <w:sz w:val="12"/>
                <w:szCs w:val="12"/>
              </w:rPr>
            </w:pPr>
            <w:r>
              <w:rPr>
                <w:sz w:val="12"/>
                <w:szCs w:val="12"/>
              </w:rPr>
              <w:t>2</w:t>
            </w:r>
          </w:p>
        </w:tc>
        <w:tc>
          <w:tcPr>
            <w:tcW w:w="358" w:type="dxa"/>
            <w:tcBorders>
              <w:bottom w:val="nil"/>
            </w:tcBorders>
          </w:tcPr>
          <w:p>
            <w:pPr>
              <w:pStyle w:val="yTableNAm"/>
              <w:spacing w:before="0"/>
              <w:jc w:val="right"/>
              <w:rPr>
                <w:sz w:val="12"/>
                <w:szCs w:val="12"/>
              </w:rPr>
            </w:pPr>
            <w:r>
              <w:rPr>
                <w:sz w:val="12"/>
                <w:szCs w:val="12"/>
              </w:rPr>
              <w:t>74</w:t>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gridSpan w:val="2"/>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Borders>
              <w:bottom w:val="single" w:sz="4" w:space="0" w:color="auto"/>
            </w:tcBorders>
          </w:tcPr>
          <w:p>
            <w:pPr>
              <w:pStyle w:val="yTableNAm"/>
              <w:spacing w:before="0"/>
              <w:rPr>
                <w:sz w:val="12"/>
                <w:szCs w:val="12"/>
              </w:rPr>
            </w:pPr>
          </w:p>
        </w:tc>
        <w:tc>
          <w:tcPr>
            <w:tcW w:w="358" w:type="dxa"/>
            <w:tcBorders>
              <w:bottom w:val="single" w:sz="4" w:space="0" w:color="auto"/>
              <w:right w:val="nil"/>
            </w:tcBorders>
          </w:tcPr>
          <w:p>
            <w:pPr>
              <w:pStyle w:val="yTableNAm"/>
              <w:spacing w:before="0"/>
              <w:jc w:val="right"/>
              <w:rPr>
                <w:sz w:val="12"/>
                <w:szCs w:val="12"/>
              </w:rPr>
            </w:pPr>
            <w:r>
              <w:rPr>
                <w:sz w:val="12"/>
                <w:szCs w:val="12"/>
              </w:rPr>
              <w:t>4</w:t>
            </w:r>
          </w:p>
        </w:tc>
        <w:tc>
          <w:tcPr>
            <w:tcW w:w="359" w:type="dxa"/>
            <w:tcBorders>
              <w:left w:val="nil"/>
              <w:bottom w:val="single" w:sz="4" w:space="0" w:color="auto"/>
            </w:tcBorders>
          </w:tcPr>
          <w:p>
            <w:pPr>
              <w:pStyle w:val="yTableNAm"/>
              <w:spacing w:before="0"/>
              <w:jc w:val="right"/>
              <w:rPr>
                <w:sz w:val="12"/>
                <w:szCs w:val="12"/>
              </w:rPr>
            </w:pPr>
            <w:r>
              <w:rPr>
                <w:sz w:val="12"/>
                <w:szCs w:val="12"/>
              </w:rPr>
              <w:t>38</w:t>
            </w:r>
          </w:p>
        </w:tc>
        <w:tc>
          <w:tcPr>
            <w:tcW w:w="358" w:type="dxa"/>
            <w:tcBorders>
              <w:bottom w:val="single" w:sz="4" w:space="0" w:color="auto"/>
            </w:tcBorders>
          </w:tcPr>
          <w:p>
            <w:pPr>
              <w:pStyle w:val="yTableNAm"/>
              <w:spacing w:before="0"/>
              <w:jc w:val="right"/>
              <w:rPr>
                <w:sz w:val="12"/>
                <w:szCs w:val="12"/>
              </w:rPr>
            </w:pPr>
            <w:r>
              <w:rPr>
                <w:sz w:val="12"/>
                <w:szCs w:val="12"/>
              </w:rPr>
              <w:t>741</w:t>
            </w:r>
          </w:p>
        </w:tc>
        <w:tc>
          <w:tcPr>
            <w:tcW w:w="359" w:type="dxa"/>
            <w:tcBorders>
              <w:bottom w:val="single" w:sz="4" w:space="0" w:color="auto"/>
            </w:tcBorders>
          </w:tcPr>
          <w:p>
            <w:pPr>
              <w:pStyle w:val="yTableNAm"/>
              <w:spacing w:before="0"/>
              <w:jc w:val="right"/>
              <w:rPr>
                <w:sz w:val="12"/>
                <w:szCs w:val="12"/>
              </w:rPr>
            </w:pPr>
            <w:r>
              <w:rPr>
                <w:sz w:val="12"/>
                <w:szCs w:val="12"/>
              </w:rPr>
              <w:t>3</w:t>
            </w:r>
          </w:p>
        </w:tc>
        <w:tc>
          <w:tcPr>
            <w:tcW w:w="358" w:type="dxa"/>
            <w:tcBorders>
              <w:bottom w:val="single" w:sz="4" w:space="0" w:color="auto"/>
            </w:tcBorders>
          </w:tcPr>
          <w:p>
            <w:pPr>
              <w:pStyle w:val="yTableNAm"/>
              <w:spacing w:before="0"/>
              <w:jc w:val="right"/>
              <w:rPr>
                <w:sz w:val="12"/>
                <w:szCs w:val="12"/>
              </w:rPr>
            </w:pPr>
            <w:r>
              <w:rPr>
                <w:sz w:val="12"/>
                <w:szCs w:val="12"/>
              </w:rPr>
              <w:t>6</w:t>
            </w:r>
          </w:p>
        </w:tc>
        <w:tc>
          <w:tcPr>
            <w:tcW w:w="359" w:type="dxa"/>
            <w:tcBorders>
              <w:bottom w:val="single" w:sz="4" w:space="0" w:color="auto"/>
            </w:tcBorders>
          </w:tcPr>
          <w:p>
            <w:pPr>
              <w:pStyle w:val="yTableNAm"/>
              <w:spacing w:before="0"/>
              <w:jc w:val="right"/>
              <w:rPr>
                <w:sz w:val="12"/>
                <w:szCs w:val="12"/>
              </w:rPr>
            </w:pPr>
            <w:r>
              <w:rPr>
                <w:sz w:val="12"/>
                <w:szCs w:val="12"/>
              </w:rPr>
              <w:t>10</w:t>
            </w:r>
          </w:p>
        </w:tc>
        <w:tc>
          <w:tcPr>
            <w:tcW w:w="358" w:type="dxa"/>
            <w:tcBorders>
              <w:bottom w:val="single" w:sz="4" w:space="0" w:color="auto"/>
            </w:tcBorders>
          </w:tcPr>
          <w:p>
            <w:pPr>
              <w:pStyle w:val="yTableNAm"/>
              <w:spacing w:before="0"/>
              <w:jc w:val="right"/>
              <w:rPr>
                <w:sz w:val="12"/>
                <w:szCs w:val="12"/>
              </w:rPr>
            </w:pPr>
            <w:r>
              <w:rPr>
                <w:sz w:val="12"/>
                <w:szCs w:val="12"/>
              </w:rPr>
              <w:t>15</w:t>
            </w:r>
          </w:p>
        </w:tc>
        <w:tc>
          <w:tcPr>
            <w:tcW w:w="359" w:type="dxa"/>
            <w:gridSpan w:val="2"/>
            <w:tcBorders>
              <w:bottom w:val="single" w:sz="4" w:space="0" w:color="auto"/>
            </w:tcBorders>
          </w:tcPr>
          <w:p>
            <w:pPr>
              <w:pStyle w:val="yTableNAm"/>
              <w:spacing w:before="0"/>
              <w:jc w:val="right"/>
              <w:rPr>
                <w:sz w:val="12"/>
                <w:szCs w:val="12"/>
              </w:rPr>
            </w:pPr>
            <w:r>
              <w:rPr>
                <w:sz w:val="12"/>
                <w:szCs w:val="12"/>
              </w:rPr>
              <w:t>21</w:t>
            </w:r>
          </w:p>
        </w:tc>
        <w:tc>
          <w:tcPr>
            <w:tcW w:w="358" w:type="dxa"/>
            <w:tcBorders>
              <w:bottom w:val="single" w:sz="4" w:space="0" w:color="auto"/>
            </w:tcBorders>
          </w:tcPr>
          <w:p>
            <w:pPr>
              <w:pStyle w:val="yTableNAm"/>
              <w:spacing w:before="0"/>
              <w:jc w:val="right"/>
              <w:rPr>
                <w:sz w:val="12"/>
                <w:szCs w:val="12"/>
              </w:rPr>
            </w:pPr>
            <w:r>
              <w:rPr>
                <w:sz w:val="12"/>
                <w:szCs w:val="12"/>
              </w:rPr>
              <w:t>28</w:t>
            </w:r>
          </w:p>
        </w:tc>
        <w:tc>
          <w:tcPr>
            <w:tcW w:w="359" w:type="dxa"/>
            <w:tcBorders>
              <w:bottom w:val="single" w:sz="4" w:space="0" w:color="auto"/>
            </w:tcBorders>
          </w:tcPr>
          <w:p>
            <w:pPr>
              <w:pStyle w:val="yTableNAm"/>
              <w:spacing w:before="0"/>
              <w:jc w:val="right"/>
              <w:rPr>
                <w:sz w:val="12"/>
                <w:szCs w:val="12"/>
              </w:rPr>
            </w:pPr>
            <w:r>
              <w:rPr>
                <w:sz w:val="12"/>
                <w:szCs w:val="12"/>
              </w:rPr>
              <w:t>36</w:t>
            </w:r>
          </w:p>
        </w:tc>
        <w:tc>
          <w:tcPr>
            <w:tcW w:w="358" w:type="dxa"/>
            <w:tcBorders>
              <w:bottom w:val="single" w:sz="4" w:space="0" w:color="auto"/>
            </w:tcBorders>
          </w:tcPr>
          <w:p>
            <w:pPr>
              <w:pStyle w:val="yTableNAm"/>
              <w:spacing w:before="0"/>
              <w:jc w:val="right"/>
              <w:rPr>
                <w:sz w:val="12"/>
                <w:szCs w:val="12"/>
              </w:rPr>
            </w:pPr>
            <w:r>
              <w:rPr>
                <w:sz w:val="12"/>
                <w:szCs w:val="12"/>
              </w:rPr>
              <w:t>45</w:t>
            </w:r>
          </w:p>
        </w:tc>
        <w:tc>
          <w:tcPr>
            <w:tcW w:w="359" w:type="dxa"/>
            <w:tcBorders>
              <w:bottom w:val="single" w:sz="4" w:space="0" w:color="auto"/>
            </w:tcBorders>
          </w:tcPr>
          <w:p>
            <w:pPr>
              <w:pStyle w:val="yTableNAm"/>
              <w:spacing w:before="0"/>
              <w:jc w:val="right"/>
              <w:rPr>
                <w:sz w:val="12"/>
                <w:szCs w:val="12"/>
              </w:rPr>
            </w:pPr>
            <w:r>
              <w:rPr>
                <w:sz w:val="12"/>
                <w:szCs w:val="12"/>
              </w:rPr>
              <w:t>55</w:t>
            </w:r>
          </w:p>
        </w:tc>
        <w:tc>
          <w:tcPr>
            <w:tcW w:w="358" w:type="dxa"/>
            <w:tcBorders>
              <w:bottom w:val="single" w:sz="4" w:space="0" w:color="auto"/>
            </w:tcBorders>
          </w:tcPr>
          <w:p>
            <w:pPr>
              <w:pStyle w:val="yTableNAm"/>
              <w:spacing w:before="0"/>
              <w:jc w:val="right"/>
              <w:rPr>
                <w:sz w:val="12"/>
                <w:szCs w:val="12"/>
              </w:rPr>
            </w:pPr>
            <w:r>
              <w:rPr>
                <w:sz w:val="12"/>
                <w:szCs w:val="12"/>
              </w:rPr>
              <w:t>66</w:t>
            </w:r>
          </w:p>
        </w:tc>
        <w:tc>
          <w:tcPr>
            <w:tcW w:w="359" w:type="dxa"/>
            <w:tcBorders>
              <w:bottom w:val="single" w:sz="4" w:space="0" w:color="auto"/>
            </w:tcBorders>
          </w:tcPr>
          <w:p>
            <w:pPr>
              <w:pStyle w:val="yTableNAm"/>
              <w:spacing w:before="0"/>
              <w:jc w:val="right"/>
              <w:rPr>
                <w:sz w:val="12"/>
                <w:szCs w:val="12"/>
              </w:rPr>
            </w:pPr>
            <w:r>
              <w:rPr>
                <w:sz w:val="12"/>
                <w:szCs w:val="12"/>
              </w:rPr>
              <w:t>78</w:t>
            </w:r>
          </w:p>
        </w:tc>
        <w:tc>
          <w:tcPr>
            <w:tcW w:w="358" w:type="dxa"/>
            <w:tcBorders>
              <w:bottom w:val="single" w:sz="4" w:space="0" w:color="auto"/>
            </w:tcBorders>
          </w:tcPr>
          <w:p>
            <w:pPr>
              <w:pStyle w:val="yTableNAm"/>
              <w:spacing w:before="0"/>
              <w:jc w:val="right"/>
              <w:rPr>
                <w:sz w:val="12"/>
                <w:szCs w:val="12"/>
              </w:rPr>
            </w:pPr>
            <w:r>
              <w:rPr>
                <w:sz w:val="12"/>
                <w:szCs w:val="12"/>
              </w:rPr>
              <w:t>91</w:t>
            </w:r>
          </w:p>
        </w:tc>
        <w:tc>
          <w:tcPr>
            <w:tcW w:w="359" w:type="dxa"/>
            <w:tcBorders>
              <w:bottom w:val="single" w:sz="4" w:space="0" w:color="auto"/>
            </w:tcBorders>
          </w:tcPr>
          <w:p>
            <w:pPr>
              <w:pStyle w:val="yTableNAm"/>
              <w:spacing w:before="0"/>
              <w:jc w:val="right"/>
              <w:rPr>
                <w:sz w:val="12"/>
                <w:szCs w:val="12"/>
              </w:rPr>
            </w:pPr>
            <w:r>
              <w:rPr>
                <w:sz w:val="12"/>
                <w:szCs w:val="12"/>
              </w:rPr>
              <w:t>105</w:t>
            </w:r>
          </w:p>
        </w:tc>
        <w:tc>
          <w:tcPr>
            <w:tcW w:w="359" w:type="dxa"/>
            <w:tcBorders>
              <w:bottom w:val="single" w:sz="4" w:space="0" w:color="auto"/>
            </w:tcBorders>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Borders>
              <w:top w:val="single" w:sz="4" w:space="0" w:color="auto"/>
            </w:tcBorders>
          </w:tcPr>
          <w:p>
            <w:pPr>
              <w:pStyle w:val="yTableNAm"/>
              <w:keepNext/>
              <w:rPr>
                <w:sz w:val="12"/>
                <w:szCs w:val="12"/>
              </w:rPr>
            </w:pPr>
            <w:r>
              <w:rPr>
                <w:sz w:val="12"/>
                <w:szCs w:val="12"/>
              </w:rPr>
              <w:t>Three and two</w:t>
            </w:r>
            <w:r>
              <w:rPr>
                <w:sz w:val="12"/>
                <w:szCs w:val="12"/>
              </w:rPr>
              <w:br/>
              <w:t>supplementaries</w:t>
            </w:r>
          </w:p>
        </w:tc>
        <w:tc>
          <w:tcPr>
            <w:tcW w:w="358" w:type="dxa"/>
            <w:tcBorders>
              <w:top w:val="single" w:sz="4" w:space="0" w:color="auto"/>
              <w:bottom w:val="nil"/>
              <w:right w:val="nil"/>
            </w:tcBorders>
          </w:tcPr>
          <w:p>
            <w:pPr>
              <w:pStyle w:val="yTableNAm"/>
              <w:keepNext/>
              <w:jc w:val="right"/>
              <w:rPr>
                <w:sz w:val="12"/>
                <w:szCs w:val="12"/>
              </w:rPr>
            </w:pPr>
          </w:p>
        </w:tc>
        <w:tc>
          <w:tcPr>
            <w:tcW w:w="359" w:type="dxa"/>
            <w:tcBorders>
              <w:top w:val="single" w:sz="4" w:space="0" w:color="auto"/>
              <w:left w:val="nil"/>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gridSpan w:val="2"/>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16</w:t>
            </w:r>
          </w:p>
        </w:tc>
        <w:tc>
          <w:tcPr>
            <w:tcW w:w="358" w:type="dxa"/>
          </w:tcPr>
          <w:p>
            <w:pPr>
              <w:pStyle w:val="yTableNAm"/>
              <w:spacing w:before="0"/>
              <w:jc w:val="right"/>
              <w:rPr>
                <w:sz w:val="12"/>
                <w:szCs w:val="12"/>
              </w:rPr>
            </w:pPr>
            <w:r>
              <w:rPr>
                <w:sz w:val="12"/>
                <w:szCs w:val="12"/>
              </w:rPr>
              <w:t>25</w:t>
            </w:r>
          </w:p>
        </w:tc>
        <w:tc>
          <w:tcPr>
            <w:tcW w:w="359" w:type="dxa"/>
            <w:gridSpan w:val="2"/>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49</w:t>
            </w:r>
          </w:p>
        </w:tc>
        <w:tc>
          <w:tcPr>
            <w:tcW w:w="359" w:type="dxa"/>
          </w:tcPr>
          <w:p>
            <w:pPr>
              <w:pStyle w:val="yTableNAm"/>
              <w:spacing w:before="0"/>
              <w:jc w:val="right"/>
              <w:rPr>
                <w:sz w:val="12"/>
                <w:szCs w:val="12"/>
              </w:rPr>
            </w:pPr>
            <w:r>
              <w:rPr>
                <w:sz w:val="12"/>
                <w:szCs w:val="12"/>
              </w:rPr>
              <w:t>64</w:t>
            </w:r>
          </w:p>
        </w:tc>
        <w:tc>
          <w:tcPr>
            <w:tcW w:w="358" w:type="dxa"/>
          </w:tcPr>
          <w:p>
            <w:pPr>
              <w:pStyle w:val="yTableNAm"/>
              <w:spacing w:before="0"/>
              <w:jc w:val="right"/>
              <w:rPr>
                <w:sz w:val="12"/>
                <w:szCs w:val="12"/>
              </w:rPr>
            </w:pPr>
            <w:r>
              <w:rPr>
                <w:sz w:val="12"/>
                <w:szCs w:val="12"/>
              </w:rPr>
              <w:t>81</w:t>
            </w:r>
          </w:p>
        </w:tc>
        <w:tc>
          <w:tcPr>
            <w:tcW w:w="359" w:type="dxa"/>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121</w:t>
            </w:r>
          </w:p>
        </w:tc>
        <w:tc>
          <w:tcPr>
            <w:tcW w:w="359" w:type="dxa"/>
          </w:tcPr>
          <w:p>
            <w:pPr>
              <w:pStyle w:val="yTableNAm"/>
              <w:spacing w:before="0"/>
              <w:jc w:val="right"/>
              <w:rPr>
                <w:sz w:val="12"/>
                <w:szCs w:val="12"/>
              </w:rPr>
            </w:pPr>
            <w:r>
              <w:rPr>
                <w:sz w:val="12"/>
                <w:szCs w:val="12"/>
              </w:rPr>
              <w:t>144</w:t>
            </w:r>
          </w:p>
        </w:tc>
        <w:tc>
          <w:tcPr>
            <w:tcW w:w="358" w:type="dxa"/>
          </w:tcPr>
          <w:p>
            <w:pPr>
              <w:pStyle w:val="yTableNAm"/>
              <w:spacing w:before="0"/>
              <w:jc w:val="right"/>
              <w:rPr>
                <w:sz w:val="12"/>
                <w:szCs w:val="12"/>
              </w:rPr>
            </w:pPr>
            <w:r>
              <w:rPr>
                <w:sz w:val="12"/>
                <w:szCs w:val="12"/>
              </w:rPr>
              <w:t>169</w:t>
            </w:r>
          </w:p>
        </w:tc>
        <w:tc>
          <w:tcPr>
            <w:tcW w:w="359" w:type="dxa"/>
          </w:tcPr>
          <w:p>
            <w:pPr>
              <w:pStyle w:val="yTableNAm"/>
              <w:spacing w:before="0"/>
              <w:jc w:val="right"/>
              <w:rPr>
                <w:sz w:val="12"/>
                <w:szCs w:val="12"/>
              </w:rPr>
            </w:pPr>
            <w:r>
              <w:rPr>
                <w:sz w:val="12"/>
                <w:szCs w:val="12"/>
              </w:rPr>
              <w:t>196</w:t>
            </w:r>
          </w:p>
        </w:tc>
        <w:tc>
          <w:tcPr>
            <w:tcW w:w="359" w:type="dxa"/>
          </w:tcPr>
          <w:p>
            <w:pPr>
              <w:pStyle w:val="yTableNAm"/>
              <w:spacing w:before="0"/>
              <w:jc w:val="right"/>
              <w:rPr>
                <w:sz w:val="12"/>
                <w:szCs w:val="12"/>
              </w:rPr>
            </w:pPr>
            <w:r>
              <w:rPr>
                <w:sz w:val="12"/>
                <w:szCs w:val="12"/>
              </w:rPr>
              <w:t>225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105</w:t>
            </w:r>
          </w:p>
        </w:tc>
        <w:tc>
          <w:tcPr>
            <w:tcW w:w="358" w:type="dxa"/>
          </w:tcPr>
          <w:p>
            <w:pPr>
              <w:pStyle w:val="yTableNAm"/>
              <w:spacing w:before="0"/>
              <w:jc w:val="right"/>
              <w:rPr>
                <w:sz w:val="12"/>
                <w:szCs w:val="12"/>
              </w:rPr>
            </w:pPr>
            <w:r>
              <w:rPr>
                <w:sz w:val="12"/>
                <w:szCs w:val="12"/>
              </w:rPr>
              <w:t>168</w:t>
            </w:r>
          </w:p>
        </w:tc>
        <w:tc>
          <w:tcPr>
            <w:tcW w:w="359" w:type="dxa"/>
          </w:tcPr>
          <w:p>
            <w:pPr>
              <w:pStyle w:val="yTableNAm"/>
              <w:spacing w:before="0"/>
              <w:jc w:val="right"/>
              <w:rPr>
                <w:sz w:val="12"/>
                <w:szCs w:val="12"/>
              </w:rPr>
            </w:pPr>
            <w:r>
              <w:rPr>
                <w:sz w:val="12"/>
                <w:szCs w:val="12"/>
              </w:rPr>
              <w:t>252</w:t>
            </w:r>
          </w:p>
        </w:tc>
        <w:tc>
          <w:tcPr>
            <w:tcW w:w="358" w:type="dxa"/>
          </w:tcPr>
          <w:p>
            <w:pPr>
              <w:pStyle w:val="yTableNAm"/>
              <w:spacing w:before="0"/>
              <w:jc w:val="right"/>
              <w:rPr>
                <w:sz w:val="12"/>
                <w:szCs w:val="12"/>
              </w:rPr>
            </w:pPr>
            <w:r>
              <w:rPr>
                <w:sz w:val="12"/>
                <w:szCs w:val="12"/>
              </w:rPr>
              <w:t>360</w:t>
            </w:r>
          </w:p>
        </w:tc>
        <w:tc>
          <w:tcPr>
            <w:tcW w:w="359" w:type="dxa"/>
          </w:tcPr>
          <w:p>
            <w:pPr>
              <w:pStyle w:val="yTableNAm"/>
              <w:spacing w:before="0"/>
              <w:jc w:val="right"/>
              <w:rPr>
                <w:sz w:val="12"/>
                <w:szCs w:val="12"/>
              </w:rPr>
            </w:pPr>
            <w:r>
              <w:rPr>
                <w:sz w:val="12"/>
                <w:szCs w:val="12"/>
              </w:rPr>
              <w:t>495</w:t>
            </w:r>
          </w:p>
        </w:tc>
        <w:tc>
          <w:tcPr>
            <w:tcW w:w="358" w:type="dxa"/>
          </w:tcPr>
          <w:p>
            <w:pPr>
              <w:pStyle w:val="yTableNAm"/>
              <w:spacing w:before="0"/>
              <w:jc w:val="right"/>
              <w:rPr>
                <w:sz w:val="12"/>
                <w:szCs w:val="12"/>
              </w:rPr>
            </w:pPr>
            <w:r>
              <w:rPr>
                <w:sz w:val="12"/>
                <w:szCs w:val="12"/>
              </w:rPr>
              <w:t>660</w:t>
            </w:r>
          </w:p>
        </w:tc>
        <w:tc>
          <w:tcPr>
            <w:tcW w:w="359" w:type="dxa"/>
          </w:tcPr>
          <w:p>
            <w:pPr>
              <w:pStyle w:val="yTableNAm"/>
              <w:spacing w:before="0"/>
              <w:jc w:val="right"/>
              <w:rPr>
                <w:sz w:val="12"/>
                <w:szCs w:val="12"/>
              </w:rPr>
            </w:pPr>
            <w:r>
              <w:rPr>
                <w:sz w:val="12"/>
                <w:szCs w:val="12"/>
              </w:rPr>
              <w:t>858</w:t>
            </w:r>
          </w:p>
        </w:tc>
        <w:tc>
          <w:tcPr>
            <w:tcW w:w="358" w:type="dxa"/>
          </w:tcPr>
          <w:p>
            <w:pPr>
              <w:pStyle w:val="yTableNAm"/>
              <w:spacing w:before="0"/>
              <w:jc w:val="right"/>
              <w:rPr>
                <w:sz w:val="12"/>
                <w:szCs w:val="12"/>
              </w:rPr>
            </w:pPr>
            <w:r>
              <w:rPr>
                <w:sz w:val="12"/>
                <w:szCs w:val="12"/>
              </w:rPr>
              <w:t>1092</w:t>
            </w:r>
          </w:p>
        </w:tc>
        <w:tc>
          <w:tcPr>
            <w:tcW w:w="359" w:type="dxa"/>
          </w:tcPr>
          <w:p>
            <w:pPr>
              <w:pStyle w:val="yTableNAm"/>
              <w:spacing w:before="0"/>
              <w:jc w:val="right"/>
              <w:rPr>
                <w:sz w:val="12"/>
                <w:szCs w:val="12"/>
              </w:rPr>
            </w:pPr>
            <w:r>
              <w:rPr>
                <w:sz w:val="12"/>
                <w:szCs w:val="12"/>
              </w:rPr>
              <w:t>1365</w:t>
            </w:r>
          </w:p>
        </w:tc>
        <w:tc>
          <w:tcPr>
            <w:tcW w:w="359" w:type="dxa"/>
          </w:tcPr>
          <w:p>
            <w:pPr>
              <w:pStyle w:val="yTableNAm"/>
              <w:spacing w:before="0"/>
              <w:jc w:val="right"/>
              <w:rPr>
                <w:sz w:val="12"/>
                <w:szCs w:val="12"/>
              </w:rPr>
            </w:pPr>
            <w:r>
              <w:rPr>
                <w:sz w:val="12"/>
                <w:szCs w:val="12"/>
              </w:rPr>
              <w:t>1680</w:t>
            </w:r>
          </w:p>
        </w:tc>
      </w:tr>
      <w:tr>
        <w:tblPrEx>
          <w:tblCellMar>
            <w:left w:w="0" w:type="dxa"/>
            <w:right w:w="0" w:type="dxa"/>
          </w:tblCellMar>
        </w:tblPrEx>
        <w:tc>
          <w:tcPr>
            <w:tcW w:w="993" w:type="dxa"/>
          </w:tcPr>
          <w:p>
            <w:pPr>
              <w:pStyle w:val="yTableNAm"/>
              <w:rPr>
                <w:sz w:val="12"/>
                <w:szCs w:val="12"/>
              </w:rPr>
            </w:pPr>
            <w:r>
              <w:rPr>
                <w:sz w:val="12"/>
                <w:szCs w:val="12"/>
              </w:rPr>
              <w:t>Three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t>703</w:t>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rPr>
                <w:sz w:val="12"/>
                <w:szCs w:val="12"/>
              </w:rPr>
            </w:pPr>
            <w:r>
              <w:rPr>
                <w:sz w:val="12"/>
                <w:szCs w:val="12"/>
              </w:rPr>
              <w:t>Three</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73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keepNext/>
              <w:rPr>
                <w:sz w:val="12"/>
                <w:szCs w:val="12"/>
              </w:rPr>
            </w:pPr>
            <w:r>
              <w:rPr>
                <w:sz w:val="12"/>
                <w:szCs w:val="12"/>
              </w:rPr>
              <w:t>Two and two</w:t>
            </w:r>
            <w:r>
              <w:rPr>
                <w:sz w:val="12"/>
                <w:szCs w:val="12"/>
              </w:rPr>
              <w:br/>
              <w:t>supplementaries</w:t>
            </w:r>
          </w:p>
        </w:tc>
        <w:tc>
          <w:tcPr>
            <w:tcW w:w="358" w:type="dxa"/>
            <w:tcBorders>
              <w:top w:val="nil"/>
              <w:bottom w:val="nil"/>
              <w:right w:val="nil"/>
            </w:tcBorders>
          </w:tcPr>
          <w:p>
            <w:pPr>
              <w:pStyle w:val="yTableNAm"/>
              <w:keepNext/>
              <w:jc w:val="right"/>
              <w:rPr>
                <w:sz w:val="12"/>
                <w:szCs w:val="12"/>
              </w:rPr>
            </w:pPr>
          </w:p>
        </w:tc>
        <w:tc>
          <w:tcPr>
            <w:tcW w:w="359" w:type="dxa"/>
            <w:tcBorders>
              <w:left w:val="nil"/>
            </w:tcBorders>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gridSpan w:val="2"/>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9" w:type="dxa"/>
          </w:tcPr>
          <w:p>
            <w:pPr>
              <w:pStyle w:val="yTableNAm"/>
              <w:keepNext/>
              <w:jc w:val="right"/>
              <w:rPr>
                <w:sz w:val="12"/>
                <w:szCs w:val="12"/>
              </w:rPr>
            </w:pP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4</w:t>
            </w:r>
          </w:p>
        </w:tc>
        <w:tc>
          <w:tcPr>
            <w:tcW w:w="359" w:type="dxa"/>
            <w:tcBorders>
              <w:left w:val="nil"/>
            </w:tcBorders>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t>6</w:t>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5</w:t>
            </w:r>
          </w:p>
        </w:tc>
        <w:tc>
          <w:tcPr>
            <w:tcW w:w="359" w:type="dxa"/>
            <w:tcBorders>
              <w:left w:val="nil"/>
            </w:tcBorders>
          </w:tcPr>
          <w:p>
            <w:pPr>
              <w:pStyle w:val="yTableNAm"/>
              <w:keepNext/>
              <w:spacing w:before="0"/>
              <w:jc w:val="right"/>
              <w:rPr>
                <w:sz w:val="12"/>
                <w:szCs w:val="12"/>
              </w:rPr>
            </w:pPr>
            <w:r>
              <w:rPr>
                <w:sz w:val="12"/>
                <w:szCs w:val="12"/>
              </w:rPr>
              <w:t>4</w:t>
            </w:r>
          </w:p>
        </w:tc>
        <w:tc>
          <w:tcPr>
            <w:tcW w:w="358" w:type="dxa"/>
          </w:tcPr>
          <w:p>
            <w:pPr>
              <w:pStyle w:val="yTableNAm"/>
              <w:keepNext/>
              <w:spacing w:before="0"/>
              <w:jc w:val="right"/>
              <w:rPr>
                <w:sz w:val="12"/>
                <w:szCs w:val="12"/>
              </w:rPr>
            </w:pPr>
            <w:r>
              <w:rPr>
                <w:sz w:val="12"/>
                <w:szCs w:val="12"/>
              </w:rPr>
              <w:t>148</w:t>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666</w:t>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14</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55</w:t>
            </w:r>
          </w:p>
        </w:tc>
        <w:tc>
          <w:tcPr>
            <w:tcW w:w="359" w:type="dxa"/>
            <w:gridSpan w:val="2"/>
          </w:tcPr>
          <w:p>
            <w:pPr>
              <w:pStyle w:val="yTableNAm"/>
              <w:spacing w:before="0"/>
              <w:jc w:val="right"/>
              <w:rPr>
                <w:sz w:val="12"/>
                <w:szCs w:val="12"/>
              </w:rPr>
            </w:pPr>
            <w:r>
              <w:rPr>
                <w:sz w:val="12"/>
                <w:szCs w:val="12"/>
              </w:rPr>
              <w:t>91</w:t>
            </w:r>
          </w:p>
        </w:tc>
        <w:tc>
          <w:tcPr>
            <w:tcW w:w="358" w:type="dxa"/>
          </w:tcPr>
          <w:p>
            <w:pPr>
              <w:pStyle w:val="yTableNAm"/>
              <w:spacing w:before="0"/>
              <w:jc w:val="right"/>
              <w:rPr>
                <w:sz w:val="12"/>
                <w:szCs w:val="12"/>
              </w:rPr>
            </w:pPr>
            <w:r>
              <w:rPr>
                <w:sz w:val="12"/>
                <w:szCs w:val="12"/>
              </w:rPr>
              <w:t>140</w:t>
            </w:r>
          </w:p>
        </w:tc>
        <w:tc>
          <w:tcPr>
            <w:tcW w:w="359" w:type="dxa"/>
          </w:tcPr>
          <w:p>
            <w:pPr>
              <w:pStyle w:val="yTableNAm"/>
              <w:spacing w:before="0"/>
              <w:jc w:val="right"/>
              <w:rPr>
                <w:sz w:val="12"/>
                <w:szCs w:val="12"/>
              </w:rPr>
            </w:pPr>
            <w:r>
              <w:rPr>
                <w:sz w:val="12"/>
                <w:szCs w:val="12"/>
              </w:rPr>
              <w:t>204</w:t>
            </w:r>
          </w:p>
        </w:tc>
        <w:tc>
          <w:tcPr>
            <w:tcW w:w="358" w:type="dxa"/>
          </w:tcPr>
          <w:p>
            <w:pPr>
              <w:pStyle w:val="yTableNAm"/>
              <w:spacing w:before="0"/>
              <w:jc w:val="right"/>
              <w:rPr>
                <w:sz w:val="12"/>
                <w:szCs w:val="12"/>
              </w:rPr>
            </w:pPr>
            <w:r>
              <w:rPr>
                <w:sz w:val="12"/>
                <w:szCs w:val="12"/>
              </w:rPr>
              <w:t>285</w:t>
            </w:r>
          </w:p>
        </w:tc>
        <w:tc>
          <w:tcPr>
            <w:tcW w:w="359" w:type="dxa"/>
          </w:tcPr>
          <w:p>
            <w:pPr>
              <w:pStyle w:val="yTableNAm"/>
              <w:spacing w:before="0"/>
              <w:jc w:val="right"/>
              <w:rPr>
                <w:sz w:val="12"/>
                <w:szCs w:val="12"/>
              </w:rPr>
            </w:pPr>
            <w:r>
              <w:rPr>
                <w:sz w:val="12"/>
                <w:szCs w:val="12"/>
              </w:rPr>
              <w:t>385</w:t>
            </w:r>
          </w:p>
        </w:tc>
        <w:tc>
          <w:tcPr>
            <w:tcW w:w="358" w:type="dxa"/>
          </w:tcPr>
          <w:p>
            <w:pPr>
              <w:pStyle w:val="yTableNAm"/>
              <w:spacing w:before="0"/>
              <w:jc w:val="right"/>
              <w:rPr>
                <w:sz w:val="12"/>
                <w:szCs w:val="12"/>
              </w:rPr>
            </w:pPr>
            <w:r>
              <w:rPr>
                <w:sz w:val="12"/>
                <w:szCs w:val="12"/>
              </w:rPr>
              <w:t>506</w:t>
            </w:r>
          </w:p>
        </w:tc>
        <w:tc>
          <w:tcPr>
            <w:tcW w:w="359" w:type="dxa"/>
          </w:tcPr>
          <w:p>
            <w:pPr>
              <w:pStyle w:val="yTableNAm"/>
              <w:spacing w:before="0"/>
              <w:jc w:val="right"/>
              <w:rPr>
                <w:sz w:val="12"/>
                <w:szCs w:val="12"/>
              </w:rPr>
            </w:pPr>
            <w:r>
              <w:rPr>
                <w:sz w:val="12"/>
                <w:szCs w:val="12"/>
              </w:rPr>
              <w:t>650</w:t>
            </w:r>
          </w:p>
        </w:tc>
        <w:tc>
          <w:tcPr>
            <w:tcW w:w="358" w:type="dxa"/>
          </w:tcPr>
          <w:p>
            <w:pPr>
              <w:pStyle w:val="yTableNAm"/>
              <w:spacing w:before="0"/>
              <w:jc w:val="right"/>
              <w:rPr>
                <w:sz w:val="12"/>
                <w:szCs w:val="12"/>
              </w:rPr>
            </w:pPr>
            <w:r>
              <w:rPr>
                <w:sz w:val="12"/>
                <w:szCs w:val="12"/>
              </w:rPr>
              <w:t>819</w:t>
            </w:r>
          </w:p>
        </w:tc>
        <w:tc>
          <w:tcPr>
            <w:tcW w:w="359" w:type="dxa"/>
          </w:tcPr>
          <w:p>
            <w:pPr>
              <w:pStyle w:val="yTableNAm"/>
              <w:spacing w:before="0"/>
              <w:jc w:val="right"/>
              <w:rPr>
                <w:sz w:val="12"/>
                <w:szCs w:val="12"/>
              </w:rPr>
            </w:pPr>
            <w:r>
              <w:rPr>
                <w:sz w:val="12"/>
                <w:szCs w:val="12"/>
              </w:rPr>
              <w:t>1015</w:t>
            </w:r>
          </w:p>
        </w:tc>
        <w:tc>
          <w:tcPr>
            <w:tcW w:w="359" w:type="dxa"/>
          </w:tcPr>
          <w:p>
            <w:pPr>
              <w:pStyle w:val="yTableNAm"/>
              <w:spacing w:before="0"/>
              <w:jc w:val="right"/>
              <w:rPr>
                <w:sz w:val="12"/>
                <w:szCs w:val="12"/>
              </w:rPr>
            </w:pPr>
            <w:r>
              <w:rPr>
                <w:sz w:val="12"/>
                <w:szCs w:val="12"/>
              </w:rPr>
              <w:t>1240</w:t>
            </w:r>
          </w:p>
        </w:tc>
      </w:tr>
      <w:tr>
        <w:tblPrEx>
          <w:tblCellMar>
            <w:left w:w="0" w:type="dxa"/>
            <w:right w:w="0" w:type="dxa"/>
          </w:tblCellMar>
        </w:tblPrEx>
        <w:tc>
          <w:tcPr>
            <w:tcW w:w="993" w:type="dxa"/>
          </w:tcPr>
          <w:p>
            <w:pPr>
              <w:pStyle w:val="yTableNAm"/>
              <w:rPr>
                <w:sz w:val="12"/>
                <w:szCs w:val="12"/>
              </w:rPr>
            </w:pPr>
            <w:r>
              <w:rPr>
                <w:sz w:val="12"/>
                <w:szCs w:val="12"/>
              </w:rPr>
              <w:t>Two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148</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Two</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8</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 and 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40</w:t>
            </w:r>
          </w:p>
        </w:tc>
        <w:tc>
          <w:tcPr>
            <w:tcW w:w="358" w:type="dxa"/>
          </w:tcPr>
          <w:p>
            <w:pPr>
              <w:pStyle w:val="yTableNAm"/>
              <w:spacing w:before="0"/>
              <w:jc w:val="right"/>
              <w:rPr>
                <w:sz w:val="12"/>
                <w:szCs w:val="12"/>
              </w:rPr>
            </w:pPr>
            <w:r>
              <w:rPr>
                <w:sz w:val="12"/>
                <w:szCs w:val="12"/>
              </w:rPr>
              <w:t>810</w:t>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35</w:t>
            </w:r>
          </w:p>
        </w:tc>
        <w:tc>
          <w:tcPr>
            <w:tcW w:w="359" w:type="dxa"/>
            <w:gridSpan w:val="2"/>
          </w:tcPr>
          <w:p>
            <w:pPr>
              <w:pStyle w:val="yTableNAm"/>
              <w:spacing w:before="0"/>
              <w:jc w:val="right"/>
              <w:rPr>
                <w:sz w:val="12"/>
                <w:szCs w:val="12"/>
              </w:rPr>
            </w:pPr>
            <w:r>
              <w:rPr>
                <w:sz w:val="12"/>
                <w:szCs w:val="12"/>
              </w:rPr>
              <w:t>56</w:t>
            </w:r>
          </w:p>
        </w:tc>
        <w:tc>
          <w:tcPr>
            <w:tcW w:w="358" w:type="dxa"/>
          </w:tcPr>
          <w:p>
            <w:pPr>
              <w:pStyle w:val="yTableNAm"/>
              <w:spacing w:before="0"/>
              <w:jc w:val="right"/>
              <w:rPr>
                <w:sz w:val="12"/>
                <w:szCs w:val="12"/>
              </w:rPr>
            </w:pPr>
            <w:r>
              <w:rPr>
                <w:sz w:val="12"/>
                <w:szCs w:val="12"/>
              </w:rPr>
              <w:t>84</w:t>
            </w:r>
          </w:p>
        </w:tc>
        <w:tc>
          <w:tcPr>
            <w:tcW w:w="359" w:type="dxa"/>
          </w:tcPr>
          <w:p>
            <w:pPr>
              <w:pStyle w:val="yTableNAm"/>
              <w:spacing w:before="0"/>
              <w:jc w:val="right"/>
              <w:rPr>
                <w:sz w:val="12"/>
                <w:szCs w:val="12"/>
              </w:rPr>
            </w:pPr>
            <w:r>
              <w:rPr>
                <w:sz w:val="12"/>
                <w:szCs w:val="12"/>
              </w:rPr>
              <w:t>120</w:t>
            </w:r>
          </w:p>
        </w:tc>
        <w:tc>
          <w:tcPr>
            <w:tcW w:w="358" w:type="dxa"/>
          </w:tcPr>
          <w:p>
            <w:pPr>
              <w:pStyle w:val="yTableNAm"/>
              <w:spacing w:before="0"/>
              <w:jc w:val="right"/>
              <w:rPr>
                <w:sz w:val="12"/>
                <w:szCs w:val="12"/>
              </w:rPr>
            </w:pPr>
            <w:r>
              <w:rPr>
                <w:sz w:val="12"/>
                <w:szCs w:val="12"/>
              </w:rPr>
              <w:t>165</w:t>
            </w:r>
          </w:p>
        </w:tc>
        <w:tc>
          <w:tcPr>
            <w:tcW w:w="359" w:type="dxa"/>
          </w:tcPr>
          <w:p>
            <w:pPr>
              <w:pStyle w:val="yTableNAm"/>
              <w:spacing w:before="0"/>
              <w:jc w:val="right"/>
              <w:rPr>
                <w:sz w:val="12"/>
                <w:szCs w:val="12"/>
              </w:rPr>
            </w:pPr>
            <w:r>
              <w:rPr>
                <w:sz w:val="12"/>
                <w:szCs w:val="12"/>
              </w:rPr>
              <w:t>220</w:t>
            </w:r>
          </w:p>
        </w:tc>
        <w:tc>
          <w:tcPr>
            <w:tcW w:w="358" w:type="dxa"/>
          </w:tcPr>
          <w:p>
            <w:pPr>
              <w:pStyle w:val="yTableNAm"/>
              <w:spacing w:before="0"/>
              <w:jc w:val="right"/>
              <w:rPr>
                <w:sz w:val="12"/>
                <w:szCs w:val="12"/>
              </w:rPr>
            </w:pPr>
            <w:r>
              <w:rPr>
                <w:sz w:val="12"/>
                <w:szCs w:val="12"/>
              </w:rPr>
              <w:t>286</w:t>
            </w:r>
          </w:p>
        </w:tc>
        <w:tc>
          <w:tcPr>
            <w:tcW w:w="359" w:type="dxa"/>
          </w:tcPr>
          <w:p>
            <w:pPr>
              <w:pStyle w:val="yTableNAm"/>
              <w:spacing w:before="0"/>
              <w:jc w:val="right"/>
              <w:rPr>
                <w:sz w:val="12"/>
                <w:szCs w:val="12"/>
              </w:rPr>
            </w:pPr>
            <w:r>
              <w:rPr>
                <w:sz w:val="12"/>
                <w:szCs w:val="12"/>
              </w:rPr>
              <w:t>364</w:t>
            </w:r>
          </w:p>
        </w:tc>
        <w:tc>
          <w:tcPr>
            <w:tcW w:w="358"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560</w:t>
            </w:r>
          </w:p>
        </w:tc>
        <w:tc>
          <w:tcPr>
            <w:tcW w:w="359" w:type="dxa"/>
          </w:tcPr>
          <w:p>
            <w:pPr>
              <w:pStyle w:val="yTableNAm"/>
              <w:spacing w:before="0"/>
              <w:jc w:val="right"/>
              <w:rPr>
                <w:sz w:val="12"/>
                <w:szCs w:val="12"/>
              </w:rPr>
            </w:pPr>
            <w:r>
              <w:rPr>
                <w:sz w:val="12"/>
                <w:szCs w:val="12"/>
              </w:rPr>
              <w:t>680</w:t>
            </w:r>
          </w:p>
        </w:tc>
      </w:tr>
      <w:tr>
        <w:tblPrEx>
          <w:tblCellMar>
            <w:left w:w="0" w:type="dxa"/>
            <w:right w:w="0" w:type="dxa"/>
          </w:tblCellMar>
        </w:tblPrEx>
        <w:tc>
          <w:tcPr>
            <w:tcW w:w="993" w:type="dxa"/>
          </w:tcPr>
          <w:p>
            <w:pPr>
              <w:pStyle w:val="yTableNAm"/>
              <w:rPr>
                <w:sz w:val="12"/>
                <w:szCs w:val="12"/>
              </w:rPr>
            </w:pPr>
            <w:r>
              <w:rPr>
                <w:sz w:val="12"/>
                <w:szCs w:val="12"/>
              </w:rPr>
              <w:t>One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40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single" w:sz="4" w:space="0" w:color="auto"/>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bl>
    <w:p>
      <w:pPr>
        <w:pStyle w:val="yFootnotesection"/>
      </w:pPr>
      <w:r>
        <w:tab/>
        <w:t>[Part 2 inserted in Gazette 27 Jan 2012 p. 573</w:t>
      </w:r>
      <w:r>
        <w:noBreakHyphen/>
        <w:t>5.]</w:t>
      </w:r>
    </w:p>
    <w:p>
      <w:pPr>
        <w:pStyle w:val="yScheduleHeading"/>
      </w:pPr>
      <w:bookmarkStart w:id="510" w:name="_Toc317510764"/>
      <w:bookmarkStart w:id="511" w:name="_Toc317511308"/>
      <w:bookmarkStart w:id="512" w:name="_Toc317578455"/>
      <w:bookmarkStart w:id="513" w:name="_Toc324420166"/>
      <w:bookmarkStart w:id="514" w:name="_Toc324423652"/>
      <w:bookmarkStart w:id="515" w:name="_Toc324424354"/>
      <w:bookmarkStart w:id="516" w:name="_Toc326649728"/>
      <w:bookmarkStart w:id="517" w:name="_Toc326650482"/>
      <w:bookmarkStart w:id="518" w:name="_Toc328461901"/>
      <w:r>
        <w:rPr>
          <w:rStyle w:val="CharSchNo"/>
        </w:rPr>
        <w:t>Schedule 4</w:t>
      </w:r>
      <w:r>
        <w:t> — </w:t>
      </w:r>
      <w:bookmarkStart w:id="519" w:name="_Toc187816403"/>
      <w:bookmarkStart w:id="520" w:name="_Toc196013937"/>
      <w:bookmarkStart w:id="521" w:name="_Toc197406918"/>
      <w:r>
        <w:rPr>
          <w:rStyle w:val="CharSchText"/>
        </w:rPr>
        <w:t>Summary of parameters within which Monday or Wednesday lotto is conducted</w:t>
      </w:r>
      <w:bookmarkEnd w:id="495"/>
      <w:bookmarkEnd w:id="496"/>
      <w:bookmarkEnd w:id="497"/>
      <w:bookmarkEnd w:id="498"/>
      <w:bookmarkEnd w:id="499"/>
      <w:bookmarkEnd w:id="500"/>
      <w:bookmarkEnd w:id="501"/>
      <w:bookmarkEnd w:id="502"/>
      <w:bookmarkEnd w:id="510"/>
      <w:bookmarkEnd w:id="511"/>
      <w:bookmarkEnd w:id="512"/>
      <w:bookmarkEnd w:id="513"/>
      <w:bookmarkEnd w:id="514"/>
      <w:bookmarkEnd w:id="515"/>
      <w:bookmarkEnd w:id="516"/>
      <w:bookmarkEnd w:id="517"/>
      <w:bookmarkEnd w:id="518"/>
      <w:bookmarkEnd w:id="519"/>
      <w:bookmarkEnd w:id="520"/>
      <w:bookmarkEnd w:id="521"/>
    </w:p>
    <w:p>
      <w:pPr>
        <w:pStyle w:val="yFootnoteheading"/>
        <w:spacing w:before="60"/>
      </w:pPr>
      <w:r>
        <w:tab/>
        <w:t>[Heading inserted in Gazette 6 Jun 2008 p. 2320.]</w:t>
      </w:r>
    </w:p>
    <w:p>
      <w:pPr>
        <w:pStyle w:val="yHeading3"/>
        <w:spacing w:before="100"/>
      </w:pPr>
      <w:bookmarkStart w:id="522" w:name="_Toc317510765"/>
      <w:bookmarkStart w:id="523" w:name="_Toc317511309"/>
      <w:bookmarkStart w:id="524" w:name="_Toc317578456"/>
      <w:bookmarkStart w:id="525" w:name="_Toc324420167"/>
      <w:bookmarkStart w:id="526" w:name="_Toc324423653"/>
      <w:bookmarkStart w:id="527" w:name="_Toc324424355"/>
      <w:bookmarkStart w:id="528" w:name="_Toc326649729"/>
      <w:bookmarkStart w:id="529" w:name="_Toc326650483"/>
      <w:bookmarkStart w:id="530" w:name="_Toc328461902"/>
      <w:r>
        <w:rPr>
          <w:rStyle w:val="CharSDivNo"/>
        </w:rPr>
        <w:t>Part 1</w:t>
      </w:r>
      <w:r>
        <w:t> — </w:t>
      </w:r>
      <w:r>
        <w:rPr>
          <w:rStyle w:val="CharSDivText"/>
        </w:rPr>
        <w:t>Up to draw 3115</w:t>
      </w:r>
      <w:bookmarkEnd w:id="522"/>
      <w:bookmarkEnd w:id="523"/>
      <w:bookmarkEnd w:id="524"/>
      <w:bookmarkEnd w:id="525"/>
      <w:bookmarkEnd w:id="526"/>
      <w:bookmarkEnd w:id="527"/>
      <w:bookmarkEnd w:id="528"/>
      <w:bookmarkEnd w:id="529"/>
      <w:bookmarkEnd w:id="530"/>
    </w:p>
    <w:p>
      <w:pPr>
        <w:pStyle w:val="yFootnoteheading"/>
        <w:spacing w:before="40" w:after="80"/>
      </w:pPr>
      <w:r>
        <w:tab/>
        <w:t>[Heading inserted in Gazette 27 Jan 2012 p. 575.]</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48"/>
      </w:tblGrid>
      <w:tr>
        <w:trPr>
          <w:trHeight w:val="425"/>
        </w:trPr>
        <w:tc>
          <w:tcPr>
            <w:tcW w:w="4820" w:type="dxa"/>
          </w:tcPr>
          <w:p>
            <w:pPr>
              <w:pStyle w:val="yTable"/>
              <w:keepNext/>
              <w:spacing w:before="0"/>
            </w:pPr>
            <w:r>
              <w:t>Unit cost for a Monday or Wednesday lotto draw</w:t>
            </w:r>
          </w:p>
        </w:tc>
        <w:tc>
          <w:tcPr>
            <w:tcW w:w="2248" w:type="dxa"/>
          </w:tcPr>
          <w:p>
            <w:pPr>
              <w:pStyle w:val="yTable"/>
              <w:keepNext/>
              <w:spacing w:before="0"/>
            </w:pPr>
            <w:r>
              <w:t>$0.40 (+ a 9% agent’s component)</w:t>
            </w:r>
          </w:p>
        </w:tc>
      </w:tr>
      <w:tr>
        <w:tc>
          <w:tcPr>
            <w:tcW w:w="4820" w:type="dxa"/>
          </w:tcPr>
          <w:p>
            <w:pPr>
              <w:pStyle w:val="yTable"/>
              <w:keepNext/>
              <w:spacing w:before="0"/>
            </w:pPr>
            <w:r>
              <w:t>Prize fund — % of subscriptions</w:t>
            </w:r>
          </w:p>
        </w:tc>
        <w:tc>
          <w:tcPr>
            <w:tcW w:w="2248" w:type="dxa"/>
          </w:tcPr>
          <w:p>
            <w:pPr>
              <w:pStyle w:val="yTable"/>
              <w:keepNext/>
              <w:spacing w:before="0"/>
            </w:pPr>
            <w:r>
              <w:t>60.0%</w:t>
            </w:r>
          </w:p>
        </w:tc>
      </w:tr>
      <w:tr>
        <w:tc>
          <w:tcPr>
            <w:tcW w:w="4820" w:type="dxa"/>
          </w:tcPr>
          <w:p>
            <w:pPr>
              <w:pStyle w:val="yTable"/>
              <w:spacing w:before="0"/>
            </w:pPr>
            <w:r>
              <w:t>Prize pool — % of subscriptions</w:t>
            </w:r>
          </w:p>
        </w:tc>
        <w:tc>
          <w:tcPr>
            <w:tcW w:w="2248" w:type="dxa"/>
          </w:tcPr>
          <w:p>
            <w:pPr>
              <w:pStyle w:val="yTable"/>
              <w:spacing w:before="0"/>
            </w:pPr>
            <w:r>
              <w:t>no less than 55.0%</w:t>
            </w:r>
          </w:p>
        </w:tc>
      </w:tr>
      <w:tr>
        <w:tc>
          <w:tcPr>
            <w:tcW w:w="4820" w:type="dxa"/>
          </w:tcPr>
          <w:p>
            <w:pPr>
              <w:pStyle w:val="yTable"/>
              <w:spacing w:before="0"/>
            </w:pPr>
            <w:r>
              <w:t>Prize reserve fund — % of subscriptions</w:t>
            </w:r>
          </w:p>
        </w:tc>
        <w:tc>
          <w:tcPr>
            <w:tcW w:w="2248" w:type="dxa"/>
          </w:tcPr>
          <w:p>
            <w:pPr>
              <w:pStyle w:val="yTable"/>
              <w:spacing w:before="0"/>
            </w:pPr>
            <w:r>
              <w:t>balance of prize fund after prize pool</w:t>
            </w:r>
            <w:r>
              <w:br/>
              <w:t>(up to 5.0%)</w:t>
            </w:r>
          </w:p>
        </w:tc>
      </w:tr>
      <w:tr>
        <w:tc>
          <w:tcPr>
            <w:tcW w:w="4820" w:type="dxa"/>
          </w:tcPr>
          <w:p>
            <w:pPr>
              <w:pStyle w:val="yTable"/>
              <w:spacing w:before="0"/>
            </w:pPr>
            <w:r>
              <w:t>Number of divisions</w:t>
            </w:r>
          </w:p>
        </w:tc>
        <w:tc>
          <w:tcPr>
            <w:tcW w:w="2248" w:type="dxa"/>
          </w:tcPr>
          <w:p>
            <w:pPr>
              <w:pStyle w:val="yTable"/>
              <w:spacing w:before="0"/>
            </w:pPr>
            <w:r>
              <w:t>5</w:t>
            </w:r>
          </w:p>
        </w:tc>
      </w:tr>
      <w:tr>
        <w:tc>
          <w:tcPr>
            <w:tcW w:w="4820" w:type="dxa"/>
          </w:tcPr>
          <w:p>
            <w:pPr>
              <w:pStyle w:val="yTable"/>
              <w:spacing w:before="0"/>
            </w:pPr>
            <w:r>
              <w:t>Winning numbers drawn</w:t>
            </w:r>
          </w:p>
        </w:tc>
        <w:tc>
          <w:tcPr>
            <w:tcW w:w="2248" w:type="dxa"/>
          </w:tcPr>
          <w:p>
            <w:pPr>
              <w:pStyle w:val="yTable"/>
              <w:spacing w:before="0"/>
            </w:pPr>
            <w:r>
              <w:t>6</w:t>
            </w:r>
          </w:p>
        </w:tc>
      </w:tr>
      <w:tr>
        <w:tc>
          <w:tcPr>
            <w:tcW w:w="4820" w:type="dxa"/>
          </w:tcPr>
          <w:p>
            <w:pPr>
              <w:pStyle w:val="yTable"/>
              <w:spacing w:before="0"/>
            </w:pPr>
            <w:r>
              <w:t>Supplementary numbers drawn</w:t>
            </w:r>
          </w:p>
        </w:tc>
        <w:tc>
          <w:tcPr>
            <w:tcW w:w="2248" w:type="dxa"/>
          </w:tcPr>
          <w:p>
            <w:pPr>
              <w:pStyle w:val="yTable"/>
              <w:spacing w:before="0"/>
            </w:pPr>
            <w:r>
              <w:t>2</w:t>
            </w:r>
          </w:p>
        </w:tc>
      </w:tr>
      <w:tr>
        <w:tc>
          <w:tcPr>
            <w:tcW w:w="4820" w:type="dxa"/>
          </w:tcPr>
          <w:p>
            <w:pPr>
              <w:pStyle w:val="yTable"/>
              <w:spacing w:before="0"/>
            </w:pPr>
            <w:r>
              <w:t>Forecast range </w:t>
            </w:r>
          </w:p>
        </w:tc>
        <w:tc>
          <w:tcPr>
            <w:tcW w:w="2248" w:type="dxa"/>
          </w:tcPr>
          <w:p>
            <w:pPr>
              <w:pStyle w:val="yTable"/>
              <w:spacing w:before="0"/>
            </w:pPr>
            <w:r>
              <w:t>1 to 45 inclusive</w:t>
            </w:r>
          </w:p>
        </w:tc>
      </w:tr>
      <w:tr>
        <w:tc>
          <w:tcPr>
            <w:tcW w:w="4820" w:type="dxa"/>
          </w:tcPr>
          <w:p>
            <w:pPr>
              <w:pStyle w:val="yTable"/>
              <w:spacing w:before="0"/>
            </w:pPr>
            <w:r>
              <w:t>Odds of winning —</w:t>
            </w:r>
          </w:p>
          <w:p>
            <w:pPr>
              <w:pStyle w:val="yTable"/>
              <w:spacing w:before="0"/>
            </w:pPr>
            <w:r>
              <w:t>division 1</w:t>
            </w:r>
          </w:p>
          <w:p>
            <w:pPr>
              <w:pStyle w:val="yTable"/>
              <w:spacing w:before="0"/>
            </w:pPr>
            <w:r>
              <w:t>division 2</w:t>
            </w:r>
          </w:p>
          <w:p>
            <w:pPr>
              <w:pStyle w:val="yTable"/>
              <w:spacing w:before="0"/>
            </w:pPr>
            <w:r>
              <w:t>division 3</w:t>
            </w:r>
          </w:p>
          <w:p>
            <w:pPr>
              <w:pStyle w:val="yTable"/>
              <w:spacing w:before="0"/>
            </w:pPr>
            <w:r>
              <w:t>division 4</w:t>
            </w:r>
          </w:p>
          <w:p>
            <w:pPr>
              <w:pStyle w:val="yTable"/>
              <w:spacing w:before="0"/>
            </w:pPr>
            <w:r>
              <w:t>division 5</w:t>
            </w:r>
          </w:p>
        </w:tc>
        <w:tc>
          <w:tcPr>
            <w:tcW w:w="2248" w:type="dxa"/>
          </w:tcPr>
          <w:p>
            <w:pPr>
              <w:pStyle w:val="yTable"/>
              <w:spacing w:before="0"/>
            </w:pPr>
          </w:p>
          <w:p>
            <w:pPr>
              <w:pStyle w:val="yTable"/>
              <w:spacing w:before="0"/>
            </w:pPr>
            <w:r>
              <w:t>1 in 8 145 060</w:t>
            </w:r>
          </w:p>
          <w:p>
            <w:pPr>
              <w:pStyle w:val="yTable"/>
              <w:spacing w:before="0"/>
            </w:pPr>
            <w:r>
              <w:t>1 in 678 755</w:t>
            </w:r>
          </w:p>
          <w:p>
            <w:pPr>
              <w:pStyle w:val="yTable"/>
              <w:spacing w:before="0"/>
            </w:pPr>
            <w:r>
              <w:t>1 in 36 690</w:t>
            </w:r>
          </w:p>
          <w:p>
            <w:pPr>
              <w:pStyle w:val="yTable"/>
              <w:spacing w:before="0"/>
            </w:pPr>
            <w:r>
              <w:t>1 in 733</w:t>
            </w:r>
          </w:p>
          <w:p>
            <w:pPr>
              <w:pStyle w:val="yTable"/>
              <w:spacing w:before="0"/>
            </w:pPr>
            <w:r>
              <w:t>1 in 298</w:t>
            </w:r>
          </w:p>
        </w:tc>
      </w:tr>
      <w:tr>
        <w:tc>
          <w:tcPr>
            <w:tcW w:w="4820" w:type="dxa"/>
          </w:tcPr>
          <w:p>
            <w:pPr>
              <w:pStyle w:val="yTable"/>
              <w:spacing w:before="0"/>
            </w:pPr>
            <w:r>
              <w:t>Systems range</w:t>
            </w:r>
          </w:p>
        </w:tc>
        <w:tc>
          <w:tcPr>
            <w:tcW w:w="2248" w:type="dxa"/>
          </w:tcPr>
          <w:p>
            <w:pPr>
              <w:pStyle w:val="yTable"/>
              <w:spacing w:before="0"/>
            </w:pPr>
            <w:r>
              <w:t>4</w:t>
            </w:r>
            <w:r>
              <w:noBreakHyphen/>
              <w:t>5/7</w:t>
            </w:r>
            <w:r>
              <w:noBreakHyphen/>
              <w:t>20 inclusive</w:t>
            </w:r>
          </w:p>
        </w:tc>
      </w:tr>
      <w:tr>
        <w:tc>
          <w:tcPr>
            <w:tcW w:w="4820" w:type="dxa"/>
          </w:tcPr>
          <w:p>
            <w:pPr>
              <w:pStyle w:val="yTable"/>
              <w:spacing w:before="0"/>
            </w:pPr>
            <w:r>
              <w:t>Multiweek options (</w:t>
            </w:r>
            <w:r>
              <w:rPr>
                <w:i/>
                <w:iCs/>
              </w:rPr>
              <w:t>if available</w:t>
            </w:r>
            <w:r>
              <w:t>)</w:t>
            </w:r>
          </w:p>
        </w:tc>
        <w:tc>
          <w:tcPr>
            <w:tcW w:w="2248" w:type="dxa"/>
          </w:tcPr>
          <w:p>
            <w:pPr>
              <w:pStyle w:val="yTable"/>
              <w:spacing w:before="0"/>
            </w:pPr>
            <w:r>
              <w:t>2, 5 or 10 weeks</w:t>
            </w:r>
          </w:p>
        </w:tc>
      </w:tr>
      <w:tr>
        <w:tc>
          <w:tcPr>
            <w:tcW w:w="4820" w:type="dxa"/>
          </w:tcPr>
          <w:p>
            <w:pPr>
              <w:pStyle w:val="yTable"/>
              <w:spacing w:before="0"/>
            </w:pPr>
            <w:r>
              <w:t>Advance sales (maximum) (</w:t>
            </w:r>
            <w:r>
              <w:rPr>
                <w:i/>
                <w:iCs/>
              </w:rPr>
              <w:t>if available</w:t>
            </w:r>
            <w:r>
              <w:t>)</w:t>
            </w:r>
          </w:p>
        </w:tc>
        <w:tc>
          <w:tcPr>
            <w:tcW w:w="2248" w:type="dxa"/>
          </w:tcPr>
          <w:p>
            <w:pPr>
              <w:pStyle w:val="yTable"/>
              <w:spacing w:before="0"/>
            </w:pPr>
            <w:r>
              <w:t>10 weeks</w:t>
            </w:r>
          </w:p>
        </w:tc>
      </w:tr>
      <w:tr>
        <w:tc>
          <w:tcPr>
            <w:tcW w:w="4820" w:type="dxa"/>
          </w:tcPr>
          <w:p>
            <w:pPr>
              <w:pStyle w:val="yTable"/>
              <w:spacing w:before="0"/>
            </w:pPr>
            <w:r>
              <w:t>Games per playslip (minimum)</w:t>
            </w:r>
          </w:p>
        </w:tc>
        <w:tc>
          <w:tcPr>
            <w:tcW w:w="2248" w:type="dxa"/>
          </w:tcPr>
          <w:p>
            <w:pPr>
              <w:pStyle w:val="yTable"/>
              <w:spacing w:before="0"/>
            </w:pPr>
            <w:r>
              <w:t>4</w:t>
            </w:r>
          </w:p>
        </w:tc>
      </w:tr>
      <w:tr>
        <w:tc>
          <w:tcPr>
            <w:tcW w:w="4820" w:type="dxa"/>
          </w:tcPr>
          <w:p>
            <w:pPr>
              <w:pStyle w:val="yTable"/>
              <w:spacing w:before="0"/>
            </w:pPr>
            <w:r>
              <w:t xml:space="preserve">Systems entries per playslip (maximum) </w:t>
            </w:r>
          </w:p>
        </w:tc>
        <w:tc>
          <w:tcPr>
            <w:tcW w:w="2248" w:type="dxa"/>
          </w:tcPr>
          <w:p>
            <w:pPr>
              <w:pStyle w:val="yTable"/>
              <w:spacing w:before="0"/>
            </w:pPr>
            <w:r>
              <w:t>18</w:t>
            </w:r>
          </w:p>
          <w:p>
            <w:pPr>
              <w:pStyle w:val="yTable"/>
              <w:spacing w:before="0"/>
            </w:pPr>
            <w:r>
              <w:t>(subject to maximum aggregate entry cost)</w:t>
            </w:r>
          </w:p>
        </w:tc>
      </w:tr>
      <w:tr>
        <w:tc>
          <w:tcPr>
            <w:tcW w:w="4820" w:type="dxa"/>
          </w:tcPr>
          <w:p>
            <w:pPr>
              <w:pStyle w:val="yTable"/>
              <w:spacing w:before="0"/>
            </w:pPr>
            <w:r>
              <w:t>Games per playslip (maximum)</w:t>
            </w:r>
          </w:p>
        </w:tc>
        <w:tc>
          <w:tcPr>
            <w:tcW w:w="2248" w:type="dxa"/>
          </w:tcPr>
          <w:p>
            <w:pPr>
              <w:pStyle w:val="yTable"/>
              <w:spacing w:before="0"/>
            </w:pPr>
            <w:r>
              <w:t>18</w:t>
            </w:r>
          </w:p>
        </w:tc>
      </w:tr>
      <w:tr>
        <w:tc>
          <w:tcPr>
            <w:tcW w:w="4820" w:type="dxa"/>
          </w:tcPr>
          <w:p>
            <w:pPr>
              <w:pStyle w:val="yTable"/>
              <w:spacing w:before="0"/>
            </w:pPr>
            <w:r>
              <w:t>Games per oral request (default)</w:t>
            </w:r>
          </w:p>
        </w:tc>
        <w:tc>
          <w:tcPr>
            <w:tcW w:w="2248" w:type="dxa"/>
          </w:tcPr>
          <w:p>
            <w:pPr>
              <w:pStyle w:val="yTable"/>
              <w:spacing w:before="0"/>
            </w:pPr>
            <w:r>
              <w:t>12, 18, 25, 30 or 50</w:t>
            </w:r>
          </w:p>
        </w:tc>
      </w:tr>
      <w:tr>
        <w:tc>
          <w:tcPr>
            <w:tcW w:w="4820" w:type="dxa"/>
          </w:tcPr>
          <w:p>
            <w:pPr>
              <w:pStyle w:val="yTable"/>
              <w:spacing w:before="0"/>
            </w:pPr>
            <w:r>
              <w:t>Games per oral request (</w:t>
            </w:r>
            <w:r>
              <w:rPr>
                <w:i/>
                <w:iCs/>
              </w:rPr>
              <w:t>if available</w:t>
            </w:r>
            <w:r>
              <w:t>)</w:t>
            </w:r>
          </w:p>
        </w:tc>
        <w:tc>
          <w:tcPr>
            <w:tcW w:w="2248" w:type="dxa"/>
          </w:tcPr>
          <w:p>
            <w:pPr>
              <w:pStyle w:val="yTable"/>
              <w:spacing w:before="0"/>
            </w:pPr>
            <w:r>
              <w:t>4 to 50</w:t>
            </w:r>
          </w:p>
        </w:tc>
      </w:tr>
      <w:tr>
        <w:tc>
          <w:tcPr>
            <w:tcW w:w="4820" w:type="dxa"/>
          </w:tcPr>
          <w:p>
            <w:pPr>
              <w:pStyle w:val="yTable"/>
              <w:spacing w:before="0"/>
            </w:pPr>
            <w:r>
              <w:t>Syndicate entries may be purchased (</w:t>
            </w:r>
            <w:r>
              <w:rPr>
                <w:i/>
                <w:iCs/>
              </w:rPr>
              <w:t>if available</w:t>
            </w:r>
            <w:r>
              <w:t>)</w:t>
            </w:r>
          </w:p>
        </w:tc>
        <w:tc>
          <w:tcPr>
            <w:tcW w:w="2248" w:type="dxa"/>
          </w:tcPr>
          <w:p>
            <w:pPr>
              <w:pStyle w:val="yTable"/>
              <w:spacing w:before="0"/>
            </w:pPr>
            <w:r>
              <w:t>(see Part 2A)</w:t>
            </w:r>
          </w:p>
        </w:tc>
      </w:tr>
      <w:tr>
        <w:tc>
          <w:tcPr>
            <w:tcW w:w="4820" w:type="dxa"/>
          </w:tcPr>
          <w:p>
            <w:pPr>
              <w:pStyle w:val="yTable"/>
              <w:spacing w:before="0"/>
            </w:pPr>
            <w:r>
              <w:t>Systems entries per oral request</w:t>
            </w:r>
          </w:p>
        </w:tc>
        <w:tc>
          <w:tcPr>
            <w:tcW w:w="2248" w:type="dxa"/>
          </w:tcPr>
          <w:p>
            <w:pPr>
              <w:pStyle w:val="yTable"/>
              <w:spacing w:before="0"/>
            </w:pPr>
            <w:r>
              <w:t>1</w:t>
            </w:r>
          </w:p>
        </w:tc>
      </w:tr>
      <w:tr>
        <w:tc>
          <w:tcPr>
            <w:tcW w:w="4820" w:type="dxa"/>
          </w:tcPr>
          <w:p>
            <w:pPr>
              <w:pStyle w:val="yTable"/>
              <w:spacing w:before="0"/>
            </w:pPr>
            <w:r>
              <w:t>Prize payout period</w:t>
            </w:r>
          </w:p>
        </w:tc>
        <w:tc>
          <w:tcPr>
            <w:tcW w:w="2248" w:type="dxa"/>
          </w:tcPr>
          <w:p>
            <w:pPr>
              <w:pStyle w:val="yTable"/>
              <w:spacing w:before="0"/>
            </w:pPr>
            <w:r>
              <w:t>12 months</w:t>
            </w:r>
          </w:p>
        </w:tc>
      </w:tr>
      <w:tr>
        <w:tc>
          <w:tcPr>
            <w:tcW w:w="4820" w:type="dxa"/>
          </w:tcPr>
          <w:p>
            <w:pPr>
              <w:pStyle w:val="yTable"/>
              <w:spacing w:before="0"/>
            </w:pPr>
            <w:r>
              <w:t>Maximum aggregate entry cost</w:t>
            </w:r>
          </w:p>
        </w:tc>
        <w:tc>
          <w:tcPr>
            <w:tcW w:w="2248" w:type="dxa"/>
          </w:tcPr>
          <w:p>
            <w:pPr>
              <w:pStyle w:val="yTable"/>
              <w:spacing w:before="0"/>
            </w:pPr>
            <w:r>
              <w:t>$100 000</w:t>
            </w:r>
          </w:p>
        </w:tc>
      </w:tr>
    </w:tbl>
    <w:p>
      <w:pPr>
        <w:pStyle w:val="yFootnotesection"/>
        <w:spacing w:before="60"/>
      </w:pPr>
      <w:r>
        <w:tab/>
        <w:t>[Part 1, formerly Schedule 4, inserted in Gazette 6 Jun 2008 p. 2320</w:t>
      </w:r>
      <w:r>
        <w:noBreakHyphen/>
        <w:t>1; amended in Gazette 3 Oct 2008 p. 4497; renumbered as Part 1 in Gazette 27 Jan 2012 p. 575.]</w:t>
      </w:r>
    </w:p>
    <w:p>
      <w:pPr>
        <w:pStyle w:val="yHeading3"/>
      </w:pPr>
      <w:bookmarkStart w:id="531" w:name="_Toc317510766"/>
      <w:bookmarkStart w:id="532" w:name="_Toc317511310"/>
      <w:bookmarkStart w:id="533" w:name="_Toc317578457"/>
      <w:bookmarkStart w:id="534" w:name="_Toc324420168"/>
      <w:bookmarkStart w:id="535" w:name="_Toc324423654"/>
      <w:bookmarkStart w:id="536" w:name="_Toc324424356"/>
      <w:bookmarkStart w:id="537" w:name="_Toc326649730"/>
      <w:bookmarkStart w:id="538" w:name="_Toc326650484"/>
      <w:bookmarkStart w:id="539" w:name="_Toc328461903"/>
      <w:r>
        <w:rPr>
          <w:rStyle w:val="CharSDivNo"/>
        </w:rPr>
        <w:t>Part 2</w:t>
      </w:r>
      <w:r>
        <w:t> — </w:t>
      </w:r>
      <w:r>
        <w:rPr>
          <w:rStyle w:val="CharSDivText"/>
        </w:rPr>
        <w:t>On and after draw 3116</w:t>
      </w:r>
      <w:bookmarkEnd w:id="531"/>
      <w:bookmarkEnd w:id="532"/>
      <w:bookmarkEnd w:id="533"/>
      <w:bookmarkEnd w:id="534"/>
      <w:bookmarkEnd w:id="535"/>
      <w:bookmarkEnd w:id="536"/>
      <w:bookmarkEnd w:id="537"/>
      <w:bookmarkEnd w:id="538"/>
      <w:bookmarkEnd w:id="539"/>
    </w:p>
    <w:p>
      <w:pPr>
        <w:pStyle w:val="yFootnoteheading"/>
        <w:spacing w:after="120"/>
      </w:pPr>
      <w:r>
        <w:tab/>
        <w:t>[Heading inserted in Gazette 27 Jan 2012 p. 575.]</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48"/>
      </w:tblGrid>
      <w:tr>
        <w:trPr>
          <w:trHeight w:val="425"/>
        </w:trPr>
        <w:tc>
          <w:tcPr>
            <w:tcW w:w="4820" w:type="dxa"/>
          </w:tcPr>
          <w:p>
            <w:pPr>
              <w:pStyle w:val="yTableNAm"/>
              <w:spacing w:before="0"/>
            </w:pPr>
            <w:r>
              <w:t>Unit cost for a Monday or Wednesday lotto draw</w:t>
            </w:r>
          </w:p>
        </w:tc>
        <w:tc>
          <w:tcPr>
            <w:tcW w:w="2248" w:type="dxa"/>
          </w:tcPr>
          <w:p>
            <w:pPr>
              <w:pStyle w:val="yTableNAm"/>
              <w:spacing w:before="0"/>
            </w:pPr>
            <w:r>
              <w:t>$0.50 (+ a 9% agent’s component)</w:t>
            </w:r>
          </w:p>
        </w:tc>
      </w:tr>
      <w:tr>
        <w:tc>
          <w:tcPr>
            <w:tcW w:w="4820" w:type="dxa"/>
          </w:tcPr>
          <w:p>
            <w:pPr>
              <w:pStyle w:val="yTableNAm"/>
              <w:spacing w:before="0"/>
            </w:pPr>
            <w:r>
              <w:t>Prize fund — % of subscriptions</w:t>
            </w:r>
          </w:p>
        </w:tc>
        <w:tc>
          <w:tcPr>
            <w:tcW w:w="2248" w:type="dxa"/>
          </w:tcPr>
          <w:p>
            <w:pPr>
              <w:pStyle w:val="yTableNAm"/>
              <w:spacing w:before="0"/>
            </w:pPr>
            <w:r>
              <w:t>60.0%</w:t>
            </w:r>
          </w:p>
        </w:tc>
      </w:tr>
      <w:tr>
        <w:tc>
          <w:tcPr>
            <w:tcW w:w="4820" w:type="dxa"/>
          </w:tcPr>
          <w:p>
            <w:pPr>
              <w:pStyle w:val="yTableNAm"/>
              <w:spacing w:before="0"/>
            </w:pPr>
            <w:r>
              <w:t>Prize pool — % of subscriptions</w:t>
            </w:r>
          </w:p>
        </w:tc>
        <w:tc>
          <w:tcPr>
            <w:tcW w:w="2248" w:type="dxa"/>
          </w:tcPr>
          <w:p>
            <w:pPr>
              <w:pStyle w:val="yTableNAm"/>
              <w:spacing w:before="0"/>
            </w:pPr>
            <w:r>
              <w:t>no less than 33.0%</w:t>
            </w:r>
          </w:p>
        </w:tc>
      </w:tr>
      <w:tr>
        <w:tc>
          <w:tcPr>
            <w:tcW w:w="4820" w:type="dxa"/>
          </w:tcPr>
          <w:p>
            <w:pPr>
              <w:pStyle w:val="yTableNAm"/>
              <w:spacing w:before="0"/>
            </w:pPr>
            <w:r>
              <w:t>Prize reserve fund — % of subscriptions</w:t>
            </w:r>
          </w:p>
        </w:tc>
        <w:tc>
          <w:tcPr>
            <w:tcW w:w="2248" w:type="dxa"/>
          </w:tcPr>
          <w:p>
            <w:pPr>
              <w:pStyle w:val="yTableNAm"/>
              <w:spacing w:before="0"/>
            </w:pPr>
            <w:r>
              <w:t>balance of prize fund after prize pool</w:t>
            </w:r>
            <w:r>
              <w:br/>
              <w:t>(up to 27.0%)</w:t>
            </w:r>
          </w:p>
        </w:tc>
      </w:tr>
      <w:tr>
        <w:tc>
          <w:tcPr>
            <w:tcW w:w="4820" w:type="dxa"/>
          </w:tcPr>
          <w:p>
            <w:pPr>
              <w:pStyle w:val="yTableNAm"/>
              <w:spacing w:before="0"/>
            </w:pPr>
            <w:r>
              <w:t>Number of divisions</w:t>
            </w:r>
          </w:p>
        </w:tc>
        <w:tc>
          <w:tcPr>
            <w:tcW w:w="2248" w:type="dxa"/>
          </w:tcPr>
          <w:p>
            <w:pPr>
              <w:pStyle w:val="yTableNAm"/>
              <w:spacing w:before="0"/>
            </w:pPr>
            <w:r>
              <w:t>6</w:t>
            </w:r>
          </w:p>
        </w:tc>
      </w:tr>
      <w:tr>
        <w:tc>
          <w:tcPr>
            <w:tcW w:w="4820" w:type="dxa"/>
          </w:tcPr>
          <w:p>
            <w:pPr>
              <w:pStyle w:val="yTableNAm"/>
              <w:spacing w:before="0"/>
            </w:pPr>
            <w:r>
              <w:t>Winning numbers drawn</w:t>
            </w:r>
          </w:p>
        </w:tc>
        <w:tc>
          <w:tcPr>
            <w:tcW w:w="2248" w:type="dxa"/>
          </w:tcPr>
          <w:p>
            <w:pPr>
              <w:pStyle w:val="yTableNAm"/>
              <w:spacing w:before="0"/>
            </w:pPr>
            <w:r>
              <w:t>6</w:t>
            </w:r>
          </w:p>
        </w:tc>
      </w:tr>
      <w:tr>
        <w:tc>
          <w:tcPr>
            <w:tcW w:w="4820" w:type="dxa"/>
          </w:tcPr>
          <w:p>
            <w:pPr>
              <w:pStyle w:val="yTableNAm"/>
              <w:spacing w:before="0"/>
            </w:pPr>
            <w:r>
              <w:t>Supplementary numbers drawn</w:t>
            </w:r>
          </w:p>
        </w:tc>
        <w:tc>
          <w:tcPr>
            <w:tcW w:w="2248" w:type="dxa"/>
          </w:tcPr>
          <w:p>
            <w:pPr>
              <w:pStyle w:val="yTableNAm"/>
              <w:spacing w:before="0"/>
            </w:pPr>
            <w:r>
              <w:t>2</w:t>
            </w:r>
          </w:p>
        </w:tc>
      </w:tr>
      <w:tr>
        <w:tc>
          <w:tcPr>
            <w:tcW w:w="4820" w:type="dxa"/>
          </w:tcPr>
          <w:p>
            <w:pPr>
              <w:pStyle w:val="yTableNAm"/>
              <w:spacing w:before="0"/>
            </w:pPr>
            <w:r>
              <w:t>Forecast range </w:t>
            </w:r>
          </w:p>
        </w:tc>
        <w:tc>
          <w:tcPr>
            <w:tcW w:w="2248" w:type="dxa"/>
          </w:tcPr>
          <w:p>
            <w:pPr>
              <w:pStyle w:val="yTableNAm"/>
              <w:spacing w:before="0"/>
            </w:pPr>
            <w:r>
              <w:t>1 to 45 inclusive</w:t>
            </w:r>
          </w:p>
        </w:tc>
      </w:tr>
      <w:tr>
        <w:tc>
          <w:tcPr>
            <w:tcW w:w="4820" w:type="dxa"/>
          </w:tcPr>
          <w:p>
            <w:pPr>
              <w:pStyle w:val="yTableNAm"/>
              <w:spacing w:before="0"/>
            </w:pPr>
            <w:r>
              <w:t>Odds of winning —</w:t>
            </w:r>
          </w:p>
          <w:p>
            <w:pPr>
              <w:pStyle w:val="yTableNAm"/>
              <w:spacing w:before="0"/>
            </w:pPr>
            <w:r>
              <w:t>division 1</w:t>
            </w:r>
          </w:p>
          <w:p>
            <w:pPr>
              <w:pStyle w:val="yTableNAm"/>
              <w:spacing w:before="0"/>
            </w:pPr>
            <w:r>
              <w:t>division 2</w:t>
            </w:r>
          </w:p>
          <w:p>
            <w:pPr>
              <w:pStyle w:val="yTableNAm"/>
              <w:spacing w:before="0"/>
            </w:pPr>
            <w:r>
              <w:t>division 3</w:t>
            </w:r>
          </w:p>
          <w:p>
            <w:pPr>
              <w:pStyle w:val="yTableNAm"/>
              <w:spacing w:before="0"/>
            </w:pPr>
            <w:r>
              <w:t>division 4</w:t>
            </w:r>
          </w:p>
          <w:p>
            <w:pPr>
              <w:pStyle w:val="yTableNAm"/>
              <w:spacing w:before="0"/>
            </w:pPr>
            <w:r>
              <w:t>division 5</w:t>
            </w:r>
          </w:p>
          <w:p>
            <w:pPr>
              <w:pStyle w:val="yTableNAm"/>
              <w:spacing w:before="0"/>
            </w:pPr>
            <w:r>
              <w:t>division 6</w:t>
            </w:r>
          </w:p>
        </w:tc>
        <w:tc>
          <w:tcPr>
            <w:tcW w:w="2248" w:type="dxa"/>
          </w:tcPr>
          <w:p>
            <w:pPr>
              <w:pStyle w:val="yTableNAm"/>
              <w:spacing w:before="0"/>
            </w:pPr>
          </w:p>
          <w:p>
            <w:pPr>
              <w:pStyle w:val="yTableNAm"/>
              <w:spacing w:before="0"/>
            </w:pPr>
            <w:r>
              <w:t>1 in 8 145 060</w:t>
            </w:r>
          </w:p>
          <w:p>
            <w:pPr>
              <w:pStyle w:val="yTableNAm"/>
              <w:spacing w:before="0"/>
            </w:pPr>
            <w:r>
              <w:t>1 in 678 755</w:t>
            </w:r>
          </w:p>
          <w:p>
            <w:pPr>
              <w:pStyle w:val="yTableNAm"/>
              <w:spacing w:before="0"/>
            </w:pPr>
            <w:r>
              <w:t>1 in 36 690</w:t>
            </w:r>
          </w:p>
          <w:p>
            <w:pPr>
              <w:pStyle w:val="yTableNAm"/>
              <w:spacing w:before="0"/>
            </w:pPr>
            <w:r>
              <w:t>1 in 733</w:t>
            </w:r>
          </w:p>
          <w:p>
            <w:pPr>
              <w:pStyle w:val="yTableNAm"/>
              <w:spacing w:before="0"/>
            </w:pPr>
            <w:r>
              <w:t>1 in 298</w:t>
            </w:r>
          </w:p>
          <w:p>
            <w:pPr>
              <w:pStyle w:val="yTableNAm"/>
              <w:spacing w:before="0"/>
            </w:pPr>
            <w:r>
              <w:t>1 in 144</w:t>
            </w:r>
          </w:p>
        </w:tc>
      </w:tr>
      <w:tr>
        <w:tc>
          <w:tcPr>
            <w:tcW w:w="4820" w:type="dxa"/>
          </w:tcPr>
          <w:p>
            <w:pPr>
              <w:pStyle w:val="yTableNAm"/>
              <w:spacing w:before="0"/>
            </w:pPr>
            <w:r>
              <w:t>Systems range</w:t>
            </w:r>
          </w:p>
        </w:tc>
        <w:tc>
          <w:tcPr>
            <w:tcW w:w="2248" w:type="dxa"/>
          </w:tcPr>
          <w:p>
            <w:pPr>
              <w:pStyle w:val="yTableNAm"/>
              <w:spacing w:before="0"/>
            </w:pPr>
            <w:r>
              <w:t>4</w:t>
            </w:r>
            <w:r>
              <w:noBreakHyphen/>
              <w:t>5/7</w:t>
            </w:r>
            <w:r>
              <w:noBreakHyphen/>
              <w:t>20 inclusive</w:t>
            </w:r>
          </w:p>
        </w:tc>
      </w:tr>
      <w:tr>
        <w:tc>
          <w:tcPr>
            <w:tcW w:w="4820" w:type="dxa"/>
          </w:tcPr>
          <w:p>
            <w:pPr>
              <w:pStyle w:val="yTableNAm"/>
              <w:spacing w:before="0"/>
            </w:pPr>
            <w:r>
              <w:t>Multiweek options (</w:t>
            </w:r>
            <w:r>
              <w:rPr>
                <w:i/>
                <w:iCs/>
              </w:rPr>
              <w:t>if available</w:t>
            </w:r>
            <w:r>
              <w:t>)</w:t>
            </w:r>
          </w:p>
        </w:tc>
        <w:tc>
          <w:tcPr>
            <w:tcW w:w="2248" w:type="dxa"/>
          </w:tcPr>
          <w:p>
            <w:pPr>
              <w:pStyle w:val="yTableNAm"/>
              <w:spacing w:before="0"/>
            </w:pPr>
            <w:r>
              <w:t>2, 5 or 10 weeks</w:t>
            </w:r>
          </w:p>
        </w:tc>
      </w:tr>
      <w:tr>
        <w:tc>
          <w:tcPr>
            <w:tcW w:w="4820" w:type="dxa"/>
          </w:tcPr>
          <w:p>
            <w:pPr>
              <w:pStyle w:val="yTableNAm"/>
              <w:spacing w:before="0"/>
            </w:pPr>
            <w:r>
              <w:t>Advance sales (maximum) (</w:t>
            </w:r>
            <w:r>
              <w:rPr>
                <w:i/>
                <w:iCs/>
              </w:rPr>
              <w:t>if available</w:t>
            </w:r>
            <w:r>
              <w:t>)</w:t>
            </w:r>
          </w:p>
        </w:tc>
        <w:tc>
          <w:tcPr>
            <w:tcW w:w="2248" w:type="dxa"/>
          </w:tcPr>
          <w:p>
            <w:pPr>
              <w:pStyle w:val="yTableNAm"/>
              <w:spacing w:before="0"/>
            </w:pPr>
            <w:r>
              <w:t>10 weeks</w:t>
            </w:r>
          </w:p>
        </w:tc>
      </w:tr>
      <w:tr>
        <w:tc>
          <w:tcPr>
            <w:tcW w:w="4820" w:type="dxa"/>
          </w:tcPr>
          <w:p>
            <w:pPr>
              <w:pStyle w:val="yTableNAm"/>
              <w:spacing w:before="0"/>
            </w:pPr>
            <w:r>
              <w:t>Games per playslip (minimum)</w:t>
            </w:r>
          </w:p>
        </w:tc>
        <w:tc>
          <w:tcPr>
            <w:tcW w:w="2248" w:type="dxa"/>
          </w:tcPr>
          <w:p>
            <w:pPr>
              <w:pStyle w:val="yTableNAm"/>
              <w:spacing w:before="0"/>
            </w:pPr>
            <w:r>
              <w:t>4</w:t>
            </w:r>
          </w:p>
        </w:tc>
      </w:tr>
      <w:tr>
        <w:tc>
          <w:tcPr>
            <w:tcW w:w="4820" w:type="dxa"/>
          </w:tcPr>
          <w:p>
            <w:pPr>
              <w:pStyle w:val="yTableNAm"/>
              <w:spacing w:before="0"/>
            </w:pPr>
            <w:r>
              <w:t xml:space="preserve">Systems entries per playslip (maximum) </w:t>
            </w:r>
          </w:p>
        </w:tc>
        <w:tc>
          <w:tcPr>
            <w:tcW w:w="2248" w:type="dxa"/>
          </w:tcPr>
          <w:p>
            <w:pPr>
              <w:pStyle w:val="yTableNAm"/>
              <w:spacing w:before="0"/>
            </w:pPr>
            <w:r>
              <w:t>18</w:t>
            </w:r>
            <w:r>
              <w:br/>
              <w:t>(subject to maximum aggregate entry cost)</w:t>
            </w:r>
          </w:p>
        </w:tc>
      </w:tr>
      <w:tr>
        <w:tc>
          <w:tcPr>
            <w:tcW w:w="4820" w:type="dxa"/>
          </w:tcPr>
          <w:p>
            <w:pPr>
              <w:pStyle w:val="yTableNAm"/>
              <w:spacing w:before="0"/>
            </w:pPr>
            <w:r>
              <w:t>Games per playslip (maximum)</w:t>
            </w:r>
          </w:p>
        </w:tc>
        <w:tc>
          <w:tcPr>
            <w:tcW w:w="2248" w:type="dxa"/>
          </w:tcPr>
          <w:p>
            <w:pPr>
              <w:pStyle w:val="yTableNAm"/>
              <w:spacing w:before="0"/>
            </w:pPr>
            <w:r>
              <w:t>18</w:t>
            </w:r>
          </w:p>
        </w:tc>
      </w:tr>
      <w:tr>
        <w:tc>
          <w:tcPr>
            <w:tcW w:w="4820" w:type="dxa"/>
          </w:tcPr>
          <w:p>
            <w:pPr>
              <w:pStyle w:val="yTableNAm"/>
              <w:spacing w:before="0"/>
            </w:pPr>
            <w:r>
              <w:t>Games per oral request (default)</w:t>
            </w:r>
          </w:p>
        </w:tc>
        <w:tc>
          <w:tcPr>
            <w:tcW w:w="2248" w:type="dxa"/>
          </w:tcPr>
          <w:p>
            <w:pPr>
              <w:pStyle w:val="yTableNAm"/>
              <w:spacing w:before="0"/>
            </w:pPr>
            <w:r>
              <w:t>12, 18, 25, 30 or 50</w:t>
            </w:r>
          </w:p>
        </w:tc>
      </w:tr>
      <w:tr>
        <w:tc>
          <w:tcPr>
            <w:tcW w:w="4820" w:type="dxa"/>
          </w:tcPr>
          <w:p>
            <w:pPr>
              <w:pStyle w:val="yTableNAm"/>
              <w:spacing w:before="0"/>
            </w:pPr>
            <w:r>
              <w:t>Games per oral request (</w:t>
            </w:r>
            <w:r>
              <w:rPr>
                <w:i/>
                <w:iCs/>
              </w:rPr>
              <w:t>if available</w:t>
            </w:r>
            <w:r>
              <w:t>)</w:t>
            </w:r>
          </w:p>
        </w:tc>
        <w:tc>
          <w:tcPr>
            <w:tcW w:w="2248" w:type="dxa"/>
          </w:tcPr>
          <w:p>
            <w:pPr>
              <w:pStyle w:val="yTableNAm"/>
              <w:spacing w:before="0"/>
            </w:pPr>
            <w:r>
              <w:t>4 to 50</w:t>
            </w:r>
          </w:p>
        </w:tc>
      </w:tr>
      <w:tr>
        <w:tc>
          <w:tcPr>
            <w:tcW w:w="4820" w:type="dxa"/>
          </w:tcPr>
          <w:p>
            <w:pPr>
              <w:pStyle w:val="yTableNAm"/>
              <w:spacing w:before="0"/>
            </w:pPr>
            <w:r>
              <w:t>Syndicate entries may be purchased (</w:t>
            </w:r>
            <w:r>
              <w:rPr>
                <w:i/>
                <w:iCs/>
              </w:rPr>
              <w:t>if available</w:t>
            </w:r>
            <w:r>
              <w:t>)</w:t>
            </w:r>
          </w:p>
        </w:tc>
        <w:tc>
          <w:tcPr>
            <w:tcW w:w="2248" w:type="dxa"/>
          </w:tcPr>
          <w:p>
            <w:pPr>
              <w:pStyle w:val="yTableNAm"/>
              <w:spacing w:before="0"/>
            </w:pPr>
            <w:r>
              <w:t>(see Part 2A)</w:t>
            </w:r>
          </w:p>
        </w:tc>
      </w:tr>
      <w:tr>
        <w:tc>
          <w:tcPr>
            <w:tcW w:w="4820" w:type="dxa"/>
          </w:tcPr>
          <w:p>
            <w:pPr>
              <w:pStyle w:val="yTableNAm"/>
              <w:spacing w:before="0"/>
            </w:pPr>
            <w:r>
              <w:t>Systems entries per oral request</w:t>
            </w:r>
          </w:p>
        </w:tc>
        <w:tc>
          <w:tcPr>
            <w:tcW w:w="2248" w:type="dxa"/>
          </w:tcPr>
          <w:p>
            <w:pPr>
              <w:pStyle w:val="yTableNAm"/>
              <w:spacing w:before="0"/>
            </w:pPr>
            <w:r>
              <w:t>1</w:t>
            </w:r>
          </w:p>
        </w:tc>
      </w:tr>
      <w:tr>
        <w:tc>
          <w:tcPr>
            <w:tcW w:w="4820" w:type="dxa"/>
          </w:tcPr>
          <w:p>
            <w:pPr>
              <w:pStyle w:val="yTableNAm"/>
              <w:spacing w:before="0"/>
            </w:pPr>
            <w:r>
              <w:t>Prize payout period</w:t>
            </w:r>
          </w:p>
        </w:tc>
        <w:tc>
          <w:tcPr>
            <w:tcW w:w="2248" w:type="dxa"/>
          </w:tcPr>
          <w:p>
            <w:pPr>
              <w:pStyle w:val="yTableNAm"/>
              <w:spacing w:before="0"/>
            </w:pPr>
            <w:r>
              <w:t>12 months</w:t>
            </w:r>
          </w:p>
        </w:tc>
      </w:tr>
      <w:tr>
        <w:tc>
          <w:tcPr>
            <w:tcW w:w="4820" w:type="dxa"/>
          </w:tcPr>
          <w:p>
            <w:pPr>
              <w:pStyle w:val="yTableNAm"/>
              <w:spacing w:before="0"/>
            </w:pPr>
            <w:r>
              <w:t>Maximum aggregate entry cost</w:t>
            </w:r>
          </w:p>
        </w:tc>
        <w:tc>
          <w:tcPr>
            <w:tcW w:w="2248" w:type="dxa"/>
          </w:tcPr>
          <w:p>
            <w:pPr>
              <w:pStyle w:val="yTableNAm"/>
              <w:spacing w:before="0"/>
            </w:pPr>
            <w:r>
              <w:t>$100 000</w:t>
            </w:r>
          </w:p>
        </w:tc>
      </w:tr>
    </w:tbl>
    <w:p>
      <w:pPr>
        <w:pStyle w:val="yFootnotesection"/>
      </w:pPr>
      <w:r>
        <w:tab/>
        <w:t>[Part 2 inserted in Gazette 27 Jan 2012 p. 575</w:t>
      </w:r>
      <w:r>
        <w:noBreakHyphen/>
        <w:t>6.]</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540" w:name="_Toc133385347"/>
      <w:bookmarkStart w:id="541" w:name="_Toc147288435"/>
      <w:bookmarkStart w:id="542" w:name="_Toc170549152"/>
      <w:bookmarkStart w:id="543" w:name="_Toc170620905"/>
      <w:bookmarkStart w:id="544" w:name="_Toc170621055"/>
      <w:bookmarkStart w:id="545" w:name="_Toc200510486"/>
      <w:bookmarkStart w:id="546" w:name="_Toc210787583"/>
      <w:bookmarkStart w:id="547" w:name="_Toc222820843"/>
      <w:bookmarkStart w:id="548" w:name="_Toc222889202"/>
      <w:bookmarkStart w:id="549" w:name="_Toc224108827"/>
      <w:bookmarkStart w:id="550" w:name="_Toc256152956"/>
      <w:bookmarkStart w:id="551" w:name="_Toc277943327"/>
      <w:bookmarkStart w:id="552" w:name="_Toc315428735"/>
      <w:bookmarkStart w:id="553" w:name="_Toc317510767"/>
      <w:bookmarkStart w:id="554" w:name="_Toc317511311"/>
      <w:bookmarkStart w:id="555" w:name="_Toc317578458"/>
      <w:bookmarkStart w:id="556" w:name="_Toc324420169"/>
      <w:bookmarkStart w:id="557" w:name="_Toc324423655"/>
      <w:bookmarkStart w:id="558" w:name="_Toc324424357"/>
      <w:bookmarkStart w:id="559" w:name="_Toc326649731"/>
      <w:bookmarkStart w:id="560" w:name="_Toc326650485"/>
      <w:bookmarkStart w:id="561" w:name="_Toc328461904"/>
      <w:r>
        <w:t>Notes</w:t>
      </w:r>
      <w:bookmarkEnd w:id="503"/>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reprint is a compilation as at 8 June 2012 of the </w:t>
      </w:r>
      <w:r>
        <w:rPr>
          <w:i/>
          <w:noProof/>
          <w:snapToGrid w:val="0"/>
        </w:rPr>
        <w:t>Lotteries Commission (Monday and Wednesday Lotto) Rules 2006</w:t>
      </w:r>
      <w:r>
        <w:rPr>
          <w:snapToGrid w:val="0"/>
        </w:rPr>
        <w:t xml:space="preserve"> and includes the amendments made by the other written laws referred to in the following table.  The table also contains information about any reprint.</w:t>
      </w:r>
    </w:p>
    <w:p>
      <w:pPr>
        <w:pStyle w:val="nHeading3"/>
      </w:pPr>
      <w:bookmarkStart w:id="562" w:name="_Toc328461905"/>
      <w:r>
        <w:t>Compilation table</w:t>
      </w:r>
      <w:bookmarkEnd w:id="5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spacing w:after="40"/>
              <w:rPr>
                <w:sz w:val="19"/>
              </w:rPr>
            </w:pPr>
            <w:r>
              <w:rPr>
                <w:sz w:val="19"/>
              </w:rPr>
              <w:t>21 Apr 2006 p. 1611</w:t>
            </w:r>
            <w:r>
              <w:rPr>
                <w:sz w:val="19"/>
              </w:rPr>
              <w:noBreakHyphen/>
              <w:t>45</w:t>
            </w:r>
          </w:p>
        </w:tc>
        <w:tc>
          <w:tcPr>
            <w:tcW w:w="2693" w:type="dxa"/>
            <w:tcBorders>
              <w:top w:val="single" w:sz="8" w:space="0" w:color="auto"/>
            </w:tcBorders>
          </w:tcPr>
          <w:p>
            <w:pPr>
              <w:pStyle w:val="nTable"/>
              <w:spacing w:after="40"/>
              <w:rPr>
                <w:sz w:val="19"/>
              </w:rPr>
            </w:pPr>
            <w:r>
              <w:rPr>
                <w:sz w:val="19"/>
              </w:rPr>
              <w:t>27 Apr 2006 (see r. 2)</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2006</w:t>
            </w:r>
          </w:p>
        </w:tc>
        <w:tc>
          <w:tcPr>
            <w:tcW w:w="1276" w:type="dxa"/>
          </w:tcPr>
          <w:p>
            <w:pPr>
              <w:pStyle w:val="nTable"/>
              <w:spacing w:after="40"/>
              <w:rPr>
                <w:sz w:val="19"/>
              </w:rPr>
            </w:pPr>
            <w:r>
              <w:rPr>
                <w:sz w:val="19"/>
              </w:rPr>
              <w:t>29 Sep 2006 p. 4273-4</w:t>
            </w:r>
          </w:p>
        </w:tc>
        <w:tc>
          <w:tcPr>
            <w:tcW w:w="2693" w:type="dxa"/>
          </w:tcPr>
          <w:p>
            <w:pPr>
              <w:pStyle w:val="nTable"/>
              <w:spacing w:after="40"/>
              <w:rPr>
                <w:sz w:val="19"/>
              </w:rPr>
            </w:pPr>
            <w:r>
              <w:rPr>
                <w:sz w:val="19"/>
              </w:rPr>
              <w:t>29 Sep 2006</w:t>
            </w:r>
          </w:p>
        </w:tc>
      </w:tr>
      <w:tr>
        <w:tc>
          <w:tcPr>
            <w:tcW w:w="3118" w:type="dxa"/>
          </w:tcPr>
          <w:p>
            <w:pPr>
              <w:pStyle w:val="nTable"/>
              <w:spacing w:after="40"/>
              <w:rPr>
                <w:i/>
                <w:noProof/>
                <w:snapToGrid w:val="0"/>
                <w:sz w:val="19"/>
              </w:rPr>
            </w:pPr>
            <w:r>
              <w:rPr>
                <w:i/>
                <w:noProof/>
                <w:snapToGrid w:val="0"/>
                <w:sz w:val="19"/>
              </w:rPr>
              <w:t>Lotteries Commission (Monday and Wednesday Lotto) Rules 2007</w:t>
            </w:r>
          </w:p>
        </w:tc>
        <w:tc>
          <w:tcPr>
            <w:tcW w:w="1276" w:type="dxa"/>
          </w:tcPr>
          <w:p>
            <w:pPr>
              <w:pStyle w:val="nTable"/>
              <w:spacing w:after="40"/>
              <w:rPr>
                <w:sz w:val="19"/>
              </w:rPr>
            </w:pPr>
            <w:r>
              <w:rPr>
                <w:sz w:val="19"/>
              </w:rPr>
              <w:t>26 Jun 2007 p. 3056</w:t>
            </w:r>
            <w:r>
              <w:rPr>
                <w:sz w:val="19"/>
              </w:rPr>
              <w:noBreakHyphen/>
              <w:t>7</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2008</w:t>
            </w:r>
          </w:p>
        </w:tc>
        <w:tc>
          <w:tcPr>
            <w:tcW w:w="1276" w:type="dxa"/>
          </w:tcPr>
          <w:p>
            <w:pPr>
              <w:pStyle w:val="nTable"/>
              <w:spacing w:after="40"/>
              <w:rPr>
                <w:sz w:val="19"/>
              </w:rPr>
            </w:pPr>
            <w:r>
              <w:rPr>
                <w:sz w:val="19"/>
              </w:rPr>
              <w:t>6 Jun 2008 p. 2299-321</w:t>
            </w:r>
          </w:p>
        </w:tc>
        <w:tc>
          <w:tcPr>
            <w:tcW w:w="2693" w:type="dxa"/>
          </w:tcPr>
          <w:p>
            <w:pPr>
              <w:pStyle w:val="nTable"/>
              <w:spacing w:after="40"/>
              <w:rPr>
                <w:snapToGrid w:val="0"/>
                <w:sz w:val="19"/>
                <w:lang w:val="en-US"/>
              </w:rPr>
            </w:pPr>
            <w:r>
              <w:rPr>
                <w:sz w:val="19"/>
              </w:rPr>
              <w:t>r. 1 and 2: 6 Jun 2008 (see r. 2(a));</w:t>
            </w:r>
            <w:r>
              <w:rPr>
                <w:sz w:val="19"/>
              </w:rPr>
              <w:br/>
              <w:t>Rules other than r. 1 and 2: 8 Jun 2008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2008</w:t>
            </w:r>
          </w:p>
        </w:tc>
        <w:tc>
          <w:tcPr>
            <w:tcW w:w="1276" w:type="dxa"/>
          </w:tcPr>
          <w:p>
            <w:pPr>
              <w:pStyle w:val="nTable"/>
              <w:spacing w:after="40"/>
              <w:rPr>
                <w:sz w:val="19"/>
              </w:rPr>
            </w:pPr>
            <w:r>
              <w:rPr>
                <w:sz w:val="19"/>
              </w:rPr>
              <w:t>3 Oct 2008 p. 4494-7</w:t>
            </w:r>
          </w:p>
        </w:tc>
        <w:tc>
          <w:tcPr>
            <w:tcW w:w="2693" w:type="dxa"/>
          </w:tcPr>
          <w:p>
            <w:pPr>
              <w:pStyle w:val="nTable"/>
              <w:spacing w:after="40"/>
              <w:rPr>
                <w:sz w:val="19"/>
              </w:rPr>
            </w:pPr>
            <w:r>
              <w:rPr>
                <w:sz w:val="19"/>
              </w:rPr>
              <w:t>r. 1 and 2: 3 Oct 2008 (see r. 2(a));</w:t>
            </w:r>
            <w:r>
              <w:rPr>
                <w:sz w:val="19"/>
              </w:rPr>
              <w:br/>
              <w:t>Rules other than r. 1 and 2:</w:t>
            </w:r>
            <w:r>
              <w:rPr>
                <w:sz w:val="19"/>
              </w:rPr>
              <w:br/>
              <w:t>for Monday lotto – 7 Oct 2008 (see r. 2(b)(i));</w:t>
            </w:r>
            <w:r>
              <w:rPr>
                <w:sz w:val="19"/>
              </w:rPr>
              <w:br/>
              <w:t>for Wednesday lotto – 9 Oct 2008 (see r. 2(b)(ii))</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Lotteries Commission (Monday and Wednesday Lotto) Rules 2006</w:t>
            </w:r>
            <w:r>
              <w:rPr>
                <w:b/>
                <w:bCs/>
                <w:sz w:val="19"/>
              </w:rPr>
              <w:t xml:space="preserve"> as at 20 Mar 2009</w:t>
            </w:r>
            <w:r>
              <w:rPr>
                <w:sz w:val="19"/>
              </w:rPr>
              <w:t xml:space="preserve"> (includes amendments listed above)</w:t>
            </w:r>
          </w:p>
        </w:tc>
      </w:tr>
      <w:tr>
        <w:tc>
          <w:tcPr>
            <w:tcW w:w="3118"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2010</w:t>
            </w:r>
          </w:p>
        </w:tc>
        <w:tc>
          <w:tcPr>
            <w:tcW w:w="1276" w:type="dxa"/>
          </w:tcPr>
          <w:p>
            <w:pPr>
              <w:pStyle w:val="nTable"/>
              <w:spacing w:after="40"/>
              <w:rPr>
                <w:sz w:val="19"/>
              </w:rPr>
            </w:pPr>
            <w:r>
              <w:rPr>
                <w:sz w:val="19"/>
              </w:rPr>
              <w:t>12 Mar 2010 p. 941</w:t>
            </w:r>
            <w:r>
              <w:rPr>
                <w:sz w:val="19"/>
              </w:rPr>
              <w:noBreakHyphen/>
              <w:t>3</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2010</w:t>
            </w:r>
          </w:p>
        </w:tc>
        <w:tc>
          <w:tcPr>
            <w:tcW w:w="1276" w:type="dxa"/>
          </w:tcPr>
          <w:p>
            <w:pPr>
              <w:pStyle w:val="nTable"/>
              <w:spacing w:after="40"/>
              <w:rPr>
                <w:sz w:val="19"/>
              </w:rPr>
            </w:pPr>
            <w:r>
              <w:rPr>
                <w:sz w:val="19"/>
              </w:rPr>
              <w:t>19 Nov 2010 p. 5720</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Lotteries Commission (Monday and Wednesday Lotto) Amendment Rules 2011</w:t>
            </w:r>
          </w:p>
        </w:tc>
        <w:tc>
          <w:tcPr>
            <w:tcW w:w="1276" w:type="dxa"/>
            <w:shd w:val="clear" w:color="auto" w:fill="auto"/>
          </w:tcPr>
          <w:p>
            <w:pPr>
              <w:pStyle w:val="nTable"/>
              <w:spacing w:after="40"/>
              <w:rPr>
                <w:sz w:val="19"/>
              </w:rPr>
            </w:pPr>
            <w:r>
              <w:rPr>
                <w:sz w:val="19"/>
              </w:rPr>
              <w:t>27 Jan 2012 p. 569</w:t>
            </w:r>
            <w:r>
              <w:rPr>
                <w:sz w:val="19"/>
              </w:rPr>
              <w:noBreakHyphen/>
              <w:t>76</w:t>
            </w:r>
          </w:p>
        </w:tc>
        <w:tc>
          <w:tcPr>
            <w:tcW w:w="2693" w:type="dxa"/>
            <w:shd w:val="clear" w:color="auto" w:fill="auto"/>
          </w:tcPr>
          <w:p>
            <w:pPr>
              <w:pStyle w:val="nTable"/>
              <w:spacing w:after="40"/>
              <w:rPr>
                <w:snapToGrid w:val="0"/>
                <w:spacing w:val="-2"/>
                <w:sz w:val="19"/>
                <w:lang w:val="en-US"/>
              </w:rPr>
            </w:pPr>
            <w:r>
              <w:rPr>
                <w:sz w:val="19"/>
              </w:rPr>
              <w:t>21 Feb 2012 (see r. 2)</w:t>
            </w:r>
          </w:p>
        </w:tc>
      </w:tr>
      <w:tr>
        <w:tc>
          <w:tcPr>
            <w:tcW w:w="7087" w:type="dxa"/>
            <w:gridSpan w:val="3"/>
            <w:tcBorders>
              <w:bottom w:val="single" w:sz="8" w:space="0" w:color="auto"/>
            </w:tcBorders>
            <w:shd w:val="clear" w:color="auto" w:fill="auto"/>
          </w:tcPr>
          <w:p>
            <w:pPr>
              <w:pStyle w:val="nTable"/>
              <w:spacing w:after="40"/>
              <w:rPr>
                <w:sz w:val="19"/>
              </w:rPr>
            </w:pPr>
            <w:r>
              <w:rPr>
                <w:b/>
                <w:bCs/>
                <w:sz w:val="19"/>
              </w:rPr>
              <w:t xml:space="preserve">Reprint 2: The </w:t>
            </w:r>
            <w:r>
              <w:rPr>
                <w:b/>
                <w:bCs/>
                <w:i/>
                <w:noProof/>
                <w:snapToGrid w:val="0"/>
                <w:sz w:val="19"/>
              </w:rPr>
              <w:t>Lotteries Commission (Monday and Wednesday Lotto) Rules 2006</w:t>
            </w:r>
            <w:r>
              <w:rPr>
                <w:b/>
                <w:bCs/>
                <w:sz w:val="19"/>
              </w:rPr>
              <w:t xml:space="preserve"> as at 8 Jun 2012</w:t>
            </w:r>
            <w:r>
              <w:rPr>
                <w:sz w:val="19"/>
              </w:rPr>
              <w:t xml:space="preserve"> (includes amendments listed above)</w:t>
            </w:r>
          </w:p>
        </w:tc>
      </w:tr>
    </w:tbl>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563" w:name="_Toc324424359"/>
      <w:bookmarkStart w:id="564" w:name="_Toc326649733"/>
      <w:bookmarkStart w:id="565" w:name="_Toc326650487"/>
      <w:bookmarkStart w:id="566" w:name="_Toc328461906"/>
      <w:r>
        <w:rPr>
          <w:sz w:val="28"/>
        </w:rPr>
        <w:t>Defined Terms</w:t>
      </w:r>
      <w:bookmarkEnd w:id="563"/>
      <w:bookmarkEnd w:id="564"/>
      <w:bookmarkEnd w:id="565"/>
      <w:bookmarkEnd w:id="5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7" w:name="DefinedTerms"/>
      <w:bookmarkEnd w:id="567"/>
      <w:r>
        <w:t>agent</w:t>
      </w:r>
      <w:r>
        <w:tab/>
        <w:t>3(1)</w:t>
      </w:r>
    </w:p>
    <w:p>
      <w:pPr>
        <w:pStyle w:val="DefinedTerms"/>
      </w:pPr>
      <w:r>
        <w:t>agent’s component</w:t>
      </w:r>
      <w:r>
        <w:tab/>
        <w:t>3(1)</w:t>
      </w:r>
    </w:p>
    <w:p>
      <w:pPr>
        <w:pStyle w:val="DefinedTerms"/>
      </w:pPr>
      <w:r>
        <w:t>authorised payout centre</w:t>
      </w:r>
      <w:r>
        <w:tab/>
        <w:t>3(1)</w:t>
      </w:r>
    </w:p>
    <w:p>
      <w:pPr>
        <w:pStyle w:val="DefinedTerms"/>
      </w:pPr>
      <w:r>
        <w:t>entry</w:t>
      </w:r>
      <w:r>
        <w:tab/>
        <w:t>3(1)</w:t>
      </w:r>
    </w:p>
    <w:p>
      <w:pPr>
        <w:pStyle w:val="DefinedTerms"/>
      </w:pPr>
      <w:r>
        <w:t>game</w:t>
      </w:r>
      <w:r>
        <w:tab/>
        <w:t>3(1)</w:t>
      </w:r>
    </w:p>
    <w:p>
      <w:pPr>
        <w:pStyle w:val="DefinedTerms"/>
      </w:pPr>
      <w:r>
        <w:t>game board</w:t>
      </w:r>
      <w:r>
        <w:tab/>
        <w:t>3(1)</w:t>
      </w:r>
    </w:p>
    <w:p>
      <w:pPr>
        <w:pStyle w:val="DefinedTerms"/>
      </w:pPr>
      <w:r>
        <w:t>lotto</w:t>
      </w:r>
      <w:r>
        <w:tab/>
        <w:t>3(2) and (3)</w:t>
      </w:r>
    </w:p>
    <w:p>
      <w:pPr>
        <w:pStyle w:val="DefinedTerms"/>
      </w:pPr>
      <w:r>
        <w:t>lotto draw</w:t>
      </w:r>
      <w:r>
        <w:tab/>
        <w:t>3(1)-(3), 10(9)</w:t>
      </w:r>
    </w:p>
    <w:p>
      <w:pPr>
        <w:pStyle w:val="DefinedTerms"/>
      </w:pPr>
      <w:r>
        <w:t>Monday and Wednesday Lotto Bloc</w:t>
      </w:r>
      <w:r>
        <w:tab/>
        <w:t>3(1)</w:t>
      </w:r>
    </w:p>
    <w:p>
      <w:pPr>
        <w:pStyle w:val="DefinedTerms"/>
      </w:pPr>
      <w:r>
        <w:t>Monday lotto</w:t>
      </w:r>
      <w:r>
        <w:tab/>
        <w:t>3(1)</w:t>
      </w:r>
    </w:p>
    <w:p>
      <w:pPr>
        <w:pStyle w:val="DefinedTerms"/>
      </w:pPr>
      <w:r>
        <w:t>payout period</w:t>
      </w:r>
      <w:r>
        <w:tab/>
        <w:t>3(2) and (3)</w:t>
      </w:r>
    </w:p>
    <w:p>
      <w:pPr>
        <w:pStyle w:val="DefinedTerms"/>
      </w:pPr>
      <w:r>
        <w:t>player’s card</w:t>
      </w:r>
      <w:r>
        <w:tab/>
        <w:t>3(1)</w:t>
      </w:r>
    </w:p>
    <w:p>
      <w:pPr>
        <w:pStyle w:val="DefinedTerms"/>
      </w:pPr>
      <w:r>
        <w:t>player’s card number</w:t>
      </w:r>
      <w:r>
        <w:tab/>
        <w:t>3(1)</w:t>
      </w:r>
    </w:p>
    <w:p>
      <w:pPr>
        <w:pStyle w:val="DefinedTerms"/>
      </w:pPr>
      <w:r>
        <w:t>playslip</w:t>
      </w:r>
      <w:r>
        <w:tab/>
        <w:t>3(1)</w:t>
      </w:r>
    </w:p>
    <w:p>
      <w:pPr>
        <w:pStyle w:val="DefinedTerms"/>
      </w:pPr>
      <w:r>
        <w:t>postal entry</w:t>
      </w:r>
      <w:r>
        <w:tab/>
        <w:t>10(1)</w:t>
      </w:r>
    </w:p>
    <w:p>
      <w:pPr>
        <w:pStyle w:val="DefinedTerms"/>
      </w:pPr>
      <w:r>
        <w:t>prize fund</w:t>
      </w:r>
      <w:r>
        <w:tab/>
        <w:t>3(1)</w:t>
      </w:r>
    </w:p>
    <w:p>
      <w:pPr>
        <w:pStyle w:val="DefinedTerms"/>
      </w:pPr>
      <w:r>
        <w:t>prize pool</w:t>
      </w:r>
      <w:r>
        <w:tab/>
        <w:t>3(1)-(3)</w:t>
      </w:r>
    </w:p>
    <w:p>
      <w:pPr>
        <w:pStyle w:val="DefinedTerms"/>
      </w:pPr>
      <w:r>
        <w:t>prize reserve fund</w:t>
      </w:r>
      <w:r>
        <w:tab/>
        <w:t>3(1)</w:t>
      </w:r>
    </w:p>
    <w:p>
      <w:pPr>
        <w:pStyle w:val="DefinedTerms"/>
      </w:pPr>
      <w:r>
        <w:t>promotional coupon</w:t>
      </w:r>
      <w:r>
        <w:tab/>
        <w:t>3(1)</w:t>
      </w:r>
    </w:p>
    <w:p>
      <w:pPr>
        <w:pStyle w:val="DefinedTerms"/>
      </w:pPr>
      <w:r>
        <w:t>receipted ticket</w:t>
      </w:r>
      <w:r>
        <w:tab/>
        <w:t>3(1)</w:t>
      </w:r>
    </w:p>
    <w:p>
      <w:pPr>
        <w:pStyle w:val="DefinedTerms"/>
      </w:pPr>
      <w:r>
        <w:t>Saturday lotto</w:t>
      </w:r>
      <w:r>
        <w:tab/>
        <w:t>3(1)</w:t>
      </w:r>
    </w:p>
    <w:p>
      <w:pPr>
        <w:pStyle w:val="DefinedTerms"/>
      </w:pPr>
      <w:r>
        <w:t>Saturday lotto draw</w:t>
      </w:r>
      <w:r>
        <w:tab/>
        <w:t>3(1)</w:t>
      </w:r>
    </w:p>
    <w:p>
      <w:pPr>
        <w:pStyle w:val="DefinedTerms"/>
      </w:pPr>
      <w:r>
        <w:t>selected number</w:t>
      </w:r>
      <w:r>
        <w:tab/>
        <w:t>3(1)</w:t>
      </w:r>
    </w:p>
    <w:p>
      <w:pPr>
        <w:pStyle w:val="DefinedTerms"/>
      </w:pPr>
      <w:r>
        <w:t>selling period</w:t>
      </w:r>
      <w:r>
        <w:tab/>
        <w:t>3(2) and (3)</w:t>
      </w:r>
    </w:p>
    <w:p>
      <w:pPr>
        <w:pStyle w:val="DefinedTerms"/>
      </w:pPr>
      <w:r>
        <w:t>supplementary number</w:t>
      </w:r>
      <w:r>
        <w:tab/>
        <w:t>3(2) and (3)</w:t>
      </w:r>
    </w:p>
    <w:p>
      <w:pPr>
        <w:pStyle w:val="DefinedTerms"/>
      </w:pPr>
      <w:r>
        <w:t>syndicate sales (subscription) adjustment</w:t>
      </w:r>
      <w:r>
        <w:tab/>
        <w:t>14B(6)</w:t>
      </w:r>
    </w:p>
    <w:p>
      <w:pPr>
        <w:pStyle w:val="DefinedTerms"/>
      </w:pPr>
      <w:r>
        <w:t>validation period</w:t>
      </w:r>
      <w:r>
        <w:tab/>
        <w:t>3(2) and (3)</w:t>
      </w:r>
    </w:p>
    <w:p>
      <w:pPr>
        <w:pStyle w:val="DefinedTerms"/>
      </w:pPr>
      <w:r>
        <w:t>Wednesday lotto</w:t>
      </w:r>
      <w:r>
        <w:tab/>
        <w:t>3(1)</w:t>
      </w:r>
    </w:p>
    <w:p>
      <w:pPr>
        <w:pStyle w:val="DefinedTerms"/>
      </w:pPr>
      <w:r>
        <w:t>winning number</w:t>
      </w:r>
      <w:r>
        <w:tab/>
        <w:t>3(2) and (3)</w:t>
      </w:r>
    </w:p>
    <w:p>
      <w:pPr>
        <w:pStyle w:val="DefinedTerms"/>
      </w:pPr>
    </w:p>
    <w:p/>
    <w:p/>
    <w:p/>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Up to draw 3115</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Up to draw 3115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2B1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C2E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28AB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024E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29426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165C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228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6C19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CCCD88"/>
    <w:lvl w:ilvl="0">
      <w:start w:val="1"/>
      <w:numFmt w:val="decimal"/>
      <w:pStyle w:val="ListNumber"/>
      <w:lvlText w:val="%1."/>
      <w:lvlJc w:val="left"/>
      <w:pPr>
        <w:tabs>
          <w:tab w:val="num" w:pos="360"/>
        </w:tabs>
        <w:ind w:left="360" w:hanging="360"/>
      </w:pPr>
    </w:lvl>
  </w:abstractNum>
  <w:abstractNum w:abstractNumId="9">
    <w:nsid w:val="FFFFFF89"/>
    <w:multiLevelType w:val="singleLevel"/>
    <w:tmpl w:val="C0A89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BEB260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44A84C6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6"/>
  </w:num>
  <w:num w:numId="14">
    <w:abstractNumId w:val="11"/>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8"/>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12299</Words>
  <Characters>50061</Characters>
  <Application>Microsoft Office Word</Application>
  <DocSecurity>0</DocSecurity>
  <Lines>4551</Lines>
  <Paragraphs>3464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Western Australia</vt:lpstr>
      <vt:lpstr>Lotteries Commission (Monday and Wednesday Lotto) Rules 2006</vt:lpstr>
      <vt:lpstr>    Part 1 — Preliminary</vt:lpstr>
      <vt:lpstr>    Part 2 — Requirements for entry</vt:lpstr>
      <vt:lpstr>    Part 2A — Syndicate entries</vt:lpstr>
      <vt:lpstr>    Part 3 — General duties of Commission</vt:lpstr>
      <vt:lpstr>    Part 4 — Conducting a lotto draw</vt:lpstr>
      <vt:lpstr>    Part 5 — Miscellaneous</vt:lpstr>
      <vt:lpstr>    Schedule 1 — Calculating the total cost of entry — Monday lotto or Wednesday lot</vt:lpstr>
      <vt:lpstr>        Part 1 — Up to draw 3115</vt:lpstr>
      <vt:lpstr>        Part 2 — On and after draw 3116</vt:lpstr>
      <vt:lpstr>    Schedule 2 — System entries and game equivalents</vt:lpstr>
      <vt:lpstr>    Schedule 3 — System entry prize schedule</vt:lpstr>
      <vt:lpstr>        Part 1 — Up to draw 3115</vt:lpstr>
      <vt:lpstr>        Part 2 — On and after draw 3116</vt:lpstr>
      <vt:lpstr>    Schedule 4 — Summary of parameters within which Monday or Wednesday lotto is con</vt:lpstr>
      <vt:lpstr>        Part 1 — Up to draw 3115</vt:lpstr>
      <vt:lpstr>        Part 2 — On and after draw 3116</vt:lpstr>
      <vt:lpstr>    Notes</vt:lpstr>
      <vt:lpstr>    Defined Terms</vt:lpstr>
    </vt:vector>
  </TitlesOfParts>
  <Manager/>
  <Company/>
  <LinksUpToDate>false</LinksUpToDate>
  <CharactersWithSpaces>58896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2006 - 02-a0-01</dc:title>
  <dc:subject/>
  <dc:creator/>
  <cp:keywords/>
  <dc:description/>
  <cp:lastModifiedBy>svcMRProcess</cp:lastModifiedBy>
  <cp:revision>4</cp:revision>
  <cp:lastPrinted>2012-06-26T00:16:00Z</cp:lastPrinted>
  <dcterms:created xsi:type="dcterms:W3CDTF">2018-09-12T17:45:00Z</dcterms:created>
  <dcterms:modified xsi:type="dcterms:W3CDTF">2018-09-12T17:45:00Z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20120608</vt:lpwstr>
  </property>
  <property fmtid="{D5CDD505-2E9C-101B-9397-08002B2CF9AE}" pid="4" name="OwlsUID">
    <vt:i4>38476</vt:i4>
  </property>
  <property fmtid="{D5CDD505-2E9C-101B-9397-08002B2CF9AE}" pid="5" name="AsAtDate">
    <vt:lpwstr>08 Jun 2012</vt:lpwstr>
  </property>
  <property fmtid="{D5CDD505-2E9C-101B-9397-08002B2CF9AE}" pid="6" name="Suffix">
    <vt:lpwstr>02-a0-01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2012-06-07T16:00:00Z</vt:filetime>
  </property>
</Properties>
</file>