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Weapons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Weapons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Weapons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_Toc425248590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_Toc425248591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_Toc425248592 \h </w:instrText>
      </w:r>
      <w:r>
        <w:fldChar w:fldCharType="separate"/>
      </w:r>
      <w:r>
        <w:t>1</w:t>
      </w:r>
      <w:r>
        <w:fldChar w:fldCharType="end"/>
      </w:r>
    </w:p>
    <w:p>
      <w:pPr>
        <w:pStyle w:val="TOC8"/>
        <w:rPr>
          <w:rFonts w:asciiTheme="minorHAnsi" w:eastAsiaTheme="minorEastAsia" w:hAnsiTheme="minorHAnsi" w:cstheme="minorBidi"/>
          <w:szCs w:val="22"/>
        </w:rPr>
      </w:pPr>
      <w:r>
        <w:t>4.</w:t>
      </w:r>
      <w:r>
        <w:tab/>
        <w:t>Prohibited weapons prescribed (Act s. 3) (Sch. 1)</w:t>
      </w:r>
      <w:r>
        <w:tab/>
      </w:r>
      <w:r>
        <w:fldChar w:fldCharType="begin"/>
      </w:r>
      <w:r>
        <w:instrText xml:space="preserve"> PAGEREF _Toc425248593 \h </w:instrText>
      </w:r>
      <w:r>
        <w:fldChar w:fldCharType="separate"/>
      </w:r>
      <w:r>
        <w:t>2</w:t>
      </w:r>
      <w:r>
        <w:fldChar w:fldCharType="end"/>
      </w:r>
    </w:p>
    <w:p>
      <w:pPr>
        <w:pStyle w:val="TOC8"/>
        <w:rPr>
          <w:rFonts w:asciiTheme="minorHAnsi" w:eastAsiaTheme="minorEastAsia" w:hAnsiTheme="minorHAnsi" w:cstheme="minorBidi"/>
          <w:szCs w:val="22"/>
        </w:rPr>
      </w:pPr>
      <w:r>
        <w:t>5.</w:t>
      </w:r>
      <w:r>
        <w:tab/>
        <w:t>Controlled weapons prescribed (Act s. 3) (Sch. 2)</w:t>
      </w:r>
      <w:r>
        <w:tab/>
      </w:r>
      <w:r>
        <w:fldChar w:fldCharType="begin"/>
      </w:r>
      <w:r>
        <w:instrText xml:space="preserve"> PAGEREF _Toc425248594 \h </w:instrText>
      </w:r>
      <w:r>
        <w:fldChar w:fldCharType="separate"/>
      </w:r>
      <w:r>
        <w:t>2</w:t>
      </w:r>
      <w:r>
        <w:fldChar w:fldCharType="end"/>
      </w:r>
    </w:p>
    <w:p>
      <w:pPr>
        <w:pStyle w:val="TOC8"/>
        <w:rPr>
          <w:rFonts w:asciiTheme="minorHAnsi" w:eastAsiaTheme="minorEastAsia" w:hAnsiTheme="minorHAnsi" w:cstheme="minorBidi"/>
          <w:szCs w:val="22"/>
        </w:rPr>
      </w:pPr>
      <w:r>
        <w:t>6.</w:t>
      </w:r>
      <w:r>
        <w:tab/>
        <w:t>Briefcase etc. giving electric shock prescribed (Act s. 7(3) and (4))</w:t>
      </w:r>
      <w:r>
        <w:tab/>
      </w:r>
      <w:r>
        <w:fldChar w:fldCharType="begin"/>
      </w:r>
      <w:r>
        <w:instrText xml:space="preserve"> PAGEREF _Toc425248595 \h </w:instrText>
      </w:r>
      <w:r>
        <w:fldChar w:fldCharType="separate"/>
      </w:r>
      <w:r>
        <w:t>2</w:t>
      </w:r>
      <w:r>
        <w:fldChar w:fldCharType="end"/>
      </w:r>
    </w:p>
    <w:p>
      <w:pPr>
        <w:pStyle w:val="TOC8"/>
        <w:rPr>
          <w:rFonts w:asciiTheme="minorHAnsi" w:eastAsiaTheme="minorEastAsia" w:hAnsiTheme="minorHAnsi" w:cstheme="minorBidi"/>
          <w:szCs w:val="22"/>
        </w:rPr>
      </w:pPr>
      <w:r>
        <w:t>7.</w:t>
      </w:r>
      <w:r>
        <w:tab/>
        <w:t>Oleoresin capsicum spray weapon prescribed (Act s. 7(3) and (4))</w:t>
      </w:r>
      <w:r>
        <w:tab/>
      </w:r>
      <w:r>
        <w:fldChar w:fldCharType="begin"/>
      </w:r>
      <w:r>
        <w:instrText xml:space="preserve"> PAGEREF _Toc425248596 \h </w:instrText>
      </w:r>
      <w:r>
        <w:fldChar w:fldCharType="separate"/>
      </w:r>
      <w:r>
        <w:t>3</w:t>
      </w:r>
      <w:r>
        <w:fldChar w:fldCharType="end"/>
      </w:r>
    </w:p>
    <w:p>
      <w:pPr>
        <w:pStyle w:val="TOC8"/>
        <w:rPr>
          <w:rFonts w:asciiTheme="minorHAnsi" w:eastAsiaTheme="minorEastAsia" w:hAnsiTheme="minorHAnsi" w:cstheme="minorBidi"/>
          <w:szCs w:val="22"/>
        </w:rPr>
      </w:pPr>
      <w:r>
        <w:t>8.</w:t>
      </w:r>
      <w:r>
        <w:tab/>
        <w:t>Circumstances prescribed (Act s. 10(3))</w:t>
      </w:r>
      <w:r>
        <w:tab/>
      </w:r>
      <w:r>
        <w:fldChar w:fldCharType="begin"/>
      </w:r>
      <w:r>
        <w:instrText xml:space="preserve"> PAGEREF _Toc425248597 \h </w:instrText>
      </w:r>
      <w:r>
        <w:fldChar w:fldCharType="separate"/>
      </w:r>
      <w:r>
        <w:t>3</w:t>
      </w:r>
      <w:r>
        <w:fldChar w:fldCharType="end"/>
      </w:r>
    </w:p>
    <w:p>
      <w:pPr>
        <w:pStyle w:val="TOC8"/>
        <w:rPr>
          <w:rFonts w:asciiTheme="minorHAnsi" w:eastAsiaTheme="minorEastAsia" w:hAnsiTheme="minorHAnsi" w:cstheme="minorBidi"/>
          <w:szCs w:val="22"/>
        </w:rPr>
      </w:pPr>
      <w:r>
        <w:t>9.</w:t>
      </w:r>
      <w:r>
        <w:tab/>
        <w:t>Collectors of prohibited weapons, exceptions of from Act s. 6(1)(a)-(c)</w:t>
      </w:r>
      <w:r>
        <w:tab/>
      </w:r>
      <w:r>
        <w:fldChar w:fldCharType="begin"/>
      </w:r>
      <w:r>
        <w:instrText xml:space="preserve"> PAGEREF _Toc425248598 \h </w:instrText>
      </w:r>
      <w:r>
        <w:fldChar w:fldCharType="separate"/>
      </w:r>
      <w:r>
        <w:t>5</w:t>
      </w:r>
      <w:r>
        <w:fldChar w:fldCharType="end"/>
      </w:r>
    </w:p>
    <w:p>
      <w:pPr>
        <w:pStyle w:val="TOC8"/>
        <w:rPr>
          <w:rFonts w:asciiTheme="minorHAnsi" w:eastAsiaTheme="minorEastAsia" w:hAnsiTheme="minorHAnsi" w:cstheme="minorBidi"/>
          <w:szCs w:val="22"/>
        </w:rPr>
      </w:pPr>
      <w:r>
        <w:t>10.</w:t>
      </w:r>
      <w:r>
        <w:tab/>
        <w:t>Prison officers etc. excepted from Act s. 6-8</w:t>
      </w:r>
      <w:r>
        <w:tab/>
      </w:r>
      <w:r>
        <w:fldChar w:fldCharType="begin"/>
      </w:r>
      <w:r>
        <w:instrText xml:space="preserve"> PAGEREF _Toc425248599 \h </w:instrText>
      </w:r>
      <w:r>
        <w:fldChar w:fldCharType="separate"/>
      </w:r>
      <w:r>
        <w:t>6</w:t>
      </w:r>
      <w:r>
        <w:fldChar w:fldCharType="end"/>
      </w:r>
    </w:p>
    <w:p>
      <w:pPr>
        <w:pStyle w:val="TOC8"/>
        <w:rPr>
          <w:rFonts w:asciiTheme="minorHAnsi" w:eastAsiaTheme="minorEastAsia" w:hAnsiTheme="minorHAnsi" w:cstheme="minorBidi"/>
          <w:szCs w:val="22"/>
        </w:rPr>
      </w:pPr>
      <w:r>
        <w:t>11.</w:t>
      </w:r>
      <w:r>
        <w:tab/>
        <w:t>Blow pipes, certain people excepted from Act s. 6 as to</w:t>
      </w:r>
      <w:r>
        <w:tab/>
      </w:r>
      <w:r>
        <w:fldChar w:fldCharType="begin"/>
      </w:r>
      <w:r>
        <w:instrText xml:space="preserve"> PAGEREF _Toc425248600 \h </w:instrText>
      </w:r>
      <w:r>
        <w:fldChar w:fldCharType="separate"/>
      </w:r>
      <w:r>
        <w:t>7</w:t>
      </w:r>
      <w:r>
        <w:fldChar w:fldCharType="end"/>
      </w:r>
    </w:p>
    <w:p>
      <w:pPr>
        <w:pStyle w:val="TOC8"/>
        <w:rPr>
          <w:rFonts w:asciiTheme="minorHAnsi" w:eastAsiaTheme="minorEastAsia" w:hAnsiTheme="minorHAnsi" w:cstheme="minorBidi"/>
          <w:szCs w:val="22"/>
        </w:rPr>
      </w:pPr>
      <w:r>
        <w:t>12.</w:t>
      </w:r>
      <w:r>
        <w:tab/>
        <w:t>Federal and interstate police officers excepted from Act s. 6-8</w:t>
      </w:r>
      <w:r>
        <w:tab/>
      </w:r>
      <w:r>
        <w:fldChar w:fldCharType="begin"/>
      </w:r>
      <w:r>
        <w:instrText xml:space="preserve"> PAGEREF _Toc425248601 \h </w:instrText>
      </w:r>
      <w:r>
        <w:fldChar w:fldCharType="separate"/>
      </w:r>
      <w:r>
        <w:t>8</w:t>
      </w:r>
      <w:r>
        <w:fldChar w:fldCharType="end"/>
      </w:r>
    </w:p>
    <w:p>
      <w:pPr>
        <w:pStyle w:val="TOC8"/>
        <w:rPr>
          <w:rFonts w:asciiTheme="minorHAnsi" w:eastAsiaTheme="minorEastAsia" w:hAnsiTheme="minorHAnsi" w:cstheme="minorBidi"/>
          <w:szCs w:val="22"/>
        </w:rPr>
      </w:pPr>
      <w:r>
        <w:t>13.</w:t>
      </w:r>
      <w:r>
        <w:tab/>
        <w:t>Dramatic productions, exceptions from Act s. 6 for people connected with</w:t>
      </w:r>
      <w:r>
        <w:tab/>
      </w:r>
      <w:r>
        <w:fldChar w:fldCharType="begin"/>
      </w:r>
      <w:r>
        <w:instrText xml:space="preserve"> PAGEREF _Toc425248602 \h </w:instrText>
      </w:r>
      <w:r>
        <w:fldChar w:fldCharType="separate"/>
      </w:r>
      <w:r>
        <w:t>8</w:t>
      </w:r>
      <w:r>
        <w:fldChar w:fldCharType="end"/>
      </w:r>
    </w:p>
    <w:p>
      <w:pPr>
        <w:pStyle w:val="TOC8"/>
        <w:rPr>
          <w:rFonts w:asciiTheme="minorHAnsi" w:eastAsiaTheme="minorEastAsia" w:hAnsiTheme="minorHAnsi" w:cstheme="minorBidi"/>
          <w:szCs w:val="22"/>
        </w:rPr>
      </w:pPr>
      <w:r>
        <w:t>14.</w:t>
      </w:r>
      <w:r>
        <w:tab/>
        <w:t>Crossbows for competitions etc., excepting people from Act s. 6 in relation to</w:t>
      </w:r>
      <w:r>
        <w:tab/>
      </w:r>
      <w:r>
        <w:fldChar w:fldCharType="begin"/>
      </w:r>
      <w:r>
        <w:instrText xml:space="preserve"> PAGEREF _Toc425248603 \h </w:instrText>
      </w:r>
      <w:r>
        <w:fldChar w:fldCharType="separate"/>
      </w:r>
      <w:r>
        <w:t>10</w:t>
      </w:r>
      <w:r>
        <w:fldChar w:fldCharType="end"/>
      </w:r>
    </w:p>
    <w:p>
      <w:pPr>
        <w:pStyle w:val="TOC8"/>
        <w:rPr>
          <w:rFonts w:asciiTheme="minorHAnsi" w:eastAsiaTheme="minorEastAsia" w:hAnsiTheme="minorHAnsi" w:cstheme="minorBidi"/>
          <w:szCs w:val="22"/>
        </w:rPr>
      </w:pPr>
      <w:r>
        <w:t>15.</w:t>
      </w:r>
      <w:r>
        <w:tab/>
        <w:t>Crossbows for occupational purposes, excepting people from Act s. 6(1)(a)-(c) in relation to</w:t>
      </w:r>
      <w:r>
        <w:tab/>
      </w:r>
      <w:r>
        <w:fldChar w:fldCharType="begin"/>
      </w:r>
      <w:r>
        <w:instrText xml:space="preserve"> PAGEREF _Toc425248604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Prohibited weapons</w:t>
      </w:r>
    </w:p>
    <w:p>
      <w:pPr>
        <w:pStyle w:val="TOC2"/>
        <w:tabs>
          <w:tab w:val="right" w:leader="dot" w:pos="7077"/>
        </w:tabs>
        <w:rPr>
          <w:rFonts w:asciiTheme="minorHAnsi" w:eastAsiaTheme="minorEastAsia" w:hAnsiTheme="minorHAnsi" w:cstheme="minorBidi"/>
          <w:b w:val="0"/>
          <w:sz w:val="22"/>
          <w:szCs w:val="22"/>
        </w:rPr>
      </w:pPr>
      <w:r>
        <w:t>Schedule 2 — Controlled weapons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_Toc425248608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June 2012</w:t>
            </w:r>
          </w:p>
        </w:tc>
      </w:tr>
    </w:tbl>
    <w:p>
      <w:pPr>
        <w:pStyle w:val="WA"/>
        <w:spacing w:before="12"/>
      </w:pPr>
      <w:r>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3" w:name="_Toc379277864"/>
      <w:bookmarkStart w:id="4" w:name="_Toc425248161"/>
      <w:bookmarkStart w:id="5" w:name="_Toc425248590"/>
      <w:r>
        <w:rPr>
          <w:rStyle w:val="CharSectno"/>
        </w:rPr>
        <w:t>1</w:t>
      </w:r>
      <w:r>
        <w:t>.</w:t>
      </w:r>
      <w:r>
        <w:tab/>
        <w:t>Citation</w:t>
      </w:r>
      <w:bookmarkEnd w:id="3"/>
      <w:bookmarkEnd w:id="4"/>
      <w:bookmarkEnd w:id="5"/>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6" w:name="_Toc379277865"/>
      <w:bookmarkStart w:id="7" w:name="_Toc425248162"/>
      <w:bookmarkStart w:id="8" w:name="_Toc425248591"/>
      <w:r>
        <w:rPr>
          <w:rStyle w:val="CharSectno"/>
        </w:rPr>
        <w:t>2</w:t>
      </w:r>
      <w:r>
        <w:t>.</w:t>
      </w:r>
      <w:r>
        <w:tab/>
        <w:t>Commencement</w:t>
      </w:r>
      <w:bookmarkEnd w:id="6"/>
      <w:bookmarkEnd w:id="7"/>
      <w:bookmarkEnd w:id="8"/>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9" w:name="_Toc379277866"/>
      <w:bookmarkStart w:id="10" w:name="_Toc425248163"/>
      <w:bookmarkStart w:id="11" w:name="_Toc425248592"/>
      <w:r>
        <w:rPr>
          <w:rStyle w:val="CharSectno"/>
        </w:rPr>
        <w:t>3</w:t>
      </w:r>
      <w:r>
        <w:t>.</w:t>
      </w:r>
      <w:r>
        <w:tab/>
        <w:t>Terms used</w:t>
      </w:r>
      <w:bookmarkEnd w:id="9"/>
      <w:bookmarkEnd w:id="10"/>
      <w:bookmarkEnd w:id="11"/>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2" w:name="_Toc379277867"/>
      <w:bookmarkStart w:id="13" w:name="_Toc425248164"/>
      <w:bookmarkStart w:id="14" w:name="_Toc425248593"/>
      <w:r>
        <w:rPr>
          <w:rStyle w:val="CharSectno"/>
        </w:rPr>
        <w:t>4</w:t>
      </w:r>
      <w:r>
        <w:t>.</w:t>
      </w:r>
      <w:r>
        <w:tab/>
        <w:t>Prohibited weapons prescribed (Act s. 3) (Sch. 1)</w:t>
      </w:r>
      <w:bookmarkEnd w:id="12"/>
      <w:bookmarkEnd w:id="13"/>
      <w:bookmarkEnd w:id="14"/>
    </w:p>
    <w:p>
      <w:pPr>
        <w:pStyle w:val="Subsection"/>
      </w:pPr>
      <w:r>
        <w:tab/>
      </w:r>
      <w:r>
        <w:tab/>
        <w:t>An article described in the third column of Schedule 1 is prescribed to be a prohibited weapon.</w:t>
      </w:r>
    </w:p>
    <w:p>
      <w:pPr>
        <w:pStyle w:val="Heading5"/>
      </w:pPr>
      <w:bookmarkStart w:id="15" w:name="_Toc379277868"/>
      <w:bookmarkStart w:id="16" w:name="_Toc425248165"/>
      <w:bookmarkStart w:id="17" w:name="_Toc425248594"/>
      <w:r>
        <w:rPr>
          <w:rStyle w:val="CharSectno"/>
        </w:rPr>
        <w:t>5</w:t>
      </w:r>
      <w:r>
        <w:t>.</w:t>
      </w:r>
      <w:r>
        <w:tab/>
        <w:t>Controlled weapons prescribed (Act s. 3) (Sch. 2)</w:t>
      </w:r>
      <w:bookmarkEnd w:id="15"/>
      <w:bookmarkEnd w:id="16"/>
      <w:bookmarkEnd w:id="17"/>
    </w:p>
    <w:p>
      <w:pPr>
        <w:pStyle w:val="Subsection"/>
      </w:pPr>
      <w:r>
        <w:tab/>
      </w:r>
      <w:r>
        <w:tab/>
        <w:t>An article described in the third column of Schedule 2 is prescribed to be a controlled weapon.</w:t>
      </w:r>
    </w:p>
    <w:p>
      <w:pPr>
        <w:pStyle w:val="Heading5"/>
      </w:pPr>
      <w:bookmarkStart w:id="18" w:name="_Toc379277869"/>
      <w:bookmarkStart w:id="19" w:name="_Toc425248166"/>
      <w:bookmarkStart w:id="20" w:name="_Toc425248595"/>
      <w:r>
        <w:rPr>
          <w:rStyle w:val="CharSectno"/>
        </w:rPr>
        <w:t>6</w:t>
      </w:r>
      <w:r>
        <w:t>.</w:t>
      </w:r>
      <w:r>
        <w:tab/>
        <w:t>Briefcase etc. giving electric shock prescribed (Act s. 7(3) and (4))</w:t>
      </w:r>
      <w:bookmarkEnd w:id="18"/>
      <w:bookmarkEnd w:id="19"/>
      <w:bookmarkEnd w:id="20"/>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21" w:name="_Toc379277870"/>
      <w:bookmarkStart w:id="22" w:name="_Toc425248167"/>
      <w:bookmarkStart w:id="23" w:name="_Toc425248596"/>
      <w:r>
        <w:rPr>
          <w:rStyle w:val="CharSectno"/>
        </w:rPr>
        <w:t>7</w:t>
      </w:r>
      <w:r>
        <w:t>.</w:t>
      </w:r>
      <w:r>
        <w:tab/>
        <w:t>Oleoresin capsicum spray weapon prescribed (Act s. 7(3) and (4))</w:t>
      </w:r>
      <w:bookmarkEnd w:id="21"/>
      <w:bookmarkEnd w:id="22"/>
      <w:bookmarkEnd w:id="23"/>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24" w:name="_Toc379277871"/>
      <w:bookmarkStart w:id="25" w:name="_Toc425248168"/>
      <w:bookmarkStart w:id="26" w:name="_Toc425248597"/>
      <w:r>
        <w:rPr>
          <w:rStyle w:val="CharSectno"/>
        </w:rPr>
        <w:t>8</w:t>
      </w:r>
      <w:r>
        <w:t>.</w:t>
      </w:r>
      <w:r>
        <w:tab/>
        <w:t>Circumstances prescribed (Act s. 10(3))</w:t>
      </w:r>
      <w:bookmarkEnd w:id="24"/>
      <w:bookmarkEnd w:id="25"/>
      <w:bookmarkEnd w:id="26"/>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27" w:name="_Toc379277872"/>
      <w:bookmarkStart w:id="28" w:name="_Toc425248169"/>
      <w:bookmarkStart w:id="29" w:name="_Toc425248598"/>
      <w:r>
        <w:rPr>
          <w:rStyle w:val="CharSectno"/>
        </w:rPr>
        <w:t>9</w:t>
      </w:r>
      <w:r>
        <w:t>.</w:t>
      </w:r>
      <w:r>
        <w:tab/>
        <w:t>Collectors of prohibited weapons, exceptions of from Act s. 6(1)(a)-(c)</w:t>
      </w:r>
      <w:bookmarkEnd w:id="27"/>
      <w:bookmarkEnd w:id="28"/>
      <w:bookmarkEnd w:id="29"/>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 in Gazette 10 Mar 2000 p. 1122</w:t>
      </w:r>
      <w:r>
        <w:noBreakHyphen/>
        <w:t>3; amended in Gazette 8 Apr 2011 p. 1282</w:t>
      </w:r>
      <w:r>
        <w:noBreakHyphen/>
        <w:t>3.]</w:t>
      </w:r>
    </w:p>
    <w:p>
      <w:pPr>
        <w:pStyle w:val="Heading5"/>
        <w:spacing w:before="180"/>
      </w:pPr>
      <w:bookmarkStart w:id="30" w:name="_Toc379277873"/>
      <w:bookmarkStart w:id="31" w:name="_Toc425248170"/>
      <w:bookmarkStart w:id="32" w:name="_Toc425248599"/>
      <w:r>
        <w:rPr>
          <w:rStyle w:val="CharSectno"/>
        </w:rPr>
        <w:t>10</w:t>
      </w:r>
      <w:r>
        <w:t>.</w:t>
      </w:r>
      <w:r>
        <w:tab/>
        <w:t>Prison officers etc. excepted from Act s. 6-8</w:t>
      </w:r>
      <w:bookmarkEnd w:id="30"/>
      <w:bookmarkEnd w:id="31"/>
      <w:bookmarkEnd w:id="32"/>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33" w:name="_Toc379277874"/>
      <w:bookmarkStart w:id="34" w:name="_Toc425248171"/>
      <w:bookmarkStart w:id="35" w:name="_Toc425248600"/>
      <w:r>
        <w:rPr>
          <w:rStyle w:val="CharSectno"/>
        </w:rPr>
        <w:t>11</w:t>
      </w:r>
      <w:r>
        <w:t>.</w:t>
      </w:r>
      <w:r>
        <w:tab/>
        <w:t>Blow pipes, certain people excepted from Act s. 6 as to</w:t>
      </w:r>
      <w:bookmarkEnd w:id="33"/>
      <w:bookmarkEnd w:id="34"/>
      <w:bookmarkEnd w:id="35"/>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pPr>
      <w:bookmarkStart w:id="36" w:name="_Toc379277875"/>
      <w:bookmarkStart w:id="37" w:name="_Toc425248172"/>
      <w:bookmarkStart w:id="38" w:name="_Toc425248601"/>
      <w:r>
        <w:rPr>
          <w:rStyle w:val="CharSectno"/>
        </w:rPr>
        <w:t>12</w:t>
      </w:r>
      <w:r>
        <w:t>.</w:t>
      </w:r>
      <w:r>
        <w:tab/>
        <w:t>Federal and interstate police officers excepted from</w:t>
      </w:r>
      <w:r>
        <w:br/>
        <w:t>Act s. 6-8</w:t>
      </w:r>
      <w:bookmarkEnd w:id="36"/>
      <w:bookmarkEnd w:id="37"/>
      <w:bookmarkEnd w:id="38"/>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 in Gazette 12 Mar 2010 p. 953.]</w:t>
      </w:r>
    </w:p>
    <w:p>
      <w:pPr>
        <w:pStyle w:val="Heading5"/>
      </w:pPr>
      <w:bookmarkStart w:id="39" w:name="_Toc379277876"/>
      <w:bookmarkStart w:id="40" w:name="_Toc425248173"/>
      <w:bookmarkStart w:id="41" w:name="_Toc425248602"/>
      <w:r>
        <w:rPr>
          <w:rStyle w:val="CharSectno"/>
        </w:rPr>
        <w:t>13</w:t>
      </w:r>
      <w:r>
        <w:t>.</w:t>
      </w:r>
      <w:r>
        <w:tab/>
        <w:t>Dramatic productions, exceptions from Act s. 6 for people connected with</w:t>
      </w:r>
      <w:bookmarkEnd w:id="39"/>
      <w:bookmarkEnd w:id="40"/>
      <w:bookmarkEnd w:id="41"/>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 in Gazette 8 Apr 2011 p. 1283</w:t>
      </w:r>
      <w:r>
        <w:noBreakHyphen/>
        <w:t>4.]</w:t>
      </w:r>
    </w:p>
    <w:p>
      <w:pPr>
        <w:pStyle w:val="Heading5"/>
      </w:pPr>
      <w:bookmarkStart w:id="42" w:name="_Toc379277877"/>
      <w:bookmarkStart w:id="43" w:name="_Toc425248174"/>
      <w:bookmarkStart w:id="44" w:name="_Toc425248603"/>
      <w:r>
        <w:rPr>
          <w:rStyle w:val="CharSectno"/>
        </w:rPr>
        <w:t>14</w:t>
      </w:r>
      <w:r>
        <w:t>.</w:t>
      </w:r>
      <w:r>
        <w:tab/>
        <w:t>Crossbows for competitions etc., excepting people from Act s. 6 in relation to</w:t>
      </w:r>
      <w:bookmarkEnd w:id="42"/>
      <w:bookmarkEnd w:id="43"/>
      <w:bookmarkEnd w:id="44"/>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 in Gazette 8 Apr 2011 p. 1284</w:t>
      </w:r>
      <w:r>
        <w:noBreakHyphen/>
        <w:t>6.]</w:t>
      </w:r>
    </w:p>
    <w:p>
      <w:pPr>
        <w:pStyle w:val="Heading5"/>
      </w:pPr>
      <w:bookmarkStart w:id="45" w:name="_Toc379277878"/>
      <w:bookmarkStart w:id="46" w:name="_Toc425248175"/>
      <w:bookmarkStart w:id="47" w:name="_Toc425248604"/>
      <w:r>
        <w:rPr>
          <w:rStyle w:val="CharSectno"/>
        </w:rPr>
        <w:t>15</w:t>
      </w:r>
      <w:r>
        <w:t>.</w:t>
      </w:r>
      <w:r>
        <w:tab/>
        <w:t>Crossbows for occupational purposes, excepting people from Act s. 6(1)(a)-(c) in relation to</w:t>
      </w:r>
      <w:bookmarkEnd w:id="45"/>
      <w:bookmarkEnd w:id="46"/>
      <w:bookmarkEnd w:id="47"/>
    </w:p>
    <w:p>
      <w:pPr>
        <w:pStyle w:val="Subsection"/>
      </w:pPr>
      <w:r>
        <w:tab/>
        <w:t>(1)</w:t>
      </w:r>
      <w:r>
        <w:tab/>
        <w:t xml:space="preserve">In this regulation — </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person</w:t>
      </w:r>
      <w:r>
        <w:t xml:space="preserve"> means a person who has been given a notice under subregulation (4) and has not ceased to be an exempt person — </w:t>
      </w:r>
    </w:p>
    <w:p>
      <w:pPr>
        <w:pStyle w:val="Defpara"/>
      </w:pPr>
      <w:r>
        <w:tab/>
        <w:t>(a)</w:t>
      </w:r>
      <w:r>
        <w:tab/>
        <w:t>because of a notice under subregulation (5); or</w:t>
      </w:r>
    </w:p>
    <w:p>
      <w:pPr>
        <w:pStyle w:val="Defpara"/>
      </w:pPr>
      <w:r>
        <w:tab/>
        <w:t>(b)</w:t>
      </w:r>
      <w:r>
        <w:tab/>
        <w:t>because the notice has ceased to have effect under subregulation (6).</w:t>
      </w:r>
    </w:p>
    <w:p>
      <w:pPr>
        <w:pStyle w:val="Subsection"/>
      </w:pPr>
      <w:r>
        <w:tab/>
        <w:t>(2)</w:t>
      </w:r>
      <w:r>
        <w:tab/>
        <w:t>An exempt person who, for the purpose of obtaining a crossbow —</w:t>
      </w:r>
    </w:p>
    <w:p>
      <w:pPr>
        <w:pStyle w:val="Indenta"/>
      </w:pPr>
      <w:r>
        <w:tab/>
        <w:t>(a)</w:t>
      </w:r>
      <w:r>
        <w:tab/>
        <w:t>brings into the State a crossbow; or</w:t>
      </w:r>
    </w:p>
    <w:p>
      <w:pPr>
        <w:pStyle w:val="Indenta"/>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person who, for the purpose of engaging in an activity related to the performance of his or her occupation, carries or possesses a crossbow does not commit an offence under section 6(1)(b) of the Act.</w:t>
      </w:r>
    </w:p>
    <w:p>
      <w:pPr>
        <w:pStyle w:val="Subsection"/>
        <w:keepNext/>
      </w:pPr>
      <w:r>
        <w:tab/>
        <w:t>(4)</w:t>
      </w:r>
      <w:r>
        <w:tab/>
        <w:t xml:space="preserve">If the Minister is satisfied that — </w:t>
      </w:r>
    </w:p>
    <w:p>
      <w:pPr>
        <w:pStyle w:val="Indenta"/>
      </w:pPr>
      <w:r>
        <w:tab/>
        <w:t>(a)</w:t>
      </w:r>
      <w:r>
        <w:tab/>
        <w:t>on or before 1 July 2011 a person used a crossbow for the purpose of engaging in an activity related to the performance of his or her occupation; and</w:t>
      </w:r>
    </w:p>
    <w:p>
      <w:pPr>
        <w:pStyle w:val="Indenta"/>
      </w:pPr>
      <w:r>
        <w:tab/>
        <w:t>(b)</w:t>
      </w:r>
      <w:r>
        <w:tab/>
        <w:t>on or before 1 July 2011 the person possessed a crossbow for the purposes of engaging in that activity; and</w:t>
      </w:r>
    </w:p>
    <w:p>
      <w:pPr>
        <w:pStyle w:val="Indenta"/>
      </w:pPr>
      <w:r>
        <w:tab/>
        <w:t>(c)</w:t>
      </w:r>
      <w:r>
        <w:tab/>
        <w:t>that activity cannot be undertaken by any other practicable means; and</w:t>
      </w:r>
    </w:p>
    <w:p>
      <w:pPr>
        <w:pStyle w:val="Indenta"/>
      </w:pPr>
      <w:r>
        <w:tab/>
        <w:t>(d)</w:t>
      </w:r>
      <w:r>
        <w:tab/>
        <w:t>the person is fit and proper to be an exempt person; and</w:t>
      </w:r>
    </w:p>
    <w:p>
      <w:pPr>
        <w:pStyle w:val="Indenta"/>
      </w:pPr>
      <w:r>
        <w:tab/>
        <w:t>(e)</w:t>
      </w:r>
      <w:r>
        <w:tab/>
        <w:t>adequate arrangements exist to keep each of the person’s crossbows secure,</w:t>
      </w:r>
    </w:p>
    <w:p>
      <w:pPr>
        <w:pStyle w:val="Subsection"/>
      </w:pPr>
      <w:r>
        <w:tab/>
      </w:r>
      <w:r>
        <w:tab/>
        <w:t>the Minister may give to the person written notice that the person is an exempt person.</w:t>
      </w:r>
    </w:p>
    <w:p>
      <w:pPr>
        <w:pStyle w:val="Subsection"/>
      </w:pPr>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p>
    <w:p>
      <w:pPr>
        <w:pStyle w:val="Subsection"/>
      </w:pPr>
      <w:r>
        <w:tab/>
        <w:t>(6)</w:t>
      </w:r>
      <w:r>
        <w:tab/>
        <w:t xml:space="preserve">A notice given under subregulation (4) has effect for the period (not exceeding 5 years) — </w:t>
      </w:r>
    </w:p>
    <w:p>
      <w:pPr>
        <w:pStyle w:val="Indenta"/>
      </w:pPr>
      <w:r>
        <w:tab/>
        <w:t>(a)</w:t>
      </w:r>
      <w:r>
        <w:tab/>
        <w:t>specified in the notice; and</w:t>
      </w:r>
    </w:p>
    <w:p>
      <w:pPr>
        <w:pStyle w:val="Indenta"/>
      </w:pPr>
      <w:r>
        <w:tab/>
        <w:t>(b)</w:t>
      </w:r>
      <w:r>
        <w:tab/>
        <w:t>beginning on the day specified in the notice.</w:t>
      </w:r>
    </w:p>
    <w:p>
      <w:pPr>
        <w:pStyle w:val="Subsection"/>
      </w:pPr>
      <w:r>
        <w:tab/>
        <w:t>(7)</w:t>
      </w:r>
      <w:r>
        <w:tab/>
        <w:t>The fact that a person has been given a notice under subregulation (4) does not prevent the Minister from giving the person another notice under that subregulation.</w:t>
      </w:r>
    </w:p>
    <w:p>
      <w:pPr>
        <w:pStyle w:val="Subsection"/>
      </w:pPr>
      <w:r>
        <w:tab/>
        <w:t>(8)</w:t>
      </w:r>
      <w:r>
        <w:tab/>
        <w:t>This regulation expires at the end of 30 June 2017.</w:t>
      </w:r>
    </w:p>
    <w:p>
      <w:pPr>
        <w:pStyle w:val="Footnotesection"/>
      </w:pPr>
      <w:r>
        <w:tab/>
        <w:t>[Regulation 15 inserted in Gazette 13 Mar 2012 p. 1038-9.]</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8" w:name="_Toc379277879"/>
      <w:bookmarkStart w:id="49" w:name="_Toc425248138"/>
      <w:bookmarkStart w:id="50" w:name="_Toc425248176"/>
      <w:bookmarkStart w:id="51" w:name="_Toc425248572"/>
      <w:bookmarkStart w:id="52" w:name="_Toc425248605"/>
      <w:r>
        <w:rPr>
          <w:rStyle w:val="CharSchNo"/>
        </w:rPr>
        <w:t>Schedule 1</w:t>
      </w:r>
      <w:r>
        <w:t xml:space="preserve"> — </w:t>
      </w:r>
      <w:r>
        <w:rPr>
          <w:rStyle w:val="CharSchText"/>
        </w:rPr>
        <w:t>Prohibited weapons</w:t>
      </w:r>
      <w:bookmarkEnd w:id="48"/>
      <w:bookmarkEnd w:id="49"/>
      <w:bookmarkEnd w:id="50"/>
      <w:bookmarkEnd w:id="51"/>
      <w:bookmarkEnd w:id="52"/>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 8 Apr 2011 p. 1286.]</w:t>
      </w:r>
    </w:p>
    <w:p>
      <w:pPr>
        <w:pStyle w:val="yScheduleHeading"/>
      </w:pPr>
      <w:bookmarkStart w:id="53" w:name="_Toc379277880"/>
      <w:bookmarkStart w:id="54" w:name="_Toc425248139"/>
      <w:bookmarkStart w:id="55" w:name="_Toc425248177"/>
      <w:bookmarkStart w:id="56" w:name="_Toc425248573"/>
      <w:bookmarkStart w:id="57" w:name="_Toc425248606"/>
      <w:r>
        <w:rPr>
          <w:rStyle w:val="CharSchNo"/>
        </w:rPr>
        <w:t>Schedule 2</w:t>
      </w:r>
      <w:r>
        <w:t xml:space="preserve"> — </w:t>
      </w:r>
      <w:r>
        <w:rPr>
          <w:rStyle w:val="CharSchText"/>
        </w:rPr>
        <w:t>Controlled weapons</w:t>
      </w:r>
      <w:bookmarkEnd w:id="53"/>
      <w:bookmarkEnd w:id="54"/>
      <w:bookmarkEnd w:id="55"/>
      <w:bookmarkEnd w:id="56"/>
      <w:bookmarkEnd w:id="57"/>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2481" w:type="dxa"/>
            <w:gridSpan w:val="2"/>
          </w:tcPr>
          <w:p>
            <w:pPr>
              <w:pStyle w:val="yTable"/>
              <w:tabs>
                <w:tab w:val="left" w:pos="798"/>
              </w:tabs>
              <w:rPr>
                <w:i/>
              </w:rPr>
            </w:pPr>
            <w:r>
              <w:rPr>
                <w:i/>
              </w:rPr>
              <w:t>[4.</w:t>
            </w:r>
            <w:r>
              <w:rPr>
                <w:i/>
              </w:rPr>
              <w:tab/>
              <w:t>deleted]</w:t>
            </w:r>
          </w:p>
        </w:tc>
        <w:tc>
          <w:tcPr>
            <w:tcW w:w="4760" w:type="dxa"/>
          </w:tcPr>
          <w:p>
            <w:pPr>
              <w:pStyle w:val="yTable"/>
            </w:pP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 8 Apr 2011 p. 1286.]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9" w:name="_Toc379277881"/>
      <w:bookmarkStart w:id="60" w:name="_Toc425248140"/>
      <w:bookmarkStart w:id="61" w:name="_Toc425248178"/>
      <w:bookmarkStart w:id="62" w:name="_Toc425248574"/>
      <w:bookmarkStart w:id="63" w:name="_Toc425248607"/>
      <w:r>
        <w:t>Notes</w:t>
      </w:r>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reprint is a compilation as at 22 June 2012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64" w:name="_Toc379277882"/>
      <w:bookmarkStart w:id="65" w:name="_Toc425248179"/>
      <w:bookmarkStart w:id="66" w:name="_Toc425248608"/>
      <w:r>
        <w:t>Compilation table</w:t>
      </w:r>
      <w:bookmarkEnd w:id="64"/>
      <w:bookmarkEnd w:id="65"/>
      <w:bookmarkEnd w:id="66"/>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8"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8"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8"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8"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8"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7"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8"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8"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8"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rPr>
          <w:cantSplit/>
        </w:trPr>
        <w:tc>
          <w:tcPr>
            <w:tcW w:w="3118"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rPr>
          <w:cantSplit/>
        </w:trPr>
        <w:tc>
          <w:tcPr>
            <w:tcW w:w="7087"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8"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rPr>
          <w:cantSplit/>
        </w:trPr>
        <w:tc>
          <w:tcPr>
            <w:tcW w:w="3118"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8"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8"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rPr>
          <w:cantSplit/>
        </w:trPr>
        <w:tc>
          <w:tcPr>
            <w:tcW w:w="7087" w:type="dxa"/>
            <w:gridSpan w:val="3"/>
            <w:tcBorders>
              <w:bottom w:val="single" w:sz="8" w:space="0" w:color="auto"/>
            </w:tcBorders>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bl>
    <w:p>
      <w:pPr>
        <w:pStyle w:val="nSubsection"/>
        <w:spacing w:before="160"/>
      </w:pPr>
    </w:p>
    <w:p>
      <w:pPr>
        <w:rPr>
          <w:iCs/>
        </w:rPr>
      </w:pPr>
    </w:p>
    <w:p>
      <w:pPr>
        <w:rPr>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8" w:name="_Toc425248609"/>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electric shock case</w:t>
      </w:r>
      <w:r>
        <w:tab/>
        <w:t>3</w:t>
      </w:r>
    </w:p>
    <w:p>
      <w:pPr>
        <w:pStyle w:val="DefinedTerms"/>
      </w:pPr>
      <w:r>
        <w:t>Archery Australia (Inc.) member</w:t>
      </w:r>
      <w:r>
        <w:tab/>
        <w:t>14(1)</w:t>
      </w:r>
    </w:p>
    <w:p>
      <w:pPr>
        <w:pStyle w:val="DefinedTerms"/>
      </w:pPr>
      <w:r>
        <w:t>baton</w:t>
      </w:r>
      <w:r>
        <w:tab/>
        <w:t>3</w:t>
      </w:r>
    </w:p>
    <w:p>
      <w:pPr>
        <w:pStyle w:val="DefinedTerms"/>
      </w:pPr>
      <w:r>
        <w:t>catapult</w:t>
      </w:r>
      <w:r>
        <w:tab/>
        <w:t>3</w:t>
      </w:r>
    </w:p>
    <w:p>
      <w:pPr>
        <w:pStyle w:val="DefinedTerms"/>
      </w:pPr>
      <w:r>
        <w:t>crossbow</w:t>
      </w:r>
      <w:r>
        <w:tab/>
        <w:t>14(1), 15(1)</w:t>
      </w:r>
    </w:p>
    <w:p>
      <w:pPr>
        <w:pStyle w:val="DefinedTerms"/>
      </w:pPr>
      <w:r>
        <w:t>discharge</w:t>
      </w:r>
      <w:r>
        <w:tab/>
        <w:t>3</w:t>
      </w:r>
    </w:p>
    <w:p>
      <w:pPr>
        <w:pStyle w:val="DefinedTerms"/>
      </w:pPr>
      <w:r>
        <w:t>dramatic production</w:t>
      </w:r>
      <w:r>
        <w:tab/>
        <w:t>13(1)</w:t>
      </w:r>
    </w:p>
    <w:p>
      <w:pPr>
        <w:pStyle w:val="DefinedTerms"/>
      </w:pPr>
      <w:r>
        <w:t>exempt arbalest</w:t>
      </w:r>
      <w:r>
        <w:tab/>
        <w:t>14(1)</w:t>
      </w:r>
    </w:p>
    <w:p>
      <w:pPr>
        <w:pStyle w:val="DefinedTerms"/>
      </w:pPr>
      <w:r>
        <w:t>exempt collector</w:t>
      </w:r>
      <w:r>
        <w:tab/>
        <w:t>9(6)</w:t>
      </w:r>
    </w:p>
    <w:p>
      <w:pPr>
        <w:pStyle w:val="DefinedTerms"/>
      </w:pPr>
      <w:r>
        <w:t>exempt event</w:t>
      </w:r>
      <w:r>
        <w:tab/>
        <w:t>11(1)</w:t>
      </w:r>
    </w:p>
    <w:p>
      <w:pPr>
        <w:pStyle w:val="DefinedTerms"/>
      </w:pPr>
      <w:r>
        <w:t>exempt person</w:t>
      </w:r>
      <w:r>
        <w:tab/>
        <w:t>15(1)</w:t>
      </w:r>
    </w:p>
    <w:p>
      <w:pPr>
        <w:pStyle w:val="DefinedTerms"/>
      </w:pPr>
      <w:r>
        <w:t>exempt production</w:t>
      </w:r>
      <w:r>
        <w:tab/>
        <w:t>13(1)</w:t>
      </w:r>
    </w:p>
    <w:p>
      <w:pPr>
        <w:pStyle w:val="DefinedTerms"/>
      </w:pPr>
      <w:r>
        <w:t>exemption notice</w:t>
      </w:r>
      <w:r>
        <w:tab/>
        <w:t>13(1)</w:t>
      </w:r>
    </w:p>
    <w:p>
      <w:pPr>
        <w:pStyle w:val="DefinedTerms"/>
      </w:pPr>
      <w:r>
        <w:t>extendable baton</w:t>
      </w:r>
      <w:r>
        <w:tab/>
        <w:t>8(2)</w:t>
      </w:r>
    </w:p>
    <w:p>
      <w:pPr>
        <w:pStyle w:val="DefinedTerms"/>
      </w:pPr>
      <w:r>
        <w:t>injure or disable</w:t>
      </w:r>
      <w:r>
        <w:tab/>
        <w:t>3</w:t>
      </w:r>
    </w:p>
    <w:p>
      <w:pPr>
        <w:pStyle w:val="DefinedTerms"/>
      </w:pPr>
      <w:r>
        <w:t>martial arts weapon</w:t>
      </w:r>
      <w:r>
        <w:tab/>
        <w:t>3</w:t>
      </w:r>
    </w:p>
    <w:p>
      <w:pPr>
        <w:pStyle w:val="DefinedTerms"/>
      </w:pPr>
      <w:r>
        <w:t>missile</w:t>
      </w:r>
      <w:r>
        <w:tab/>
        <w:t>3</w:t>
      </w:r>
    </w:p>
    <w:p>
      <w:pPr>
        <w:pStyle w:val="DefinedTerms"/>
      </w:pPr>
      <w:r>
        <w:t>participant</w:t>
      </w:r>
      <w:r>
        <w:tab/>
        <w:t>11(1)</w:t>
      </w:r>
    </w:p>
    <w:p>
      <w:pPr>
        <w:pStyle w:val="DefinedTerms"/>
      </w:pPr>
      <w:r>
        <w:t>possess</w:t>
      </w:r>
      <w:r>
        <w:tab/>
        <w:t>11(1)</w:t>
      </w:r>
    </w:p>
    <w:p>
      <w:pPr>
        <w:pStyle w:val="DefinedTerms"/>
      </w:pPr>
      <w:r>
        <w:t>relevant date</w:t>
      </w:r>
      <w:r>
        <w:tab/>
        <w:t>9(6)</w:t>
      </w:r>
    </w:p>
    <w:p>
      <w:pPr>
        <w:pStyle w:val="DefinedTerms"/>
      </w:pPr>
      <w:r>
        <w:t>specified prohibited weapon</w:t>
      </w:r>
      <w:r>
        <w:tab/>
        <w:t>9(6)</w:t>
      </w:r>
    </w:p>
    <w:p>
      <w:pPr>
        <w:pStyle w:val="DefinedTerms"/>
      </w:pPr>
      <w:r>
        <w:t>specified weapon</w:t>
      </w:r>
      <w:r>
        <w:tab/>
        <w:t>13(1)</w:t>
      </w:r>
    </w:p>
    <w:p>
      <w:pPr>
        <w:pStyle w:val="DefinedTerms"/>
      </w:pPr>
      <w:r>
        <w:t>spray weapon</w:t>
      </w:r>
      <w:r>
        <w:tab/>
        <w:t>3</w:t>
      </w:r>
    </w:p>
    <w:p>
      <w:pPr>
        <w:pStyle w:val="DefinedTerms"/>
      </w:pPr>
      <w:r>
        <w:t>WA Disabled Sports Association (Inc.) member</w:t>
      </w:r>
      <w:r>
        <w:tab/>
        <w:t>11(1)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
    <w:p/>
    <w:p/>
    <w:p/>
    <w:p/>
    <w:p/>
    <w:p/>
    <w:p/>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515"/>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5600</Words>
  <Characters>25764</Characters>
  <Application>Microsoft Office Word</Application>
  <DocSecurity>0</DocSecurity>
  <Lines>920</Lines>
  <Paragraphs>560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30804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1999 - 03-a0-04</dc:title>
  <dc:subject/>
  <dc:creator/>
  <cp:keywords/>
  <dc:description/>
  <cp:lastModifiedBy>svcMRProcess</cp:lastModifiedBy>
  <cp:revision>4</cp:revision>
  <cp:lastPrinted>2012-06-26T01:36:00Z</cp:lastPrinted>
  <dcterms:created xsi:type="dcterms:W3CDTF">2015-11-12T04:29:00Z</dcterms:created>
  <dcterms:modified xsi:type="dcterms:W3CDTF">2015-11-12T04:29:00Z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20120622</vt:lpwstr>
  </property>
  <property fmtid="{D5CDD505-2E9C-101B-9397-08002B2CF9AE}" pid="4" name="DocumentType">
    <vt:lpwstr>Reg</vt:lpwstr>
  </property>
  <property fmtid="{D5CDD505-2E9C-101B-9397-08002B2CF9AE}" pid="5" name="OwlsUID">
    <vt:i4>616</vt:i4>
  </property>
  <property fmtid="{D5CDD505-2E9C-101B-9397-08002B2CF9AE}" pid="6" name="ReprintNo">
    <vt:lpwstr>3</vt:lpwstr>
  </property>
  <property fmtid="{D5CDD505-2E9C-101B-9397-08002B2CF9AE}" pid="7" name="ReprintedAsAt">
    <vt:filetime>2012-06-21T16:00:00Z</vt:filetime>
  </property>
  <property fmtid="{D5CDD505-2E9C-101B-9397-08002B2CF9AE}" pid="8" name="AsAtDate">
    <vt:lpwstr>22 Jun 2012</vt:lpwstr>
  </property>
  <property fmtid="{D5CDD505-2E9C-101B-9397-08002B2CF9AE}" pid="9" name="Suffix">
    <vt:lpwstr>03-a0-04</vt:lpwstr>
  </property>
</Properties>
</file>