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Construction Industry Portable Paid Long Service Leave Act 1985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_Toc329681334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_Toc329681335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_Toc329681336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_Toc329681337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_Toc329681338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_Toc329681339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_Toc329681340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_Toc329681341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_Toc329681342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_Toc329681343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Prescribed awards and classifications of work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2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_Toc329681349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after="40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439570758"/>
      <w:bookmarkStart w:id="2" w:name="_Toc23744446"/>
      <w:bookmarkStart w:id="3" w:name="_Toc150580248"/>
      <w:bookmarkStart w:id="4" w:name="_Toc32968133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39570759"/>
      <w:bookmarkStart w:id="6" w:name="_Toc23744447"/>
      <w:bookmarkStart w:id="7" w:name="_Toc150580249"/>
      <w:bookmarkStart w:id="8" w:name="_Toc32968133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9" w:name="_Toc439570760"/>
      <w:bookmarkStart w:id="10" w:name="_Toc23744448"/>
      <w:bookmarkStart w:id="11" w:name="_Toc150580250"/>
      <w:bookmarkStart w:id="12" w:name="_Toc32968133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bookmarkStart w:id="13" w:name="_Toc439570761"/>
      <w:bookmarkStart w:id="14" w:name="_Toc23744449"/>
      <w:bookmarkStart w:id="15" w:name="_Toc150580251"/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16" w:name="_Toc32968133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7" w:name="_Toc439570762"/>
      <w:bookmarkStart w:id="18" w:name="_Toc23744450"/>
      <w:bookmarkStart w:id="19" w:name="_Toc150580252"/>
      <w:bookmarkStart w:id="20" w:name="_Toc32968133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7"/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 $40 000.</w:t>
      </w:r>
    </w:p>
    <w:p>
      <w:pPr>
        <w:pStyle w:val="Heading5"/>
      </w:pPr>
      <w:bookmarkStart w:id="21" w:name="_Toc329681339"/>
      <w:bookmarkStart w:id="22" w:name="_Toc439570763"/>
      <w:bookmarkStart w:id="23" w:name="_Toc23744451"/>
      <w:bookmarkStart w:id="24" w:name="_Toc150580253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21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bookmarkStart w:id="25" w:name="RuleErr_1"/>
      <w:r>
        <w:rPr>
          <w:i/>
        </w:rPr>
        <w:t>Construction Industry Long Service Leave Act 1987</w:t>
      </w:r>
      <w:bookmarkEnd w:id="25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bookmarkStart w:id="26" w:name="RuleErr_2"/>
      <w:r>
        <w:rPr>
          <w:i/>
        </w:rPr>
        <w:t>Long Service Leave (Portable Schemes) Act 2009</w:t>
      </w:r>
      <w:bookmarkEnd w:id="26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27" w:name="_Toc439570764"/>
      <w:bookmarkStart w:id="28" w:name="_Toc23744452"/>
      <w:bookmarkStart w:id="29" w:name="_Toc150580254"/>
      <w:bookmarkStart w:id="30" w:name="_Toc329681340"/>
      <w:bookmarkEnd w:id="22"/>
      <w:bookmarkEnd w:id="23"/>
      <w:bookmarkEnd w:id="2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27"/>
      <w:bookmarkEnd w:id="28"/>
      <w:bookmarkEnd w:id="29"/>
      <w:bookmarkEnd w:id="30"/>
    </w:p>
    <w:p>
      <w:pPr>
        <w:pStyle w:val="Subsection"/>
        <w:spacing w:before="80" w:after="4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spacing w:before="80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31" w:name="_Toc439570765"/>
      <w:bookmarkStart w:id="32" w:name="_Toc23744453"/>
      <w:bookmarkStart w:id="33" w:name="_Toc150580255"/>
      <w:bookmarkStart w:id="34" w:name="_Toc32968134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31"/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spacing w:before="80" w:after="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rPr>
          <w:snapToGrid w:val="0"/>
        </w:rPr>
      </w:pPr>
      <w:bookmarkStart w:id="35" w:name="_Toc439570766"/>
      <w:bookmarkStart w:id="36" w:name="_Toc23744454"/>
      <w:bookmarkStart w:id="37" w:name="_Toc150580256"/>
      <w:bookmarkStart w:id="38" w:name="_Toc32968134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35"/>
      <w:bookmarkEnd w:id="3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spacing w:before="80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2% of the ordinary pay of that employee.</w:t>
      </w:r>
    </w:p>
    <w:p>
      <w:pPr>
        <w:pStyle w:val="Footnotesection"/>
        <w:keepLines w:val="0"/>
        <w:spacing w:after="8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5575.] </w:t>
      </w:r>
    </w:p>
    <w:p>
      <w:pPr>
        <w:pStyle w:val="Heading5"/>
        <w:rPr>
          <w:snapToGrid w:val="0"/>
        </w:rPr>
      </w:pPr>
      <w:bookmarkStart w:id="39" w:name="_Toc439570767"/>
      <w:bookmarkStart w:id="40" w:name="_Toc23744455"/>
      <w:bookmarkStart w:id="41" w:name="_Toc150580257"/>
      <w:bookmarkStart w:id="42" w:name="_Toc32968134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39"/>
      <w:bookmarkEnd w:id="40"/>
      <w:bookmarkEnd w:id="41"/>
      <w:bookmarkEnd w:id="4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  <w:bookmarkStart w:id="43" w:name="_Toc23744456"/>
    </w:p>
    <w:p>
      <w:pPr>
        <w:pStyle w:val="yScheduleHeading"/>
      </w:pPr>
      <w:bookmarkStart w:id="44" w:name="_Toc329596870"/>
      <w:bookmarkStart w:id="45" w:name="_Toc329597248"/>
      <w:bookmarkStart w:id="46" w:name="_Toc329597629"/>
      <w:bookmarkStart w:id="47" w:name="_Toc329597936"/>
      <w:bookmarkStart w:id="48" w:name="_Toc329681344"/>
      <w:bookmarkStart w:id="49" w:name="_Toc150580258"/>
      <w:bookmarkStart w:id="50" w:name="_Toc150580389"/>
      <w:bookmarkStart w:id="51" w:name="_Toc150652470"/>
      <w:bookmarkStart w:id="52" w:name="_Toc155071973"/>
      <w:bookmarkStart w:id="53" w:name="_Toc155080671"/>
      <w:bookmarkStart w:id="54" w:name="_Toc173209201"/>
      <w:bookmarkStart w:id="55" w:name="_Toc173210376"/>
      <w:bookmarkStart w:id="56" w:name="_Toc175548950"/>
      <w:bookmarkStart w:id="57" w:name="_Toc176336035"/>
      <w:bookmarkStart w:id="58" w:name="_Toc312921516"/>
      <w:bookmarkStart w:id="59" w:name="_Toc312921554"/>
      <w:bookmarkStart w:id="60" w:name="_Toc31292163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44"/>
      <w:bookmarkEnd w:id="45"/>
      <w:bookmarkEnd w:id="46"/>
      <w:bookmarkEnd w:id="47"/>
      <w:bookmarkEnd w:id="48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61" w:name="_Toc329596871"/>
      <w:bookmarkStart w:id="62" w:name="_Toc329597249"/>
      <w:bookmarkStart w:id="63" w:name="_Toc329597630"/>
      <w:bookmarkStart w:id="64" w:name="_Toc329597937"/>
      <w:bookmarkStart w:id="65" w:name="_Toc329681345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61"/>
      <w:bookmarkEnd w:id="62"/>
      <w:bookmarkEnd w:id="63"/>
      <w:bookmarkEnd w:id="64"/>
      <w:bookmarkEnd w:id="65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Drilling and Exploration Industry (AWU)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smartTag w:uri="urn:schemas-microsoft-com:office:smarttags" w:element="place">
              <w:smartTag w:uri="urn:schemas-microsoft-com:office:smarttags" w:element="PlaceName">
                <w:r>
                  <w:t>National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 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66" w:name="_Toc329596872"/>
      <w:bookmarkStart w:id="67" w:name="_Toc329597250"/>
      <w:bookmarkStart w:id="68" w:name="_Toc329597631"/>
      <w:bookmarkStart w:id="69" w:name="_Toc329597938"/>
      <w:bookmarkStart w:id="70" w:name="_Toc329681346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66"/>
      <w:bookmarkEnd w:id="67"/>
      <w:bookmarkEnd w:id="68"/>
      <w:bookmarkEnd w:id="69"/>
      <w:bookmarkEnd w:id="70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3261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awards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 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(Construction) Award 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(Government) Award 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 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 A22 of 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 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</w:t>
            </w:r>
            <w:smartTag w:uri="urn:schemas-microsoft-com:office:smarttags" w:element="place">
              <w:smartTag w:uri="urn:schemas-microsoft-com:office:smarttags" w:element="State">
                <w:r>
                  <w:t>North West</w:t>
                </w:r>
              </w:smartTag>
            </w:smartTag>
            <w:r>
              <w:t xml:space="preserve"> Shelf Project Platform) Award 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smartTag w:uri="urn:schemas-microsoft-com:office:smarttags" w:element="place">
              <w:r>
                <w:t>Pest</w:t>
              </w:r>
            </w:smartTag>
            <w:r>
              <w:t xml:space="preserve"> Control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 10 of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bookmarkEnd w:id="43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>
      <w:pPr>
        <w:pStyle w:val="yFootnotesection"/>
        <w:tabs>
          <w:tab w:val="clear" w:pos="893"/>
        </w:tabs>
        <w:ind w:left="0" w:firstLine="0"/>
      </w:pPr>
    </w:p>
    <w:p>
      <w:pPr>
        <w:sectPr>
          <w:headerReference w:type="even" r:id="rId27"/>
          <w:headerReference w:type="default" r:id="rId28"/>
          <w:headerReference w:type="first" r:id="rId29"/>
          <w:type w:val="oddPage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  <w:bookmarkStart w:id="71" w:name="_Toc23744457"/>
      <w:bookmarkStart w:id="72" w:name="_Toc150580259"/>
      <w:bookmarkStart w:id="73" w:name="_Toc150580390"/>
      <w:bookmarkStart w:id="74" w:name="_Toc150652471"/>
      <w:bookmarkStart w:id="75" w:name="_Toc155071974"/>
      <w:bookmarkStart w:id="76" w:name="_Toc155080672"/>
      <w:bookmarkStart w:id="77" w:name="_Toc173209202"/>
      <w:bookmarkStart w:id="78" w:name="_Toc173210377"/>
      <w:bookmarkStart w:id="79" w:name="_Toc175548951"/>
      <w:bookmarkStart w:id="80" w:name="_Toc176336036"/>
      <w:bookmarkStart w:id="81" w:name="_Toc312921517"/>
      <w:bookmarkStart w:id="82" w:name="_Toc312921555"/>
      <w:bookmarkStart w:id="83" w:name="_Toc312921635"/>
      <w:bookmarkStart w:id="84" w:name="_Toc329596873"/>
      <w:bookmarkStart w:id="85" w:name="_Toc329597251"/>
      <w:bookmarkStart w:id="86" w:name="_Toc329597632"/>
    </w:p>
    <w:p>
      <w:pPr>
        <w:pStyle w:val="yScheduleHeading"/>
      </w:pPr>
      <w:bookmarkStart w:id="87" w:name="_Toc329597939"/>
      <w:bookmarkStart w:id="88" w:name="_Toc329681347"/>
      <w:r>
        <w:rPr>
          <w:rStyle w:val="CharSchNo"/>
        </w:rPr>
        <w:t>Schedule 2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</w:p>
    <w:p>
      <w:pPr>
        <w:pStyle w:val="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sectPr>
          <w:headerReference w:type="even" r:id="rId30"/>
          <w:headerReference w:type="default" r:id="rId31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9" w:name="_Toc85279542"/>
      <w:bookmarkStart w:id="90" w:name="_Toc90791563"/>
      <w:bookmarkStart w:id="91" w:name="_Toc91478533"/>
      <w:bookmarkStart w:id="92" w:name="_Toc92426922"/>
      <w:bookmarkStart w:id="93" w:name="_Toc92427035"/>
      <w:bookmarkStart w:id="94" w:name="_Toc108582254"/>
      <w:bookmarkStart w:id="95" w:name="_Toc150580260"/>
      <w:bookmarkStart w:id="96" w:name="_Toc150580391"/>
      <w:bookmarkStart w:id="97" w:name="_Toc150652472"/>
      <w:bookmarkStart w:id="98" w:name="_Toc155071975"/>
      <w:bookmarkStart w:id="99" w:name="_Toc155080673"/>
      <w:bookmarkStart w:id="100" w:name="_Toc173209203"/>
      <w:bookmarkStart w:id="101" w:name="_Toc173210378"/>
      <w:bookmarkStart w:id="102" w:name="_Toc175548952"/>
      <w:bookmarkStart w:id="103" w:name="_Toc176336037"/>
      <w:bookmarkStart w:id="104" w:name="_Toc312921518"/>
      <w:bookmarkStart w:id="105" w:name="_Toc312921556"/>
      <w:bookmarkStart w:id="106" w:name="_Toc312921636"/>
      <w:bookmarkStart w:id="107" w:name="_Toc329596874"/>
      <w:bookmarkStart w:id="108" w:name="_Toc329597252"/>
      <w:bookmarkStart w:id="109" w:name="_Toc329597633"/>
      <w:bookmarkStart w:id="110" w:name="_Toc329597940"/>
      <w:bookmarkStart w:id="111" w:name="_Toc329681348"/>
      <w:r>
        <w:t>Notes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2" w:name="_Toc329681349"/>
      <w:r>
        <w:rPr>
          <w:snapToGrid w:val="0"/>
        </w:rPr>
        <w:t>Compilation table</w:t>
      </w:r>
      <w:bookmarkEnd w:id="1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 p. 4924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Dec 1989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4652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1991 p. 6042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 1992 p. 6137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1 Jul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Construction Industry Portable Paid Long Service Leave Amendment Regulations 2002 </w:t>
            </w:r>
            <w:r>
              <w:rPr>
                <w:sz w:val="19"/>
              </w:rP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2002</w:t>
            </w:r>
            <w:r>
              <w:rPr>
                <w:sz w:val="19"/>
              </w:rP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5 Nov 2002 [Published again in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3 Jan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2004 p. 4753</w:t>
            </w:r>
            <w:r>
              <w:rPr>
                <w:sz w:val="19"/>
              </w:rPr>
              <w:noBreakHyphen/>
              <w:t>4 (as amended in 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Nov 2006 p. 4677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 r. 4: 7 Nov 2006 (see r. 2(1));</w:t>
            </w:r>
            <w:r>
              <w:rPr>
                <w:sz w:val="19"/>
              </w:rP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24 Aug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2008 (see r. 2(a));</w:t>
            </w:r>
            <w:r>
              <w:rPr>
                <w:sz w:val="19"/>
              </w:rPr>
              <w:br/>
              <w:t xml:space="preserve">Regulations other than r. 1 and 2: 1 </w:t>
            </w:r>
            <w:r>
              <w:t>Jan 2009</w:t>
            </w:r>
            <w:r>
              <w:rPr>
                <w:sz w:val="19"/>
              </w:rPr>
              <w:t xml:space="preserve">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2011 (see r. 2(a));</w:t>
            </w:r>
            <w:r>
              <w:rPr>
                <w:sz w:val="19"/>
              </w:rPr>
              <w:br/>
              <w:t>Regulations other than r. 1 and 2: 31 Dec</w:t>
            </w:r>
            <w:r>
              <w:t> 2011</w:t>
            </w:r>
            <w:r>
              <w:rPr>
                <w:sz w:val="19"/>
              </w:rPr>
              <w:t xml:space="preserve"> (see r. 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2012 p. 3057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10 Jul 2012 (see r. 2(a));</w:t>
            </w:r>
            <w:r>
              <w:rPr>
                <w:sz w:val="19"/>
              </w:rPr>
              <w:br/>
              <w:t>Regulations other than r. 1 and 2: 11 Jul 2012 (see r. 2(b))</w:t>
            </w:r>
          </w:p>
        </w:tc>
      </w:tr>
    </w:tbl>
    <w:p/>
    <w:p>
      <w:pPr>
        <w:sectPr>
          <w:headerReference w:type="even" r:id="rId32"/>
          <w:headerReference w:type="default" r:id="rId33"/>
          <w:headerReference w:type="first" r:id="rId3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13" w:name="_Toc312921520"/>
      <w:bookmarkStart w:id="114" w:name="_Toc312921558"/>
      <w:bookmarkStart w:id="115" w:name="_Toc312921638"/>
      <w:bookmarkStart w:id="116" w:name="_Toc329596876"/>
      <w:bookmarkStart w:id="117" w:name="_Toc329597254"/>
      <w:bookmarkStart w:id="118" w:name="_Toc329597635"/>
      <w:bookmarkStart w:id="119" w:name="_Toc329597942"/>
      <w:bookmarkStart w:id="120" w:name="_Toc329681350"/>
      <w:r>
        <w:rPr>
          <w:sz w:val="28"/>
        </w:rPr>
        <w:t>Defined Terms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21" w:name="DefinedTerms"/>
      <w:bookmarkEnd w:id="121"/>
      <w:r>
        <w:t>temporary employee</w:t>
      </w:r>
      <w:r>
        <w:tab/>
        <w:t>3(3)</w:t>
      </w:r>
    </w:p>
    <w:p>
      <w:pPr>
        <w:pStyle w:val="DefinedTerms"/>
        <w:sectPr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41"/>
      <w:headerReference w:type="default" r:id="rId42"/>
      <w:headerReference w:type="first" r:id="rId4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Awards given continuing effect under the Fair Work (Transitional Provisions and Consequential Amendments) Act 2009 (Commonwealth)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Awards given continuing effect under the Fair Work (Transitional Provisions and Consequential Amendments) Act 2009 (Commonwealth)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Construction Industry Portable Paid Long Service Leave Regulations 1986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Construction Industry Portable Paid Long Service Leave Regulations 1986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5251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0305"/>
    <w:docVar w:name="WAFER_20151209110305" w:val="RemoveTrackChanges"/>
    <w:docVar w:name="WAFER_20151209110305_GUID" w:val="0f4e2b82-2012-4bcc-bbed-570b96bdac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r">
    <w:name w:val="nor"/>
    <w:basedOn w:val="Subsection"/>
    <w:pPr>
      <w:keepLines/>
      <w:tabs>
        <w:tab w:val="left" w:pos="1418"/>
      </w:tabs>
      <w:spacing w:before="0" w:line="240" w:lineRule="auto"/>
      <w:ind w:left="1418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r">
    <w:name w:val="nor"/>
    <w:basedOn w:val="Subsection"/>
    <w:pPr>
      <w:keepLines/>
      <w:tabs>
        <w:tab w:val="left" w:pos="1418"/>
      </w:tabs>
      <w:spacing w:before="0" w:line="240" w:lineRule="auto"/>
      <w:ind w:left="1418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43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2331</Words>
  <Characters>12146</Characters>
  <Application>Microsoft Office Word</Application>
  <DocSecurity>0</DocSecurity>
  <Lines>578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1986 - 03-d0-02</dc:title>
  <dc:subject/>
  <dc:creator/>
  <cp:keywords/>
  <dc:description/>
  <cp:lastModifiedBy>svcMRProcess</cp:lastModifiedBy>
  <cp:revision>4</cp:revision>
  <cp:lastPrinted>2007-07-26T02:52:00Z</cp:lastPrinted>
  <dcterms:created xsi:type="dcterms:W3CDTF">2018-09-10T07:43:00Z</dcterms:created>
  <dcterms:modified xsi:type="dcterms:W3CDTF">2018-09-10T07:43:00Z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CommencementDate">
    <vt:lpwstr>20120711</vt:lpwstr>
  </property>
  <property fmtid="{D5CDD505-2E9C-101B-9397-08002B2CF9AE}" pid="4" name="DocumentType">
    <vt:lpwstr>Reg</vt:lpwstr>
  </property>
  <property fmtid="{D5CDD505-2E9C-101B-9397-08002B2CF9AE}" pid="5" name="OwlsUID">
    <vt:i4>4365</vt:i4>
  </property>
  <property fmtid="{D5CDD505-2E9C-101B-9397-08002B2CF9AE}" pid="6" name="ReprintNo">
    <vt:lpwstr>3</vt:lpwstr>
  </property>
  <property fmtid="{D5CDD505-2E9C-101B-9397-08002B2CF9AE}" pid="7" name="AsAtDate">
    <vt:lpwstr>11 Jul 2012</vt:lpwstr>
  </property>
  <property fmtid="{D5CDD505-2E9C-101B-9397-08002B2CF9AE}" pid="8" name="Suffix">
    <vt:lpwstr>03-d0-02</vt:lpwstr>
  </property>
</Properties>
</file>